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D4" w:rsidRPr="002B0F3D" w:rsidRDefault="008E75F3" w:rsidP="00B131D4">
      <w:pPr>
        <w:bidi/>
        <w:spacing w:line="360" w:lineRule="auto"/>
        <w:jc w:val="both"/>
        <w:rPr>
          <w:rFonts w:cstheme="minorHAnsi"/>
          <w:sz w:val="24"/>
          <w:szCs w:val="24"/>
          <w:rtl/>
        </w:rPr>
      </w:pPr>
      <w:r w:rsidRPr="002B0F3D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1050925" cy="1050925"/>
            <wp:effectExtent l="0" t="0" r="0" b="0"/>
            <wp:wrapSquare wrapText="bothSides"/>
            <wp:docPr id="397949842" name="Picture 2" descr="A logo with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49842" name="Picture 2" descr="A logo with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05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bottomFromText="160" w:vertAnchor="page" w:horzAnchor="margin" w:tblpXSpec="center" w:tblpY="631"/>
        <w:bidiVisual/>
        <w:tblW w:w="9075" w:type="dxa"/>
        <w:tblLayout w:type="fixed"/>
        <w:tblLook w:val="04A0" w:firstRow="1" w:lastRow="0" w:firstColumn="1" w:lastColumn="0" w:noHBand="0" w:noVBand="1"/>
      </w:tblPr>
      <w:tblGrid>
        <w:gridCol w:w="3393"/>
        <w:gridCol w:w="2597"/>
        <w:gridCol w:w="3085"/>
      </w:tblGrid>
      <w:tr w:rsidR="00B0772A" w:rsidTr="008E75F3">
        <w:trPr>
          <w:cantSplit/>
        </w:trPr>
        <w:tc>
          <w:tcPr>
            <w:tcW w:w="3393" w:type="dxa"/>
            <w:vAlign w:val="center"/>
            <w:hideMark/>
          </w:tcPr>
          <w:p w:rsidR="008E75F3" w:rsidRDefault="008E75F3" w:rsidP="009D7F64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8E75F3" w:rsidRDefault="008E75F3" w:rsidP="009D7F64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2B0F3D" w:rsidRPr="002B0F3D" w:rsidRDefault="00AE3859" w:rsidP="009D7F64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2B0F3D">
              <w:rPr>
                <w:rFonts w:cstheme="minorHAnsi"/>
                <w:b/>
                <w:bCs/>
                <w:sz w:val="24"/>
                <w:szCs w:val="24"/>
                <w:rtl/>
              </w:rPr>
              <w:t>בנק ישראל</w:t>
            </w:r>
          </w:p>
          <w:p w:rsidR="002B0F3D" w:rsidRPr="002B0F3D" w:rsidRDefault="00AE3859" w:rsidP="009D7F64">
            <w:pPr>
              <w:spacing w:line="360" w:lineRule="auto"/>
              <w:ind w:right="-101"/>
              <w:jc w:val="right"/>
              <w:rPr>
                <w:rFonts w:cstheme="minorHAnsi"/>
                <w:sz w:val="24"/>
                <w:szCs w:val="24"/>
              </w:rPr>
            </w:pPr>
            <w:r w:rsidRPr="002B0F3D">
              <w:rPr>
                <w:rFonts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7" w:type="dxa"/>
            <w:hideMark/>
          </w:tcPr>
          <w:p w:rsidR="002B0F3D" w:rsidRPr="002B0F3D" w:rsidRDefault="002B0F3D" w:rsidP="009C27F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5" w:type="dxa"/>
            <w:vAlign w:val="center"/>
            <w:hideMark/>
          </w:tcPr>
          <w:p w:rsidR="002B0F3D" w:rsidRPr="002B0F3D" w:rsidRDefault="00AE3859" w:rsidP="00AE385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2B0F3D">
              <w:rPr>
                <w:rFonts w:cstheme="minorHAnsi"/>
                <w:sz w:val="24"/>
                <w:szCs w:val="24"/>
                <w:rtl/>
              </w:rPr>
              <w:t>‏ ירושלים, ‏‏</w:t>
            </w:r>
            <w:r>
              <w:rPr>
                <w:rFonts w:cstheme="minorHAnsi" w:hint="eastAsia"/>
                <w:sz w:val="24"/>
                <w:szCs w:val="24"/>
                <w:rtl/>
              </w:rPr>
              <w:t>‏</w:t>
            </w:r>
            <w:r>
              <w:rPr>
                <w:rFonts w:cstheme="minorHAnsi" w:hint="cs"/>
                <w:sz w:val="24"/>
                <w:szCs w:val="24"/>
                <w:rtl/>
              </w:rPr>
              <w:t>ג</w:t>
            </w:r>
            <w:r>
              <w:rPr>
                <w:rFonts w:cstheme="minorHAnsi"/>
                <w:sz w:val="24"/>
                <w:szCs w:val="24"/>
                <w:rtl/>
              </w:rPr>
              <w:t>' אב תשפ"ו</w:t>
            </w:r>
          </w:p>
          <w:p w:rsidR="008E75F3" w:rsidRDefault="008E75F3" w:rsidP="00AE3859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</w:p>
          <w:p w:rsidR="008E75F3" w:rsidRDefault="008E75F3" w:rsidP="008E75F3">
            <w:pPr>
              <w:bidi/>
              <w:spacing w:line="360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ירושלים, </w:t>
            </w:r>
            <w:r>
              <w:rPr>
                <w:rFonts w:cstheme="minorHAnsi" w:hint="eastAsia"/>
                <w:sz w:val="24"/>
                <w:szCs w:val="24"/>
                <w:rtl/>
              </w:rPr>
              <w:t>‏ב</w:t>
            </w:r>
            <w:r>
              <w:rPr>
                <w:rFonts w:cstheme="minorHAnsi"/>
                <w:sz w:val="24"/>
                <w:szCs w:val="24"/>
                <w:rtl/>
              </w:rPr>
              <w:t>' אב תשפ"ו</w:t>
            </w:r>
          </w:p>
          <w:p w:rsidR="002B0F3D" w:rsidRPr="002B0F3D" w:rsidRDefault="00AE3859" w:rsidP="008E75F3">
            <w:pPr>
              <w:bidi/>
              <w:spacing w:line="360" w:lineRule="auto"/>
              <w:jc w:val="right"/>
              <w:rPr>
                <w:rFonts w:cstheme="minorHAnsi"/>
                <w:sz w:val="24"/>
                <w:szCs w:val="24"/>
                <w:highlight w:val="yellow"/>
              </w:rPr>
            </w:pPr>
            <w:r w:rsidRPr="002B0F3D">
              <w:rPr>
                <w:rFonts w:cstheme="minorHAnsi"/>
                <w:sz w:val="24"/>
                <w:szCs w:val="24"/>
                <w:rtl/>
              </w:rPr>
              <w:t>‏‏‏‏‏‏</w:t>
            </w:r>
            <w:r w:rsidRPr="002B0F3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 w:hint="eastAsia"/>
                <w:sz w:val="24"/>
                <w:szCs w:val="24"/>
                <w:rtl/>
              </w:rPr>
              <w:t>‏</w:t>
            </w: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  <w:r w:rsidR="008E75F3">
              <w:rPr>
                <w:rFonts w:cstheme="minorHAnsi" w:hint="cs"/>
                <w:sz w:val="24"/>
                <w:szCs w:val="24"/>
                <w:rtl/>
              </w:rPr>
              <w:t>6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  <w:rtl/>
              </w:rPr>
              <w:t xml:space="preserve"> יולי 2026</w:t>
            </w:r>
          </w:p>
        </w:tc>
      </w:tr>
    </w:tbl>
    <w:p w:rsidR="005C7B33" w:rsidRPr="005C7B33" w:rsidRDefault="00AE3859" w:rsidP="005C7B33">
      <w:pPr>
        <w:bidi/>
        <w:spacing w:line="360" w:lineRule="auto"/>
        <w:jc w:val="both"/>
        <w:rPr>
          <w:rFonts w:cstheme="minorHAnsi"/>
          <w:sz w:val="24"/>
          <w:szCs w:val="24"/>
          <w:rtl/>
        </w:rPr>
      </w:pPr>
      <w:r w:rsidRPr="002B0F3D">
        <w:rPr>
          <w:rFonts w:cstheme="minorHAnsi"/>
          <w:sz w:val="24"/>
          <w:szCs w:val="24"/>
          <w:rtl/>
        </w:rPr>
        <w:t>הודעה לעיתונות</w:t>
      </w:r>
      <w:r w:rsidR="002B0F3D" w:rsidRPr="002B0F3D">
        <w:rPr>
          <w:rFonts w:cstheme="minorHAnsi"/>
          <w:sz w:val="24"/>
          <w:szCs w:val="24"/>
          <w:rtl/>
        </w:rPr>
        <w:t>:</w:t>
      </w:r>
    </w:p>
    <w:p w:rsidR="00B131D4" w:rsidRPr="00E93877" w:rsidRDefault="00AE3859" w:rsidP="00823275">
      <w:pPr>
        <w:bidi/>
        <w:spacing w:line="36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E93877">
        <w:rPr>
          <w:rFonts w:cstheme="minorHAnsi"/>
          <w:b/>
          <w:bCs/>
          <w:sz w:val="28"/>
          <w:szCs w:val="28"/>
          <w:rtl/>
        </w:rPr>
        <w:t>בנק ישראל מברך על</w:t>
      </w:r>
      <w:r w:rsidR="00823275" w:rsidRPr="00823275">
        <w:rPr>
          <w:rtl/>
        </w:rPr>
        <w:t xml:space="preserve"> </w:t>
      </w:r>
      <w:r w:rsidR="00823275" w:rsidRPr="00823275">
        <w:rPr>
          <w:rFonts w:cs="Calibri"/>
          <w:b/>
          <w:bCs/>
          <w:sz w:val="28"/>
          <w:szCs w:val="28"/>
          <w:rtl/>
        </w:rPr>
        <w:t>השלמת החקיקה להקמת מאגר נתוני אשראי עסקי</w:t>
      </w:r>
    </w:p>
    <w:p w:rsidR="007054AF" w:rsidRPr="007054AF" w:rsidRDefault="00AE3859" w:rsidP="0018525D">
      <w:pPr>
        <w:bidi/>
        <w:spacing w:line="360" w:lineRule="auto"/>
        <w:jc w:val="both"/>
        <w:rPr>
          <w:rFonts w:cstheme="minorHAnsi"/>
          <w:sz w:val="24"/>
          <w:szCs w:val="24"/>
          <w:rtl/>
        </w:rPr>
      </w:pPr>
      <w:r w:rsidRPr="007054AF">
        <w:rPr>
          <w:rFonts w:cs="Calibri"/>
          <w:sz w:val="24"/>
          <w:szCs w:val="24"/>
          <w:rtl/>
        </w:rPr>
        <w:t>בנק ישראל מברך על השלמת החקיקה להקמת מאגר נתונ</w:t>
      </w:r>
      <w:r w:rsidR="00EA3719">
        <w:rPr>
          <w:rFonts w:cs="Calibri"/>
          <w:sz w:val="24"/>
          <w:szCs w:val="24"/>
          <w:rtl/>
        </w:rPr>
        <w:t>י אשראי לעסקים קטנים ובינוניים</w:t>
      </w:r>
      <w:r w:rsidR="00EA3719">
        <w:rPr>
          <w:rFonts w:cs="Calibri" w:hint="cs"/>
          <w:sz w:val="24"/>
          <w:szCs w:val="24"/>
          <w:rtl/>
        </w:rPr>
        <w:t>. זהו</w:t>
      </w:r>
      <w:r w:rsidRPr="007054AF">
        <w:rPr>
          <w:rFonts w:cs="Calibri"/>
          <w:sz w:val="24"/>
          <w:szCs w:val="24"/>
          <w:rtl/>
        </w:rPr>
        <w:t xml:space="preserve"> צעד </w:t>
      </w:r>
      <w:r w:rsidR="0018525D">
        <w:rPr>
          <w:rFonts w:cs="Calibri" w:hint="cs"/>
          <w:sz w:val="24"/>
          <w:szCs w:val="24"/>
          <w:rtl/>
        </w:rPr>
        <w:t xml:space="preserve">נוסף </w:t>
      </w:r>
      <w:r w:rsidRPr="007054AF">
        <w:rPr>
          <w:rFonts w:cs="Calibri"/>
          <w:sz w:val="24"/>
          <w:szCs w:val="24"/>
          <w:rtl/>
        </w:rPr>
        <w:t>משמעותי לח</w:t>
      </w:r>
      <w:r w:rsidR="0018525D">
        <w:rPr>
          <w:rFonts w:cs="Calibri" w:hint="cs"/>
          <w:sz w:val="24"/>
          <w:szCs w:val="24"/>
          <w:rtl/>
        </w:rPr>
        <w:t>י</w:t>
      </w:r>
      <w:r w:rsidRPr="007054AF">
        <w:rPr>
          <w:rFonts w:cs="Calibri"/>
          <w:sz w:val="24"/>
          <w:szCs w:val="24"/>
          <w:rtl/>
        </w:rPr>
        <w:t>ז</w:t>
      </w:r>
      <w:r w:rsidR="0018525D">
        <w:rPr>
          <w:rFonts w:cs="Calibri" w:hint="cs"/>
          <w:sz w:val="24"/>
          <w:szCs w:val="24"/>
          <w:rtl/>
        </w:rPr>
        <w:t>ו</w:t>
      </w:r>
      <w:r w:rsidRPr="007054AF">
        <w:rPr>
          <w:rFonts w:cs="Calibri"/>
          <w:sz w:val="24"/>
          <w:szCs w:val="24"/>
          <w:rtl/>
        </w:rPr>
        <w:t xml:space="preserve">ק התחרות בשוק האשראי העסקי, </w:t>
      </w:r>
      <w:r w:rsidR="0018525D">
        <w:rPr>
          <w:rFonts w:cs="Calibri" w:hint="cs"/>
          <w:sz w:val="24"/>
          <w:szCs w:val="24"/>
          <w:rtl/>
        </w:rPr>
        <w:t xml:space="preserve">שנועד </w:t>
      </w:r>
      <w:r w:rsidRPr="007054AF">
        <w:rPr>
          <w:rFonts w:cs="Calibri"/>
          <w:sz w:val="24"/>
          <w:szCs w:val="24"/>
          <w:rtl/>
        </w:rPr>
        <w:t>לשפר את הנגישות למימון ולהגביר את היעילות בהקצאת אשראי במשק</w:t>
      </w:r>
      <w:r w:rsidRPr="007054AF">
        <w:rPr>
          <w:rFonts w:cstheme="minorHAnsi"/>
          <w:sz w:val="24"/>
          <w:szCs w:val="24"/>
        </w:rPr>
        <w:t>.</w:t>
      </w:r>
    </w:p>
    <w:p w:rsidR="007054AF" w:rsidRPr="00EA3719" w:rsidRDefault="00AE3859" w:rsidP="00363B24">
      <w:pPr>
        <w:bidi/>
        <w:spacing w:line="360" w:lineRule="auto"/>
        <w:jc w:val="both"/>
        <w:rPr>
          <w:rFonts w:cs="Calibri"/>
          <w:sz w:val="24"/>
          <w:szCs w:val="24"/>
          <w:rtl/>
        </w:rPr>
      </w:pPr>
      <w:r w:rsidRPr="007054AF">
        <w:rPr>
          <w:rFonts w:cs="Calibri"/>
          <w:sz w:val="24"/>
          <w:szCs w:val="24"/>
          <w:rtl/>
        </w:rPr>
        <w:t xml:space="preserve">המאגר העסקי </w:t>
      </w:r>
      <w:r w:rsidR="00AB0324">
        <w:rPr>
          <w:rFonts w:cs="Calibri" w:hint="cs"/>
          <w:sz w:val="24"/>
          <w:szCs w:val="24"/>
          <w:rtl/>
        </w:rPr>
        <w:t>מצטרף ל</w:t>
      </w:r>
      <w:r w:rsidR="00AB0324" w:rsidRPr="007054AF">
        <w:rPr>
          <w:rFonts w:cs="Calibri"/>
          <w:sz w:val="24"/>
          <w:szCs w:val="24"/>
          <w:rtl/>
        </w:rPr>
        <w:t xml:space="preserve">מערכת נתוני האשראי </w:t>
      </w:r>
      <w:r w:rsidR="00AB0324">
        <w:rPr>
          <w:rFonts w:cs="Calibri" w:hint="cs"/>
          <w:sz w:val="24"/>
          <w:szCs w:val="24"/>
          <w:rtl/>
        </w:rPr>
        <w:t>הקמעונאי</w:t>
      </w:r>
      <w:r w:rsidR="00AB0324">
        <w:rPr>
          <w:rFonts w:cs="Calibri"/>
          <w:sz w:val="24"/>
          <w:szCs w:val="24"/>
          <w:rtl/>
        </w:rPr>
        <w:t xml:space="preserve"> </w:t>
      </w:r>
      <w:r w:rsidR="00AB0324">
        <w:rPr>
          <w:rFonts w:cs="Calibri" w:hint="cs"/>
          <w:sz w:val="24"/>
          <w:szCs w:val="24"/>
          <w:rtl/>
        </w:rPr>
        <w:t xml:space="preserve">שהוקמה </w:t>
      </w:r>
      <w:r w:rsidR="00AB0324">
        <w:rPr>
          <w:rFonts w:cs="Calibri"/>
          <w:sz w:val="24"/>
          <w:szCs w:val="24"/>
          <w:rtl/>
        </w:rPr>
        <w:t>בשנת 2019</w:t>
      </w:r>
      <w:r w:rsidR="00AB0324">
        <w:rPr>
          <w:rFonts w:cs="Calibri" w:hint="cs"/>
          <w:sz w:val="24"/>
          <w:szCs w:val="24"/>
          <w:rtl/>
        </w:rPr>
        <w:t>, וש</w:t>
      </w:r>
      <w:r w:rsidR="00AB0324" w:rsidRPr="007054AF">
        <w:rPr>
          <w:rFonts w:cs="Calibri"/>
          <w:sz w:val="24"/>
          <w:szCs w:val="24"/>
          <w:rtl/>
        </w:rPr>
        <w:t>תרמה</w:t>
      </w:r>
      <w:r w:rsidR="00AB0324">
        <w:rPr>
          <w:rFonts w:cs="Calibri" w:hint="cs"/>
          <w:sz w:val="24"/>
          <w:szCs w:val="24"/>
          <w:rtl/>
        </w:rPr>
        <w:t xml:space="preserve"> משמעותית </w:t>
      </w:r>
      <w:r w:rsidR="00363B24">
        <w:rPr>
          <w:rFonts w:cs="Calibri" w:hint="cs"/>
          <w:sz w:val="24"/>
          <w:szCs w:val="24"/>
          <w:rtl/>
        </w:rPr>
        <w:t>ל</w:t>
      </w:r>
      <w:r w:rsidR="00AB0324" w:rsidRPr="007054AF">
        <w:rPr>
          <w:rFonts w:cs="Calibri"/>
          <w:sz w:val="24"/>
          <w:szCs w:val="24"/>
          <w:rtl/>
        </w:rPr>
        <w:t>חיזוק התחרות והתאמת תנאי האשראי לפרופיל הלקוח</w:t>
      </w:r>
      <w:r w:rsidR="00363B24">
        <w:rPr>
          <w:rFonts w:cs="Calibri" w:hint="cs"/>
          <w:sz w:val="24"/>
          <w:szCs w:val="24"/>
          <w:rtl/>
        </w:rPr>
        <w:t>, להפחתת פרמיית הלקוח השבוי, ולשיפור</w:t>
      </w:r>
      <w:r w:rsidR="00363B24" w:rsidRPr="007054AF">
        <w:rPr>
          <w:rFonts w:cs="Calibri"/>
          <w:sz w:val="24"/>
          <w:szCs w:val="24"/>
          <w:rtl/>
        </w:rPr>
        <w:t xml:space="preserve"> הנגישות </w:t>
      </w:r>
      <w:r w:rsidR="00363B24">
        <w:rPr>
          <w:rFonts w:cs="Calibri" w:hint="cs"/>
          <w:sz w:val="24"/>
          <w:szCs w:val="24"/>
          <w:rtl/>
        </w:rPr>
        <w:t xml:space="preserve">של משקי הבית </w:t>
      </w:r>
      <w:r w:rsidR="00363B24" w:rsidRPr="007054AF">
        <w:rPr>
          <w:rFonts w:cs="Calibri"/>
          <w:sz w:val="24"/>
          <w:szCs w:val="24"/>
          <w:rtl/>
        </w:rPr>
        <w:t>לאשראי</w:t>
      </w:r>
      <w:r w:rsidR="00AB0324" w:rsidRPr="007054AF">
        <w:rPr>
          <w:rFonts w:cstheme="minorHAnsi"/>
          <w:sz w:val="24"/>
          <w:szCs w:val="24"/>
        </w:rPr>
        <w:t>.</w:t>
      </w:r>
      <w:r w:rsidR="00AB0324">
        <w:rPr>
          <w:rFonts w:cs="Calibri" w:hint="cs"/>
          <w:sz w:val="24"/>
          <w:szCs w:val="24"/>
          <w:rtl/>
        </w:rPr>
        <w:t xml:space="preserve"> המאגר העסקי </w:t>
      </w:r>
      <w:r w:rsidR="00363B24">
        <w:rPr>
          <w:rFonts w:cs="Calibri" w:hint="cs"/>
          <w:sz w:val="24"/>
          <w:szCs w:val="24"/>
          <w:rtl/>
        </w:rPr>
        <w:t>י</w:t>
      </w:r>
      <w:r w:rsidR="00AB0324">
        <w:rPr>
          <w:rFonts w:cs="Calibri" w:hint="cs"/>
          <w:sz w:val="24"/>
          <w:szCs w:val="24"/>
          <w:rtl/>
        </w:rPr>
        <w:t xml:space="preserve">תרום לצמצום פערי המידע שבין העסקים הקטנים והבינוניים לבין ספקי האשראי, </w:t>
      </w:r>
      <w:r w:rsidR="00363B24">
        <w:rPr>
          <w:rFonts w:cs="Calibri" w:hint="cs"/>
          <w:sz w:val="24"/>
          <w:szCs w:val="24"/>
          <w:rtl/>
        </w:rPr>
        <w:t>יגביר את התחרות בשוק האשראי לעסקים אלו</w:t>
      </w:r>
      <w:r w:rsidR="00AB0324">
        <w:rPr>
          <w:rFonts w:cs="Calibri" w:hint="cs"/>
          <w:sz w:val="24"/>
          <w:szCs w:val="24"/>
          <w:rtl/>
        </w:rPr>
        <w:t xml:space="preserve"> ותשפר את הנגישות של</w:t>
      </w:r>
      <w:r w:rsidR="00363B24">
        <w:rPr>
          <w:rFonts w:cs="Calibri" w:hint="cs"/>
          <w:sz w:val="24"/>
          <w:szCs w:val="24"/>
          <w:rtl/>
        </w:rPr>
        <w:t>הם</w:t>
      </w:r>
      <w:r w:rsidR="00AB0324">
        <w:rPr>
          <w:rFonts w:cs="Calibri" w:hint="cs"/>
          <w:sz w:val="24"/>
          <w:szCs w:val="24"/>
          <w:rtl/>
        </w:rPr>
        <w:t xml:space="preserve"> לאשראי. </w:t>
      </w:r>
      <w:r w:rsidR="00C7794E">
        <w:rPr>
          <w:rFonts w:cs="Calibri"/>
          <w:sz w:val="24"/>
          <w:szCs w:val="24"/>
          <w:rtl/>
        </w:rPr>
        <w:t>הרחב</w:t>
      </w:r>
      <w:r w:rsidR="00C7794E">
        <w:rPr>
          <w:rFonts w:cs="Calibri" w:hint="cs"/>
          <w:sz w:val="24"/>
          <w:szCs w:val="24"/>
          <w:rtl/>
        </w:rPr>
        <w:t>ת שיתוף המידע גם למגזר העסקי,</w:t>
      </w:r>
      <w:r w:rsidRPr="007054AF">
        <w:rPr>
          <w:rFonts w:cs="Calibri"/>
          <w:sz w:val="24"/>
          <w:szCs w:val="24"/>
          <w:rtl/>
        </w:rPr>
        <w:t xml:space="preserve"> צפויה לאפשר הערכת סיכונים מדויקת יותר, להקל על כניסת שחקנים חדשים לשוק ולהוזיל את עלויות המימון לעסקים</w:t>
      </w:r>
      <w:r w:rsidRPr="007054AF">
        <w:rPr>
          <w:rFonts w:cstheme="minorHAnsi"/>
          <w:sz w:val="24"/>
          <w:szCs w:val="24"/>
        </w:rPr>
        <w:t>.</w:t>
      </w:r>
    </w:p>
    <w:p w:rsidR="00E93877" w:rsidRDefault="00AE3859" w:rsidP="00363B24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 xml:space="preserve">צעד זה מצטרף לשורת צעדים תשתיתיים שמקדם בנק ישראל להסרת חסמים במערכת הפיננסית, שיתרמו לקידום התחרות ולהגדלת הרווחה של הלקוחות. </w:t>
      </w:r>
      <w:r w:rsidR="007054AF" w:rsidRPr="007054AF">
        <w:rPr>
          <w:rFonts w:cs="Calibri"/>
          <w:sz w:val="24"/>
          <w:szCs w:val="24"/>
          <w:rtl/>
        </w:rPr>
        <w:t>בנק ישראל ימשיך לקדם יוזמות נוספות שנועדו לחזק את הסקטור העסקי, להרחיב את הנגישות למימון ולתמוך בצמיחתה של הכלכלה הישראלית.</w:t>
      </w:r>
    </w:p>
    <w:p w:rsidR="007054AF" w:rsidRDefault="007054AF" w:rsidP="0018525D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7054AF" w:rsidRDefault="00AE3859" w:rsidP="0018525D">
      <w:pPr>
        <w:bidi/>
        <w:spacing w:line="360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EA3719">
        <w:rPr>
          <w:rFonts w:cs="Calibri"/>
          <w:b/>
          <w:bCs/>
          <w:sz w:val="24"/>
          <w:szCs w:val="24"/>
          <w:rtl/>
        </w:rPr>
        <w:t>נגיד בנק ישראל, פרופ' אמיר ירון</w:t>
      </w:r>
      <w:r w:rsidRPr="00EA3719">
        <w:rPr>
          <w:rFonts w:cstheme="minorHAnsi"/>
          <w:b/>
          <w:bCs/>
          <w:sz w:val="24"/>
          <w:szCs w:val="24"/>
        </w:rPr>
        <w:t>:</w:t>
      </w:r>
      <w:r w:rsidR="00EA3719" w:rsidRPr="007054AF">
        <w:rPr>
          <w:rFonts w:cs="Calibri"/>
          <w:sz w:val="24"/>
          <w:szCs w:val="24"/>
          <w:rtl/>
        </w:rPr>
        <w:t xml:space="preserve"> </w:t>
      </w:r>
      <w:r w:rsidR="00C7794E">
        <w:rPr>
          <w:rFonts w:cs="Calibri" w:hint="cs"/>
          <w:sz w:val="24"/>
          <w:szCs w:val="24"/>
          <w:rtl/>
        </w:rPr>
        <w:t xml:space="preserve"> </w:t>
      </w:r>
      <w:r w:rsidR="00C7794E" w:rsidRPr="00C7794E">
        <w:rPr>
          <w:rFonts w:cs="Calibri"/>
          <w:sz w:val="24"/>
          <w:szCs w:val="24"/>
          <w:rtl/>
        </w:rPr>
        <w:t xml:space="preserve">"הקמת מאגר נתוני אשראי לעסקים קטנים ובינוניים היא מהלך </w:t>
      </w:r>
      <w:r w:rsidR="0018525D">
        <w:rPr>
          <w:rFonts w:cs="Calibri" w:hint="cs"/>
          <w:sz w:val="24"/>
          <w:szCs w:val="24"/>
          <w:rtl/>
        </w:rPr>
        <w:t>מבני משמעותי</w:t>
      </w:r>
      <w:r w:rsidR="00C7794E" w:rsidRPr="00C7794E">
        <w:rPr>
          <w:rFonts w:cs="Calibri"/>
          <w:sz w:val="24"/>
          <w:szCs w:val="24"/>
          <w:rtl/>
        </w:rPr>
        <w:t xml:space="preserve"> לחיזוק התחרות ולהרחבת הנגישות למימון</w:t>
      </w:r>
      <w:r w:rsidR="0018525D">
        <w:rPr>
          <w:rFonts w:cs="Calibri" w:hint="cs"/>
          <w:sz w:val="24"/>
          <w:szCs w:val="24"/>
          <w:rtl/>
        </w:rPr>
        <w:t xml:space="preserve"> לעסקים</w:t>
      </w:r>
      <w:r w:rsidR="00C7794E" w:rsidRPr="00C7794E">
        <w:rPr>
          <w:rFonts w:cs="Calibri"/>
          <w:sz w:val="24"/>
          <w:szCs w:val="24"/>
          <w:rtl/>
        </w:rPr>
        <w:t>. הרחבת שיתוף המידע צפויה להקל על כניסת שחקנים</w:t>
      </w:r>
      <w:r w:rsidR="00C7794E">
        <w:rPr>
          <w:rFonts w:cs="Calibri"/>
          <w:sz w:val="24"/>
          <w:szCs w:val="24"/>
          <w:rtl/>
        </w:rPr>
        <w:t xml:space="preserve"> חדשים </w:t>
      </w:r>
      <w:r w:rsidR="0018525D">
        <w:rPr>
          <w:rFonts w:cs="Calibri" w:hint="cs"/>
          <w:sz w:val="24"/>
          <w:szCs w:val="24"/>
          <w:rtl/>
        </w:rPr>
        <w:t xml:space="preserve">לתחום </w:t>
      </w:r>
      <w:r w:rsidR="00C7794E">
        <w:rPr>
          <w:rFonts w:cs="Calibri"/>
          <w:sz w:val="24"/>
          <w:szCs w:val="24"/>
          <w:rtl/>
        </w:rPr>
        <w:t>ולהוזיל את האשראי לעסקים</w:t>
      </w:r>
      <w:r w:rsidR="00C7794E">
        <w:rPr>
          <w:rFonts w:cs="Calibri" w:hint="cs"/>
          <w:sz w:val="24"/>
          <w:szCs w:val="24"/>
          <w:rtl/>
        </w:rPr>
        <w:t xml:space="preserve">, זאת </w:t>
      </w:r>
      <w:r w:rsidR="00C7794E" w:rsidRPr="00C7794E">
        <w:rPr>
          <w:rFonts w:cs="Calibri"/>
          <w:sz w:val="24"/>
          <w:szCs w:val="24"/>
          <w:rtl/>
        </w:rPr>
        <w:t>בדומה להשפעה החיובית שכבר נרשמה במגזר משקי הבית.</w:t>
      </w:r>
      <w:r w:rsidR="00761116">
        <w:rPr>
          <w:rFonts w:cs="Calibri" w:hint="cs"/>
          <w:sz w:val="24"/>
          <w:szCs w:val="24"/>
          <w:rtl/>
        </w:rPr>
        <w:t xml:space="preserve"> המאגר העסקי ותוצריו ישפיעו עד מהרה על המשק כולו.</w:t>
      </w:r>
      <w:r w:rsidR="00C7794E" w:rsidRPr="00C7794E">
        <w:rPr>
          <w:rFonts w:cs="Calibri"/>
          <w:sz w:val="24"/>
          <w:szCs w:val="24"/>
          <w:rtl/>
        </w:rPr>
        <w:t>"</w:t>
      </w:r>
    </w:p>
    <w:p w:rsidR="000A4223" w:rsidRPr="000A4223" w:rsidRDefault="00AE3859" w:rsidP="003521D2">
      <w:pPr>
        <w:bidi/>
        <w:spacing w:line="360" w:lineRule="auto"/>
        <w:jc w:val="both"/>
        <w:rPr>
          <w:rFonts w:cs="Calibri"/>
          <w:sz w:val="24"/>
          <w:szCs w:val="24"/>
          <w:rtl/>
        </w:rPr>
      </w:pPr>
      <w:r>
        <w:rPr>
          <w:rFonts w:cs="Calibri" w:hint="cs"/>
          <w:b/>
          <w:bCs/>
          <w:sz w:val="24"/>
          <w:szCs w:val="24"/>
          <w:rtl/>
        </w:rPr>
        <w:t xml:space="preserve">מנכ"ל בנק ישראל, מר יורם כהן: </w:t>
      </w:r>
      <w:r>
        <w:rPr>
          <w:rFonts w:cs="Calibri" w:hint="cs"/>
          <w:sz w:val="24"/>
          <w:szCs w:val="24"/>
          <w:rtl/>
        </w:rPr>
        <w:t xml:space="preserve">"השלמת החקיקה היא אבן דרך חשובה בהרחבת תשתיות המידע הפיננסי בישראל. הניסיון שנצבר ממערכת נתוני האשראי הוכיח שצמצום פערי מידע מאפשר קבלת </w:t>
      </w:r>
      <w:r>
        <w:rPr>
          <w:rFonts w:cs="Calibri" w:hint="cs"/>
          <w:sz w:val="24"/>
          <w:szCs w:val="24"/>
          <w:rtl/>
        </w:rPr>
        <w:lastRenderedPageBreak/>
        <w:t>החלטות אשראי מושכלות יותר ושתומכות בהתפתחות שוק פיננסי חדשני ומגוון. המאגר החדש יסייע בשיפור הערכת הסיכון של עסקים קטנים ובינוניים ויתרום לפיתוח מקורות מימון נוספים עבורם, לטובת צמיחת המשק כולו".</w:t>
      </w:r>
    </w:p>
    <w:p w:rsidR="000A4223" w:rsidRPr="00053362" w:rsidRDefault="00AE3859" w:rsidP="000A4223">
      <w:p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cs="Calibri" w:hint="cs"/>
          <w:b/>
          <w:bCs/>
          <w:sz w:val="24"/>
          <w:szCs w:val="24"/>
          <w:rtl/>
        </w:rPr>
        <w:t>הממונה על שיתוף בנתוני אשראי</w:t>
      </w:r>
      <w:r w:rsidRPr="00EA3719">
        <w:rPr>
          <w:rFonts w:cs="Calibri"/>
          <w:b/>
          <w:bCs/>
          <w:sz w:val="24"/>
          <w:szCs w:val="24"/>
          <w:rtl/>
        </w:rPr>
        <w:t xml:space="preserve">, </w:t>
      </w:r>
      <w:r>
        <w:rPr>
          <w:rFonts w:cstheme="minorHAnsi" w:hint="cs"/>
          <w:b/>
          <w:bCs/>
          <w:sz w:val="24"/>
          <w:szCs w:val="24"/>
          <w:rtl/>
        </w:rPr>
        <w:t>רו"ח אייל חדד</w:t>
      </w:r>
      <w:r w:rsidRPr="00EA3719">
        <w:rPr>
          <w:rFonts w:cstheme="minorHAnsi"/>
          <w:b/>
          <w:bCs/>
          <w:sz w:val="24"/>
          <w:szCs w:val="24"/>
        </w:rPr>
        <w:t>:</w:t>
      </w:r>
      <w:r w:rsidRPr="007054AF">
        <w:rPr>
          <w:rFonts w:cs="Calibri"/>
          <w:sz w:val="24"/>
          <w:szCs w:val="24"/>
          <w:rtl/>
        </w:rPr>
        <w:t xml:space="preserve"> </w:t>
      </w:r>
      <w:r>
        <w:rPr>
          <w:rFonts w:cs="Calibri" w:hint="cs"/>
          <w:sz w:val="24"/>
          <w:szCs w:val="24"/>
          <w:rtl/>
        </w:rPr>
        <w:t xml:space="preserve"> </w:t>
      </w:r>
      <w:r w:rsidRPr="00C7794E">
        <w:rPr>
          <w:rFonts w:cs="Calibri"/>
          <w:sz w:val="24"/>
          <w:szCs w:val="24"/>
          <w:rtl/>
        </w:rPr>
        <w:t>"</w:t>
      </w:r>
      <w:r w:rsidRPr="003746B5">
        <w:rPr>
          <w:rFonts w:cs="Calibri"/>
          <w:sz w:val="24"/>
          <w:szCs w:val="24"/>
          <w:rtl/>
        </w:rPr>
        <w:t xml:space="preserve">השלמת החקיקה מסמנת מעבר משלב התכנון לשלב המימוש של תשתית לאומית חדשה לשיתוף מידע פיננסי במגזר העסקי. </w:t>
      </w:r>
      <w:r w:rsidRPr="00AA2323">
        <w:rPr>
          <w:rFonts w:cs="Calibri"/>
          <w:sz w:val="24"/>
          <w:szCs w:val="24"/>
          <w:rtl/>
        </w:rPr>
        <w:t>בהמשך להצלחת מערכת נתוני האשראי למשקי בית, אנו מקדמים כעת מהלך משלים למגזר העסקי. הרחבת שיתוף המידע תאפשר שוק אשראי מתקדם ושקוף יותר, תוך יצירת תנאים שיאפשרו לעסקים לצמוח ולהתפתח</w:t>
      </w:r>
      <w:r w:rsidRPr="003746B5">
        <w:rPr>
          <w:rFonts w:cs="Calibri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0A4223" w:rsidRPr="000A4223" w:rsidRDefault="000A4223" w:rsidP="000A4223">
      <w:pPr>
        <w:bidi/>
        <w:spacing w:line="360" w:lineRule="auto"/>
        <w:jc w:val="both"/>
        <w:rPr>
          <w:rFonts w:cstheme="minorHAnsi"/>
          <w:b/>
          <w:bCs/>
          <w:sz w:val="24"/>
          <w:szCs w:val="24"/>
          <w:rtl/>
        </w:rPr>
      </w:pPr>
    </w:p>
    <w:p w:rsidR="007054AF" w:rsidRPr="00B131D4" w:rsidRDefault="007054AF" w:rsidP="007054AF">
      <w:pPr>
        <w:bidi/>
        <w:spacing w:line="360" w:lineRule="auto"/>
        <w:rPr>
          <w:rFonts w:ascii="David" w:hAnsi="David" w:cs="David"/>
          <w:sz w:val="24"/>
          <w:szCs w:val="24"/>
        </w:rPr>
      </w:pPr>
    </w:p>
    <w:p w:rsidR="00E93877" w:rsidRPr="00B131D4" w:rsidRDefault="00E93877" w:rsidP="00E93877">
      <w:p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</w:p>
    <w:p w:rsidR="00B131D4" w:rsidRPr="00E93877" w:rsidRDefault="00B131D4" w:rsidP="00E93877">
      <w:pPr>
        <w:bidi/>
        <w:spacing w:line="360" w:lineRule="auto"/>
        <w:jc w:val="center"/>
        <w:rPr>
          <w:rFonts w:cstheme="minorHAnsi"/>
          <w:sz w:val="24"/>
          <w:szCs w:val="24"/>
        </w:rPr>
      </w:pPr>
    </w:p>
    <w:sectPr w:rsidR="00B131D4" w:rsidRPr="00E938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22AB"/>
    <w:multiLevelType w:val="hybridMultilevel"/>
    <w:tmpl w:val="50A8AF64"/>
    <w:lvl w:ilvl="0" w:tplc="B972F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EAB66" w:tentative="1">
      <w:start w:val="1"/>
      <w:numFmt w:val="lowerLetter"/>
      <w:lvlText w:val="%2."/>
      <w:lvlJc w:val="left"/>
      <w:pPr>
        <w:ind w:left="1440" w:hanging="360"/>
      </w:pPr>
    </w:lvl>
    <w:lvl w:ilvl="2" w:tplc="FA203BEE" w:tentative="1">
      <w:start w:val="1"/>
      <w:numFmt w:val="lowerRoman"/>
      <w:lvlText w:val="%3."/>
      <w:lvlJc w:val="right"/>
      <w:pPr>
        <w:ind w:left="2160" w:hanging="180"/>
      </w:pPr>
    </w:lvl>
    <w:lvl w:ilvl="3" w:tplc="8752DA28" w:tentative="1">
      <w:start w:val="1"/>
      <w:numFmt w:val="decimal"/>
      <w:lvlText w:val="%4."/>
      <w:lvlJc w:val="left"/>
      <w:pPr>
        <w:ind w:left="2880" w:hanging="360"/>
      </w:pPr>
    </w:lvl>
    <w:lvl w:ilvl="4" w:tplc="ABC2C644" w:tentative="1">
      <w:start w:val="1"/>
      <w:numFmt w:val="lowerLetter"/>
      <w:lvlText w:val="%5."/>
      <w:lvlJc w:val="left"/>
      <w:pPr>
        <w:ind w:left="3600" w:hanging="360"/>
      </w:pPr>
    </w:lvl>
    <w:lvl w:ilvl="5" w:tplc="AB382172" w:tentative="1">
      <w:start w:val="1"/>
      <w:numFmt w:val="lowerRoman"/>
      <w:lvlText w:val="%6."/>
      <w:lvlJc w:val="right"/>
      <w:pPr>
        <w:ind w:left="4320" w:hanging="180"/>
      </w:pPr>
    </w:lvl>
    <w:lvl w:ilvl="6" w:tplc="68481108" w:tentative="1">
      <w:start w:val="1"/>
      <w:numFmt w:val="decimal"/>
      <w:lvlText w:val="%7."/>
      <w:lvlJc w:val="left"/>
      <w:pPr>
        <w:ind w:left="5040" w:hanging="360"/>
      </w:pPr>
    </w:lvl>
    <w:lvl w:ilvl="7" w:tplc="A5A4FD04" w:tentative="1">
      <w:start w:val="1"/>
      <w:numFmt w:val="lowerLetter"/>
      <w:lvlText w:val="%8."/>
      <w:lvlJc w:val="left"/>
      <w:pPr>
        <w:ind w:left="5760" w:hanging="360"/>
      </w:pPr>
    </w:lvl>
    <w:lvl w:ilvl="8" w:tplc="1AAA6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04D72"/>
    <w:multiLevelType w:val="hybridMultilevel"/>
    <w:tmpl w:val="BD421716"/>
    <w:lvl w:ilvl="0" w:tplc="4DE47266">
      <w:start w:val="1"/>
      <w:numFmt w:val="decimal"/>
      <w:lvlText w:val="%1."/>
      <w:lvlJc w:val="left"/>
      <w:pPr>
        <w:ind w:left="720" w:hanging="360"/>
      </w:pPr>
    </w:lvl>
    <w:lvl w:ilvl="1" w:tplc="32AECAE2" w:tentative="1">
      <w:start w:val="1"/>
      <w:numFmt w:val="lowerLetter"/>
      <w:lvlText w:val="%2."/>
      <w:lvlJc w:val="left"/>
      <w:pPr>
        <w:ind w:left="1440" w:hanging="360"/>
      </w:pPr>
    </w:lvl>
    <w:lvl w:ilvl="2" w:tplc="BD3C3004" w:tentative="1">
      <w:start w:val="1"/>
      <w:numFmt w:val="lowerRoman"/>
      <w:lvlText w:val="%3."/>
      <w:lvlJc w:val="right"/>
      <w:pPr>
        <w:ind w:left="2160" w:hanging="180"/>
      </w:pPr>
    </w:lvl>
    <w:lvl w:ilvl="3" w:tplc="5BD685D4" w:tentative="1">
      <w:start w:val="1"/>
      <w:numFmt w:val="decimal"/>
      <w:lvlText w:val="%4."/>
      <w:lvlJc w:val="left"/>
      <w:pPr>
        <w:ind w:left="2880" w:hanging="360"/>
      </w:pPr>
    </w:lvl>
    <w:lvl w:ilvl="4" w:tplc="78721B80" w:tentative="1">
      <w:start w:val="1"/>
      <w:numFmt w:val="lowerLetter"/>
      <w:lvlText w:val="%5."/>
      <w:lvlJc w:val="left"/>
      <w:pPr>
        <w:ind w:left="3600" w:hanging="360"/>
      </w:pPr>
    </w:lvl>
    <w:lvl w:ilvl="5" w:tplc="7B06F374" w:tentative="1">
      <w:start w:val="1"/>
      <w:numFmt w:val="lowerRoman"/>
      <w:lvlText w:val="%6."/>
      <w:lvlJc w:val="right"/>
      <w:pPr>
        <w:ind w:left="4320" w:hanging="180"/>
      </w:pPr>
    </w:lvl>
    <w:lvl w:ilvl="6" w:tplc="41D05152" w:tentative="1">
      <w:start w:val="1"/>
      <w:numFmt w:val="decimal"/>
      <w:lvlText w:val="%7."/>
      <w:lvlJc w:val="left"/>
      <w:pPr>
        <w:ind w:left="5040" w:hanging="360"/>
      </w:pPr>
    </w:lvl>
    <w:lvl w:ilvl="7" w:tplc="4C70E25C" w:tentative="1">
      <w:start w:val="1"/>
      <w:numFmt w:val="lowerLetter"/>
      <w:lvlText w:val="%8."/>
      <w:lvlJc w:val="left"/>
      <w:pPr>
        <w:ind w:left="5760" w:hanging="360"/>
      </w:pPr>
    </w:lvl>
    <w:lvl w:ilvl="8" w:tplc="75F829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D4"/>
    <w:rsid w:val="00053362"/>
    <w:rsid w:val="000A3EE7"/>
    <w:rsid w:val="000A4223"/>
    <w:rsid w:val="000E02E7"/>
    <w:rsid w:val="00115F55"/>
    <w:rsid w:val="0018525D"/>
    <w:rsid w:val="0028593A"/>
    <w:rsid w:val="002B0F3D"/>
    <w:rsid w:val="003521D2"/>
    <w:rsid w:val="00363B24"/>
    <w:rsid w:val="003746B5"/>
    <w:rsid w:val="00513704"/>
    <w:rsid w:val="005C7B33"/>
    <w:rsid w:val="007054AF"/>
    <w:rsid w:val="00761116"/>
    <w:rsid w:val="00823275"/>
    <w:rsid w:val="008E75F3"/>
    <w:rsid w:val="009912DE"/>
    <w:rsid w:val="009C27F9"/>
    <w:rsid w:val="009D7F64"/>
    <w:rsid w:val="00AA2323"/>
    <w:rsid w:val="00AB0324"/>
    <w:rsid w:val="00AE3859"/>
    <w:rsid w:val="00B0772A"/>
    <w:rsid w:val="00B131D4"/>
    <w:rsid w:val="00C7794E"/>
    <w:rsid w:val="00D50A8C"/>
    <w:rsid w:val="00E93877"/>
    <w:rsid w:val="00EA3719"/>
    <w:rsid w:val="00F43CB5"/>
    <w:rsid w:val="00F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03F0"/>
  <w15:chartTrackingRefBased/>
  <w15:docId w15:val="{4FE9FAFB-E19E-427E-89E4-06CDD861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BOI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יוסי סעדון</dc:creator>
  <cp:lastModifiedBy>ליאת אינדיג</cp:lastModifiedBy>
  <cp:revision>3</cp:revision>
  <cp:lastPrinted>2024-07-22T07:57:00Z</cp:lastPrinted>
  <dcterms:created xsi:type="dcterms:W3CDTF">2026-07-16T10:38:00Z</dcterms:created>
  <dcterms:modified xsi:type="dcterms:W3CDTF">2026-07-16T16:43:00Z</dcterms:modified>
</cp:coreProperties>
</file>