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183AFD" w:rsidTr="00834D85">
        <w:trPr>
          <w:tblHeader/>
          <w:jc w:val="center"/>
        </w:trPr>
        <w:tc>
          <w:tcPr>
            <w:tcW w:w="2840" w:type="dxa"/>
            <w:tcBorders>
              <w:top w:val="nil"/>
              <w:left w:val="nil"/>
              <w:bottom w:val="nil"/>
              <w:right w:val="nil"/>
            </w:tcBorders>
            <w:vAlign w:val="center"/>
          </w:tcPr>
          <w:p w:rsidR="00BC7619" w:rsidRPr="00A14F8A" w:rsidRDefault="00DA62EE" w:rsidP="00834D85">
            <w:pPr>
              <w:jc w:val="center"/>
              <w:rPr>
                <w:rFonts w:ascii="Calibri" w:hAnsi="Calibri" w:cs="Calibri"/>
                <w:b/>
                <w:bCs/>
              </w:rPr>
            </w:pPr>
            <w:r w:rsidRPr="00A14F8A">
              <w:rPr>
                <w:rFonts w:ascii="Calibri" w:hAnsi="Calibri" w:cs="Calibri"/>
                <w:b/>
                <w:bCs/>
                <w:rtl/>
              </w:rPr>
              <w:t>בנק ישראל</w:t>
            </w:r>
          </w:p>
          <w:p w:rsidR="00BC7619" w:rsidRPr="00A14F8A" w:rsidRDefault="00DA62EE" w:rsidP="00834D85">
            <w:pPr>
              <w:ind w:right="-101"/>
              <w:jc w:val="center"/>
              <w:rPr>
                <w:rFonts w:ascii="Calibri" w:hAnsi="Calibri" w:cs="Calibri"/>
              </w:rPr>
            </w:pPr>
            <w:r w:rsidRPr="00A14F8A">
              <w:rPr>
                <w:rFonts w:ascii="Calibri" w:hAnsi="Calibri" w:cs="Calibri"/>
                <w:rtl/>
              </w:rPr>
              <w:t>דוברות והסברה כלכלית</w:t>
            </w:r>
          </w:p>
        </w:tc>
        <w:tc>
          <w:tcPr>
            <w:tcW w:w="2596" w:type="dxa"/>
            <w:tcBorders>
              <w:top w:val="nil"/>
              <w:left w:val="nil"/>
              <w:bottom w:val="nil"/>
              <w:right w:val="nil"/>
            </w:tcBorders>
          </w:tcPr>
          <w:p w:rsidR="00BC7619" w:rsidRPr="00A14F8A" w:rsidRDefault="00DA62EE" w:rsidP="00834D85">
            <w:pPr>
              <w:jc w:val="center"/>
              <w:rPr>
                <w:rFonts w:ascii="Calibri" w:hAnsi="Calibri" w:cs="Calibri"/>
              </w:rPr>
            </w:pPr>
            <w:r w:rsidRPr="00A14F8A">
              <w:rPr>
                <w:rFonts w:ascii="Calibri" w:hAnsi="Calibri" w:cs="Calibri"/>
                <w:noProof/>
              </w:rPr>
              <w:drawing>
                <wp:inline distT="0" distB="0" distL="0" distR="0">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BC7619" w:rsidRPr="00A14F8A" w:rsidRDefault="00DA62EE" w:rsidP="007D25E0">
            <w:pPr>
              <w:spacing w:line="480" w:lineRule="auto"/>
              <w:jc w:val="right"/>
              <w:rPr>
                <w:rFonts w:ascii="Calibri" w:hAnsi="Calibri" w:cs="Calibri"/>
              </w:rPr>
            </w:pPr>
            <w:r w:rsidRPr="00A14F8A">
              <w:rPr>
                <w:rFonts w:ascii="Calibri" w:hAnsi="Calibri" w:cs="Calibri"/>
                <w:rtl/>
              </w:rPr>
              <w:t xml:space="preserve">‏ירושלים, </w:t>
            </w:r>
            <w:r w:rsidR="007D25E0" w:rsidRPr="00A14F8A">
              <w:rPr>
                <w:rFonts w:ascii="Calibri" w:hAnsi="Calibri" w:cs="Calibri"/>
                <w:rtl/>
              </w:rPr>
              <w:t>י"ח כסלו</w:t>
            </w:r>
            <w:r w:rsidR="003304E0" w:rsidRPr="00A14F8A">
              <w:rPr>
                <w:rFonts w:ascii="Calibri" w:hAnsi="Calibri" w:cs="Calibri"/>
                <w:rtl/>
              </w:rPr>
              <w:t>, תשפ"</w:t>
            </w:r>
            <w:r w:rsidR="007D25E0" w:rsidRPr="00A14F8A">
              <w:rPr>
                <w:rFonts w:ascii="Calibri" w:hAnsi="Calibri" w:cs="Calibri"/>
                <w:rtl/>
              </w:rPr>
              <w:t>ו</w:t>
            </w:r>
          </w:p>
          <w:p w:rsidR="00BC7619" w:rsidRPr="00A14F8A" w:rsidRDefault="00DA62EE" w:rsidP="007D25E0">
            <w:pPr>
              <w:spacing w:line="480" w:lineRule="auto"/>
              <w:jc w:val="right"/>
              <w:rPr>
                <w:rFonts w:ascii="Calibri" w:hAnsi="Calibri" w:cs="Calibri"/>
              </w:rPr>
            </w:pPr>
            <w:r w:rsidRPr="00A14F8A">
              <w:rPr>
                <w:rFonts w:ascii="Calibri" w:hAnsi="Calibri" w:cs="Calibri"/>
                <w:rtl/>
              </w:rPr>
              <w:t>‏‏</w:t>
            </w:r>
            <w:r w:rsidR="00CC7DA0" w:rsidRPr="00A14F8A">
              <w:rPr>
                <w:rFonts w:ascii="Calibri" w:hAnsi="Calibri" w:cs="Calibri"/>
                <w:rtl/>
              </w:rPr>
              <w:t>‏</w:t>
            </w:r>
            <w:r w:rsidR="00D265FC" w:rsidRPr="00A14F8A">
              <w:rPr>
                <w:rFonts w:ascii="Calibri" w:hAnsi="Calibri" w:cs="Calibri"/>
                <w:rtl/>
              </w:rPr>
              <w:t>‏</w:t>
            </w:r>
            <w:r w:rsidR="006C2DBF" w:rsidRPr="00A14F8A">
              <w:rPr>
                <w:rFonts w:ascii="Calibri" w:hAnsi="Calibri" w:cs="Calibri"/>
                <w:rtl/>
              </w:rPr>
              <w:t>‏</w:t>
            </w:r>
            <w:r w:rsidR="007D25E0" w:rsidRPr="00A14F8A">
              <w:rPr>
                <w:rFonts w:ascii="Calibri" w:hAnsi="Calibri" w:cs="Calibri"/>
                <w:rtl/>
              </w:rPr>
              <w:t>8 בדצמבר</w:t>
            </w:r>
            <w:r w:rsidR="003304E0" w:rsidRPr="00A14F8A">
              <w:rPr>
                <w:rFonts w:ascii="Calibri" w:hAnsi="Calibri" w:cs="Calibri"/>
                <w:rtl/>
              </w:rPr>
              <w:t>, 202</w:t>
            </w:r>
            <w:r w:rsidR="007D25E0" w:rsidRPr="00A14F8A">
              <w:rPr>
                <w:rFonts w:ascii="Calibri" w:hAnsi="Calibri" w:cs="Calibri"/>
                <w:rtl/>
              </w:rPr>
              <w:t>5</w:t>
            </w:r>
          </w:p>
        </w:tc>
      </w:tr>
    </w:tbl>
    <w:p w:rsidR="003F5D40" w:rsidRPr="00A14F8A" w:rsidRDefault="003F5D40" w:rsidP="003F5D40">
      <w:pPr>
        <w:rPr>
          <w:rFonts w:ascii="Calibri" w:hAnsi="Calibri" w:cs="Calibri"/>
          <w:b/>
          <w:bCs/>
          <w:rtl/>
        </w:rPr>
      </w:pPr>
    </w:p>
    <w:p w:rsidR="00602220" w:rsidRPr="00A14F8A" w:rsidRDefault="00DA62EE" w:rsidP="00341FA5">
      <w:pPr>
        <w:spacing w:after="120"/>
        <w:rPr>
          <w:rFonts w:ascii="Calibri" w:hAnsi="Calibri" w:cs="Calibri"/>
          <w:rtl/>
        </w:rPr>
      </w:pPr>
      <w:r w:rsidRPr="00A14F8A">
        <w:rPr>
          <w:rFonts w:ascii="Calibri" w:hAnsi="Calibri" w:cs="Calibri"/>
          <w:rtl/>
          <w:lang w:bidi="ar-SA"/>
        </w:rPr>
        <w:t>بيان</w:t>
      </w:r>
      <w:r w:rsidR="00341FA5" w:rsidRPr="00A14F8A">
        <w:rPr>
          <w:rFonts w:ascii="Calibri" w:hAnsi="Calibri" w:cs="Calibri"/>
          <w:rtl/>
          <w:lang w:bidi="ar-SA"/>
        </w:rPr>
        <w:t xml:space="preserve"> </w:t>
      </w:r>
      <w:r w:rsidRPr="00A14F8A">
        <w:rPr>
          <w:rFonts w:ascii="Calibri" w:hAnsi="Calibri" w:cs="Calibri"/>
          <w:rtl/>
          <w:lang w:bidi="ar-SA"/>
        </w:rPr>
        <w:t>صحفي:</w:t>
      </w:r>
    </w:p>
    <w:p w:rsidR="00602220" w:rsidRPr="00A14F8A" w:rsidRDefault="00DA62EE" w:rsidP="009117F6">
      <w:pPr>
        <w:spacing w:after="120"/>
        <w:jc w:val="center"/>
        <w:rPr>
          <w:rStyle w:val="Strong"/>
          <w:rFonts w:ascii="Calibri" w:hAnsi="Calibri" w:cs="Calibri"/>
          <w:sz w:val="28"/>
          <w:szCs w:val="28"/>
          <w:rtl/>
        </w:rPr>
      </w:pPr>
      <w:r w:rsidRPr="00A14F8A">
        <w:rPr>
          <w:rStyle w:val="Strong"/>
          <w:rFonts w:ascii="Calibri" w:hAnsi="Calibri" w:cs="Calibri"/>
          <w:sz w:val="28"/>
          <w:szCs w:val="28"/>
          <w:rtl/>
          <w:lang w:bidi="ar-SA"/>
        </w:rPr>
        <w:t>مؤتمر</w:t>
      </w:r>
      <w:r w:rsidRPr="00A14F8A">
        <w:rPr>
          <w:rStyle w:val="Strong"/>
          <w:rFonts w:ascii="Calibri" w:hAnsi="Calibri" w:cs="Calibri"/>
          <w:sz w:val="28"/>
          <w:szCs w:val="28"/>
          <w:rtl/>
        </w:rPr>
        <w:t xml:space="preserve"> </w:t>
      </w:r>
      <w:r w:rsidR="00341FA5" w:rsidRPr="00A14F8A">
        <w:rPr>
          <w:rStyle w:val="Strong"/>
          <w:rFonts w:ascii="Calibri" w:hAnsi="Calibri" w:cs="Calibri"/>
          <w:sz w:val="28"/>
          <w:szCs w:val="28"/>
          <w:rtl/>
          <w:lang w:bidi="ar-SA"/>
        </w:rPr>
        <w:t>شعبة</w:t>
      </w:r>
      <w:r w:rsidRPr="00A14F8A">
        <w:rPr>
          <w:rStyle w:val="Strong"/>
          <w:rFonts w:ascii="Calibri" w:hAnsi="Calibri" w:cs="Calibri"/>
          <w:sz w:val="28"/>
          <w:szCs w:val="28"/>
          <w:rtl/>
        </w:rPr>
        <w:t xml:space="preserve"> </w:t>
      </w:r>
      <w:r w:rsidRPr="00A14F8A">
        <w:rPr>
          <w:rStyle w:val="Strong"/>
          <w:rFonts w:ascii="Calibri" w:hAnsi="Calibri" w:cs="Calibri"/>
          <w:sz w:val="28"/>
          <w:szCs w:val="28"/>
          <w:rtl/>
          <w:lang w:bidi="ar-SA"/>
        </w:rPr>
        <w:t>الأبحاث</w:t>
      </w:r>
      <w:r w:rsidRPr="00A14F8A">
        <w:rPr>
          <w:rStyle w:val="Strong"/>
          <w:rFonts w:ascii="Calibri" w:hAnsi="Calibri" w:cs="Calibri"/>
          <w:sz w:val="28"/>
          <w:szCs w:val="28"/>
          <w:rtl/>
        </w:rPr>
        <w:t xml:space="preserve"> </w:t>
      </w:r>
      <w:r w:rsidRPr="00A14F8A">
        <w:rPr>
          <w:rStyle w:val="Strong"/>
          <w:rFonts w:ascii="Calibri" w:hAnsi="Calibri" w:cs="Calibri"/>
          <w:sz w:val="28"/>
          <w:szCs w:val="28"/>
          <w:rtl/>
          <w:lang w:bidi="ar-SA"/>
        </w:rPr>
        <w:t>حول</w:t>
      </w:r>
      <w:r w:rsidRPr="00A14F8A">
        <w:rPr>
          <w:rStyle w:val="Strong"/>
          <w:rFonts w:ascii="Calibri" w:hAnsi="Calibri" w:cs="Calibri"/>
          <w:sz w:val="28"/>
          <w:szCs w:val="28"/>
          <w:rtl/>
        </w:rPr>
        <w:t xml:space="preserve"> </w:t>
      </w:r>
      <w:r w:rsidR="009117F6" w:rsidRPr="00A14F8A">
        <w:rPr>
          <w:rStyle w:val="Strong"/>
          <w:rFonts w:ascii="Calibri" w:hAnsi="Calibri" w:cs="Calibri"/>
          <w:sz w:val="28"/>
          <w:szCs w:val="28"/>
          <w:rtl/>
          <w:lang w:bidi="ar-SA"/>
        </w:rPr>
        <w:t>"</w:t>
      </w:r>
      <w:r w:rsidRPr="00A14F8A">
        <w:rPr>
          <w:rStyle w:val="Strong"/>
          <w:rFonts w:ascii="Calibri" w:hAnsi="Calibri" w:cs="Calibri"/>
          <w:sz w:val="28"/>
          <w:szCs w:val="28"/>
          <w:rtl/>
          <w:lang w:bidi="ar-SA"/>
        </w:rPr>
        <w:t>التقنيات</w:t>
      </w:r>
      <w:r w:rsidRPr="00A14F8A">
        <w:rPr>
          <w:rStyle w:val="Strong"/>
          <w:rFonts w:ascii="Calibri" w:hAnsi="Calibri" w:cs="Calibri"/>
          <w:sz w:val="28"/>
          <w:szCs w:val="28"/>
          <w:rtl/>
        </w:rPr>
        <w:t xml:space="preserve"> </w:t>
      </w:r>
      <w:r w:rsidRPr="00A14F8A">
        <w:rPr>
          <w:rStyle w:val="Strong"/>
          <w:rFonts w:ascii="Calibri" w:hAnsi="Calibri" w:cs="Calibri"/>
          <w:sz w:val="28"/>
          <w:szCs w:val="28"/>
          <w:rtl/>
          <w:lang w:bidi="ar-SA"/>
        </w:rPr>
        <w:t>الجديدة</w:t>
      </w:r>
      <w:r w:rsidRPr="00A14F8A">
        <w:rPr>
          <w:rStyle w:val="Strong"/>
          <w:rFonts w:ascii="Calibri" w:hAnsi="Calibri" w:cs="Calibri"/>
          <w:sz w:val="28"/>
          <w:szCs w:val="28"/>
          <w:rtl/>
        </w:rPr>
        <w:t xml:space="preserve"> </w:t>
      </w:r>
      <w:r w:rsidRPr="00A14F8A">
        <w:rPr>
          <w:rStyle w:val="Strong"/>
          <w:rFonts w:ascii="Calibri" w:hAnsi="Calibri" w:cs="Calibri"/>
          <w:sz w:val="28"/>
          <w:szCs w:val="28"/>
          <w:rtl/>
          <w:lang w:bidi="ar-SA"/>
        </w:rPr>
        <w:t>والاقتصاد</w:t>
      </w:r>
      <w:r w:rsidRPr="00A14F8A">
        <w:rPr>
          <w:rStyle w:val="Strong"/>
          <w:rFonts w:ascii="Calibri" w:hAnsi="Calibri" w:cs="Calibri"/>
          <w:sz w:val="28"/>
          <w:szCs w:val="28"/>
          <w:rtl/>
        </w:rPr>
        <w:t xml:space="preserve">: </w:t>
      </w:r>
      <w:r w:rsidR="00341FA5" w:rsidRPr="00A14F8A">
        <w:rPr>
          <w:rStyle w:val="Strong"/>
          <w:rFonts w:ascii="Calibri" w:hAnsi="Calibri" w:cs="Calibri"/>
          <w:sz w:val="28"/>
          <w:szCs w:val="28"/>
          <w:rtl/>
          <w:lang w:bidi="ar-SA"/>
        </w:rPr>
        <w:t>الفوائد</w:t>
      </w:r>
      <w:r w:rsidRPr="00A14F8A">
        <w:rPr>
          <w:rStyle w:val="Strong"/>
          <w:rFonts w:ascii="Calibri" w:hAnsi="Calibri" w:cs="Calibri"/>
          <w:sz w:val="28"/>
          <w:szCs w:val="28"/>
          <w:rtl/>
        </w:rPr>
        <w:t xml:space="preserve"> </w:t>
      </w:r>
      <w:r w:rsidRPr="00A14F8A">
        <w:rPr>
          <w:rStyle w:val="Strong"/>
          <w:rFonts w:ascii="Calibri" w:hAnsi="Calibri" w:cs="Calibri"/>
          <w:sz w:val="28"/>
          <w:szCs w:val="28"/>
          <w:rtl/>
          <w:lang w:bidi="ar-SA"/>
        </w:rPr>
        <w:t>والتحديات</w:t>
      </w:r>
      <w:r w:rsidR="009117F6" w:rsidRPr="00A14F8A">
        <w:rPr>
          <w:rStyle w:val="Strong"/>
          <w:rFonts w:ascii="Calibri" w:hAnsi="Calibri" w:cs="Calibri"/>
          <w:sz w:val="28"/>
          <w:szCs w:val="28"/>
          <w:rtl/>
          <w:lang w:bidi="ar-SA"/>
        </w:rPr>
        <w:t>"</w:t>
      </w:r>
    </w:p>
    <w:p w:rsidR="00602220" w:rsidRPr="00A14F8A" w:rsidRDefault="00DA62EE" w:rsidP="00602220">
      <w:pPr>
        <w:spacing w:after="120"/>
        <w:rPr>
          <w:rFonts w:ascii="Calibri" w:hAnsi="Calibri" w:cs="Calibri"/>
          <w:rtl/>
        </w:rPr>
      </w:pPr>
      <w:bookmarkStart w:id="0" w:name="_GoBack"/>
      <w:r w:rsidRPr="00A14F8A">
        <w:rPr>
          <w:rFonts w:ascii="Calibri" w:hAnsi="Calibri" w:cs="Calibri"/>
          <w:rtl/>
          <w:lang w:bidi="ar-SA"/>
        </w:rPr>
        <w:t xml:space="preserve">تناول مؤتمر </w:t>
      </w:r>
      <w:r w:rsidR="00341FA5" w:rsidRPr="00A14F8A">
        <w:rPr>
          <w:rFonts w:ascii="Calibri" w:hAnsi="Calibri" w:cs="Calibri"/>
          <w:rtl/>
          <w:lang w:bidi="ar-SA"/>
        </w:rPr>
        <w:t>شعبة</w:t>
      </w:r>
      <w:r w:rsidRPr="00A14F8A">
        <w:rPr>
          <w:rFonts w:ascii="Calibri" w:hAnsi="Calibri" w:cs="Calibri"/>
          <w:rtl/>
          <w:lang w:bidi="ar-SA"/>
        </w:rPr>
        <w:t xml:space="preserve"> الأبحاث حول </w:t>
      </w:r>
      <w:r w:rsidRPr="00A14F8A">
        <w:rPr>
          <w:rFonts w:ascii="Calibri" w:hAnsi="Calibri" w:cs="Calibri"/>
          <w:b/>
          <w:bCs/>
          <w:rtl/>
          <w:lang w:bidi="ar-SA"/>
        </w:rPr>
        <w:t>التقنيات الجديدة والاقتصاد</w:t>
      </w:r>
      <w:r w:rsidRPr="00A14F8A">
        <w:rPr>
          <w:rFonts w:ascii="Calibri" w:hAnsi="Calibri" w:cs="Calibri"/>
          <w:rtl/>
          <w:lang w:bidi="ar-SA"/>
        </w:rPr>
        <w:t xml:space="preserve"> الذي عُقد اليوم، جوانب مختلفة من العلاقة بين التقنيات المتقدمة والاقتصاد. قُدّمت </w:t>
      </w:r>
      <w:r w:rsidR="00341FA5" w:rsidRPr="00A14F8A">
        <w:rPr>
          <w:rFonts w:ascii="Calibri" w:hAnsi="Calibri" w:cs="Calibri"/>
          <w:rtl/>
          <w:lang w:bidi="ar-SA"/>
        </w:rPr>
        <w:t xml:space="preserve">خلال المؤتمر </w:t>
      </w:r>
      <w:r w:rsidRPr="00A14F8A">
        <w:rPr>
          <w:rFonts w:ascii="Calibri" w:hAnsi="Calibri" w:cs="Calibri"/>
          <w:rtl/>
          <w:lang w:bidi="ar-SA"/>
        </w:rPr>
        <w:t xml:space="preserve">أوراق بحثية تناولت من بين أمور أخرى، </w:t>
      </w:r>
      <w:r w:rsidR="00341FA5" w:rsidRPr="00A14F8A">
        <w:rPr>
          <w:rFonts w:ascii="Calibri" w:hAnsi="Calibri" w:cs="Calibri"/>
          <w:rtl/>
          <w:lang w:bidi="ar-SA"/>
        </w:rPr>
        <w:t>قطاع</w:t>
      </w:r>
      <w:r w:rsidRPr="00A14F8A">
        <w:rPr>
          <w:rFonts w:ascii="Calibri" w:hAnsi="Calibri" w:cs="Calibri"/>
          <w:rtl/>
          <w:lang w:bidi="ar-SA"/>
        </w:rPr>
        <w:t xml:space="preserve"> التكنولوجيا </w:t>
      </w:r>
      <w:r w:rsidR="00341FA5" w:rsidRPr="00A14F8A">
        <w:rPr>
          <w:rFonts w:ascii="Calibri" w:hAnsi="Calibri" w:cs="Calibri"/>
          <w:rtl/>
          <w:lang w:bidi="ar-SA"/>
        </w:rPr>
        <w:t>الفائقة</w:t>
      </w:r>
      <w:r w:rsidRPr="00A14F8A">
        <w:rPr>
          <w:rFonts w:ascii="Calibri" w:hAnsi="Calibri" w:cs="Calibri"/>
          <w:rtl/>
          <w:lang w:bidi="ar-SA"/>
        </w:rPr>
        <w:t xml:space="preserve">، وتأثير </w:t>
      </w:r>
      <w:r w:rsidR="00341FA5" w:rsidRPr="00A14F8A">
        <w:rPr>
          <w:rFonts w:ascii="Calibri" w:hAnsi="Calibri" w:cs="Calibri"/>
          <w:rtl/>
          <w:lang w:bidi="ar-SA"/>
        </w:rPr>
        <w:t>تطبيق</w:t>
      </w:r>
      <w:r w:rsidRPr="00A14F8A">
        <w:rPr>
          <w:rFonts w:ascii="Calibri" w:hAnsi="Calibri" w:cs="Calibri"/>
          <w:rtl/>
          <w:lang w:bidi="ar-SA"/>
        </w:rPr>
        <w:t xml:space="preserve"> التكنولوجيا في القطاعات الاقتصادية، والآثار المحتملة لتبني تقنيات الذكاء الاصطناعي عل</w:t>
      </w:r>
      <w:r w:rsidRPr="00A14F8A">
        <w:rPr>
          <w:rFonts w:ascii="Calibri" w:hAnsi="Calibri" w:cs="Calibri"/>
          <w:rtl/>
          <w:lang w:bidi="ar-SA"/>
        </w:rPr>
        <w:t>ى سوق العمل، وجوانب مختلفة تتعلق بتطوير العملات الرقمية.</w:t>
      </w:r>
    </w:p>
    <w:p w:rsidR="00341FA5" w:rsidRPr="00A14F8A" w:rsidRDefault="00DA62EE" w:rsidP="00BE121D">
      <w:pPr>
        <w:spacing w:after="120"/>
        <w:rPr>
          <w:rFonts w:ascii="Calibri" w:hAnsi="Calibri" w:cs="Calibri"/>
          <w:rtl/>
          <w:lang w:bidi="ar-SA"/>
        </w:rPr>
      </w:pPr>
      <w:r w:rsidRPr="00A14F8A">
        <w:rPr>
          <w:rFonts w:ascii="Calibri" w:hAnsi="Calibri" w:cs="Calibri"/>
          <w:rtl/>
          <w:lang w:bidi="ar-SA"/>
        </w:rPr>
        <w:t xml:space="preserve">قدّم المؤتمر عشر دراساتٍ أعدّها باحثون من شعبة الأبحاث في بنك إسرائيل، بعضها بالتعاون مع باحثين من مؤسسات أخرى، </w:t>
      </w:r>
      <w:r w:rsidR="00BE121D" w:rsidRPr="00A14F8A">
        <w:rPr>
          <w:rFonts w:ascii="Calibri" w:hAnsi="Calibri" w:cs="Calibri"/>
          <w:rtl/>
          <w:lang w:bidi="ar-SA"/>
        </w:rPr>
        <w:t>إضافة إلى</w:t>
      </w:r>
      <w:r w:rsidRPr="00A14F8A">
        <w:rPr>
          <w:rFonts w:ascii="Calibri" w:hAnsi="Calibri" w:cs="Calibri"/>
          <w:rtl/>
          <w:lang w:bidi="ar-SA"/>
        </w:rPr>
        <w:t xml:space="preserve"> محاضرة </w:t>
      </w:r>
      <w:r w:rsidR="00BE121D" w:rsidRPr="00A14F8A">
        <w:rPr>
          <w:rFonts w:ascii="Calibri" w:hAnsi="Calibri" w:cs="Calibri"/>
          <w:rtl/>
          <w:lang w:bidi="ar-SA"/>
        </w:rPr>
        <w:t>ألقاها</w:t>
      </w:r>
      <w:r w:rsidRPr="00A14F8A">
        <w:rPr>
          <w:rFonts w:ascii="Calibri" w:hAnsi="Calibri" w:cs="Calibri"/>
          <w:rtl/>
          <w:lang w:bidi="ar-SA"/>
        </w:rPr>
        <w:t xml:space="preserve"> </w:t>
      </w:r>
      <w:r w:rsidRPr="00A14F8A">
        <w:rPr>
          <w:rFonts w:ascii="Calibri" w:hAnsi="Calibri" w:cs="Calibri"/>
          <w:b/>
          <w:bCs/>
          <w:rtl/>
          <w:lang w:bidi="ar-SA"/>
        </w:rPr>
        <w:t>البروفيسور عيراد بن غال</w:t>
      </w:r>
      <w:r w:rsidRPr="00A14F8A">
        <w:rPr>
          <w:rFonts w:ascii="Calibri" w:hAnsi="Calibri" w:cs="Calibri"/>
          <w:rtl/>
          <w:lang w:bidi="ar-SA"/>
        </w:rPr>
        <w:t xml:space="preserve">، رئيس مختبر </w:t>
      </w:r>
      <w:r w:rsidRPr="00A14F8A">
        <w:rPr>
          <w:rFonts w:ascii="Calibri" w:hAnsi="Calibri" w:cs="Calibri"/>
        </w:rPr>
        <w:t>LAMBDA</w:t>
      </w:r>
      <w:r w:rsidRPr="00A14F8A">
        <w:rPr>
          <w:rFonts w:ascii="Calibri" w:hAnsi="Calibri" w:cs="Calibri"/>
          <w:rtl/>
        </w:rPr>
        <w:t xml:space="preserve"> </w:t>
      </w:r>
      <w:r w:rsidRPr="00A14F8A">
        <w:rPr>
          <w:rFonts w:ascii="Calibri" w:hAnsi="Calibri" w:cs="Calibri"/>
          <w:rtl/>
          <w:lang w:bidi="ar-SA"/>
        </w:rPr>
        <w:t xml:space="preserve">في جامعة تل أبيب. </w:t>
      </w:r>
    </w:p>
    <w:p w:rsidR="00602220" w:rsidRPr="00A14F8A" w:rsidRDefault="00DA62EE" w:rsidP="0027347B">
      <w:pPr>
        <w:spacing w:after="120"/>
        <w:rPr>
          <w:rFonts w:ascii="Calibri" w:hAnsi="Calibri" w:cs="Calibri"/>
          <w:rtl/>
        </w:rPr>
      </w:pPr>
      <w:r w:rsidRPr="00A14F8A">
        <w:rPr>
          <w:rFonts w:ascii="Calibri" w:hAnsi="Calibri" w:cs="Calibri"/>
          <w:rtl/>
          <w:lang w:bidi="ar-SA"/>
        </w:rPr>
        <w:t xml:space="preserve">تطرّق محافظ بنك إسرائيل </w:t>
      </w:r>
      <w:r w:rsidRPr="00A14F8A">
        <w:rPr>
          <w:rFonts w:ascii="Calibri" w:hAnsi="Calibri" w:cs="Calibri"/>
          <w:b/>
          <w:bCs/>
          <w:rtl/>
          <w:lang w:bidi="ar-SA"/>
        </w:rPr>
        <w:t>البروفيسور أمير يارون</w:t>
      </w:r>
      <w:r w:rsidR="00341FA5" w:rsidRPr="00A14F8A">
        <w:rPr>
          <w:rFonts w:ascii="Calibri" w:hAnsi="Calibri" w:cs="Calibri"/>
          <w:rtl/>
          <w:lang w:bidi="ar-SA"/>
        </w:rPr>
        <w:t xml:space="preserve"> في افتتاح المؤتمر</w:t>
      </w:r>
      <w:r w:rsidRPr="00A14F8A">
        <w:rPr>
          <w:rFonts w:ascii="Calibri" w:hAnsi="Calibri" w:cs="Calibri"/>
          <w:rtl/>
          <w:lang w:bidi="ar-SA"/>
        </w:rPr>
        <w:t xml:space="preserve">، إلى الآثار المحتملة للتغيرات التكنولوجية على </w:t>
      </w:r>
      <w:r w:rsidR="00341FA5" w:rsidRPr="00A14F8A">
        <w:rPr>
          <w:rFonts w:ascii="Calibri" w:hAnsi="Calibri" w:cs="Calibri"/>
          <w:rtl/>
          <w:lang w:bidi="ar-SA"/>
        </w:rPr>
        <w:t>النظام الاقتصادي</w:t>
      </w:r>
      <w:r w:rsidRPr="00A14F8A">
        <w:rPr>
          <w:rFonts w:ascii="Calibri" w:hAnsi="Calibri" w:cs="Calibri"/>
          <w:rtl/>
          <w:lang w:bidi="ar-SA"/>
        </w:rPr>
        <w:t xml:space="preserve">، وخاصةً </w:t>
      </w:r>
      <w:r w:rsidR="00341FA5" w:rsidRPr="00A14F8A">
        <w:rPr>
          <w:rFonts w:ascii="Calibri" w:hAnsi="Calibri" w:cs="Calibri"/>
          <w:rtl/>
          <w:lang w:bidi="ar-SA"/>
        </w:rPr>
        <w:t>تأثيرات</w:t>
      </w:r>
      <w:r w:rsidRPr="00A14F8A">
        <w:rPr>
          <w:rFonts w:ascii="Calibri" w:hAnsi="Calibri" w:cs="Calibri"/>
          <w:rtl/>
          <w:lang w:bidi="ar-SA"/>
        </w:rPr>
        <w:t xml:space="preserve"> ثورة الذكاء الاصطناعي على سوق العمل والقطاع المالي، والعلاقة بين المجالات الأساسية للذكاء الاصطناعي واستخداماته.</w:t>
      </w:r>
    </w:p>
    <w:p w:rsidR="00602220" w:rsidRPr="00A14F8A" w:rsidRDefault="00DA62EE" w:rsidP="0027347B">
      <w:pPr>
        <w:spacing w:after="120"/>
        <w:rPr>
          <w:rFonts w:ascii="Calibri" w:hAnsi="Calibri" w:cs="Calibri"/>
          <w:rtl/>
        </w:rPr>
      </w:pPr>
      <w:r w:rsidRPr="00A14F8A">
        <w:rPr>
          <w:rFonts w:ascii="Calibri" w:hAnsi="Calibri" w:cs="Calibri"/>
          <w:rtl/>
          <w:lang w:bidi="ar-SA"/>
        </w:rPr>
        <w:t xml:space="preserve">في محاضرته، استعرض </w:t>
      </w:r>
      <w:r w:rsidRPr="00A14F8A">
        <w:rPr>
          <w:rFonts w:ascii="Calibri" w:hAnsi="Calibri" w:cs="Calibri"/>
          <w:b/>
          <w:bCs/>
          <w:rtl/>
          <w:lang w:bidi="ar-SA"/>
        </w:rPr>
        <w:t xml:space="preserve">البروفيسور </w:t>
      </w:r>
      <w:r w:rsidR="00341FA5" w:rsidRPr="00A14F8A">
        <w:rPr>
          <w:rFonts w:ascii="Calibri" w:hAnsi="Calibri" w:cs="Calibri"/>
          <w:b/>
          <w:bCs/>
          <w:rtl/>
          <w:lang w:bidi="ar-SA"/>
        </w:rPr>
        <w:t>ع</w:t>
      </w:r>
      <w:r w:rsidRPr="00A14F8A">
        <w:rPr>
          <w:rFonts w:ascii="Calibri" w:hAnsi="Calibri" w:cs="Calibri"/>
          <w:b/>
          <w:bCs/>
          <w:rtl/>
          <w:lang w:bidi="ar-SA"/>
        </w:rPr>
        <w:t>يراد بن غال</w:t>
      </w:r>
      <w:r w:rsidRPr="00A14F8A">
        <w:rPr>
          <w:rFonts w:ascii="Calibri" w:hAnsi="Calibri" w:cs="Calibri"/>
          <w:rtl/>
          <w:lang w:bidi="ar-SA"/>
        </w:rPr>
        <w:t xml:space="preserve"> التطورات التكنولوجية في العقود الأخيرة، وخاصةً في السنوات الأخيرة، والتوجهات المستقبلية المحتملة لتطوير الذكاء الاصطناعي التوليدي</w:t>
      </w:r>
      <w:r w:rsidR="00341FA5" w:rsidRPr="00A14F8A">
        <w:rPr>
          <w:rFonts w:ascii="Calibri" w:hAnsi="Calibri" w:cs="Calibri"/>
          <w:rtl/>
          <w:lang w:bidi="ar-SA"/>
        </w:rPr>
        <w:t xml:space="preserve"> (</w:t>
      </w:r>
      <w:r w:rsidR="00341FA5" w:rsidRPr="00A14F8A">
        <w:rPr>
          <w:rFonts w:ascii="Calibri" w:hAnsi="Calibri" w:cs="Calibri"/>
        </w:rPr>
        <w:t>Generative AI</w:t>
      </w:r>
      <w:r w:rsidR="00341FA5" w:rsidRPr="00A14F8A">
        <w:rPr>
          <w:rFonts w:ascii="Calibri" w:hAnsi="Calibri" w:cs="Calibri"/>
          <w:rtl/>
          <w:lang w:bidi="ar-SA"/>
        </w:rPr>
        <w:t>)</w:t>
      </w:r>
      <w:r w:rsidRPr="00A14F8A">
        <w:rPr>
          <w:rFonts w:ascii="Calibri" w:hAnsi="Calibri" w:cs="Calibri"/>
          <w:rtl/>
          <w:lang w:bidi="ar-SA"/>
        </w:rPr>
        <w:t>. كما استعرض البروفيسور بن غال الآثار المحتملة على سوق العمل، وعلى ا</w:t>
      </w:r>
      <w:r w:rsidRPr="00A14F8A">
        <w:rPr>
          <w:rFonts w:ascii="Calibri" w:hAnsi="Calibri" w:cs="Calibri"/>
          <w:rtl/>
          <w:lang w:bidi="ar-SA"/>
        </w:rPr>
        <w:t>لعلاقة بين البشر والذكاء الاصطناعي، وعلى المجتمع.</w:t>
      </w:r>
    </w:p>
    <w:p w:rsidR="00602220" w:rsidRPr="00A14F8A" w:rsidRDefault="00DA62EE" w:rsidP="00602220">
      <w:pPr>
        <w:spacing w:before="120"/>
        <w:rPr>
          <w:rFonts w:ascii="Calibri" w:hAnsi="Calibri" w:cs="Calibri"/>
          <w:rtl/>
        </w:rPr>
      </w:pPr>
      <w:r w:rsidRPr="00A14F8A">
        <w:rPr>
          <w:rFonts w:ascii="Calibri" w:hAnsi="Calibri" w:cs="Calibri"/>
          <w:rtl/>
          <w:lang w:bidi="ar-SA"/>
        </w:rPr>
        <w:t>تناولت الأوراق البحثية المقدمة مواضيع متنوعة تتعلق بالعلاقة بين التكنولوجيا والاقتصاد:</w:t>
      </w:r>
    </w:p>
    <w:p w:rsidR="00602220" w:rsidRPr="00A14F8A" w:rsidRDefault="00DA62EE" w:rsidP="00BE121D">
      <w:pPr>
        <w:spacing w:before="120"/>
        <w:rPr>
          <w:rFonts w:ascii="Calibri" w:hAnsi="Calibri" w:cs="Calibri"/>
          <w:rtl/>
        </w:rPr>
      </w:pPr>
      <w:r w:rsidRPr="00A14F8A">
        <w:rPr>
          <w:rFonts w:ascii="Calibri" w:hAnsi="Calibri" w:cs="Calibri"/>
          <w:rtl/>
          <w:lang w:bidi="ar-SA"/>
        </w:rPr>
        <w:t xml:space="preserve">تناولت الجلسة الأولى قطاع التكنولوجيا </w:t>
      </w:r>
      <w:r w:rsidR="00341FA5" w:rsidRPr="00A14F8A">
        <w:rPr>
          <w:rFonts w:ascii="Calibri" w:hAnsi="Calibri" w:cs="Calibri"/>
          <w:rtl/>
          <w:lang w:bidi="ar-SA"/>
        </w:rPr>
        <w:t>الفائقة</w:t>
      </w:r>
      <w:r w:rsidRPr="00A14F8A">
        <w:rPr>
          <w:rFonts w:ascii="Calibri" w:hAnsi="Calibri" w:cs="Calibri"/>
          <w:rtl/>
          <w:lang w:bidi="ar-SA"/>
        </w:rPr>
        <w:t xml:space="preserve">. في إطار هذه الجلسة عُرضت دراسة أجراها </w:t>
      </w:r>
      <w:r w:rsidRPr="00A14F8A">
        <w:rPr>
          <w:rFonts w:ascii="Calibri" w:hAnsi="Calibri" w:cs="Calibri"/>
          <w:b/>
          <w:bCs/>
          <w:rtl/>
          <w:lang w:bidi="ar-SA"/>
        </w:rPr>
        <w:t>نداف إيشيل وسيغال ريبون</w:t>
      </w:r>
      <w:r w:rsidRPr="00A14F8A">
        <w:rPr>
          <w:rFonts w:ascii="Calibri" w:hAnsi="Calibri" w:cs="Calibri"/>
          <w:rtl/>
          <w:lang w:bidi="ar-SA"/>
        </w:rPr>
        <w:t xml:space="preserve"> من بنك إسر</w:t>
      </w:r>
      <w:r w:rsidRPr="00A14F8A">
        <w:rPr>
          <w:rFonts w:ascii="Calibri" w:hAnsi="Calibri" w:cs="Calibri"/>
          <w:rtl/>
          <w:lang w:bidi="ar-SA"/>
        </w:rPr>
        <w:t>ائيل بعنوان "</w:t>
      </w:r>
      <w:r w:rsidR="00341FA5" w:rsidRPr="00A14F8A">
        <w:rPr>
          <w:rFonts w:ascii="Calibri" w:hAnsi="Calibri" w:cs="Calibri"/>
          <w:b/>
          <w:bCs/>
        </w:rPr>
        <w:t>Who is Shocking the Start-up Nation</w:t>
      </w:r>
      <w:r w:rsidRPr="00A14F8A">
        <w:rPr>
          <w:rFonts w:ascii="Calibri" w:hAnsi="Calibri" w:cs="Calibri"/>
          <w:rtl/>
          <w:lang w:bidi="ar-SA"/>
        </w:rPr>
        <w:t xml:space="preserve">". </w:t>
      </w:r>
      <w:r w:rsidR="00BE121D" w:rsidRPr="00A14F8A">
        <w:rPr>
          <w:rFonts w:ascii="Calibri" w:hAnsi="Calibri" w:cs="Calibri"/>
          <w:rtl/>
          <w:lang w:bidi="ar-SA"/>
        </w:rPr>
        <w:t>أثبت</w:t>
      </w:r>
      <w:r w:rsidRPr="00A14F8A">
        <w:rPr>
          <w:rFonts w:ascii="Calibri" w:hAnsi="Calibri" w:cs="Calibri"/>
          <w:rtl/>
          <w:lang w:bidi="ar-SA"/>
        </w:rPr>
        <w:t xml:space="preserve"> </w:t>
      </w:r>
      <w:r w:rsidR="00BE121D" w:rsidRPr="00A14F8A">
        <w:rPr>
          <w:rFonts w:ascii="Calibri" w:hAnsi="Calibri" w:cs="Calibri"/>
          <w:rtl/>
          <w:lang w:bidi="ar-SA"/>
        </w:rPr>
        <w:t>الباحثان</w:t>
      </w:r>
      <w:r w:rsidRPr="00A14F8A">
        <w:rPr>
          <w:rFonts w:ascii="Calibri" w:hAnsi="Calibri" w:cs="Calibri"/>
          <w:rtl/>
          <w:lang w:bidi="ar-SA"/>
        </w:rPr>
        <w:t xml:space="preserve"> أن تدفقات التمويل من صناديق رأس المال الاستثماري إلى الشركات الناشئة في إسرائيل تتأثر بشكل </w:t>
      </w:r>
      <w:r w:rsidR="00BE121D" w:rsidRPr="00A14F8A">
        <w:rPr>
          <w:rFonts w:ascii="Calibri" w:hAnsi="Calibri" w:cs="Calibri"/>
          <w:rtl/>
          <w:lang w:bidi="ar-SA"/>
        </w:rPr>
        <w:t>أساسي</w:t>
      </w:r>
      <w:r w:rsidRPr="00A14F8A">
        <w:rPr>
          <w:rFonts w:ascii="Calibri" w:hAnsi="Calibri" w:cs="Calibri"/>
          <w:rtl/>
          <w:lang w:bidi="ar-SA"/>
        </w:rPr>
        <w:t xml:space="preserve"> بتغيرات أسعار الفائدة </w:t>
      </w:r>
      <w:r w:rsidR="00341FA5" w:rsidRPr="00A14F8A">
        <w:rPr>
          <w:rFonts w:ascii="Calibri" w:hAnsi="Calibri" w:cs="Calibri"/>
          <w:rtl/>
          <w:lang w:bidi="ar-SA"/>
        </w:rPr>
        <w:t>في الولايات المتحدة</w:t>
      </w:r>
      <w:r w:rsidRPr="00A14F8A">
        <w:rPr>
          <w:rFonts w:ascii="Calibri" w:hAnsi="Calibri" w:cs="Calibri"/>
          <w:rtl/>
          <w:lang w:bidi="ar-SA"/>
        </w:rPr>
        <w:t xml:space="preserve">، ولا تتأثر بشكل كبير بسعر الفائدة في إسرائيل. تدعم هذه النتائج </w:t>
      </w:r>
      <w:r w:rsidR="00341FA5" w:rsidRPr="00A14F8A">
        <w:rPr>
          <w:rFonts w:ascii="Calibri" w:hAnsi="Calibri" w:cs="Calibri"/>
          <w:rtl/>
          <w:lang w:bidi="ar-SA"/>
        </w:rPr>
        <w:t>التقدير</w:t>
      </w:r>
      <w:r w:rsidRPr="00A14F8A">
        <w:rPr>
          <w:rFonts w:ascii="Calibri" w:hAnsi="Calibri" w:cs="Calibri"/>
          <w:rtl/>
          <w:lang w:bidi="ar-SA"/>
        </w:rPr>
        <w:t xml:space="preserve"> بأن جزءًا من هذا التأثير يأتي من خلال تأثير أسعار الفائدة </w:t>
      </w:r>
      <w:r w:rsidR="00341FA5" w:rsidRPr="00A14F8A">
        <w:rPr>
          <w:rFonts w:ascii="Calibri" w:hAnsi="Calibri" w:cs="Calibri"/>
          <w:rtl/>
          <w:lang w:bidi="ar-SA"/>
        </w:rPr>
        <w:t>في الولايات المتحدة</w:t>
      </w:r>
      <w:r w:rsidRPr="00A14F8A">
        <w:rPr>
          <w:rFonts w:ascii="Calibri" w:hAnsi="Calibri" w:cs="Calibri"/>
          <w:rtl/>
          <w:lang w:bidi="ar-SA"/>
        </w:rPr>
        <w:t xml:space="preserve"> على الأسواق المالية الأمريكية.</w:t>
      </w:r>
    </w:p>
    <w:p w:rsidR="00602220" w:rsidRPr="00A14F8A" w:rsidRDefault="00DA62EE" w:rsidP="00BB378C">
      <w:pPr>
        <w:spacing w:before="120"/>
        <w:rPr>
          <w:rFonts w:ascii="Calibri" w:hAnsi="Calibri" w:cs="Calibri"/>
          <w:rtl/>
        </w:rPr>
      </w:pPr>
      <w:r w:rsidRPr="00A14F8A">
        <w:rPr>
          <w:rFonts w:ascii="Calibri" w:hAnsi="Calibri" w:cs="Calibri"/>
          <w:rtl/>
          <w:lang w:bidi="ar-SA"/>
        </w:rPr>
        <w:t xml:space="preserve">ركّزت دراسةٌ أجرتها </w:t>
      </w:r>
      <w:r w:rsidRPr="00A14F8A">
        <w:rPr>
          <w:rFonts w:ascii="Calibri" w:hAnsi="Calibri" w:cs="Calibri"/>
          <w:b/>
          <w:bCs/>
          <w:rtl/>
          <w:lang w:bidi="ar-SA"/>
        </w:rPr>
        <w:t>أوسنات زوهر ومايا هران-روزين</w:t>
      </w:r>
      <w:r w:rsidRPr="00A14F8A">
        <w:rPr>
          <w:rFonts w:ascii="Calibri" w:hAnsi="Calibri" w:cs="Calibri"/>
          <w:rtl/>
          <w:lang w:bidi="ar-SA"/>
        </w:rPr>
        <w:t xml:space="preserve"> من بنك إسرائيل، بالتعاون م</w:t>
      </w:r>
      <w:r w:rsidRPr="00A14F8A">
        <w:rPr>
          <w:rFonts w:ascii="Calibri" w:hAnsi="Calibri" w:cs="Calibri"/>
          <w:rtl/>
          <w:lang w:bidi="ar-SA"/>
        </w:rPr>
        <w:t xml:space="preserve">ع </w:t>
      </w:r>
      <w:r w:rsidR="00341FA5" w:rsidRPr="00A14F8A">
        <w:rPr>
          <w:rFonts w:ascii="Calibri" w:hAnsi="Calibri" w:cs="Calibri"/>
          <w:b/>
          <w:bCs/>
          <w:rtl/>
          <w:lang w:bidi="ar-SA"/>
        </w:rPr>
        <w:t>يوناتان</w:t>
      </w:r>
      <w:r w:rsidRPr="00A14F8A">
        <w:rPr>
          <w:rFonts w:ascii="Calibri" w:hAnsi="Calibri" w:cs="Calibri"/>
          <w:b/>
          <w:bCs/>
          <w:rtl/>
          <w:lang w:bidi="ar-SA"/>
        </w:rPr>
        <w:t xml:space="preserve"> زندبرغ</w:t>
      </w:r>
      <w:r w:rsidRPr="00A14F8A">
        <w:rPr>
          <w:rFonts w:ascii="Calibri" w:hAnsi="Calibri" w:cs="Calibri"/>
          <w:rtl/>
          <w:lang w:bidi="ar-SA"/>
        </w:rPr>
        <w:t xml:space="preserve"> من جامعة بنسلفانيا و</w:t>
      </w:r>
      <w:r w:rsidRPr="00A14F8A">
        <w:rPr>
          <w:rFonts w:ascii="Calibri" w:hAnsi="Calibri" w:cs="Calibri"/>
          <w:b/>
          <w:bCs/>
          <w:rtl/>
          <w:lang w:bidi="ar-SA"/>
        </w:rPr>
        <w:t xml:space="preserve">ألكسندر مونتج </w:t>
      </w:r>
      <w:r w:rsidRPr="00A14F8A">
        <w:rPr>
          <w:rFonts w:ascii="Calibri" w:hAnsi="Calibri" w:cs="Calibri"/>
          <w:rtl/>
          <w:lang w:bidi="ar-SA"/>
        </w:rPr>
        <w:t>من جامعة ورويك، بعنوان "</w:t>
      </w:r>
      <w:r w:rsidR="00E47009" w:rsidRPr="00A14F8A">
        <w:rPr>
          <w:rFonts w:ascii="Calibri" w:hAnsi="Calibri" w:cs="Calibri"/>
          <w:b/>
          <w:bCs/>
        </w:rPr>
        <w:t xml:space="preserve"> The Lifecycle of Venture Capital Funds</w:t>
      </w:r>
      <w:r w:rsidRPr="00A14F8A">
        <w:rPr>
          <w:rFonts w:ascii="Calibri" w:hAnsi="Calibri" w:cs="Calibri"/>
          <w:rtl/>
          <w:lang w:bidi="ar-SA"/>
        </w:rPr>
        <w:t xml:space="preserve">"، على تحليل دورة حياة </w:t>
      </w:r>
      <w:r w:rsidR="00BB378C" w:rsidRPr="00A14F8A">
        <w:rPr>
          <w:rFonts w:ascii="Calibri" w:hAnsi="Calibri" w:cs="Calibri"/>
          <w:rtl/>
          <w:lang w:val="en-GB" w:bidi="ar-SA"/>
        </w:rPr>
        <w:t>صناديق رأس المال</w:t>
      </w:r>
      <w:r w:rsidRPr="00A14F8A">
        <w:rPr>
          <w:rFonts w:ascii="Calibri" w:hAnsi="Calibri" w:cs="Calibri"/>
          <w:rtl/>
          <w:lang w:bidi="ar-SA"/>
        </w:rPr>
        <w:t xml:space="preserve">، وخلصت إلى أن الشركات الناشئة التي تتلقى تمويلًا من صناديق رأس </w:t>
      </w:r>
      <w:r w:rsidRPr="00A14F8A">
        <w:rPr>
          <w:rFonts w:ascii="Calibri" w:hAnsi="Calibri" w:cs="Calibri"/>
          <w:rtl/>
          <w:lang w:bidi="ar-SA"/>
        </w:rPr>
        <w:lastRenderedPageBreak/>
        <w:t>المال الاستثماري الناشئة (في مرحلة أقرب</w:t>
      </w:r>
      <w:r w:rsidRPr="00A14F8A">
        <w:rPr>
          <w:rFonts w:ascii="Calibri" w:hAnsi="Calibri" w:cs="Calibri"/>
          <w:rtl/>
          <w:lang w:bidi="ar-SA"/>
        </w:rPr>
        <w:t xml:space="preserve"> إلى تاريخ انطلاقها) </w:t>
      </w:r>
      <w:r w:rsidR="00E47009" w:rsidRPr="00A14F8A">
        <w:rPr>
          <w:rFonts w:ascii="Calibri" w:hAnsi="Calibri" w:cs="Calibri"/>
          <w:rtl/>
          <w:lang w:bidi="ar-SA"/>
        </w:rPr>
        <w:t xml:space="preserve">تحقق </w:t>
      </w:r>
      <w:r w:rsidR="00BB378C" w:rsidRPr="00A14F8A">
        <w:rPr>
          <w:rFonts w:ascii="Calibri" w:hAnsi="Calibri" w:cs="Calibri"/>
          <w:rtl/>
          <w:lang w:bidi="ar-SA"/>
        </w:rPr>
        <w:t>خروجاً ذو عائد أكبر</w:t>
      </w:r>
      <w:r w:rsidRPr="00A14F8A">
        <w:rPr>
          <w:rFonts w:ascii="Calibri" w:hAnsi="Calibri" w:cs="Calibri"/>
          <w:rtl/>
          <w:lang w:bidi="ar-SA"/>
        </w:rPr>
        <w:t xml:space="preserve"> مقارنةً بالشركات الممولة من صناديق </w:t>
      </w:r>
      <w:r w:rsidR="00BB378C" w:rsidRPr="00A14F8A">
        <w:rPr>
          <w:rFonts w:ascii="Calibri" w:hAnsi="Calibri" w:cs="Calibri"/>
          <w:rtl/>
          <w:lang w:bidi="ar-SA"/>
        </w:rPr>
        <w:t>أقدم</w:t>
      </w:r>
      <w:r w:rsidRPr="00A14F8A">
        <w:rPr>
          <w:rFonts w:ascii="Calibri" w:hAnsi="Calibri" w:cs="Calibri"/>
          <w:rtl/>
          <w:lang w:bidi="ar-SA"/>
        </w:rPr>
        <w:t xml:space="preserve">. ويعود ذلك إلى أن الصناديق الناشئة </w:t>
      </w:r>
      <w:r w:rsidR="00BB378C" w:rsidRPr="00A14F8A">
        <w:rPr>
          <w:rFonts w:ascii="Calibri" w:hAnsi="Calibri" w:cs="Calibri"/>
          <w:rtl/>
          <w:lang w:bidi="ar-SA"/>
        </w:rPr>
        <w:t>تقدم</w:t>
      </w:r>
      <w:r w:rsidRPr="00A14F8A">
        <w:rPr>
          <w:rFonts w:ascii="Calibri" w:hAnsi="Calibri" w:cs="Calibri"/>
          <w:rtl/>
          <w:lang w:bidi="ar-SA"/>
        </w:rPr>
        <w:t xml:space="preserve"> الدعم المالي والتوجيه</w:t>
      </w:r>
      <w:r w:rsidR="00BB378C" w:rsidRPr="00A14F8A">
        <w:rPr>
          <w:rFonts w:ascii="Calibri" w:hAnsi="Calibri" w:cs="Calibri"/>
          <w:rtl/>
          <w:lang w:bidi="ar-SA"/>
        </w:rPr>
        <w:t xml:space="preserve"> لفترة أطول</w:t>
      </w:r>
      <w:r w:rsidRPr="00A14F8A">
        <w:rPr>
          <w:rFonts w:ascii="Calibri" w:hAnsi="Calibri" w:cs="Calibri"/>
          <w:rtl/>
          <w:lang w:bidi="ar-SA"/>
        </w:rPr>
        <w:t>.</w:t>
      </w:r>
    </w:p>
    <w:p w:rsidR="00602220" w:rsidRPr="00A14F8A" w:rsidRDefault="00DA62EE" w:rsidP="00BE121D">
      <w:pPr>
        <w:spacing w:before="120"/>
        <w:rPr>
          <w:rFonts w:ascii="Calibri" w:hAnsi="Calibri" w:cs="Calibri"/>
          <w:rtl/>
          <w:lang w:bidi="ar-SA"/>
        </w:rPr>
      </w:pPr>
      <w:r w:rsidRPr="00A14F8A">
        <w:rPr>
          <w:rFonts w:ascii="Calibri" w:hAnsi="Calibri" w:cs="Calibri"/>
          <w:rtl/>
          <w:lang w:bidi="ar-SA"/>
        </w:rPr>
        <w:t xml:space="preserve">عُرضت دراستان إضافيتان في الجلسة نفسها. الأولى أجراها </w:t>
      </w:r>
      <w:r w:rsidR="00BB378C" w:rsidRPr="00A14F8A">
        <w:rPr>
          <w:rFonts w:ascii="Calibri" w:hAnsi="Calibri" w:cs="Calibri"/>
          <w:b/>
          <w:bCs/>
          <w:rtl/>
          <w:lang w:bidi="ar-SA"/>
        </w:rPr>
        <w:t>إلعاد</w:t>
      </w:r>
      <w:r w:rsidRPr="00A14F8A">
        <w:rPr>
          <w:rFonts w:ascii="Calibri" w:hAnsi="Calibri" w:cs="Calibri"/>
          <w:b/>
          <w:bCs/>
          <w:rtl/>
          <w:lang w:bidi="ar-SA"/>
        </w:rPr>
        <w:t xml:space="preserve"> دي مالاخ</w:t>
      </w:r>
      <w:r w:rsidRPr="00A14F8A">
        <w:rPr>
          <w:rFonts w:ascii="Calibri" w:hAnsi="Calibri" w:cs="Calibri"/>
          <w:rtl/>
          <w:lang w:bidi="ar-SA"/>
        </w:rPr>
        <w:t xml:space="preserve"> من بنك</w:t>
      </w:r>
      <w:r w:rsidR="00BB378C" w:rsidRPr="00A14F8A">
        <w:rPr>
          <w:rFonts w:ascii="Calibri" w:hAnsi="Calibri" w:cs="Calibri"/>
          <w:rtl/>
          <w:lang w:bidi="ar-SA"/>
        </w:rPr>
        <w:t xml:space="preserve"> إسرائيل بالاشتراك مع </w:t>
      </w:r>
      <w:r w:rsidR="00BB378C" w:rsidRPr="00A14F8A">
        <w:rPr>
          <w:rFonts w:ascii="Calibri" w:hAnsi="Calibri" w:cs="Calibri"/>
          <w:b/>
          <w:bCs/>
          <w:rtl/>
          <w:lang w:bidi="ar-SA"/>
        </w:rPr>
        <w:t>جلعاد بر</w:t>
      </w:r>
      <w:r w:rsidRPr="00A14F8A">
        <w:rPr>
          <w:rFonts w:ascii="Calibri" w:hAnsi="Calibri" w:cs="Calibri"/>
          <w:b/>
          <w:bCs/>
          <w:rtl/>
          <w:lang w:bidi="ar-SA"/>
        </w:rPr>
        <w:t>ند ويوتام بيترفرويند</w:t>
      </w:r>
      <w:r w:rsidRPr="00A14F8A">
        <w:rPr>
          <w:rFonts w:ascii="Calibri" w:hAnsi="Calibri" w:cs="Calibri"/>
          <w:rtl/>
          <w:lang w:bidi="ar-SA"/>
        </w:rPr>
        <w:t xml:space="preserve"> من </w:t>
      </w:r>
      <w:r w:rsidR="00BB378C" w:rsidRPr="00A14F8A">
        <w:rPr>
          <w:rFonts w:ascii="Calibri" w:hAnsi="Calibri" w:cs="Calibri"/>
          <w:rtl/>
          <w:lang w:bidi="ar-SA"/>
        </w:rPr>
        <w:t>شعبة</w:t>
      </w:r>
      <w:r w:rsidRPr="00A14F8A">
        <w:rPr>
          <w:rFonts w:ascii="Calibri" w:hAnsi="Calibri" w:cs="Calibri"/>
          <w:rtl/>
          <w:lang w:bidi="ar-SA"/>
        </w:rPr>
        <w:t xml:space="preserve"> كبير الاقتصاديين في وزارة المالية، بعنوان "</w:t>
      </w:r>
      <w:r w:rsidRPr="00A14F8A">
        <w:rPr>
          <w:rFonts w:ascii="Calibri" w:hAnsi="Calibri" w:cs="Calibri"/>
          <w:b/>
          <w:bCs/>
          <w:rtl/>
          <w:lang w:bidi="ar-SA"/>
        </w:rPr>
        <w:t>تركيب</w:t>
      </w:r>
      <w:r w:rsidR="00BE121D" w:rsidRPr="00A14F8A">
        <w:rPr>
          <w:rFonts w:ascii="Calibri" w:hAnsi="Calibri" w:cs="Calibri"/>
          <w:b/>
          <w:bCs/>
          <w:rtl/>
          <w:lang w:bidi="ar-SA"/>
        </w:rPr>
        <w:t>ة</w:t>
      </w:r>
      <w:r w:rsidRPr="00A14F8A">
        <w:rPr>
          <w:rFonts w:ascii="Calibri" w:hAnsi="Calibri" w:cs="Calibri"/>
          <w:b/>
          <w:bCs/>
          <w:rtl/>
          <w:lang w:bidi="ar-SA"/>
        </w:rPr>
        <w:t xml:space="preserve"> رأس المال البشري والأجور في قطاع التكنولوجيا الفائقة في إسرائيل وبقية قطاعات الاقتصاد: مقارنة دولية</w:t>
      </w:r>
      <w:r w:rsidRPr="00A14F8A">
        <w:rPr>
          <w:rFonts w:ascii="Calibri" w:hAnsi="Calibri" w:cs="Calibri"/>
          <w:rtl/>
          <w:lang w:bidi="ar-SA"/>
        </w:rPr>
        <w:t xml:space="preserve">". </w:t>
      </w:r>
      <w:r w:rsidR="00BB378C" w:rsidRPr="00A14F8A">
        <w:rPr>
          <w:rFonts w:ascii="Calibri" w:hAnsi="Calibri" w:cs="Calibri"/>
          <w:rtl/>
          <w:lang w:bidi="ar-SA"/>
        </w:rPr>
        <w:t>أظهرت</w:t>
      </w:r>
      <w:r w:rsidRPr="00A14F8A">
        <w:rPr>
          <w:rFonts w:ascii="Calibri" w:hAnsi="Calibri" w:cs="Calibri"/>
          <w:rtl/>
          <w:lang w:bidi="ar-SA"/>
        </w:rPr>
        <w:t xml:space="preserve"> النتيجة الرئيسية لهذه الدراسة اتساع فجو</w:t>
      </w:r>
      <w:r w:rsidRPr="00A14F8A">
        <w:rPr>
          <w:rFonts w:ascii="Calibri" w:hAnsi="Calibri" w:cs="Calibri"/>
          <w:rtl/>
          <w:lang w:bidi="ar-SA"/>
        </w:rPr>
        <w:t>ة الأجور بين العاملين في قطاع التكنولوجيا الفائقة وغيرهم من العاملين في الاقتصاد خلال العقد الماضي، ويعزى ذلك جزئيًا إلى توسع التوظيف في "الشركات العملاقة" ذات الإنتاجية العالية بشكل خاص. أما الدراسة الثانية</w:t>
      </w:r>
      <w:r w:rsidR="00BE121D" w:rsidRPr="00A14F8A">
        <w:rPr>
          <w:rFonts w:ascii="Calibri" w:hAnsi="Calibri" w:cs="Calibri"/>
          <w:rtl/>
          <w:lang w:bidi="ar-SA"/>
        </w:rPr>
        <w:t xml:space="preserve"> و</w:t>
      </w:r>
      <w:r w:rsidRPr="00A14F8A">
        <w:rPr>
          <w:rFonts w:ascii="Calibri" w:hAnsi="Calibri" w:cs="Calibri"/>
          <w:rtl/>
          <w:lang w:bidi="ar-SA"/>
        </w:rPr>
        <w:t xml:space="preserve">التي أجراها </w:t>
      </w:r>
      <w:r w:rsidR="00BB378C" w:rsidRPr="00A14F8A">
        <w:rPr>
          <w:rFonts w:ascii="Calibri" w:hAnsi="Calibri" w:cs="Calibri"/>
          <w:b/>
          <w:bCs/>
          <w:rtl/>
          <w:lang w:bidi="ar-SA"/>
        </w:rPr>
        <w:t>إلعاد</w:t>
      </w:r>
      <w:r w:rsidRPr="00A14F8A">
        <w:rPr>
          <w:rFonts w:ascii="Calibri" w:hAnsi="Calibri" w:cs="Calibri"/>
          <w:b/>
          <w:bCs/>
          <w:rtl/>
          <w:lang w:bidi="ar-SA"/>
        </w:rPr>
        <w:t xml:space="preserve"> دي مالاخ مع يوفال </w:t>
      </w:r>
      <w:r w:rsidR="00BB378C" w:rsidRPr="00A14F8A">
        <w:rPr>
          <w:rFonts w:ascii="Calibri" w:hAnsi="Calibri" w:cs="Calibri"/>
          <w:b/>
          <w:bCs/>
          <w:rtl/>
          <w:lang w:bidi="ar-SA"/>
        </w:rPr>
        <w:t>سديه</w:t>
      </w:r>
      <w:r w:rsidRPr="00A14F8A">
        <w:rPr>
          <w:rFonts w:ascii="Calibri" w:hAnsi="Calibri" w:cs="Calibri"/>
          <w:rtl/>
          <w:lang w:bidi="ar-SA"/>
        </w:rPr>
        <w:t>، وكلاه</w:t>
      </w:r>
      <w:r w:rsidRPr="00A14F8A">
        <w:rPr>
          <w:rFonts w:ascii="Calibri" w:hAnsi="Calibri" w:cs="Calibri"/>
          <w:rtl/>
          <w:lang w:bidi="ar-SA"/>
        </w:rPr>
        <w:t>ما من بنك إسرائيل، بعنوان "</w:t>
      </w:r>
      <w:r w:rsidRPr="00A14F8A">
        <w:rPr>
          <w:rFonts w:ascii="Calibri" w:hAnsi="Calibri" w:cs="Calibri"/>
          <w:b/>
          <w:bCs/>
          <w:rtl/>
          <w:lang w:bidi="ar-SA"/>
        </w:rPr>
        <w:t>دمج الأقليات في قطاع التكنولوجيا الفائقة في إسرائيل</w:t>
      </w:r>
      <w:r w:rsidRPr="00A14F8A">
        <w:rPr>
          <w:rFonts w:ascii="Calibri" w:hAnsi="Calibri" w:cs="Calibri"/>
          <w:rtl/>
          <w:lang w:bidi="ar-SA"/>
        </w:rPr>
        <w:t>"، فقد تناولت تركيبة التوظيف في قطاع التكنولوجيا الفائقة في إسرائيل والعوائق التي تحول دون دمج الفئات السكانية التي تعاني من نقص التمثيل. أشارت الدراسة إلى العوامل التي تُصعّب تو</w:t>
      </w:r>
      <w:r w:rsidRPr="00A14F8A">
        <w:rPr>
          <w:rFonts w:ascii="Calibri" w:hAnsi="Calibri" w:cs="Calibri"/>
          <w:rtl/>
          <w:lang w:bidi="ar-SA"/>
        </w:rPr>
        <w:t xml:space="preserve">ظيف كوادر من المجتمع العربي في قطاعات التكنولوجيا </w:t>
      </w:r>
      <w:r w:rsidR="00BB378C" w:rsidRPr="00A14F8A">
        <w:rPr>
          <w:rFonts w:ascii="Calibri" w:hAnsi="Calibri" w:cs="Calibri"/>
          <w:rtl/>
          <w:lang w:bidi="ar-SA"/>
        </w:rPr>
        <w:t>الفائقة</w:t>
      </w:r>
      <w:r w:rsidRPr="00A14F8A">
        <w:rPr>
          <w:rFonts w:ascii="Calibri" w:hAnsi="Calibri" w:cs="Calibri"/>
          <w:rtl/>
          <w:lang w:bidi="ar-SA"/>
        </w:rPr>
        <w:t xml:space="preserve">، رغم ازدياد </w:t>
      </w:r>
      <w:r w:rsidR="00BB378C" w:rsidRPr="00A14F8A">
        <w:rPr>
          <w:rFonts w:ascii="Calibri" w:hAnsi="Calibri" w:cs="Calibri"/>
          <w:rtl/>
          <w:lang w:bidi="ar-SA"/>
        </w:rPr>
        <w:t>تحصيلهم</w:t>
      </w:r>
      <w:r w:rsidRPr="00A14F8A">
        <w:rPr>
          <w:rFonts w:ascii="Calibri" w:hAnsi="Calibri" w:cs="Calibri"/>
          <w:rtl/>
          <w:lang w:bidi="ar-SA"/>
        </w:rPr>
        <w:t xml:space="preserve"> العلمي </w:t>
      </w:r>
      <w:r w:rsidR="00BB378C" w:rsidRPr="00A14F8A">
        <w:rPr>
          <w:rFonts w:ascii="Calibri" w:hAnsi="Calibri" w:cs="Calibri"/>
          <w:rtl/>
          <w:lang w:bidi="ar-SA"/>
        </w:rPr>
        <w:t>في هذا المجال</w:t>
      </w:r>
      <w:r w:rsidRPr="00A14F8A">
        <w:rPr>
          <w:rFonts w:ascii="Calibri" w:hAnsi="Calibri" w:cs="Calibri"/>
          <w:rtl/>
          <w:lang w:bidi="ar-SA"/>
        </w:rPr>
        <w:t xml:space="preserve">. من جهة أخرى، أشارت الدراسة إلى اتجاه نحو توسيع نطاق توظيف النساء </w:t>
      </w:r>
      <w:r w:rsidR="00BB378C" w:rsidRPr="00A14F8A">
        <w:rPr>
          <w:rFonts w:ascii="Calibri" w:hAnsi="Calibri" w:cs="Calibri"/>
          <w:rtl/>
          <w:lang w:bidi="ar-SA"/>
        </w:rPr>
        <w:t>الحريديات</w:t>
      </w:r>
      <w:r w:rsidRPr="00A14F8A">
        <w:rPr>
          <w:rFonts w:ascii="Calibri" w:hAnsi="Calibri" w:cs="Calibri"/>
          <w:rtl/>
          <w:lang w:bidi="ar-SA"/>
        </w:rPr>
        <w:t xml:space="preserve"> في قطاع التكنولوجيا </w:t>
      </w:r>
      <w:r w:rsidR="00BB378C" w:rsidRPr="00A14F8A">
        <w:rPr>
          <w:rFonts w:ascii="Calibri" w:hAnsi="Calibri" w:cs="Calibri"/>
          <w:rtl/>
          <w:lang w:bidi="ar-SA"/>
        </w:rPr>
        <w:t>الفائقة</w:t>
      </w:r>
      <w:r w:rsidRPr="00A14F8A">
        <w:rPr>
          <w:rFonts w:ascii="Calibri" w:hAnsi="Calibri" w:cs="Calibri"/>
          <w:rtl/>
          <w:lang w:bidi="ar-SA"/>
        </w:rPr>
        <w:t xml:space="preserve">، بفضل مسارات </w:t>
      </w:r>
      <w:r w:rsidR="00BB378C" w:rsidRPr="00A14F8A">
        <w:rPr>
          <w:rFonts w:ascii="Calibri" w:hAnsi="Calibri" w:cs="Calibri"/>
          <w:rtl/>
          <w:lang w:bidi="ar-SA"/>
        </w:rPr>
        <w:t>تأهيل</w:t>
      </w:r>
      <w:r w:rsidRPr="00A14F8A">
        <w:rPr>
          <w:rFonts w:ascii="Calibri" w:hAnsi="Calibri" w:cs="Calibri"/>
          <w:rtl/>
          <w:lang w:bidi="ar-SA"/>
        </w:rPr>
        <w:t xml:space="preserve"> </w:t>
      </w:r>
      <w:r w:rsidR="00BB378C" w:rsidRPr="00A14F8A">
        <w:rPr>
          <w:rFonts w:ascii="Calibri" w:hAnsi="Calibri" w:cs="Calibri"/>
          <w:rtl/>
          <w:lang w:bidi="ar-SA"/>
        </w:rPr>
        <w:t>خاصة</w:t>
      </w:r>
      <w:r w:rsidRPr="00A14F8A">
        <w:rPr>
          <w:rFonts w:ascii="Calibri" w:hAnsi="Calibri" w:cs="Calibri"/>
          <w:rtl/>
          <w:lang w:bidi="ar-SA"/>
        </w:rPr>
        <w:t xml:space="preserve"> زادت من فرص </w:t>
      </w:r>
      <w:r w:rsidR="00BB378C" w:rsidRPr="00A14F8A">
        <w:rPr>
          <w:rFonts w:ascii="Calibri" w:hAnsi="Calibri" w:cs="Calibri"/>
          <w:rtl/>
          <w:lang w:bidi="ar-SA"/>
        </w:rPr>
        <w:t>تشغيلهن</w:t>
      </w:r>
      <w:r w:rsidRPr="00A14F8A">
        <w:rPr>
          <w:rFonts w:ascii="Calibri" w:hAnsi="Calibri" w:cs="Calibri"/>
          <w:rtl/>
          <w:lang w:bidi="ar-SA"/>
        </w:rPr>
        <w:t>، إلا أنها</w:t>
      </w:r>
      <w:r w:rsidRPr="00A14F8A">
        <w:rPr>
          <w:rFonts w:ascii="Calibri" w:hAnsi="Calibri" w:cs="Calibri"/>
          <w:rtl/>
          <w:lang w:bidi="ar-SA"/>
        </w:rPr>
        <w:t xml:space="preserve"> أشارت أيضًا إلى أن هذا </w:t>
      </w:r>
      <w:r w:rsidR="00BB378C" w:rsidRPr="00A14F8A">
        <w:rPr>
          <w:rFonts w:ascii="Calibri" w:hAnsi="Calibri" w:cs="Calibri"/>
          <w:rtl/>
          <w:lang w:bidi="ar-SA"/>
        </w:rPr>
        <w:t>المسار</w:t>
      </w:r>
      <w:r w:rsidRPr="00A14F8A">
        <w:rPr>
          <w:rFonts w:ascii="Calibri" w:hAnsi="Calibri" w:cs="Calibri"/>
          <w:rtl/>
          <w:lang w:bidi="ar-SA"/>
        </w:rPr>
        <w:t xml:space="preserve"> يتميز بانخفاض </w:t>
      </w:r>
      <w:r w:rsidR="00BB378C" w:rsidRPr="00A14F8A">
        <w:rPr>
          <w:rFonts w:ascii="Calibri" w:hAnsi="Calibri" w:cs="Calibri"/>
          <w:rtl/>
          <w:lang w:bidi="ar-SA"/>
        </w:rPr>
        <w:t>الاجور مقارنة بالقطاع</w:t>
      </w:r>
      <w:r w:rsidR="00BE121D" w:rsidRPr="00A14F8A">
        <w:rPr>
          <w:rFonts w:ascii="Calibri" w:hAnsi="Calibri" w:cs="Calibri"/>
          <w:rtl/>
          <w:lang w:bidi="ar-SA"/>
        </w:rPr>
        <w:t xml:space="preserve"> عموماً</w:t>
      </w:r>
      <w:r w:rsidRPr="00A14F8A">
        <w:rPr>
          <w:rFonts w:ascii="Calibri" w:hAnsi="Calibri" w:cs="Calibri"/>
          <w:rtl/>
          <w:lang w:bidi="ar-SA"/>
        </w:rPr>
        <w:t xml:space="preserve">. تُقدم الدراسة تفسيرات لذلك، وتناقش توصيات </w:t>
      </w:r>
      <w:r w:rsidR="00BB378C" w:rsidRPr="00A14F8A">
        <w:rPr>
          <w:rFonts w:ascii="Calibri" w:hAnsi="Calibri" w:cs="Calibri"/>
          <w:rtl/>
          <w:lang w:bidi="ar-SA"/>
        </w:rPr>
        <w:t>بشأن السياسة</w:t>
      </w:r>
      <w:r w:rsidRPr="00A14F8A">
        <w:rPr>
          <w:rFonts w:ascii="Calibri" w:hAnsi="Calibri" w:cs="Calibri"/>
          <w:rtl/>
          <w:lang w:bidi="ar-SA"/>
        </w:rPr>
        <w:t>.</w:t>
      </w:r>
    </w:p>
    <w:p w:rsidR="00602220" w:rsidRPr="00A14F8A" w:rsidRDefault="00DA62EE" w:rsidP="00BE121D">
      <w:pPr>
        <w:spacing w:before="120"/>
        <w:rPr>
          <w:rFonts w:ascii="Calibri" w:hAnsi="Calibri" w:cs="Calibri"/>
          <w:rtl/>
        </w:rPr>
      </w:pPr>
      <w:r w:rsidRPr="00A14F8A">
        <w:rPr>
          <w:rFonts w:ascii="Calibri" w:hAnsi="Calibri" w:cs="Calibri"/>
          <w:rtl/>
          <w:lang w:bidi="ar-SA"/>
        </w:rPr>
        <w:t xml:space="preserve">تناولت الجلسة الثانية من المؤتمر </w:t>
      </w:r>
      <w:r w:rsidR="007424E0" w:rsidRPr="00A14F8A">
        <w:rPr>
          <w:rFonts w:ascii="Calibri" w:hAnsi="Calibri" w:cs="Calibri"/>
          <w:rtl/>
          <w:lang w:bidi="ar-SA"/>
        </w:rPr>
        <w:t>تأثيرات</w:t>
      </w:r>
      <w:r w:rsidRPr="00A14F8A">
        <w:rPr>
          <w:rFonts w:ascii="Calibri" w:hAnsi="Calibri" w:cs="Calibri"/>
          <w:rtl/>
          <w:lang w:bidi="ar-SA"/>
        </w:rPr>
        <w:t xml:space="preserve"> التكنولوجيا على </w:t>
      </w:r>
      <w:r w:rsidR="007424E0" w:rsidRPr="00A14F8A">
        <w:rPr>
          <w:rFonts w:ascii="Calibri" w:hAnsi="Calibri" w:cs="Calibri"/>
          <w:rtl/>
          <w:lang w:bidi="ar-SA"/>
        </w:rPr>
        <w:t>النظام الاقتصادي</w:t>
      </w:r>
      <w:r w:rsidRPr="00A14F8A">
        <w:rPr>
          <w:rFonts w:ascii="Calibri" w:hAnsi="Calibri" w:cs="Calibri"/>
          <w:rtl/>
          <w:lang w:bidi="ar-SA"/>
        </w:rPr>
        <w:t xml:space="preserve">. بحث كلٌ من </w:t>
      </w:r>
      <w:r w:rsidRPr="00A14F8A">
        <w:rPr>
          <w:rFonts w:ascii="Calibri" w:hAnsi="Calibri" w:cs="Calibri"/>
          <w:b/>
          <w:bCs/>
          <w:rtl/>
          <w:lang w:bidi="ar-SA"/>
        </w:rPr>
        <w:t>ن</w:t>
      </w:r>
      <w:r w:rsidR="007424E0" w:rsidRPr="00A14F8A">
        <w:rPr>
          <w:rFonts w:ascii="Calibri" w:hAnsi="Calibri" w:cs="Calibri"/>
          <w:b/>
          <w:bCs/>
          <w:rtl/>
          <w:lang w:bidi="ar-SA"/>
        </w:rPr>
        <w:t>ا</w:t>
      </w:r>
      <w:r w:rsidRPr="00A14F8A">
        <w:rPr>
          <w:rFonts w:ascii="Calibri" w:hAnsi="Calibri" w:cs="Calibri"/>
          <w:b/>
          <w:bCs/>
          <w:rtl/>
          <w:lang w:bidi="ar-SA"/>
        </w:rPr>
        <w:t xml:space="preserve">عوم </w:t>
      </w:r>
      <w:r w:rsidR="007424E0" w:rsidRPr="00A14F8A">
        <w:rPr>
          <w:rFonts w:ascii="Calibri" w:hAnsi="Calibri" w:cs="Calibri"/>
          <w:b/>
          <w:bCs/>
          <w:rtl/>
          <w:lang w:bidi="ar-SA"/>
        </w:rPr>
        <w:t>ز</w:t>
      </w:r>
      <w:r w:rsidRPr="00A14F8A">
        <w:rPr>
          <w:rFonts w:ascii="Calibri" w:hAnsi="Calibri" w:cs="Calibri"/>
          <w:b/>
          <w:bCs/>
          <w:rtl/>
          <w:lang w:bidi="ar-SA"/>
        </w:rPr>
        <w:t>ونتغ</w:t>
      </w:r>
      <w:r w:rsidRPr="00A14F8A">
        <w:rPr>
          <w:rFonts w:ascii="Calibri" w:hAnsi="Calibri" w:cs="Calibri"/>
          <w:rtl/>
          <w:lang w:bidi="ar-SA"/>
        </w:rPr>
        <w:t xml:space="preserve"> من بنك إسرائيل، </w:t>
      </w:r>
      <w:r w:rsidRPr="00A14F8A">
        <w:rPr>
          <w:rFonts w:ascii="Calibri" w:hAnsi="Calibri" w:cs="Calibri"/>
          <w:b/>
          <w:bCs/>
          <w:rtl/>
          <w:lang w:bidi="ar-SA"/>
        </w:rPr>
        <w:t xml:space="preserve">وبياتريس </w:t>
      </w:r>
      <w:r w:rsidRPr="00A14F8A">
        <w:rPr>
          <w:rFonts w:ascii="Calibri" w:hAnsi="Calibri" w:cs="Calibri"/>
          <w:b/>
          <w:bCs/>
          <w:rtl/>
          <w:lang w:bidi="ar-SA"/>
        </w:rPr>
        <w:t>حمو ونعمة شامير-</w:t>
      </w:r>
      <w:r w:rsidR="00BE121D" w:rsidRPr="00A14F8A">
        <w:rPr>
          <w:rFonts w:ascii="Calibri" w:hAnsi="Calibri" w:cs="Calibri"/>
          <w:b/>
          <w:bCs/>
          <w:rtl/>
          <w:lang w:bidi="ar-SA"/>
        </w:rPr>
        <w:t xml:space="preserve"> </w:t>
      </w:r>
      <w:r w:rsidRPr="00A14F8A">
        <w:rPr>
          <w:rFonts w:ascii="Calibri" w:hAnsi="Calibri" w:cs="Calibri"/>
          <w:b/>
          <w:bCs/>
          <w:rtl/>
          <w:lang w:bidi="ar-SA"/>
        </w:rPr>
        <w:t>شتاين</w:t>
      </w:r>
      <w:r w:rsidRPr="00A14F8A">
        <w:rPr>
          <w:rFonts w:ascii="Calibri" w:hAnsi="Calibri" w:cs="Calibri"/>
          <w:rtl/>
          <w:lang w:bidi="ar-SA"/>
        </w:rPr>
        <w:t xml:space="preserve"> من قسم التقييم والبحث في مكابي </w:t>
      </w:r>
      <w:r w:rsidR="007424E0" w:rsidRPr="00A14F8A">
        <w:rPr>
          <w:rFonts w:ascii="Calibri" w:hAnsi="Calibri" w:cs="Calibri"/>
          <w:rtl/>
          <w:lang w:bidi="ar-SA"/>
        </w:rPr>
        <w:t xml:space="preserve">للخدمات </w:t>
      </w:r>
      <w:r w:rsidRPr="00A14F8A">
        <w:rPr>
          <w:rFonts w:ascii="Calibri" w:hAnsi="Calibri" w:cs="Calibri"/>
          <w:rtl/>
          <w:lang w:bidi="ar-SA"/>
        </w:rPr>
        <w:t xml:space="preserve">الصحية، في تأثير إتاحة خيار حجز موعد هاتفي مع طبيب من صندوق </w:t>
      </w:r>
      <w:r w:rsidR="007424E0" w:rsidRPr="00A14F8A">
        <w:rPr>
          <w:rFonts w:ascii="Calibri" w:hAnsi="Calibri" w:cs="Calibri"/>
          <w:rtl/>
          <w:lang w:bidi="ar-SA"/>
        </w:rPr>
        <w:t>المرضى</w:t>
      </w:r>
      <w:r w:rsidRPr="00A14F8A">
        <w:rPr>
          <w:rFonts w:ascii="Calibri" w:hAnsi="Calibri" w:cs="Calibri"/>
          <w:rtl/>
          <w:lang w:bidi="ar-SA"/>
        </w:rPr>
        <w:t xml:space="preserve"> على استخدام الخدمات الطبية، وذلك في مقالهم "</w:t>
      </w:r>
      <w:r w:rsidR="007424E0" w:rsidRPr="00A14F8A">
        <w:rPr>
          <w:rFonts w:ascii="Calibri" w:hAnsi="Calibri" w:cs="Calibri"/>
          <w:b/>
          <w:bCs/>
        </w:rPr>
        <w:t xml:space="preserve"> The impact of increased access to telemedicine services in primary care during the covid-19 pandemic</w:t>
      </w:r>
      <w:r w:rsidRPr="00A14F8A">
        <w:rPr>
          <w:rFonts w:ascii="Calibri" w:hAnsi="Calibri" w:cs="Calibri"/>
          <w:rtl/>
          <w:lang w:bidi="ar-SA"/>
        </w:rPr>
        <w:t xml:space="preserve">". </w:t>
      </w:r>
      <w:r w:rsidR="007424E0" w:rsidRPr="00A14F8A">
        <w:rPr>
          <w:rFonts w:ascii="Calibri" w:hAnsi="Calibri" w:cs="Calibri"/>
          <w:rtl/>
          <w:lang w:bidi="ar-SA"/>
        </w:rPr>
        <w:t>أثبت</w:t>
      </w:r>
      <w:r w:rsidRPr="00A14F8A">
        <w:rPr>
          <w:rFonts w:ascii="Calibri" w:hAnsi="Calibri" w:cs="Calibri"/>
          <w:rtl/>
          <w:lang w:bidi="ar-SA"/>
        </w:rPr>
        <w:t xml:space="preserve"> الباحثون أنه بعد دمج "المواعيد الهاتفية"، ارتفع إجمالي عدد المحادثات العلاجية، سواءً في العيادة أو عبر الهاتف، بين الأطباء والمؤمَّن</w:t>
      </w:r>
      <w:r w:rsidR="007424E0" w:rsidRPr="00A14F8A">
        <w:rPr>
          <w:rFonts w:ascii="Calibri" w:hAnsi="Calibri" w:cs="Calibri"/>
          <w:rtl/>
          <w:lang w:bidi="ar-SA"/>
        </w:rPr>
        <w:t>ين</w:t>
      </w:r>
      <w:r w:rsidRPr="00A14F8A">
        <w:rPr>
          <w:rFonts w:ascii="Calibri" w:hAnsi="Calibri" w:cs="Calibri"/>
          <w:rtl/>
          <w:lang w:bidi="ar-SA"/>
        </w:rPr>
        <w:t xml:space="preserve">. </w:t>
      </w:r>
      <w:r w:rsidR="007424E0" w:rsidRPr="00A14F8A">
        <w:rPr>
          <w:rFonts w:ascii="Calibri" w:hAnsi="Calibri" w:cs="Calibri"/>
          <w:rtl/>
          <w:lang w:bidi="ar-SA"/>
        </w:rPr>
        <w:t>ناقشت</w:t>
      </w:r>
      <w:r w:rsidRPr="00A14F8A">
        <w:rPr>
          <w:rFonts w:ascii="Calibri" w:hAnsi="Calibri" w:cs="Calibri"/>
          <w:rtl/>
          <w:lang w:bidi="ar-SA"/>
        </w:rPr>
        <w:t xml:space="preserve"> الدراسة الاختلافات بين الفئات السكانية في استخدام الخدمة الهاتفية، </w:t>
      </w:r>
      <w:r w:rsidR="007424E0" w:rsidRPr="00A14F8A">
        <w:rPr>
          <w:rFonts w:ascii="Calibri" w:hAnsi="Calibri" w:cs="Calibri"/>
          <w:rtl/>
          <w:lang w:bidi="ar-SA"/>
        </w:rPr>
        <w:t>والاختلافات</w:t>
      </w:r>
      <w:r w:rsidRPr="00A14F8A">
        <w:rPr>
          <w:rFonts w:ascii="Calibri" w:hAnsi="Calibri" w:cs="Calibri"/>
          <w:rtl/>
          <w:lang w:bidi="ar-SA"/>
        </w:rPr>
        <w:t xml:space="preserve"> في استهلا</w:t>
      </w:r>
      <w:r w:rsidRPr="00A14F8A">
        <w:rPr>
          <w:rFonts w:ascii="Calibri" w:hAnsi="Calibri" w:cs="Calibri"/>
          <w:rtl/>
          <w:lang w:bidi="ar-SA"/>
        </w:rPr>
        <w:t xml:space="preserve">ك الخدمات الصحية، </w:t>
      </w:r>
      <w:r w:rsidR="007424E0" w:rsidRPr="00A14F8A">
        <w:rPr>
          <w:rFonts w:ascii="Calibri" w:hAnsi="Calibri" w:cs="Calibri"/>
          <w:rtl/>
          <w:lang w:bidi="ar-SA"/>
        </w:rPr>
        <w:t>والآثار</w:t>
      </w:r>
      <w:r w:rsidRPr="00A14F8A">
        <w:rPr>
          <w:rFonts w:ascii="Calibri" w:hAnsi="Calibri" w:cs="Calibri"/>
          <w:rtl/>
          <w:lang w:bidi="ar-SA"/>
        </w:rPr>
        <w:t xml:space="preserve"> الاقتصادية</w:t>
      </w:r>
      <w:r w:rsidR="007424E0" w:rsidRPr="00A14F8A">
        <w:rPr>
          <w:rFonts w:ascii="Calibri" w:hAnsi="Calibri" w:cs="Calibri"/>
          <w:rtl/>
          <w:lang w:bidi="ar-SA"/>
        </w:rPr>
        <w:t xml:space="preserve"> لذلك</w:t>
      </w:r>
      <w:r w:rsidRPr="00A14F8A">
        <w:rPr>
          <w:rFonts w:ascii="Calibri" w:hAnsi="Calibri" w:cs="Calibri"/>
          <w:rtl/>
          <w:lang w:bidi="ar-SA"/>
        </w:rPr>
        <w:t>.</w:t>
      </w:r>
    </w:p>
    <w:p w:rsidR="00602220" w:rsidRPr="00A14F8A" w:rsidRDefault="00DA62EE" w:rsidP="00BE121D">
      <w:pPr>
        <w:spacing w:before="120"/>
        <w:rPr>
          <w:rFonts w:ascii="Calibri" w:hAnsi="Calibri" w:cs="Calibri"/>
          <w:rtl/>
        </w:rPr>
      </w:pPr>
      <w:r w:rsidRPr="00A14F8A">
        <w:rPr>
          <w:rFonts w:ascii="Calibri" w:hAnsi="Calibri" w:cs="Calibri"/>
          <w:rtl/>
          <w:lang w:bidi="ar-SA"/>
        </w:rPr>
        <w:t xml:space="preserve">استعرضت </w:t>
      </w:r>
      <w:r w:rsidRPr="00A14F8A">
        <w:rPr>
          <w:rFonts w:ascii="Calibri" w:hAnsi="Calibri" w:cs="Calibri"/>
          <w:b/>
          <w:bCs/>
          <w:rtl/>
          <w:lang w:bidi="ar-SA"/>
        </w:rPr>
        <w:t>إيلا شا</w:t>
      </w:r>
      <w:r w:rsidR="007424E0" w:rsidRPr="00A14F8A">
        <w:rPr>
          <w:rFonts w:ascii="Calibri" w:hAnsi="Calibri" w:cs="Calibri"/>
          <w:b/>
          <w:bCs/>
          <w:rtl/>
          <w:lang w:bidi="ar-SA"/>
        </w:rPr>
        <w:t>ح</w:t>
      </w:r>
      <w:r w:rsidRPr="00A14F8A">
        <w:rPr>
          <w:rFonts w:ascii="Calibri" w:hAnsi="Calibri" w:cs="Calibri"/>
          <w:b/>
          <w:bCs/>
          <w:rtl/>
          <w:lang w:bidi="ar-SA"/>
        </w:rPr>
        <w:t>ر</w:t>
      </w:r>
      <w:r w:rsidRPr="00A14F8A">
        <w:rPr>
          <w:rFonts w:ascii="Calibri" w:hAnsi="Calibri" w:cs="Calibri"/>
          <w:rtl/>
          <w:lang w:bidi="ar-SA"/>
        </w:rPr>
        <w:t xml:space="preserve"> من بنك إسرائيل العمل البحثي والسياسي في بنك إسرائيل بشأن تأثيرات ال</w:t>
      </w:r>
      <w:r w:rsidR="007424E0" w:rsidRPr="00A14F8A">
        <w:rPr>
          <w:rFonts w:ascii="Calibri" w:hAnsi="Calibri" w:cs="Calibri"/>
          <w:rtl/>
          <w:lang w:bidi="ar-SA"/>
        </w:rPr>
        <w:t>ذكاء الاصطناعي على سوق العمل</w:t>
      </w:r>
      <w:r w:rsidR="00BE121D" w:rsidRPr="00A14F8A">
        <w:rPr>
          <w:rFonts w:ascii="Calibri" w:hAnsi="Calibri" w:cs="Calibri"/>
          <w:rtl/>
          <w:lang w:bidi="ar-SA"/>
        </w:rPr>
        <w:t>، ومنها</w:t>
      </w:r>
      <w:r w:rsidR="007424E0" w:rsidRPr="00A14F8A">
        <w:rPr>
          <w:rFonts w:ascii="Calibri" w:hAnsi="Calibri" w:cs="Calibri"/>
          <w:rtl/>
          <w:lang w:bidi="ar-SA"/>
        </w:rPr>
        <w:t xml:space="preserve"> </w:t>
      </w:r>
      <w:r w:rsidRPr="00A14F8A">
        <w:rPr>
          <w:rFonts w:ascii="Calibri" w:hAnsi="Calibri" w:cs="Calibri"/>
          <w:rtl/>
          <w:lang w:bidi="ar-SA"/>
        </w:rPr>
        <w:t>بحث</w:t>
      </w:r>
      <w:r w:rsidR="00BE121D" w:rsidRPr="00A14F8A">
        <w:rPr>
          <w:rFonts w:ascii="Calibri" w:hAnsi="Calibri" w:cs="Calibri"/>
          <w:rtl/>
          <w:lang w:bidi="ar-SA"/>
        </w:rPr>
        <w:t>ٌ</w:t>
      </w:r>
      <w:r w:rsidRPr="00A14F8A">
        <w:rPr>
          <w:rFonts w:ascii="Calibri" w:hAnsi="Calibri" w:cs="Calibri"/>
          <w:rtl/>
          <w:lang w:bidi="ar-SA"/>
        </w:rPr>
        <w:t xml:space="preserve"> في مؤشرات تعرض سوق العمل للتأثير المتوقع لتقني</w:t>
      </w:r>
      <w:r w:rsidR="007424E0" w:rsidRPr="00A14F8A">
        <w:rPr>
          <w:rFonts w:ascii="Calibri" w:hAnsi="Calibri" w:cs="Calibri"/>
          <w:rtl/>
          <w:lang w:bidi="ar-SA"/>
        </w:rPr>
        <w:t>ات الذكاء الاصطناعي الناشئة، و</w:t>
      </w:r>
      <w:r w:rsidRPr="00A14F8A">
        <w:rPr>
          <w:rFonts w:ascii="Calibri" w:hAnsi="Calibri" w:cs="Calibri"/>
          <w:rtl/>
          <w:lang w:bidi="ar-SA"/>
        </w:rPr>
        <w:t xml:space="preserve">بحث </w:t>
      </w:r>
      <w:r w:rsidR="00BE121D" w:rsidRPr="00A14F8A">
        <w:rPr>
          <w:rFonts w:ascii="Calibri" w:hAnsi="Calibri" w:cs="Calibri"/>
          <w:rtl/>
          <w:lang w:bidi="ar-SA"/>
        </w:rPr>
        <w:t xml:space="preserve">آخر </w:t>
      </w:r>
      <w:r w:rsidRPr="00A14F8A">
        <w:rPr>
          <w:rFonts w:ascii="Calibri" w:hAnsi="Calibri" w:cs="Calibri"/>
          <w:rtl/>
          <w:lang w:bidi="ar-SA"/>
        </w:rPr>
        <w:t xml:space="preserve">في </w:t>
      </w:r>
      <w:r w:rsidRPr="00A14F8A">
        <w:rPr>
          <w:rFonts w:ascii="Calibri" w:hAnsi="Calibri" w:cs="Calibri"/>
          <w:rtl/>
          <w:lang w:bidi="ar-SA"/>
        </w:rPr>
        <w:t>توصيف مجموعات العمال الذين من المتوقع أن يواجهوا صعوبة في التكيف مع سوق العمل في عصر الذكاء الاصطناعي، والتعاون مع منظمة التعاون الاقتصادي والتنمية</w:t>
      </w:r>
      <w:r w:rsidR="007424E0" w:rsidRPr="00A14F8A">
        <w:rPr>
          <w:rFonts w:ascii="Calibri" w:hAnsi="Calibri" w:cs="Calibri"/>
          <w:rtl/>
          <w:lang w:bidi="ar-SA"/>
        </w:rPr>
        <w:t xml:space="preserve"> </w:t>
      </w:r>
      <w:r w:rsidR="007424E0" w:rsidRPr="00A14F8A">
        <w:rPr>
          <w:rFonts w:ascii="Calibri" w:hAnsi="Calibri" w:cs="Calibri"/>
        </w:rPr>
        <w:t xml:space="preserve"> OECD</w:t>
      </w:r>
      <w:r w:rsidR="00BE121D" w:rsidRPr="00A14F8A">
        <w:rPr>
          <w:rFonts w:ascii="Calibri" w:hAnsi="Calibri" w:cs="Calibri"/>
          <w:rtl/>
          <w:lang w:bidi="ar-SA"/>
        </w:rPr>
        <w:t xml:space="preserve"> </w:t>
      </w:r>
      <w:r w:rsidRPr="00A14F8A">
        <w:rPr>
          <w:rFonts w:ascii="Calibri" w:hAnsi="Calibri" w:cs="Calibri"/>
          <w:rtl/>
          <w:lang w:bidi="ar-SA"/>
        </w:rPr>
        <w:t xml:space="preserve">بشأن الذكاء الاصطناعي، بالإضافة إلى مسح </w:t>
      </w:r>
      <w:r w:rsidR="007424E0" w:rsidRPr="00A14F8A">
        <w:rPr>
          <w:rFonts w:ascii="Calibri" w:hAnsi="Calibri" w:cs="Calibri"/>
          <w:rtl/>
          <w:lang w:bidi="ar-SA"/>
        </w:rPr>
        <w:t>تطبيقات</w:t>
      </w:r>
      <w:r w:rsidRPr="00A14F8A">
        <w:rPr>
          <w:rFonts w:ascii="Calibri" w:hAnsi="Calibri" w:cs="Calibri"/>
          <w:rtl/>
          <w:lang w:bidi="ar-SA"/>
        </w:rPr>
        <w:t xml:space="preserve"> الذكاء الاصطناعي الذي يجري حاليًا بين العمال، والذي أجري بالتعاون مع </w:t>
      </w:r>
      <w:r w:rsidR="007424E0" w:rsidRPr="00A14F8A">
        <w:rPr>
          <w:rFonts w:ascii="Calibri" w:hAnsi="Calibri" w:cs="Calibri"/>
          <w:rtl/>
          <w:lang w:bidi="ar-SA"/>
        </w:rPr>
        <w:t>ال</w:t>
      </w:r>
      <w:r w:rsidRPr="00A14F8A">
        <w:rPr>
          <w:rFonts w:ascii="Calibri" w:hAnsi="Calibri" w:cs="Calibri"/>
          <w:rtl/>
          <w:lang w:bidi="ar-SA"/>
        </w:rPr>
        <w:t>معهد الإسرائيلي</w:t>
      </w:r>
      <w:r w:rsidR="007424E0" w:rsidRPr="00A14F8A">
        <w:rPr>
          <w:rFonts w:ascii="Calibri" w:hAnsi="Calibri" w:cs="Calibri"/>
          <w:rtl/>
          <w:lang w:bidi="ar-SA"/>
        </w:rPr>
        <w:t xml:space="preserve"> للديمقراطية</w:t>
      </w:r>
      <w:r w:rsidRPr="00A14F8A">
        <w:rPr>
          <w:rFonts w:ascii="Calibri" w:hAnsi="Calibri" w:cs="Calibri"/>
          <w:rtl/>
          <w:lang w:bidi="ar-SA"/>
        </w:rPr>
        <w:t>.</w:t>
      </w:r>
    </w:p>
    <w:p w:rsidR="00602220" w:rsidRPr="00A14F8A" w:rsidRDefault="00DA62EE" w:rsidP="007424E0">
      <w:pPr>
        <w:spacing w:before="120"/>
        <w:rPr>
          <w:rFonts w:ascii="Calibri" w:hAnsi="Calibri" w:cs="Calibri"/>
          <w:rtl/>
        </w:rPr>
      </w:pPr>
      <w:r w:rsidRPr="00A14F8A">
        <w:rPr>
          <w:rFonts w:ascii="Calibri" w:hAnsi="Calibri" w:cs="Calibri"/>
          <w:rtl/>
          <w:lang w:bidi="ar-SA"/>
        </w:rPr>
        <w:t>تناول المقال الأخير في هذه الجلسة، "</w:t>
      </w:r>
      <w:r w:rsidRPr="00A14F8A">
        <w:rPr>
          <w:rFonts w:ascii="Calibri" w:hAnsi="Calibri" w:cs="Calibri"/>
          <w:b/>
          <w:bCs/>
          <w:rtl/>
          <w:lang w:bidi="ar-SA"/>
        </w:rPr>
        <w:t xml:space="preserve">التكنولوجيات الجديدة </w:t>
      </w:r>
      <w:r w:rsidR="007424E0" w:rsidRPr="00A14F8A">
        <w:rPr>
          <w:rFonts w:ascii="Calibri" w:hAnsi="Calibri" w:cs="Calibri"/>
          <w:b/>
          <w:bCs/>
          <w:rtl/>
          <w:lang w:bidi="ar-SA"/>
        </w:rPr>
        <w:t>وقطاع</w:t>
      </w:r>
      <w:r w:rsidRPr="00A14F8A">
        <w:rPr>
          <w:rFonts w:ascii="Calibri" w:hAnsi="Calibri" w:cs="Calibri"/>
          <w:b/>
          <w:bCs/>
          <w:rtl/>
          <w:lang w:bidi="ar-SA"/>
        </w:rPr>
        <w:t xml:space="preserve"> البناء: التحديات </w:t>
      </w:r>
      <w:r w:rsidR="007424E0" w:rsidRPr="00A14F8A">
        <w:rPr>
          <w:rFonts w:ascii="Calibri" w:hAnsi="Calibri" w:cs="Calibri"/>
          <w:b/>
          <w:bCs/>
          <w:rtl/>
          <w:lang w:bidi="ar-SA"/>
        </w:rPr>
        <w:t>والفوائد</w:t>
      </w:r>
      <w:r w:rsidRPr="00A14F8A">
        <w:rPr>
          <w:rFonts w:ascii="Calibri" w:hAnsi="Calibri" w:cs="Calibri"/>
          <w:rtl/>
          <w:lang w:bidi="ar-SA"/>
        </w:rPr>
        <w:t xml:space="preserve">"، </w:t>
      </w:r>
      <w:r w:rsidR="00BE121D" w:rsidRPr="00A14F8A">
        <w:rPr>
          <w:rFonts w:ascii="Calibri" w:hAnsi="Calibri" w:cs="Calibri"/>
          <w:rtl/>
          <w:lang w:bidi="ar-SA"/>
        </w:rPr>
        <w:t>و</w:t>
      </w:r>
      <w:r w:rsidRPr="00A14F8A">
        <w:rPr>
          <w:rFonts w:ascii="Calibri" w:hAnsi="Calibri" w:cs="Calibri"/>
          <w:rtl/>
          <w:lang w:bidi="ar-SA"/>
        </w:rPr>
        <w:t xml:space="preserve">الذي كتبه </w:t>
      </w:r>
      <w:r w:rsidRPr="00A14F8A">
        <w:rPr>
          <w:rFonts w:ascii="Calibri" w:hAnsi="Calibri" w:cs="Calibri"/>
          <w:b/>
          <w:bCs/>
          <w:rtl/>
          <w:lang w:bidi="ar-SA"/>
        </w:rPr>
        <w:t>دارين فايسمان</w:t>
      </w:r>
      <w:r w:rsidRPr="00A14F8A">
        <w:rPr>
          <w:rFonts w:ascii="Calibri" w:hAnsi="Calibri" w:cs="Calibri"/>
          <w:rtl/>
          <w:lang w:bidi="ar-SA"/>
        </w:rPr>
        <w:t xml:space="preserve"> من بنك إسرائيل، التطورات في تبني التكنو</w:t>
      </w:r>
      <w:r w:rsidRPr="00A14F8A">
        <w:rPr>
          <w:rFonts w:ascii="Calibri" w:hAnsi="Calibri" w:cs="Calibri"/>
          <w:rtl/>
          <w:lang w:bidi="ar-SA"/>
        </w:rPr>
        <w:t xml:space="preserve">لوجيات في </w:t>
      </w:r>
      <w:r w:rsidR="007424E0" w:rsidRPr="00A14F8A">
        <w:rPr>
          <w:rFonts w:ascii="Calibri" w:hAnsi="Calibri" w:cs="Calibri"/>
          <w:rtl/>
          <w:lang w:bidi="ar-SA"/>
        </w:rPr>
        <w:t>قطاع</w:t>
      </w:r>
      <w:r w:rsidRPr="00A14F8A">
        <w:rPr>
          <w:rFonts w:ascii="Calibri" w:hAnsi="Calibri" w:cs="Calibri"/>
          <w:rtl/>
          <w:lang w:bidi="ar-SA"/>
        </w:rPr>
        <w:t xml:space="preserve"> البناء ومساهمة التكنولوجيات </w:t>
      </w:r>
      <w:r w:rsidRPr="00A14F8A">
        <w:rPr>
          <w:rFonts w:ascii="Calibri" w:hAnsi="Calibri" w:cs="Calibri"/>
          <w:rtl/>
          <w:lang w:bidi="ar-SA"/>
        </w:rPr>
        <w:lastRenderedPageBreak/>
        <w:t xml:space="preserve">ورأس المال البشري ورأس المال المادي في تقليص فجوة إنتاجية العمل في </w:t>
      </w:r>
      <w:r w:rsidR="007424E0" w:rsidRPr="00A14F8A">
        <w:rPr>
          <w:rFonts w:ascii="Calibri" w:hAnsi="Calibri" w:cs="Calibri"/>
          <w:rtl/>
          <w:lang w:bidi="ar-SA"/>
        </w:rPr>
        <w:t>قطاع</w:t>
      </w:r>
      <w:r w:rsidRPr="00A14F8A">
        <w:rPr>
          <w:rFonts w:ascii="Calibri" w:hAnsi="Calibri" w:cs="Calibri"/>
          <w:rtl/>
          <w:lang w:bidi="ar-SA"/>
        </w:rPr>
        <w:t xml:space="preserve"> البناء مقارنة بدول منظمة التعاون الاقتصادي والتنمية </w:t>
      </w:r>
      <w:r w:rsidR="007424E0" w:rsidRPr="00A14F8A">
        <w:rPr>
          <w:rFonts w:ascii="Calibri" w:hAnsi="Calibri" w:cs="Calibri"/>
        </w:rPr>
        <w:t>OECD</w:t>
      </w:r>
      <w:r w:rsidR="007424E0" w:rsidRPr="00A14F8A">
        <w:rPr>
          <w:rFonts w:ascii="Calibri" w:hAnsi="Calibri" w:cs="Calibri"/>
          <w:rtl/>
        </w:rPr>
        <w:t xml:space="preserve"> </w:t>
      </w:r>
      <w:r w:rsidRPr="00A14F8A">
        <w:rPr>
          <w:rFonts w:ascii="Calibri" w:hAnsi="Calibri" w:cs="Calibri"/>
          <w:rtl/>
          <w:lang w:bidi="ar-SA"/>
        </w:rPr>
        <w:t>الأخرى.</w:t>
      </w:r>
    </w:p>
    <w:p w:rsidR="00602220" w:rsidRPr="00A14F8A" w:rsidRDefault="00DA62EE" w:rsidP="00BE121D">
      <w:pPr>
        <w:spacing w:before="120"/>
        <w:rPr>
          <w:rFonts w:ascii="Calibri" w:hAnsi="Calibri" w:cs="Calibri"/>
          <w:rtl/>
        </w:rPr>
      </w:pPr>
      <w:r w:rsidRPr="00A14F8A">
        <w:rPr>
          <w:rFonts w:ascii="Calibri" w:hAnsi="Calibri" w:cs="Calibri"/>
          <w:rtl/>
          <w:lang w:bidi="ar-SA"/>
        </w:rPr>
        <w:t xml:space="preserve">في وقت لاحق من اليوم، </w:t>
      </w:r>
      <w:r w:rsidR="007424E0" w:rsidRPr="00A14F8A">
        <w:rPr>
          <w:rFonts w:ascii="Calibri" w:hAnsi="Calibri" w:cs="Calibri"/>
          <w:rtl/>
          <w:lang w:bidi="ar-SA"/>
        </w:rPr>
        <w:t>و</w:t>
      </w:r>
      <w:r w:rsidRPr="00A14F8A">
        <w:rPr>
          <w:rFonts w:ascii="Calibri" w:hAnsi="Calibri" w:cs="Calibri"/>
          <w:rtl/>
          <w:lang w:bidi="ar-SA"/>
        </w:rPr>
        <w:t xml:space="preserve">خلال الجلسة الثالثة، عُرضت </w:t>
      </w:r>
      <w:r w:rsidR="007424E0" w:rsidRPr="00A14F8A">
        <w:rPr>
          <w:rFonts w:ascii="Calibri" w:hAnsi="Calibri" w:cs="Calibri"/>
          <w:rtl/>
          <w:lang w:bidi="ar-SA"/>
        </w:rPr>
        <w:t>أبحاث</w:t>
      </w:r>
      <w:r w:rsidRPr="00A14F8A">
        <w:rPr>
          <w:rFonts w:ascii="Calibri" w:hAnsi="Calibri" w:cs="Calibri"/>
          <w:rtl/>
          <w:lang w:bidi="ar-SA"/>
        </w:rPr>
        <w:t xml:space="preserve"> </w:t>
      </w:r>
      <w:r w:rsidR="00BE121D" w:rsidRPr="00A14F8A">
        <w:rPr>
          <w:rFonts w:ascii="Calibri" w:hAnsi="Calibri" w:cs="Calibri"/>
          <w:rtl/>
          <w:lang w:bidi="ar-SA"/>
        </w:rPr>
        <w:t>حول</w:t>
      </w:r>
      <w:r w:rsidRPr="00A14F8A">
        <w:rPr>
          <w:rFonts w:ascii="Calibri" w:hAnsi="Calibri" w:cs="Calibri"/>
          <w:rtl/>
          <w:lang w:bidi="ar-SA"/>
        </w:rPr>
        <w:t xml:space="preserve"> العملات الرقمية.</w:t>
      </w:r>
      <w:r w:rsidRPr="00A14F8A">
        <w:rPr>
          <w:rFonts w:ascii="Calibri" w:hAnsi="Calibri" w:cs="Calibri"/>
          <w:rtl/>
          <w:lang w:bidi="ar-SA"/>
        </w:rPr>
        <w:t xml:space="preserve"> تناولت الورقة الأولى في الجلسة، </w:t>
      </w:r>
      <w:r w:rsidR="007424E0" w:rsidRPr="00A14F8A">
        <w:rPr>
          <w:rFonts w:ascii="Calibri" w:hAnsi="Calibri" w:cs="Calibri"/>
          <w:rtl/>
          <w:lang w:bidi="ar-SA"/>
        </w:rPr>
        <w:t>و</w:t>
      </w:r>
      <w:r w:rsidRPr="00A14F8A">
        <w:rPr>
          <w:rFonts w:ascii="Calibri" w:hAnsi="Calibri" w:cs="Calibri"/>
          <w:rtl/>
          <w:lang w:bidi="ar-SA"/>
        </w:rPr>
        <w:t xml:space="preserve">التي كتبها </w:t>
      </w:r>
      <w:r w:rsidRPr="00A14F8A">
        <w:rPr>
          <w:rFonts w:ascii="Calibri" w:hAnsi="Calibri" w:cs="Calibri"/>
          <w:b/>
          <w:bCs/>
          <w:rtl/>
          <w:lang w:bidi="ar-SA"/>
        </w:rPr>
        <w:t>رو</w:t>
      </w:r>
      <w:r w:rsidR="007424E0" w:rsidRPr="00A14F8A">
        <w:rPr>
          <w:rFonts w:ascii="Calibri" w:hAnsi="Calibri" w:cs="Calibri"/>
          <w:b/>
          <w:bCs/>
          <w:rtl/>
          <w:lang w:bidi="ar-SA"/>
        </w:rPr>
        <w:t>ع</w:t>
      </w:r>
      <w:r w:rsidRPr="00A14F8A">
        <w:rPr>
          <w:rFonts w:ascii="Calibri" w:hAnsi="Calibri" w:cs="Calibri"/>
          <w:b/>
          <w:bCs/>
          <w:rtl/>
          <w:lang w:bidi="ar-SA"/>
        </w:rPr>
        <w:t>ي شتاين</w:t>
      </w:r>
      <w:r w:rsidRPr="00A14F8A">
        <w:rPr>
          <w:rFonts w:ascii="Calibri" w:hAnsi="Calibri" w:cs="Calibri"/>
          <w:rtl/>
          <w:lang w:bidi="ar-SA"/>
        </w:rPr>
        <w:t xml:space="preserve"> من بنك إسرائيل </w:t>
      </w:r>
      <w:r w:rsidRPr="00A14F8A">
        <w:rPr>
          <w:rFonts w:ascii="Calibri" w:hAnsi="Calibri" w:cs="Calibri"/>
          <w:b/>
          <w:bCs/>
          <w:rtl/>
          <w:lang w:bidi="ar-SA"/>
        </w:rPr>
        <w:t>وآنا برودسكي-ساسي</w:t>
      </w:r>
      <w:r w:rsidRPr="00A14F8A">
        <w:rPr>
          <w:rFonts w:ascii="Calibri" w:hAnsi="Calibri" w:cs="Calibri"/>
          <w:rtl/>
          <w:lang w:bidi="ar-SA"/>
        </w:rPr>
        <w:t xml:space="preserve"> من بنك إسرائيل و</w:t>
      </w:r>
      <w:r w:rsidR="007424E0" w:rsidRPr="00A14F8A">
        <w:rPr>
          <w:rFonts w:ascii="Calibri" w:hAnsi="Calibri" w:cs="Calibri"/>
          <w:rtl/>
          <w:lang w:bidi="ar-SA"/>
        </w:rPr>
        <w:t xml:space="preserve">شعبة </w:t>
      </w:r>
      <w:r w:rsidRPr="00A14F8A">
        <w:rPr>
          <w:rFonts w:ascii="Calibri" w:hAnsi="Calibri" w:cs="Calibri"/>
          <w:rtl/>
          <w:lang w:bidi="ar-SA"/>
        </w:rPr>
        <w:t>كبير</w:t>
      </w:r>
      <w:r w:rsidR="007424E0" w:rsidRPr="00A14F8A">
        <w:rPr>
          <w:rFonts w:ascii="Calibri" w:hAnsi="Calibri" w:cs="Calibri"/>
          <w:rtl/>
          <w:lang w:bidi="ar-SA"/>
        </w:rPr>
        <w:t xml:space="preserve"> </w:t>
      </w:r>
      <w:r w:rsidRPr="00A14F8A">
        <w:rPr>
          <w:rFonts w:ascii="Calibri" w:hAnsi="Calibri" w:cs="Calibri"/>
          <w:rtl/>
          <w:lang w:bidi="ar-SA"/>
        </w:rPr>
        <w:t xml:space="preserve">الاقتصاديين في وزارة المالية، </w:t>
      </w:r>
      <w:r w:rsidR="00BE121D" w:rsidRPr="00A14F8A">
        <w:rPr>
          <w:rFonts w:ascii="Calibri" w:hAnsi="Calibri" w:cs="Calibri"/>
          <w:rtl/>
          <w:lang w:bidi="ar-SA"/>
        </w:rPr>
        <w:t>سؤال</w:t>
      </w:r>
      <w:r w:rsidRPr="00A14F8A">
        <w:rPr>
          <w:rFonts w:ascii="Calibri" w:hAnsi="Calibri" w:cs="Calibri"/>
          <w:rtl/>
          <w:lang w:bidi="ar-SA"/>
        </w:rPr>
        <w:t xml:space="preserve"> "</w:t>
      </w:r>
      <w:r w:rsidRPr="00A14F8A">
        <w:rPr>
          <w:rFonts w:ascii="Calibri" w:hAnsi="Calibri" w:cs="Calibri"/>
          <w:b/>
          <w:bCs/>
          <w:rtl/>
          <w:lang w:bidi="ar-SA"/>
        </w:rPr>
        <w:t xml:space="preserve">ما الذي يؤثر على اهتمام الجمهور </w:t>
      </w:r>
      <w:r w:rsidR="007424E0" w:rsidRPr="00A14F8A">
        <w:rPr>
          <w:rFonts w:ascii="Calibri" w:hAnsi="Calibri" w:cs="Calibri"/>
          <w:b/>
          <w:bCs/>
          <w:rtl/>
          <w:lang w:bidi="ar-SA"/>
        </w:rPr>
        <w:t xml:space="preserve">في </w:t>
      </w:r>
      <w:r w:rsidRPr="00A14F8A">
        <w:rPr>
          <w:rFonts w:ascii="Calibri" w:hAnsi="Calibri" w:cs="Calibri"/>
          <w:b/>
          <w:bCs/>
          <w:rtl/>
          <w:lang w:bidi="ar-SA"/>
        </w:rPr>
        <w:t>سوق العملات المشفرة؟</w:t>
      </w:r>
      <w:r w:rsidRPr="00A14F8A">
        <w:rPr>
          <w:rFonts w:ascii="Calibri" w:hAnsi="Calibri" w:cs="Calibri"/>
          <w:rtl/>
          <w:lang w:bidi="ar-SA"/>
        </w:rPr>
        <w:t xml:space="preserve">". أوضح الباحثان أن اهتمام الجمهور بسوق العملات المشفرة، المُقاس من خلال حركة </w:t>
      </w:r>
      <w:r w:rsidR="007424E0" w:rsidRPr="00A14F8A">
        <w:rPr>
          <w:rFonts w:ascii="Calibri" w:hAnsi="Calibri" w:cs="Calibri"/>
          <w:rtl/>
          <w:lang w:bidi="ar-SA"/>
        </w:rPr>
        <w:t>تصفح</w:t>
      </w:r>
      <w:r w:rsidRPr="00A14F8A">
        <w:rPr>
          <w:rFonts w:ascii="Calibri" w:hAnsi="Calibri" w:cs="Calibri"/>
          <w:rtl/>
          <w:lang w:bidi="ar-SA"/>
        </w:rPr>
        <w:t xml:space="preserve"> الشبكة على المواقع الإلكترونية التي تُقدم محتوى وخدمات متعلقة بالعملات المشفرة، يرتبط بشكل رئيسي بدوافع </w:t>
      </w:r>
      <w:r w:rsidR="00A377E6" w:rsidRPr="00A14F8A">
        <w:rPr>
          <w:rFonts w:ascii="Calibri" w:hAnsi="Calibri" w:cs="Calibri"/>
          <w:rtl/>
          <w:lang w:bidi="ar-SA"/>
        </w:rPr>
        <w:t>تقديرية</w:t>
      </w:r>
      <w:r w:rsidRPr="00A14F8A">
        <w:rPr>
          <w:rFonts w:ascii="Calibri" w:hAnsi="Calibri" w:cs="Calibri"/>
          <w:rtl/>
          <w:lang w:bidi="ar-SA"/>
        </w:rPr>
        <w:t xml:space="preserve"> ويتأثر بعوامل عالمية. </w:t>
      </w:r>
      <w:r w:rsidR="00A377E6" w:rsidRPr="00A14F8A">
        <w:rPr>
          <w:rFonts w:ascii="Calibri" w:hAnsi="Calibri" w:cs="Calibri"/>
          <w:rtl/>
          <w:lang w:bidi="ar-SA"/>
        </w:rPr>
        <w:t>أثبت</w:t>
      </w:r>
      <w:r w:rsidRPr="00A14F8A">
        <w:rPr>
          <w:rFonts w:ascii="Calibri" w:hAnsi="Calibri" w:cs="Calibri"/>
          <w:rtl/>
          <w:lang w:bidi="ar-SA"/>
        </w:rPr>
        <w:t xml:space="preserve"> الباحثان</w:t>
      </w:r>
      <w:r w:rsidR="00A377E6" w:rsidRPr="00A14F8A">
        <w:rPr>
          <w:rFonts w:ascii="Calibri" w:hAnsi="Calibri" w:cs="Calibri"/>
          <w:rtl/>
          <w:lang w:bidi="ar-SA"/>
        </w:rPr>
        <w:t xml:space="preserve"> أيضاً</w:t>
      </w:r>
      <w:r w:rsidRPr="00A14F8A">
        <w:rPr>
          <w:rFonts w:ascii="Calibri" w:hAnsi="Calibri" w:cs="Calibri"/>
          <w:rtl/>
          <w:lang w:bidi="ar-SA"/>
        </w:rPr>
        <w:t xml:space="preserve"> أن هذا الاهتمام يرت</w:t>
      </w:r>
      <w:r w:rsidRPr="00A14F8A">
        <w:rPr>
          <w:rFonts w:ascii="Calibri" w:hAnsi="Calibri" w:cs="Calibri"/>
          <w:rtl/>
          <w:lang w:bidi="ar-SA"/>
        </w:rPr>
        <w:t>بط ارتباطًا مباشرًا بالإجراءات التنظيمية، حيث تُصاحب زيادة الرقابة زيادة في الاهتمام، بينما تُقلل إجراءات الإنفاذ من هذا الاهتمام.</w:t>
      </w:r>
    </w:p>
    <w:p w:rsidR="00602220" w:rsidRPr="00A14F8A" w:rsidRDefault="00DA62EE" w:rsidP="00A377E6">
      <w:pPr>
        <w:spacing w:before="120"/>
        <w:rPr>
          <w:rFonts w:ascii="Calibri" w:hAnsi="Calibri" w:cs="Calibri"/>
          <w:rtl/>
        </w:rPr>
      </w:pPr>
      <w:r w:rsidRPr="00A14F8A">
        <w:rPr>
          <w:rFonts w:ascii="Calibri" w:hAnsi="Calibri" w:cs="Calibri"/>
          <w:rtl/>
          <w:lang w:bidi="ar-SA"/>
        </w:rPr>
        <w:t xml:space="preserve">قدّم </w:t>
      </w:r>
      <w:r w:rsidRPr="00A14F8A">
        <w:rPr>
          <w:rFonts w:ascii="Calibri" w:hAnsi="Calibri" w:cs="Calibri"/>
          <w:b/>
          <w:bCs/>
          <w:rtl/>
          <w:lang w:bidi="ar-SA"/>
        </w:rPr>
        <w:t>جاي سيغال و</w:t>
      </w:r>
      <w:r w:rsidR="00A377E6" w:rsidRPr="00A14F8A">
        <w:rPr>
          <w:rFonts w:ascii="Calibri" w:hAnsi="Calibri" w:cs="Calibri"/>
          <w:b/>
          <w:bCs/>
          <w:rtl/>
          <w:lang w:bidi="ar-SA"/>
        </w:rPr>
        <w:t>ع</w:t>
      </w:r>
      <w:r w:rsidRPr="00A14F8A">
        <w:rPr>
          <w:rFonts w:ascii="Calibri" w:hAnsi="Calibri" w:cs="Calibri"/>
          <w:b/>
          <w:bCs/>
          <w:rtl/>
          <w:lang w:bidi="ar-SA"/>
        </w:rPr>
        <w:t>يريت روزن</w:t>
      </w:r>
      <w:r w:rsidR="00A377E6" w:rsidRPr="00A14F8A">
        <w:rPr>
          <w:rFonts w:ascii="Calibri" w:hAnsi="Calibri" w:cs="Calibri"/>
          <w:b/>
          <w:bCs/>
          <w:rtl/>
          <w:lang w:bidi="ar-SA"/>
        </w:rPr>
        <w:t>ش</w:t>
      </w:r>
      <w:r w:rsidRPr="00A14F8A">
        <w:rPr>
          <w:rFonts w:ascii="Calibri" w:hAnsi="Calibri" w:cs="Calibri"/>
          <w:b/>
          <w:bCs/>
          <w:rtl/>
          <w:lang w:bidi="ar-SA"/>
        </w:rPr>
        <w:t>تروم</w:t>
      </w:r>
      <w:r w:rsidRPr="00A14F8A">
        <w:rPr>
          <w:rFonts w:ascii="Calibri" w:hAnsi="Calibri" w:cs="Calibri"/>
          <w:rtl/>
          <w:lang w:bidi="ar-SA"/>
        </w:rPr>
        <w:t xml:space="preserve"> من بنك إسرائيل تحليلاً نظرياً لتأثير الإصدار المُحتمل لعملة رقمية للبنك المركزي على النظام ال</w:t>
      </w:r>
      <w:r w:rsidRPr="00A14F8A">
        <w:rPr>
          <w:rFonts w:ascii="Calibri" w:hAnsi="Calibri" w:cs="Calibri"/>
          <w:rtl/>
          <w:lang w:bidi="ar-SA"/>
        </w:rPr>
        <w:t>مصرفي في مقالهما "</w:t>
      </w:r>
      <w:r w:rsidR="00A377E6" w:rsidRPr="00A14F8A">
        <w:rPr>
          <w:rFonts w:ascii="Calibri" w:hAnsi="Calibri" w:cs="Calibri"/>
          <w:b/>
          <w:bCs/>
        </w:rPr>
        <w:t xml:space="preserve"> Central Bank Digital Currency and the</w:t>
      </w:r>
      <w:r w:rsidR="00A377E6" w:rsidRPr="00A14F8A">
        <w:rPr>
          <w:rFonts w:ascii="Calibri" w:hAnsi="Calibri" w:cs="Calibri"/>
        </w:rPr>
        <w:t xml:space="preserve"> </w:t>
      </w:r>
      <w:r w:rsidR="00A377E6" w:rsidRPr="00A14F8A">
        <w:rPr>
          <w:rFonts w:ascii="Calibri" w:hAnsi="Calibri" w:cs="Calibri"/>
          <w:b/>
          <w:bCs/>
        </w:rPr>
        <w:t>Banking System</w:t>
      </w:r>
      <w:r w:rsidRPr="00A14F8A">
        <w:rPr>
          <w:rFonts w:ascii="Calibri" w:hAnsi="Calibri" w:cs="Calibri"/>
          <w:rtl/>
          <w:lang w:bidi="ar-SA"/>
        </w:rPr>
        <w:t xml:space="preserve">". </w:t>
      </w:r>
      <w:r w:rsidR="00A377E6" w:rsidRPr="00A14F8A">
        <w:rPr>
          <w:rFonts w:ascii="Calibri" w:hAnsi="Calibri" w:cs="Calibri"/>
          <w:rtl/>
          <w:lang w:bidi="ar-SA"/>
        </w:rPr>
        <w:t>وأثبتا</w:t>
      </w:r>
      <w:r w:rsidRPr="00A14F8A">
        <w:rPr>
          <w:rFonts w:ascii="Calibri" w:hAnsi="Calibri" w:cs="Calibri"/>
          <w:rtl/>
          <w:lang w:bidi="ar-SA"/>
        </w:rPr>
        <w:t xml:space="preserve"> أنه في ظل افتراضات مُحددة، يُتوقع أن يؤدي إصدار عملة رقمية للبنك المركزي</w:t>
      </w:r>
      <w:r w:rsidR="00A377E6" w:rsidRPr="00A14F8A">
        <w:rPr>
          <w:rFonts w:ascii="Calibri" w:hAnsi="Calibri" w:cs="Calibri"/>
          <w:rtl/>
          <w:lang w:bidi="ar-SA"/>
        </w:rPr>
        <w:t xml:space="preserve"> </w:t>
      </w:r>
      <w:r w:rsidR="00A377E6" w:rsidRPr="00A14F8A">
        <w:rPr>
          <w:rFonts w:ascii="Calibri" w:hAnsi="Calibri" w:cs="Calibri"/>
        </w:rPr>
        <w:t>CBDC</w:t>
      </w:r>
      <w:r w:rsidRPr="00A14F8A">
        <w:rPr>
          <w:rFonts w:ascii="Calibri" w:hAnsi="Calibri" w:cs="Calibri"/>
          <w:rtl/>
          <w:lang w:bidi="ar-SA"/>
        </w:rPr>
        <w:t xml:space="preserve">، في حال اتخاذ </w:t>
      </w:r>
      <w:r w:rsidR="00A377E6" w:rsidRPr="00A14F8A">
        <w:rPr>
          <w:rFonts w:ascii="Calibri" w:hAnsi="Calibri" w:cs="Calibri"/>
          <w:rtl/>
          <w:lang w:bidi="ar-SA"/>
        </w:rPr>
        <w:t>القرار</w:t>
      </w:r>
      <w:r w:rsidRPr="00A14F8A">
        <w:rPr>
          <w:rFonts w:ascii="Calibri" w:hAnsi="Calibri" w:cs="Calibri"/>
          <w:rtl/>
          <w:lang w:bidi="ar-SA"/>
        </w:rPr>
        <w:t>، إلى زيادة الفائدة المدفوعة على الودائع المصرفية، مع تغيير طفيف فقط في إجمال</w:t>
      </w:r>
      <w:r w:rsidRPr="00A14F8A">
        <w:rPr>
          <w:rFonts w:ascii="Calibri" w:hAnsi="Calibri" w:cs="Calibri"/>
          <w:rtl/>
          <w:lang w:bidi="ar-SA"/>
        </w:rPr>
        <w:t>ي حجم الودائع، وزيادة في الأصول السائلة التي يحتفظ بها الجمهور - النقد والودائع المصرفية و</w:t>
      </w:r>
      <w:r w:rsidR="00A377E6" w:rsidRPr="00A14F8A">
        <w:rPr>
          <w:rFonts w:ascii="Calibri" w:hAnsi="Calibri" w:cs="Calibri"/>
        </w:rPr>
        <w:t>CBDC</w:t>
      </w:r>
      <w:r w:rsidRPr="00A14F8A">
        <w:rPr>
          <w:rFonts w:ascii="Calibri" w:hAnsi="Calibri" w:cs="Calibri"/>
          <w:rtl/>
          <w:lang w:bidi="ar-SA"/>
        </w:rPr>
        <w:t xml:space="preserve">. من المتوقع أن يكون التأثير السلبي على عرض الائتمان المصرفي محدوداً في سوق </w:t>
      </w:r>
      <w:r w:rsidR="00A377E6" w:rsidRPr="00A14F8A">
        <w:rPr>
          <w:rFonts w:ascii="Calibri" w:hAnsi="Calibri" w:cs="Calibri"/>
          <w:rtl/>
          <w:lang w:bidi="ar-SA"/>
        </w:rPr>
        <w:t>احتكارية</w:t>
      </w:r>
      <w:r w:rsidRPr="00A14F8A">
        <w:rPr>
          <w:rFonts w:ascii="Calibri" w:hAnsi="Calibri" w:cs="Calibri"/>
          <w:rtl/>
          <w:lang w:bidi="ar-SA"/>
        </w:rPr>
        <w:t xml:space="preserve"> ومربحة نسبياً.</w:t>
      </w:r>
    </w:p>
    <w:p w:rsidR="00602220" w:rsidRPr="00A14F8A" w:rsidRDefault="00DA62EE" w:rsidP="00BE121D">
      <w:pPr>
        <w:spacing w:before="120"/>
        <w:rPr>
          <w:rFonts w:ascii="Calibri" w:hAnsi="Calibri" w:cs="Calibri"/>
        </w:rPr>
      </w:pPr>
      <w:r w:rsidRPr="00A14F8A">
        <w:rPr>
          <w:rFonts w:ascii="Calibri" w:hAnsi="Calibri" w:cs="Calibri"/>
          <w:rtl/>
          <w:lang w:bidi="ar-SA"/>
        </w:rPr>
        <w:t xml:space="preserve">في ختام الجلسة، </w:t>
      </w:r>
      <w:r w:rsidR="009117F6" w:rsidRPr="00A14F8A">
        <w:rPr>
          <w:rFonts w:ascii="Calibri" w:hAnsi="Calibri" w:cs="Calibri"/>
          <w:rtl/>
          <w:lang w:bidi="ar-SA"/>
        </w:rPr>
        <w:t>عرضت</w:t>
      </w:r>
      <w:r w:rsidRPr="00A14F8A">
        <w:rPr>
          <w:rFonts w:ascii="Calibri" w:hAnsi="Calibri" w:cs="Calibri"/>
          <w:rtl/>
          <w:lang w:bidi="ar-SA"/>
        </w:rPr>
        <w:t xml:space="preserve"> </w:t>
      </w:r>
      <w:r w:rsidRPr="00A14F8A">
        <w:rPr>
          <w:rFonts w:ascii="Calibri" w:hAnsi="Calibri" w:cs="Calibri"/>
          <w:b/>
          <w:bCs/>
          <w:rtl/>
          <w:lang w:bidi="ar-SA"/>
        </w:rPr>
        <w:t>ليلاخ ش</w:t>
      </w:r>
      <w:r w:rsidR="009117F6" w:rsidRPr="00A14F8A">
        <w:rPr>
          <w:rFonts w:ascii="Calibri" w:hAnsi="Calibri" w:cs="Calibri"/>
          <w:b/>
          <w:bCs/>
          <w:rtl/>
          <w:lang w:bidi="ar-SA"/>
        </w:rPr>
        <w:t>ماع</w:t>
      </w:r>
      <w:r w:rsidRPr="00A14F8A">
        <w:rPr>
          <w:rFonts w:ascii="Calibri" w:hAnsi="Calibri" w:cs="Calibri"/>
          <w:b/>
          <w:bCs/>
          <w:rtl/>
          <w:lang w:bidi="ar-SA"/>
        </w:rPr>
        <w:t>-</w:t>
      </w:r>
      <w:r w:rsidR="009117F6" w:rsidRPr="00A14F8A">
        <w:rPr>
          <w:rFonts w:ascii="Calibri" w:hAnsi="Calibri" w:cs="Calibri"/>
          <w:b/>
          <w:bCs/>
          <w:rtl/>
          <w:lang w:bidi="ar-SA"/>
        </w:rPr>
        <w:t xml:space="preserve"> </w:t>
      </w:r>
      <w:r w:rsidRPr="00A14F8A">
        <w:rPr>
          <w:rFonts w:ascii="Calibri" w:hAnsi="Calibri" w:cs="Calibri"/>
          <w:b/>
          <w:bCs/>
          <w:rtl/>
          <w:lang w:bidi="ar-SA"/>
        </w:rPr>
        <w:t>زلتوكريلوف</w:t>
      </w:r>
      <w:r w:rsidR="009117F6" w:rsidRPr="00A14F8A">
        <w:rPr>
          <w:rFonts w:ascii="Calibri" w:hAnsi="Calibri" w:cs="Calibri"/>
          <w:rtl/>
          <w:lang w:bidi="ar-SA"/>
        </w:rPr>
        <w:t xml:space="preserve"> من بنك إسرائيل تحليل متابعة</w:t>
      </w:r>
      <w:r w:rsidRPr="00A14F8A">
        <w:rPr>
          <w:rFonts w:ascii="Calibri" w:hAnsi="Calibri" w:cs="Calibri"/>
          <w:rtl/>
          <w:lang w:bidi="ar-SA"/>
        </w:rPr>
        <w:t xml:space="preserve"> لـ"</w:t>
      </w:r>
      <w:r w:rsidRPr="00A14F8A">
        <w:rPr>
          <w:rFonts w:ascii="Calibri" w:hAnsi="Calibri" w:cs="Calibri"/>
          <w:b/>
          <w:bCs/>
          <w:rtl/>
          <w:lang w:bidi="ar-SA"/>
        </w:rPr>
        <w:t xml:space="preserve">تقرير ملخص البحث: استعداد الجمهور الإسرائيلي لاعتماد الشيكل الرقمي، </w:t>
      </w:r>
      <w:r w:rsidR="009117F6" w:rsidRPr="00A14F8A">
        <w:rPr>
          <w:rFonts w:ascii="Calibri" w:hAnsi="Calibri" w:cs="Calibri"/>
          <w:b/>
          <w:bCs/>
          <w:rtl/>
          <w:lang w:bidi="ar-SA"/>
        </w:rPr>
        <w:t>شباط</w:t>
      </w:r>
      <w:r w:rsidRPr="00A14F8A">
        <w:rPr>
          <w:rFonts w:ascii="Calibri" w:hAnsi="Calibri" w:cs="Calibri"/>
          <w:b/>
          <w:bCs/>
          <w:rtl/>
          <w:lang w:bidi="ar-SA"/>
        </w:rPr>
        <w:t xml:space="preserve"> 2025</w:t>
      </w:r>
      <w:r w:rsidRPr="00A14F8A">
        <w:rPr>
          <w:rFonts w:ascii="Calibri" w:hAnsi="Calibri" w:cs="Calibri"/>
          <w:rtl/>
          <w:lang w:bidi="ar-SA"/>
        </w:rPr>
        <w:t>"، والذي استطلع آراء الجمهور حول استعدادهم لاعتماد الشيكل الرقمي في حال إصداره. أظهرت نتائج الاستطلاع أن حوالي نصف المشاركين أبدوا اهتمامًا بالشيكل</w:t>
      </w:r>
      <w:r w:rsidRPr="00A14F8A">
        <w:rPr>
          <w:rFonts w:ascii="Calibri" w:hAnsi="Calibri" w:cs="Calibri"/>
          <w:rtl/>
          <w:lang w:bidi="ar-SA"/>
        </w:rPr>
        <w:t xml:space="preserve"> الرقمي، وأن </w:t>
      </w:r>
      <w:r w:rsidR="009117F6" w:rsidRPr="00A14F8A">
        <w:rPr>
          <w:rFonts w:ascii="Calibri" w:hAnsi="Calibri" w:cs="Calibri"/>
          <w:rtl/>
          <w:lang w:bidi="ar-SA"/>
        </w:rPr>
        <w:t>ل</w:t>
      </w:r>
      <w:r w:rsidRPr="00A14F8A">
        <w:rPr>
          <w:rFonts w:ascii="Calibri" w:hAnsi="Calibri" w:cs="Calibri"/>
          <w:rtl/>
          <w:lang w:bidi="ar-SA"/>
        </w:rPr>
        <w:t xml:space="preserve">خصائصه </w:t>
      </w:r>
      <w:r w:rsidR="009117F6" w:rsidRPr="00A14F8A">
        <w:rPr>
          <w:rFonts w:ascii="Calibri" w:hAnsi="Calibri" w:cs="Calibri"/>
          <w:rtl/>
          <w:lang w:bidi="ar-SA"/>
        </w:rPr>
        <w:t>أهمية</w:t>
      </w:r>
      <w:r w:rsidRPr="00A14F8A">
        <w:rPr>
          <w:rFonts w:ascii="Calibri" w:hAnsi="Calibri" w:cs="Calibri"/>
          <w:rtl/>
          <w:lang w:bidi="ar-SA"/>
        </w:rPr>
        <w:t xml:space="preserve"> أيضًا في حال إصداره. تبيّن أن الجمهور يُفضّل حماية المعلومات والفائدة على </w:t>
      </w:r>
      <w:r w:rsidR="00BE121D" w:rsidRPr="00A14F8A">
        <w:rPr>
          <w:rFonts w:ascii="Calibri" w:hAnsi="Calibri" w:cs="Calibri"/>
          <w:rtl/>
          <w:lang w:bidi="ar-SA"/>
        </w:rPr>
        <w:t>هذه العمولات</w:t>
      </w:r>
      <w:r w:rsidRPr="00A14F8A">
        <w:rPr>
          <w:rFonts w:ascii="Calibri" w:hAnsi="Calibri" w:cs="Calibri"/>
          <w:rtl/>
          <w:lang w:bidi="ar-SA"/>
        </w:rPr>
        <w:t xml:space="preserve"> والرسوم المنخفضة على إخفاء الهوية. كما تبيّن أن مستوى الثقة ببنك إسرائيل عاملٌ أساسي في استعداد الجمهور لاعتماد الشيكل الرقمي. بالإضافة إلى ذل</w:t>
      </w:r>
      <w:r w:rsidRPr="00A14F8A">
        <w:rPr>
          <w:rFonts w:ascii="Calibri" w:hAnsi="Calibri" w:cs="Calibri"/>
          <w:rtl/>
          <w:lang w:bidi="ar-SA"/>
        </w:rPr>
        <w:t>ك، تبيّن أن ارتفاع مستوى الثقافة الرقمية يرتبط بارتفاع مستوى الاستعداد لاعتماد الشيكل الرقمي.</w:t>
      </w:r>
    </w:p>
    <w:p w:rsidR="00602220" w:rsidRPr="00A14F8A" w:rsidRDefault="00DA62EE" w:rsidP="00BE121D">
      <w:pPr>
        <w:spacing w:before="120"/>
        <w:rPr>
          <w:rFonts w:ascii="Calibri" w:hAnsi="Calibri" w:cs="Calibri"/>
        </w:rPr>
      </w:pPr>
      <w:r w:rsidRPr="00A14F8A">
        <w:rPr>
          <w:rFonts w:ascii="Calibri" w:hAnsi="Calibri" w:cs="Calibri"/>
          <w:rtl/>
          <w:lang w:bidi="ar-SA"/>
        </w:rPr>
        <w:t>تعكس المواضيع المتنوعة التي طُرحت في المؤتمر العمل البحثي المكثف الذي يُجريه بنك إسرائيل حول القضايا المتعلقة بالتكنولوجيا بمختلف جوانبها وتأثيرها على كل من النشا</w:t>
      </w:r>
      <w:r w:rsidRPr="00A14F8A">
        <w:rPr>
          <w:rFonts w:ascii="Calibri" w:hAnsi="Calibri" w:cs="Calibri"/>
          <w:rtl/>
          <w:lang w:bidi="ar-SA"/>
        </w:rPr>
        <w:t xml:space="preserve">ط الاقتصادي الكلي وسوق العمل والأسواق المالية. </w:t>
      </w:r>
      <w:r w:rsidR="009117F6" w:rsidRPr="00A14F8A">
        <w:rPr>
          <w:rFonts w:ascii="Calibri" w:hAnsi="Calibri" w:cs="Calibri"/>
          <w:rtl/>
          <w:lang w:bidi="ar-SA"/>
        </w:rPr>
        <w:t>سنستمر بمواكبة هذه المواضيع من منطلق</w:t>
      </w:r>
      <w:r w:rsidRPr="00A14F8A">
        <w:rPr>
          <w:rFonts w:ascii="Calibri" w:hAnsi="Calibri" w:cs="Calibri"/>
          <w:rtl/>
          <w:lang w:bidi="ar-SA"/>
        </w:rPr>
        <w:t xml:space="preserve"> أهميتها المحورية في فهم العمليات الاقتصادية والسياسات الاقتصادية اللازمة </w:t>
      </w:r>
      <w:r w:rsidR="00BE121D" w:rsidRPr="00A14F8A">
        <w:rPr>
          <w:rFonts w:ascii="Calibri" w:hAnsi="Calibri" w:cs="Calibri"/>
          <w:rtl/>
          <w:lang w:bidi="ar-SA"/>
        </w:rPr>
        <w:t>و</w:t>
      </w:r>
      <w:r w:rsidRPr="00A14F8A">
        <w:rPr>
          <w:rFonts w:ascii="Calibri" w:hAnsi="Calibri" w:cs="Calibri"/>
          <w:rtl/>
          <w:lang w:bidi="ar-SA"/>
        </w:rPr>
        <w:t xml:space="preserve">تمكين النمو الاقتصادي المستدام. سيواصل بنك إسرائيل، وخاصةً </w:t>
      </w:r>
      <w:r w:rsidR="009117F6" w:rsidRPr="00A14F8A">
        <w:rPr>
          <w:rFonts w:ascii="Calibri" w:hAnsi="Calibri" w:cs="Calibri"/>
          <w:rtl/>
          <w:lang w:bidi="ar-SA"/>
        </w:rPr>
        <w:t>شعبة</w:t>
      </w:r>
      <w:r w:rsidRPr="00A14F8A">
        <w:rPr>
          <w:rFonts w:ascii="Calibri" w:hAnsi="Calibri" w:cs="Calibri"/>
          <w:rtl/>
          <w:lang w:bidi="ar-SA"/>
        </w:rPr>
        <w:t xml:space="preserve"> الأبحاث، بالتعاون مع باحثين من مؤس</w:t>
      </w:r>
      <w:r w:rsidRPr="00A14F8A">
        <w:rPr>
          <w:rFonts w:ascii="Calibri" w:hAnsi="Calibri" w:cs="Calibri"/>
          <w:rtl/>
          <w:lang w:bidi="ar-SA"/>
        </w:rPr>
        <w:t xml:space="preserve">سات أخرى، </w:t>
      </w:r>
      <w:r w:rsidR="009117F6" w:rsidRPr="00A14F8A">
        <w:rPr>
          <w:rFonts w:ascii="Calibri" w:hAnsi="Calibri" w:cs="Calibri"/>
          <w:rtl/>
          <w:lang w:bidi="ar-SA"/>
        </w:rPr>
        <w:t>متابعة</w:t>
      </w:r>
      <w:r w:rsidRPr="00A14F8A">
        <w:rPr>
          <w:rFonts w:ascii="Calibri" w:hAnsi="Calibri" w:cs="Calibri"/>
          <w:rtl/>
          <w:lang w:bidi="ar-SA"/>
        </w:rPr>
        <w:t xml:space="preserve"> هذه المواضيع وغيرها ودراستها، بهدف تقديم دعم مهني </w:t>
      </w:r>
      <w:r w:rsidR="009117F6" w:rsidRPr="00A14F8A">
        <w:rPr>
          <w:rFonts w:ascii="Calibri" w:hAnsi="Calibri" w:cs="Calibri"/>
          <w:rtl/>
          <w:lang w:bidi="ar-SA"/>
        </w:rPr>
        <w:t>لتشكيل</w:t>
      </w:r>
      <w:r w:rsidRPr="00A14F8A">
        <w:rPr>
          <w:rFonts w:ascii="Calibri" w:hAnsi="Calibri" w:cs="Calibri"/>
          <w:rtl/>
          <w:lang w:bidi="ar-SA"/>
        </w:rPr>
        <w:t xml:space="preserve"> السياسات الاقتصادية في السنوات القادمة.</w:t>
      </w:r>
      <w:bookmarkEnd w:id="0"/>
    </w:p>
    <w:sectPr w:rsidR="00602220" w:rsidRPr="00A14F8A" w:rsidSect="00531DDB">
      <w:foot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A62EE">
      <w:pPr>
        <w:spacing w:line="240" w:lineRule="auto"/>
      </w:pPr>
      <w:r>
        <w:separator/>
      </w:r>
    </w:p>
  </w:endnote>
  <w:endnote w:type="continuationSeparator" w:id="0">
    <w:p w:rsidR="00000000" w:rsidRDefault="00DA62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21638286"/>
      <w:docPartObj>
        <w:docPartGallery w:val="Page Numbers (Bottom of Page)"/>
        <w:docPartUnique/>
      </w:docPartObj>
    </w:sdtPr>
    <w:sdtEndPr>
      <w:rPr>
        <w:noProof/>
      </w:rPr>
    </w:sdtEndPr>
    <w:sdtContent>
      <w:p w:rsidR="009B5FBD" w:rsidRDefault="00DA62EE">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rsidR="0085468A" w:rsidRDefault="0085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A62EE">
      <w:pPr>
        <w:spacing w:line="240" w:lineRule="auto"/>
      </w:pPr>
      <w:r>
        <w:separator/>
      </w:r>
    </w:p>
  </w:footnote>
  <w:footnote w:type="continuationSeparator" w:id="0">
    <w:p w:rsidR="00000000" w:rsidRDefault="00DA62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950BB"/>
    <w:multiLevelType w:val="hybridMultilevel"/>
    <w:tmpl w:val="681E9F6E"/>
    <w:lvl w:ilvl="0" w:tplc="6A4AEFBE">
      <w:numFmt w:val="bullet"/>
      <w:lvlText w:val="-"/>
      <w:lvlJc w:val="left"/>
      <w:pPr>
        <w:ind w:left="720" w:hanging="360"/>
      </w:pPr>
      <w:rPr>
        <w:rFonts w:ascii="David" w:eastAsia="Times New Roman" w:hAnsi="David" w:cs="David" w:hint="default"/>
        <w:color w:val="auto"/>
      </w:rPr>
    </w:lvl>
    <w:lvl w:ilvl="1" w:tplc="0A88787C" w:tentative="1">
      <w:start w:val="1"/>
      <w:numFmt w:val="bullet"/>
      <w:lvlText w:val="o"/>
      <w:lvlJc w:val="left"/>
      <w:pPr>
        <w:ind w:left="1440" w:hanging="360"/>
      </w:pPr>
      <w:rPr>
        <w:rFonts w:ascii="Courier New" w:hAnsi="Courier New" w:cs="Courier New" w:hint="default"/>
      </w:rPr>
    </w:lvl>
    <w:lvl w:ilvl="2" w:tplc="A1EA0D30" w:tentative="1">
      <w:start w:val="1"/>
      <w:numFmt w:val="bullet"/>
      <w:lvlText w:val=""/>
      <w:lvlJc w:val="left"/>
      <w:pPr>
        <w:ind w:left="2160" w:hanging="360"/>
      </w:pPr>
      <w:rPr>
        <w:rFonts w:ascii="Wingdings" w:hAnsi="Wingdings" w:hint="default"/>
      </w:rPr>
    </w:lvl>
    <w:lvl w:ilvl="3" w:tplc="693A470C" w:tentative="1">
      <w:start w:val="1"/>
      <w:numFmt w:val="bullet"/>
      <w:lvlText w:val=""/>
      <w:lvlJc w:val="left"/>
      <w:pPr>
        <w:ind w:left="2880" w:hanging="360"/>
      </w:pPr>
      <w:rPr>
        <w:rFonts w:ascii="Symbol" w:hAnsi="Symbol" w:hint="default"/>
      </w:rPr>
    </w:lvl>
    <w:lvl w:ilvl="4" w:tplc="1A685374" w:tentative="1">
      <w:start w:val="1"/>
      <w:numFmt w:val="bullet"/>
      <w:lvlText w:val="o"/>
      <w:lvlJc w:val="left"/>
      <w:pPr>
        <w:ind w:left="3600" w:hanging="360"/>
      </w:pPr>
      <w:rPr>
        <w:rFonts w:ascii="Courier New" w:hAnsi="Courier New" w:cs="Courier New" w:hint="default"/>
      </w:rPr>
    </w:lvl>
    <w:lvl w:ilvl="5" w:tplc="062E85B8" w:tentative="1">
      <w:start w:val="1"/>
      <w:numFmt w:val="bullet"/>
      <w:lvlText w:val=""/>
      <w:lvlJc w:val="left"/>
      <w:pPr>
        <w:ind w:left="4320" w:hanging="360"/>
      </w:pPr>
      <w:rPr>
        <w:rFonts w:ascii="Wingdings" w:hAnsi="Wingdings" w:hint="default"/>
      </w:rPr>
    </w:lvl>
    <w:lvl w:ilvl="6" w:tplc="6CD0E1E0" w:tentative="1">
      <w:start w:val="1"/>
      <w:numFmt w:val="bullet"/>
      <w:lvlText w:val=""/>
      <w:lvlJc w:val="left"/>
      <w:pPr>
        <w:ind w:left="5040" w:hanging="360"/>
      </w:pPr>
      <w:rPr>
        <w:rFonts w:ascii="Symbol" w:hAnsi="Symbol" w:hint="default"/>
      </w:rPr>
    </w:lvl>
    <w:lvl w:ilvl="7" w:tplc="DD8845B8" w:tentative="1">
      <w:start w:val="1"/>
      <w:numFmt w:val="bullet"/>
      <w:lvlText w:val="o"/>
      <w:lvlJc w:val="left"/>
      <w:pPr>
        <w:ind w:left="5760" w:hanging="360"/>
      </w:pPr>
      <w:rPr>
        <w:rFonts w:ascii="Courier New" w:hAnsi="Courier New" w:cs="Courier New" w:hint="default"/>
      </w:rPr>
    </w:lvl>
    <w:lvl w:ilvl="8" w:tplc="37365B9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40"/>
    <w:rsid w:val="0000598B"/>
    <w:rsid w:val="000060F9"/>
    <w:rsid w:val="00011D2F"/>
    <w:rsid w:val="000249D4"/>
    <w:rsid w:val="00024B29"/>
    <w:rsid w:val="0003415D"/>
    <w:rsid w:val="00042D80"/>
    <w:rsid w:val="0004703D"/>
    <w:rsid w:val="00057AD3"/>
    <w:rsid w:val="00073355"/>
    <w:rsid w:val="0007536A"/>
    <w:rsid w:val="000820E8"/>
    <w:rsid w:val="00085F4A"/>
    <w:rsid w:val="00090928"/>
    <w:rsid w:val="000B3737"/>
    <w:rsid w:val="000C7DA1"/>
    <w:rsid w:val="000C7E69"/>
    <w:rsid w:val="000D4FEA"/>
    <w:rsid w:val="000F677A"/>
    <w:rsid w:val="00114EE1"/>
    <w:rsid w:val="00134C87"/>
    <w:rsid w:val="00142310"/>
    <w:rsid w:val="00142464"/>
    <w:rsid w:val="00156BC5"/>
    <w:rsid w:val="00161EAF"/>
    <w:rsid w:val="001808F7"/>
    <w:rsid w:val="00183AFD"/>
    <w:rsid w:val="001906E9"/>
    <w:rsid w:val="00196190"/>
    <w:rsid w:val="001A368C"/>
    <w:rsid w:val="001E5490"/>
    <w:rsid w:val="0020421F"/>
    <w:rsid w:val="00213512"/>
    <w:rsid w:val="00214785"/>
    <w:rsid w:val="00224F0F"/>
    <w:rsid w:val="002323F0"/>
    <w:rsid w:val="00240539"/>
    <w:rsid w:val="00256150"/>
    <w:rsid w:val="002606A4"/>
    <w:rsid w:val="0027347B"/>
    <w:rsid w:val="0028339B"/>
    <w:rsid w:val="002B5D7A"/>
    <w:rsid w:val="002B6714"/>
    <w:rsid w:val="002F11BD"/>
    <w:rsid w:val="002F2C37"/>
    <w:rsid w:val="00310E74"/>
    <w:rsid w:val="00316D89"/>
    <w:rsid w:val="003304E0"/>
    <w:rsid w:val="00332C7A"/>
    <w:rsid w:val="003357FF"/>
    <w:rsid w:val="00341BF3"/>
    <w:rsid w:val="00341FA5"/>
    <w:rsid w:val="003516D5"/>
    <w:rsid w:val="0038050D"/>
    <w:rsid w:val="003812A7"/>
    <w:rsid w:val="003868FC"/>
    <w:rsid w:val="003A3385"/>
    <w:rsid w:val="003A5E8C"/>
    <w:rsid w:val="003C2EC4"/>
    <w:rsid w:val="003C6472"/>
    <w:rsid w:val="003D4339"/>
    <w:rsid w:val="003E66A8"/>
    <w:rsid w:val="003E74A2"/>
    <w:rsid w:val="003F2B79"/>
    <w:rsid w:val="003F3B2C"/>
    <w:rsid w:val="003F5D40"/>
    <w:rsid w:val="003F746A"/>
    <w:rsid w:val="0040178C"/>
    <w:rsid w:val="00407ECD"/>
    <w:rsid w:val="00410123"/>
    <w:rsid w:val="00423AC9"/>
    <w:rsid w:val="004266C9"/>
    <w:rsid w:val="004268F6"/>
    <w:rsid w:val="00431774"/>
    <w:rsid w:val="00435D27"/>
    <w:rsid w:val="00456FF8"/>
    <w:rsid w:val="00463D8B"/>
    <w:rsid w:val="004A1DF2"/>
    <w:rsid w:val="004B1C72"/>
    <w:rsid w:val="004C1418"/>
    <w:rsid w:val="004C60A0"/>
    <w:rsid w:val="004D00B5"/>
    <w:rsid w:val="004E0337"/>
    <w:rsid w:val="004E4298"/>
    <w:rsid w:val="004E6A28"/>
    <w:rsid w:val="00502BB8"/>
    <w:rsid w:val="00503A32"/>
    <w:rsid w:val="005056F2"/>
    <w:rsid w:val="00510788"/>
    <w:rsid w:val="00531DDB"/>
    <w:rsid w:val="00546347"/>
    <w:rsid w:val="00575958"/>
    <w:rsid w:val="00585002"/>
    <w:rsid w:val="005A282A"/>
    <w:rsid w:val="005A5BF0"/>
    <w:rsid w:val="005C2E06"/>
    <w:rsid w:val="005D4255"/>
    <w:rsid w:val="005E0DA8"/>
    <w:rsid w:val="005E10FD"/>
    <w:rsid w:val="005E4F56"/>
    <w:rsid w:val="005E6405"/>
    <w:rsid w:val="00602220"/>
    <w:rsid w:val="00607CA7"/>
    <w:rsid w:val="00622446"/>
    <w:rsid w:val="00630593"/>
    <w:rsid w:val="006363B7"/>
    <w:rsid w:val="00636D28"/>
    <w:rsid w:val="00641D1C"/>
    <w:rsid w:val="00645D49"/>
    <w:rsid w:val="006642B2"/>
    <w:rsid w:val="006874FB"/>
    <w:rsid w:val="006C2DBF"/>
    <w:rsid w:val="006D0107"/>
    <w:rsid w:val="006D19DD"/>
    <w:rsid w:val="006D3641"/>
    <w:rsid w:val="006E4F6C"/>
    <w:rsid w:val="006F4E18"/>
    <w:rsid w:val="006F5E9F"/>
    <w:rsid w:val="007206A4"/>
    <w:rsid w:val="00722621"/>
    <w:rsid w:val="00732484"/>
    <w:rsid w:val="00733F7F"/>
    <w:rsid w:val="007424E0"/>
    <w:rsid w:val="00747628"/>
    <w:rsid w:val="007603F0"/>
    <w:rsid w:val="007939B2"/>
    <w:rsid w:val="007975DF"/>
    <w:rsid w:val="007A4F99"/>
    <w:rsid w:val="007B33C5"/>
    <w:rsid w:val="007B53B2"/>
    <w:rsid w:val="007B667A"/>
    <w:rsid w:val="007C4D23"/>
    <w:rsid w:val="007C5D40"/>
    <w:rsid w:val="007D25E0"/>
    <w:rsid w:val="007D561A"/>
    <w:rsid w:val="007E78D9"/>
    <w:rsid w:val="007F27F4"/>
    <w:rsid w:val="00825023"/>
    <w:rsid w:val="00834D85"/>
    <w:rsid w:val="00836F3A"/>
    <w:rsid w:val="00841D4B"/>
    <w:rsid w:val="0085039B"/>
    <w:rsid w:val="00851B5A"/>
    <w:rsid w:val="0085468A"/>
    <w:rsid w:val="008653AB"/>
    <w:rsid w:val="008824E6"/>
    <w:rsid w:val="008B0CF7"/>
    <w:rsid w:val="008C6B46"/>
    <w:rsid w:val="008F4B52"/>
    <w:rsid w:val="008F70F3"/>
    <w:rsid w:val="00907A15"/>
    <w:rsid w:val="009117F6"/>
    <w:rsid w:val="009259E7"/>
    <w:rsid w:val="00930B58"/>
    <w:rsid w:val="009611FF"/>
    <w:rsid w:val="00964777"/>
    <w:rsid w:val="00967E26"/>
    <w:rsid w:val="0097295E"/>
    <w:rsid w:val="009753B6"/>
    <w:rsid w:val="009761F3"/>
    <w:rsid w:val="0098298B"/>
    <w:rsid w:val="00990731"/>
    <w:rsid w:val="00991C44"/>
    <w:rsid w:val="00994BEE"/>
    <w:rsid w:val="009A53F9"/>
    <w:rsid w:val="009B5FBD"/>
    <w:rsid w:val="009C0579"/>
    <w:rsid w:val="009D094D"/>
    <w:rsid w:val="009D34EC"/>
    <w:rsid w:val="009D3F1E"/>
    <w:rsid w:val="009D55AC"/>
    <w:rsid w:val="00A138F2"/>
    <w:rsid w:val="00A141C7"/>
    <w:rsid w:val="00A14F8A"/>
    <w:rsid w:val="00A327BC"/>
    <w:rsid w:val="00A377E6"/>
    <w:rsid w:val="00A37A60"/>
    <w:rsid w:val="00AA53B3"/>
    <w:rsid w:val="00AB0706"/>
    <w:rsid w:val="00AB4651"/>
    <w:rsid w:val="00AB61DB"/>
    <w:rsid w:val="00AC1B27"/>
    <w:rsid w:val="00AD3BE2"/>
    <w:rsid w:val="00AE4353"/>
    <w:rsid w:val="00AF4E01"/>
    <w:rsid w:val="00B02DBB"/>
    <w:rsid w:val="00B17692"/>
    <w:rsid w:val="00B3575C"/>
    <w:rsid w:val="00B414CC"/>
    <w:rsid w:val="00B41ABD"/>
    <w:rsid w:val="00B52CE8"/>
    <w:rsid w:val="00B53A0B"/>
    <w:rsid w:val="00B63914"/>
    <w:rsid w:val="00B6456D"/>
    <w:rsid w:val="00B82E3D"/>
    <w:rsid w:val="00B95BBF"/>
    <w:rsid w:val="00BA27FF"/>
    <w:rsid w:val="00BB244C"/>
    <w:rsid w:val="00BB378C"/>
    <w:rsid w:val="00BC7619"/>
    <w:rsid w:val="00BD3610"/>
    <w:rsid w:val="00BD428E"/>
    <w:rsid w:val="00BE121D"/>
    <w:rsid w:val="00BF6067"/>
    <w:rsid w:val="00C001A6"/>
    <w:rsid w:val="00C04803"/>
    <w:rsid w:val="00C309FA"/>
    <w:rsid w:val="00C34E64"/>
    <w:rsid w:val="00C42C63"/>
    <w:rsid w:val="00C61206"/>
    <w:rsid w:val="00C62C75"/>
    <w:rsid w:val="00C6673E"/>
    <w:rsid w:val="00C67FA9"/>
    <w:rsid w:val="00C86E83"/>
    <w:rsid w:val="00CA1ECA"/>
    <w:rsid w:val="00CA3FD9"/>
    <w:rsid w:val="00CB33D3"/>
    <w:rsid w:val="00CB5CE9"/>
    <w:rsid w:val="00CC04C2"/>
    <w:rsid w:val="00CC07DE"/>
    <w:rsid w:val="00CC7DA0"/>
    <w:rsid w:val="00CD3355"/>
    <w:rsid w:val="00CF19B1"/>
    <w:rsid w:val="00D265FC"/>
    <w:rsid w:val="00D43A7A"/>
    <w:rsid w:val="00D44086"/>
    <w:rsid w:val="00D45FD2"/>
    <w:rsid w:val="00D47CBF"/>
    <w:rsid w:val="00D515E2"/>
    <w:rsid w:val="00D67B14"/>
    <w:rsid w:val="00D71FD8"/>
    <w:rsid w:val="00D74BD1"/>
    <w:rsid w:val="00D74D49"/>
    <w:rsid w:val="00D953EC"/>
    <w:rsid w:val="00DA0C73"/>
    <w:rsid w:val="00DA42D6"/>
    <w:rsid w:val="00DA62EE"/>
    <w:rsid w:val="00DA73F6"/>
    <w:rsid w:val="00DB1776"/>
    <w:rsid w:val="00DB64DA"/>
    <w:rsid w:val="00DC4BDE"/>
    <w:rsid w:val="00E07255"/>
    <w:rsid w:val="00E22847"/>
    <w:rsid w:val="00E32A0B"/>
    <w:rsid w:val="00E36596"/>
    <w:rsid w:val="00E3708A"/>
    <w:rsid w:val="00E47009"/>
    <w:rsid w:val="00E50E0C"/>
    <w:rsid w:val="00E511B2"/>
    <w:rsid w:val="00E54713"/>
    <w:rsid w:val="00E6629D"/>
    <w:rsid w:val="00E70047"/>
    <w:rsid w:val="00E7112E"/>
    <w:rsid w:val="00E92E4F"/>
    <w:rsid w:val="00E93A7E"/>
    <w:rsid w:val="00E93F27"/>
    <w:rsid w:val="00E956AA"/>
    <w:rsid w:val="00E97487"/>
    <w:rsid w:val="00EA6BCA"/>
    <w:rsid w:val="00EB267E"/>
    <w:rsid w:val="00EB294A"/>
    <w:rsid w:val="00ED1CAD"/>
    <w:rsid w:val="00EE7AF3"/>
    <w:rsid w:val="00F031C7"/>
    <w:rsid w:val="00F04263"/>
    <w:rsid w:val="00F11160"/>
    <w:rsid w:val="00F13834"/>
    <w:rsid w:val="00F20ECF"/>
    <w:rsid w:val="00F25A3F"/>
    <w:rsid w:val="00F27FCC"/>
    <w:rsid w:val="00F33B18"/>
    <w:rsid w:val="00F464CF"/>
    <w:rsid w:val="00F60D9E"/>
    <w:rsid w:val="00F915A1"/>
    <w:rsid w:val="00F957B8"/>
    <w:rsid w:val="00FB2609"/>
    <w:rsid w:val="00FB2EAD"/>
    <w:rsid w:val="00FD1147"/>
    <w:rsid w:val="00FE226E"/>
    <w:rsid w:val="00FF47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40"/>
    <w:pPr>
      <w:tabs>
        <w:tab w:val="left" w:pos="567"/>
        <w:tab w:val="left" w:pos="1134"/>
        <w:tab w:val="left" w:pos="1814"/>
        <w:tab w:val="left" w:pos="2665"/>
      </w:tabs>
      <w:bidi/>
      <w:spacing w:after="0" w:line="36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5D40"/>
    <w:rPr>
      <w:b/>
      <w:bCs/>
    </w:rPr>
  </w:style>
  <w:style w:type="paragraph" w:styleId="ListParagraph">
    <w:name w:val="List Paragraph"/>
    <w:basedOn w:val="Normal"/>
    <w:uiPriority w:val="34"/>
    <w:qFormat/>
    <w:rsid w:val="00B02DBB"/>
    <w:pPr>
      <w:ind w:left="720"/>
      <w:contextualSpacing/>
    </w:pPr>
  </w:style>
  <w:style w:type="paragraph" w:styleId="BalloonText">
    <w:name w:val="Balloon Text"/>
    <w:basedOn w:val="Normal"/>
    <w:link w:val="BalloonTextChar"/>
    <w:uiPriority w:val="99"/>
    <w:semiHidden/>
    <w:unhideWhenUsed/>
    <w:rsid w:val="000249D4"/>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249D4"/>
    <w:rPr>
      <w:rFonts w:ascii="Tahoma" w:eastAsia="Times New Roman" w:hAnsi="Tahoma" w:cs="Tahoma"/>
      <w:sz w:val="18"/>
      <w:szCs w:val="18"/>
    </w:rPr>
  </w:style>
  <w:style w:type="paragraph" w:styleId="Header">
    <w:name w:val="header"/>
    <w:basedOn w:val="Normal"/>
    <w:link w:val="HeaderChar"/>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HeaderChar">
    <w:name w:val="Header Char"/>
    <w:basedOn w:val="DefaultParagraphFont"/>
    <w:link w:val="Header"/>
    <w:uiPriority w:val="99"/>
    <w:rsid w:val="0085468A"/>
    <w:rPr>
      <w:rFonts w:ascii="Times New Roman" w:eastAsia="Times New Roman" w:hAnsi="Times New Roman" w:cs="David"/>
      <w:sz w:val="24"/>
      <w:szCs w:val="24"/>
    </w:rPr>
  </w:style>
  <w:style w:type="paragraph" w:styleId="Footer">
    <w:name w:val="footer"/>
    <w:basedOn w:val="Normal"/>
    <w:link w:val="FooterChar"/>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FooterChar">
    <w:name w:val="Footer Char"/>
    <w:basedOn w:val="DefaultParagraphFont"/>
    <w:link w:val="Footer"/>
    <w:uiPriority w:val="99"/>
    <w:rsid w:val="0085468A"/>
    <w:rPr>
      <w:rFonts w:ascii="Times New Roman" w:eastAsia="Times New Roman" w:hAnsi="Times New Roman" w:cs="David"/>
      <w:sz w:val="24"/>
      <w:szCs w:val="24"/>
    </w:rPr>
  </w:style>
  <w:style w:type="character" w:styleId="Hyperlink">
    <w:name w:val="Hyperlink"/>
    <w:basedOn w:val="DefaultParagraphFont"/>
    <w:uiPriority w:val="99"/>
    <w:unhideWhenUsed/>
    <w:rsid w:val="00196190"/>
    <w:rPr>
      <w:color w:val="0000FF" w:themeColor="hyperlink"/>
      <w:u w:val="single"/>
    </w:rPr>
  </w:style>
  <w:style w:type="paragraph" w:customStyle="1" w:styleId="Default">
    <w:name w:val="Default"/>
    <w:rsid w:val="00C6673E"/>
    <w:pPr>
      <w:autoSpaceDE w:val="0"/>
      <w:autoSpaceDN w:val="0"/>
      <w:bidi/>
      <w:adjustRightInd w:val="0"/>
      <w:spacing w:after="0" w:line="360" w:lineRule="auto"/>
      <w:jc w:val="both"/>
    </w:pPr>
    <w:rPr>
      <w:rFonts w:asciiTheme="majorBidi" w:hAnsiTheme="majorBidi" w:cs="David"/>
      <w:color w:val="000000"/>
      <w:sz w:val="24"/>
      <w:szCs w:val="24"/>
    </w:rPr>
  </w:style>
  <w:style w:type="character" w:styleId="CommentReference">
    <w:name w:val="annotation reference"/>
    <w:basedOn w:val="DefaultParagraphFont"/>
    <w:uiPriority w:val="99"/>
    <w:semiHidden/>
    <w:unhideWhenUsed/>
    <w:rsid w:val="00024B29"/>
    <w:rPr>
      <w:sz w:val="16"/>
      <w:szCs w:val="16"/>
    </w:rPr>
  </w:style>
  <w:style w:type="paragraph" w:styleId="CommentText">
    <w:name w:val="annotation text"/>
    <w:basedOn w:val="Normal"/>
    <w:link w:val="CommentTextChar"/>
    <w:uiPriority w:val="99"/>
    <w:semiHidden/>
    <w:unhideWhenUsed/>
    <w:rsid w:val="00024B29"/>
    <w:pPr>
      <w:spacing w:line="240" w:lineRule="auto"/>
    </w:pPr>
    <w:rPr>
      <w:sz w:val="20"/>
      <w:szCs w:val="20"/>
    </w:rPr>
  </w:style>
  <w:style w:type="character" w:customStyle="1" w:styleId="CommentTextChar">
    <w:name w:val="Comment Text Char"/>
    <w:basedOn w:val="DefaultParagraphFont"/>
    <w:link w:val="CommentText"/>
    <w:uiPriority w:val="99"/>
    <w:semiHidden/>
    <w:rsid w:val="00024B29"/>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024B29"/>
    <w:rPr>
      <w:b/>
      <w:bCs/>
    </w:rPr>
  </w:style>
  <w:style w:type="character" w:customStyle="1" w:styleId="CommentSubjectChar">
    <w:name w:val="Comment Subject Char"/>
    <w:basedOn w:val="CommentTextChar"/>
    <w:link w:val="CommentSubject"/>
    <w:uiPriority w:val="99"/>
    <w:semiHidden/>
    <w:rsid w:val="00024B29"/>
    <w:rPr>
      <w:rFonts w:ascii="Times New Roman" w:eastAsia="Times New Roman" w:hAnsi="Times New Roman" w:cs="David"/>
      <w:b/>
      <w:bCs/>
      <w:sz w:val="20"/>
      <w:szCs w:val="20"/>
    </w:rPr>
  </w:style>
  <w:style w:type="character" w:styleId="FollowedHyperlink">
    <w:name w:val="FollowedHyperlink"/>
    <w:basedOn w:val="DefaultParagraphFont"/>
    <w:uiPriority w:val="99"/>
    <w:semiHidden/>
    <w:unhideWhenUsed/>
    <w:rsid w:val="00410123"/>
    <w:rPr>
      <w:color w:val="800080" w:themeColor="followedHyperlink"/>
      <w:u w:val="single"/>
    </w:rPr>
  </w:style>
  <w:style w:type="paragraph" w:styleId="FootnoteText">
    <w:name w:val="footnote text"/>
    <w:basedOn w:val="Normal"/>
    <w:link w:val="FootnoteTextChar"/>
    <w:uiPriority w:val="99"/>
    <w:semiHidden/>
    <w:unhideWhenUsed/>
    <w:rsid w:val="003A3385"/>
    <w:pPr>
      <w:spacing w:line="240" w:lineRule="auto"/>
    </w:pPr>
    <w:rPr>
      <w:sz w:val="20"/>
      <w:szCs w:val="20"/>
    </w:rPr>
  </w:style>
  <w:style w:type="character" w:customStyle="1" w:styleId="FootnoteTextChar">
    <w:name w:val="Footnote Text Char"/>
    <w:basedOn w:val="DefaultParagraphFont"/>
    <w:link w:val="FootnoteText"/>
    <w:uiPriority w:val="99"/>
    <w:semiHidden/>
    <w:rsid w:val="003A3385"/>
    <w:rPr>
      <w:rFonts w:ascii="Times New Roman" w:eastAsia="Times New Roman" w:hAnsi="Times New Roman" w:cs="David"/>
      <w:sz w:val="20"/>
      <w:szCs w:val="20"/>
    </w:rPr>
  </w:style>
  <w:style w:type="character" w:styleId="FootnoteReference">
    <w:name w:val="footnote reference"/>
    <w:basedOn w:val="DefaultParagraphFont"/>
    <w:uiPriority w:val="99"/>
    <w:semiHidden/>
    <w:unhideWhenUsed/>
    <w:rsid w:val="003A3385"/>
    <w:rPr>
      <w:vertAlign w:val="superscript"/>
    </w:rPr>
  </w:style>
  <w:style w:type="table" w:styleId="TableGrid">
    <w:name w:val="Table Grid"/>
    <w:basedOn w:val="TableNormal"/>
    <w:uiPriority w:val="39"/>
    <w:rsid w:val="00B95BBF"/>
    <w:pPr>
      <w:spacing w:after="0" w:line="240" w:lineRule="auto"/>
    </w:pPr>
    <w:rPr>
      <w:rFonts w:ascii="David" w:eastAsia="David" w:hAnsi="David"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0539"/>
    <w:pPr>
      <w:spacing w:after="0" w:line="240" w:lineRule="auto"/>
    </w:pPr>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bb10b40ee8d3a599c5f62d28aa9a0b5">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c347f0a8e3e1664f2bb8f913eca227a"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E4DB-B005-4D89-9079-4214E277B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42D3D-1963-4F81-8AFA-5398489731FB}">
  <ds:schemaRefs>
    <ds:schemaRef ds:uri="http://schemas.microsoft.com/sharepoint/v3/contenttype/forms"/>
  </ds:schemaRefs>
</ds:datastoreItem>
</file>

<file path=customXml/itemProps3.xml><?xml version="1.0" encoding="utf-8"?>
<ds:datastoreItem xmlns:ds="http://schemas.openxmlformats.org/officeDocument/2006/customXml" ds:itemID="{26446184-442F-4BF3-8B7C-C23B2258C0BE}">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AAACE726-4ED0-49A6-ADDD-AFF6CD1B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6257</Characters>
  <Application>Microsoft Office Word</Application>
  <DocSecurity>4</DocSecurity>
  <Lines>118</Lines>
  <Paragraphs>60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2025-12-16T10:56:00Z</dcterms:created>
  <dcterms:modified xsi:type="dcterms:W3CDTF">2025-12-16T10:56:00Z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