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3C87F7" w14:textId="77777777" w:rsidR="008A7212" w:rsidRPr="00291C34" w:rsidRDefault="009C1E74" w:rsidP="001E3DF2">
      <w:pPr>
        <w:bidi w:val="0"/>
        <w:jc w:val="center"/>
        <w:rPr>
          <w:rFonts w:asciiTheme="minorHAnsi" w:hAnsiTheme="minorHAnsi" w:cstheme="minorHAnsi"/>
          <w:rtl/>
        </w:rPr>
      </w:pPr>
      <w:r w:rsidRPr="00291C34">
        <w:rPr>
          <w:rFonts w:asciiTheme="minorHAnsi" w:hAnsiTheme="minorHAnsi" w:cstheme="minorHAnsi"/>
          <w:noProof/>
          <w:rtl/>
        </w:rPr>
        <w:drawing>
          <wp:anchor distT="0" distB="0" distL="114300" distR="114300" simplePos="0" relativeHeight="251670528" behindDoc="0" locked="0" layoutInCell="1" allowOverlap="1" wp14:anchorId="002B862C" wp14:editId="4FB12A1E">
            <wp:simplePos x="0" y="0"/>
            <wp:positionH relativeFrom="margin">
              <wp:posOffset>2298065</wp:posOffset>
            </wp:positionH>
            <wp:positionV relativeFrom="margin">
              <wp:posOffset>-327660</wp:posOffset>
            </wp:positionV>
            <wp:extent cx="1191260" cy="1191260"/>
            <wp:effectExtent l="0" t="0" r="8890" b="8890"/>
            <wp:wrapSquare wrapText="bothSides"/>
            <wp:docPr id="1" name="Picture 1" descr="C:\Users\u17x\Desktop\תמונת לוגו (jpg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17x\Desktop\תמונת לוגו (jpg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1260" cy="1191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338F995" w14:textId="77777777" w:rsidR="008A7212" w:rsidRPr="00291C34" w:rsidRDefault="008A7212" w:rsidP="001E3DF2">
      <w:pPr>
        <w:pStyle w:val="regpar"/>
        <w:spacing w:line="240" w:lineRule="auto"/>
        <w:ind w:firstLine="0"/>
        <w:jc w:val="center"/>
        <w:rPr>
          <w:rFonts w:asciiTheme="minorHAnsi" w:hAnsiTheme="minorHAnsi" w:cstheme="minorHAnsi"/>
          <w:b/>
        </w:rPr>
      </w:pPr>
    </w:p>
    <w:p w14:paraId="3BCB7D5B" w14:textId="77777777" w:rsidR="009C1E74" w:rsidRPr="00291C34" w:rsidRDefault="009C1E74" w:rsidP="001E3DF2">
      <w:pPr>
        <w:pStyle w:val="regpar"/>
        <w:spacing w:line="240" w:lineRule="auto"/>
        <w:ind w:firstLine="0"/>
        <w:jc w:val="center"/>
        <w:rPr>
          <w:rFonts w:asciiTheme="minorHAnsi" w:hAnsiTheme="minorHAnsi" w:cstheme="minorHAnsi"/>
          <w:bCs/>
        </w:rPr>
      </w:pPr>
    </w:p>
    <w:p w14:paraId="0894D6B1" w14:textId="77777777" w:rsidR="009C1E74" w:rsidRPr="00291C34" w:rsidRDefault="009C1E74" w:rsidP="001E3DF2">
      <w:pPr>
        <w:pStyle w:val="regpar"/>
        <w:spacing w:line="240" w:lineRule="auto"/>
        <w:ind w:firstLine="0"/>
        <w:jc w:val="center"/>
        <w:rPr>
          <w:rFonts w:asciiTheme="minorHAnsi" w:hAnsiTheme="minorHAnsi" w:cstheme="minorHAnsi"/>
          <w:bCs/>
        </w:rPr>
      </w:pPr>
    </w:p>
    <w:p w14:paraId="50FD0B7B" w14:textId="77777777" w:rsidR="009C1E74" w:rsidRPr="00291C34" w:rsidRDefault="009C1E74" w:rsidP="001E3DF2">
      <w:pPr>
        <w:pStyle w:val="regpar"/>
        <w:spacing w:line="240" w:lineRule="auto"/>
        <w:ind w:firstLine="0"/>
        <w:jc w:val="center"/>
        <w:rPr>
          <w:rFonts w:asciiTheme="minorHAnsi" w:hAnsiTheme="minorHAnsi" w:cstheme="minorHAnsi"/>
          <w:bCs/>
        </w:rPr>
      </w:pPr>
    </w:p>
    <w:p w14:paraId="7D1CEFD0" w14:textId="77777777" w:rsidR="008A7212" w:rsidRPr="00291C34" w:rsidRDefault="008A7212" w:rsidP="001E3DF2">
      <w:pPr>
        <w:pStyle w:val="regpar"/>
        <w:spacing w:line="240" w:lineRule="auto"/>
        <w:ind w:firstLine="0"/>
        <w:jc w:val="center"/>
        <w:rPr>
          <w:rFonts w:asciiTheme="minorHAnsi" w:hAnsiTheme="minorHAnsi" w:cstheme="minorHAnsi"/>
          <w:bCs/>
        </w:rPr>
      </w:pPr>
      <w:r w:rsidRPr="00291C34">
        <w:rPr>
          <w:rFonts w:asciiTheme="minorHAnsi" w:hAnsiTheme="minorHAnsi" w:cstheme="minorHAnsi"/>
          <w:bCs/>
        </w:rPr>
        <w:t>BANK OF ISRAEL</w:t>
      </w:r>
    </w:p>
    <w:p w14:paraId="5A28EB35" w14:textId="77777777" w:rsidR="008A7212" w:rsidRPr="00291C34" w:rsidRDefault="008A7212" w:rsidP="001E3DF2">
      <w:pPr>
        <w:pStyle w:val="regpar"/>
        <w:spacing w:line="240" w:lineRule="auto"/>
        <w:ind w:firstLine="0"/>
        <w:jc w:val="center"/>
        <w:rPr>
          <w:rFonts w:asciiTheme="minorHAnsi" w:hAnsiTheme="minorHAnsi" w:cstheme="minorHAnsi"/>
          <w:b/>
        </w:rPr>
      </w:pPr>
      <w:r w:rsidRPr="00291C34">
        <w:rPr>
          <w:rFonts w:asciiTheme="minorHAnsi" w:hAnsiTheme="minorHAnsi" w:cstheme="minorHAnsi"/>
        </w:rPr>
        <w:t>Office of the Spokes</w:t>
      </w:r>
      <w:r w:rsidR="003D6F31" w:rsidRPr="00291C34">
        <w:rPr>
          <w:rFonts w:asciiTheme="minorHAnsi" w:hAnsiTheme="minorHAnsi" w:cstheme="minorHAnsi"/>
        </w:rPr>
        <w:t>person</w:t>
      </w:r>
      <w:r w:rsidRPr="00291C34">
        <w:rPr>
          <w:rFonts w:asciiTheme="minorHAnsi" w:hAnsiTheme="minorHAnsi" w:cstheme="minorHAnsi"/>
        </w:rPr>
        <w:t xml:space="preserve"> and Economic Information</w:t>
      </w:r>
    </w:p>
    <w:p w14:paraId="6ED438C7" w14:textId="04D8A4A9" w:rsidR="00A62731" w:rsidRPr="00291C34" w:rsidRDefault="00F62A83" w:rsidP="00F62A83">
      <w:pPr>
        <w:tabs>
          <w:tab w:val="left" w:pos="8310"/>
        </w:tabs>
        <w:bidi w:val="0"/>
        <w:rPr>
          <w:rFonts w:asciiTheme="minorHAnsi" w:hAnsiTheme="minorHAnsi" w:cstheme="minorHAnsi"/>
          <w:b/>
          <w:bCs/>
          <w:sz w:val="26"/>
          <w:szCs w:val="26"/>
        </w:rPr>
      </w:pPr>
      <w:r w:rsidRPr="00291C34">
        <w:rPr>
          <w:rFonts w:asciiTheme="minorHAnsi" w:hAnsiTheme="minorHAnsi" w:cstheme="minorHAnsi"/>
          <w:b/>
          <w:bCs/>
          <w:sz w:val="26"/>
          <w:szCs w:val="26"/>
        </w:rPr>
        <w:tab/>
      </w:r>
    </w:p>
    <w:p w14:paraId="5E93130B" w14:textId="25388D3C" w:rsidR="00A62731" w:rsidRPr="00291C34" w:rsidRDefault="00C2017B" w:rsidP="000345E9">
      <w:pPr>
        <w:bidi w:val="0"/>
        <w:jc w:val="right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May </w:t>
      </w:r>
      <w:r w:rsidR="000345E9" w:rsidRPr="00291C34">
        <w:rPr>
          <w:rFonts w:asciiTheme="minorHAnsi" w:hAnsiTheme="minorHAnsi" w:cstheme="minorHAnsi"/>
          <w:rtl/>
        </w:rPr>
        <w:t>5</w:t>
      </w:r>
      <w:r w:rsidR="005A6EB1" w:rsidRPr="00291C34">
        <w:rPr>
          <w:rFonts w:asciiTheme="minorHAnsi" w:hAnsiTheme="minorHAnsi" w:cstheme="minorHAnsi"/>
        </w:rPr>
        <w:t>, 2026</w:t>
      </w:r>
    </w:p>
    <w:p w14:paraId="4B4E6470" w14:textId="52BE1C7B" w:rsidR="00716379" w:rsidRPr="00291C34" w:rsidRDefault="00716379" w:rsidP="00A725A1">
      <w:pPr>
        <w:pStyle w:val="PressReleaseTitle"/>
        <w:jc w:val="left"/>
        <w:rPr>
          <w:rFonts w:asciiTheme="minorHAnsi" w:hAnsiTheme="minorHAnsi" w:cstheme="minorHAnsi"/>
          <w:sz w:val="24"/>
          <w:szCs w:val="24"/>
        </w:rPr>
      </w:pPr>
      <w:r w:rsidRPr="00291C34">
        <w:rPr>
          <w:rFonts w:asciiTheme="minorHAnsi" w:hAnsiTheme="minorHAnsi" w:cstheme="minorHAnsi"/>
          <w:sz w:val="24"/>
          <w:szCs w:val="24"/>
        </w:rPr>
        <w:t>Press Release</w:t>
      </w:r>
      <w:r w:rsidR="00A725A1" w:rsidRPr="00291C34">
        <w:rPr>
          <w:rFonts w:asciiTheme="minorHAnsi" w:hAnsiTheme="minorHAnsi" w:cstheme="minorHAnsi"/>
          <w:sz w:val="24"/>
          <w:szCs w:val="24"/>
        </w:rPr>
        <w:t>:</w:t>
      </w:r>
    </w:p>
    <w:p w14:paraId="62578AA0" w14:textId="77777777" w:rsidR="00A725A1" w:rsidRPr="00291C34" w:rsidRDefault="00A725A1" w:rsidP="00A725A1">
      <w:pPr>
        <w:pStyle w:val="PressReleaseTitle"/>
        <w:jc w:val="left"/>
        <w:rPr>
          <w:rFonts w:asciiTheme="minorHAnsi" w:hAnsiTheme="minorHAnsi" w:cstheme="minorHAnsi"/>
        </w:rPr>
      </w:pPr>
    </w:p>
    <w:p w14:paraId="772C0C65" w14:textId="0852638C" w:rsidR="00716379" w:rsidRPr="00291C34" w:rsidRDefault="00716379" w:rsidP="00C2017B">
      <w:pPr>
        <w:pStyle w:val="PressReleaseTitle"/>
        <w:rPr>
          <w:rFonts w:asciiTheme="minorHAnsi" w:hAnsiTheme="minorHAnsi" w:cstheme="minorHAnsi"/>
          <w:sz w:val="32"/>
          <w:szCs w:val="32"/>
        </w:rPr>
      </w:pPr>
      <w:r w:rsidRPr="00291C34">
        <w:rPr>
          <w:rFonts w:asciiTheme="minorHAnsi" w:hAnsiTheme="minorHAnsi" w:cstheme="minorHAnsi"/>
          <w:sz w:val="32"/>
          <w:szCs w:val="32"/>
        </w:rPr>
        <w:t xml:space="preserve">Israel’s foreign currency market in </w:t>
      </w:r>
      <w:r w:rsidR="006811E6" w:rsidRPr="00291C34">
        <w:rPr>
          <w:rFonts w:asciiTheme="minorHAnsi" w:hAnsiTheme="minorHAnsi" w:cstheme="minorHAnsi"/>
          <w:sz w:val="32"/>
          <w:szCs w:val="32"/>
        </w:rPr>
        <w:t xml:space="preserve">the </w:t>
      </w:r>
      <w:r w:rsidR="00C2017B" w:rsidRPr="00291C34">
        <w:rPr>
          <w:rFonts w:asciiTheme="minorHAnsi" w:hAnsiTheme="minorHAnsi" w:cstheme="minorHAnsi"/>
          <w:sz w:val="32"/>
          <w:szCs w:val="32"/>
        </w:rPr>
        <w:t>first</w:t>
      </w:r>
      <w:r w:rsidR="006346E3" w:rsidRPr="00291C34">
        <w:rPr>
          <w:rFonts w:asciiTheme="minorHAnsi" w:hAnsiTheme="minorHAnsi" w:cstheme="minorHAnsi"/>
          <w:sz w:val="32"/>
          <w:szCs w:val="32"/>
        </w:rPr>
        <w:t xml:space="preserve"> </w:t>
      </w:r>
      <w:r w:rsidR="0013070F" w:rsidRPr="00291C34">
        <w:rPr>
          <w:rFonts w:asciiTheme="minorHAnsi" w:hAnsiTheme="minorHAnsi" w:cstheme="minorHAnsi"/>
          <w:sz w:val="32"/>
          <w:szCs w:val="32"/>
        </w:rPr>
        <w:t>quarter</w:t>
      </w:r>
      <w:r w:rsidR="0017665B" w:rsidRPr="00291C34">
        <w:rPr>
          <w:rFonts w:asciiTheme="minorHAnsi" w:hAnsiTheme="minorHAnsi" w:cstheme="minorHAnsi"/>
          <w:sz w:val="32"/>
          <w:szCs w:val="32"/>
        </w:rPr>
        <w:t xml:space="preserve"> </w:t>
      </w:r>
      <w:r w:rsidR="00B9767B" w:rsidRPr="00291C34">
        <w:rPr>
          <w:rFonts w:asciiTheme="minorHAnsi" w:hAnsiTheme="minorHAnsi" w:cstheme="minorHAnsi"/>
          <w:sz w:val="32"/>
          <w:szCs w:val="32"/>
        </w:rPr>
        <w:t>of</w:t>
      </w:r>
      <w:r w:rsidR="006346E3" w:rsidRPr="00291C34">
        <w:rPr>
          <w:rFonts w:asciiTheme="minorHAnsi" w:hAnsiTheme="minorHAnsi" w:cstheme="minorHAnsi"/>
          <w:sz w:val="32"/>
          <w:szCs w:val="32"/>
        </w:rPr>
        <w:t xml:space="preserve"> </w:t>
      </w:r>
      <w:r w:rsidR="00353385" w:rsidRPr="00291C34">
        <w:rPr>
          <w:rFonts w:asciiTheme="minorHAnsi" w:hAnsiTheme="minorHAnsi" w:cstheme="minorHAnsi"/>
          <w:sz w:val="32"/>
          <w:szCs w:val="32"/>
        </w:rPr>
        <w:t>202</w:t>
      </w:r>
      <w:r w:rsidR="00C2017B" w:rsidRPr="00291C34">
        <w:rPr>
          <w:rFonts w:asciiTheme="minorHAnsi" w:hAnsiTheme="minorHAnsi" w:cstheme="minorHAnsi"/>
          <w:sz w:val="32"/>
          <w:szCs w:val="32"/>
        </w:rPr>
        <w:t>6</w:t>
      </w:r>
    </w:p>
    <w:p w14:paraId="6FE4674A" w14:textId="77777777" w:rsidR="00316A5F" w:rsidRPr="00291C34" w:rsidRDefault="00316A5F" w:rsidP="001E3DF2">
      <w:pPr>
        <w:bidi w:val="0"/>
        <w:jc w:val="center"/>
        <w:rPr>
          <w:rFonts w:asciiTheme="minorHAnsi" w:hAnsiTheme="minorHAnsi" w:cstheme="minorHAnsi"/>
          <w:sz w:val="22"/>
          <w:szCs w:val="22"/>
        </w:rPr>
      </w:pPr>
    </w:p>
    <w:p w14:paraId="285B719A" w14:textId="77777777" w:rsidR="00716379" w:rsidRPr="00291C34" w:rsidRDefault="00716379" w:rsidP="001E3DF2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5721F431" w14:textId="5C1D20E8" w:rsidR="00716379" w:rsidRPr="00291C34" w:rsidRDefault="00716379" w:rsidP="001E6AE3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</w:rPr>
        <w:t>1. Exchange Rate</w:t>
      </w:r>
      <w:r w:rsidR="001E6AE3" w:rsidRPr="00291C34">
        <w:rPr>
          <w:rFonts w:asciiTheme="minorHAnsi" w:hAnsiTheme="minorHAnsi" w:cstheme="minorHAnsi"/>
          <w:b/>
          <w:bCs/>
        </w:rPr>
        <w:t xml:space="preserve"> Development</w:t>
      </w:r>
    </w:p>
    <w:p w14:paraId="5B18533B" w14:textId="77777777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4CA1CE12" w14:textId="4D90D97F" w:rsidR="00716379" w:rsidRPr="00291C34" w:rsidRDefault="007F44E2" w:rsidP="00C2017B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</w:rPr>
        <w:t xml:space="preserve">A </w:t>
      </w:r>
      <w:r w:rsidR="00104A7D" w:rsidRPr="00291C34">
        <w:rPr>
          <w:rFonts w:asciiTheme="minorHAnsi" w:hAnsiTheme="minorHAnsi" w:cstheme="minorHAnsi"/>
          <w:b/>
          <w:bCs/>
        </w:rPr>
        <w:t>strengthening</w:t>
      </w:r>
      <w:r w:rsidR="00353385" w:rsidRPr="00291C34">
        <w:rPr>
          <w:rFonts w:asciiTheme="minorHAnsi" w:hAnsiTheme="minorHAnsi" w:cstheme="minorHAnsi"/>
          <w:b/>
          <w:bCs/>
        </w:rPr>
        <w:t xml:space="preserve"> </w:t>
      </w:r>
      <w:r w:rsidR="00A3533A" w:rsidRPr="00291C34">
        <w:rPr>
          <w:rFonts w:asciiTheme="minorHAnsi" w:hAnsiTheme="minorHAnsi" w:cstheme="minorHAnsi"/>
          <w:b/>
          <w:bCs/>
        </w:rPr>
        <w:t xml:space="preserve">of the shekel </w:t>
      </w:r>
      <w:r w:rsidR="00BE6AB5" w:rsidRPr="00291C34">
        <w:rPr>
          <w:rFonts w:asciiTheme="minorHAnsi" w:hAnsiTheme="minorHAnsi" w:cstheme="minorHAnsi"/>
          <w:b/>
          <w:bCs/>
        </w:rPr>
        <w:t>alongside</w:t>
      </w:r>
      <w:r w:rsidR="00104A7D" w:rsidRPr="00291C34">
        <w:rPr>
          <w:rFonts w:asciiTheme="minorHAnsi" w:hAnsiTheme="minorHAnsi" w:cstheme="minorHAnsi"/>
          <w:b/>
          <w:bCs/>
        </w:rPr>
        <w:t xml:space="preserve"> a</w:t>
      </w:r>
      <w:r w:rsidR="00BE6AB5" w:rsidRPr="00291C34">
        <w:rPr>
          <w:rFonts w:asciiTheme="minorHAnsi" w:hAnsiTheme="minorHAnsi" w:cstheme="minorHAnsi"/>
          <w:b/>
          <w:bCs/>
        </w:rPr>
        <w:t xml:space="preserve"> </w:t>
      </w:r>
      <w:r w:rsidR="00C2017B" w:rsidRPr="00291C34">
        <w:rPr>
          <w:rFonts w:asciiTheme="minorHAnsi" w:hAnsiTheme="minorHAnsi" w:cstheme="minorHAnsi"/>
          <w:b/>
          <w:bCs/>
        </w:rPr>
        <w:t xml:space="preserve">strengthening </w:t>
      </w:r>
      <w:r w:rsidR="00EC6A33" w:rsidRPr="00291C34">
        <w:rPr>
          <w:rFonts w:asciiTheme="minorHAnsi" w:hAnsiTheme="minorHAnsi" w:cstheme="minorHAnsi"/>
          <w:b/>
          <w:bCs/>
        </w:rPr>
        <w:t xml:space="preserve">of </w:t>
      </w:r>
      <w:r w:rsidR="00716379" w:rsidRPr="00291C34">
        <w:rPr>
          <w:rFonts w:asciiTheme="minorHAnsi" w:hAnsiTheme="minorHAnsi" w:cstheme="minorHAnsi"/>
          <w:b/>
          <w:bCs/>
        </w:rPr>
        <w:t>the dollar</w:t>
      </w:r>
      <w:r w:rsidR="00EC6A33" w:rsidRPr="00291C34">
        <w:rPr>
          <w:rFonts w:asciiTheme="minorHAnsi" w:hAnsiTheme="minorHAnsi" w:cstheme="minorHAnsi"/>
          <w:b/>
          <w:bCs/>
        </w:rPr>
        <w:t xml:space="preserve"> worldwide</w:t>
      </w:r>
      <w:r w:rsidR="00ED2DF8" w:rsidRPr="00291C34">
        <w:rPr>
          <w:rFonts w:asciiTheme="minorHAnsi" w:hAnsiTheme="minorHAnsi" w:cstheme="minorHAnsi"/>
          <w:b/>
          <w:bCs/>
        </w:rPr>
        <w:t>.</w:t>
      </w:r>
    </w:p>
    <w:p w14:paraId="6868F97A" w14:textId="77777777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</w:rPr>
      </w:pPr>
    </w:p>
    <w:p w14:paraId="133397AF" w14:textId="654A92C0" w:rsidR="00AB5B37" w:rsidRPr="00291C34" w:rsidRDefault="00605171" w:rsidP="00C2017B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In </w:t>
      </w:r>
      <w:r w:rsidR="0002528B" w:rsidRPr="00291C34">
        <w:rPr>
          <w:rFonts w:asciiTheme="minorHAnsi" w:hAnsiTheme="minorHAnsi" w:cstheme="minorHAnsi"/>
        </w:rPr>
        <w:t xml:space="preserve">the </w:t>
      </w:r>
      <w:r w:rsidR="00C2017B" w:rsidRPr="00291C34">
        <w:rPr>
          <w:rFonts w:asciiTheme="minorHAnsi" w:hAnsiTheme="minorHAnsi" w:cstheme="minorHAnsi"/>
        </w:rPr>
        <w:t xml:space="preserve">first quarter </w:t>
      </w:r>
      <w:r w:rsidR="00353385" w:rsidRPr="00291C34">
        <w:rPr>
          <w:rFonts w:asciiTheme="minorHAnsi" w:hAnsiTheme="minorHAnsi" w:cstheme="minorHAnsi"/>
        </w:rPr>
        <w:t>of 202</w:t>
      </w:r>
      <w:r w:rsidR="00C2017B" w:rsidRPr="00291C34">
        <w:rPr>
          <w:rFonts w:asciiTheme="minorHAnsi" w:hAnsiTheme="minorHAnsi" w:cstheme="minorHAnsi"/>
        </w:rPr>
        <w:t>6</w:t>
      </w:r>
      <w:r w:rsidR="00716379" w:rsidRPr="00291C34">
        <w:rPr>
          <w:rFonts w:asciiTheme="minorHAnsi" w:hAnsiTheme="minorHAnsi" w:cstheme="minorHAnsi"/>
        </w:rPr>
        <w:t>,</w:t>
      </w:r>
      <w:r w:rsidR="005D39B6" w:rsidRPr="00291C34">
        <w:rPr>
          <w:rFonts w:asciiTheme="minorHAnsi" w:hAnsiTheme="minorHAnsi" w:cstheme="minorHAnsi"/>
        </w:rPr>
        <w:t xml:space="preserve"> </w:t>
      </w:r>
      <w:r w:rsidR="00A3533A" w:rsidRPr="00291C34">
        <w:rPr>
          <w:rFonts w:asciiTheme="minorHAnsi" w:hAnsiTheme="minorHAnsi" w:cstheme="minorHAnsi"/>
        </w:rPr>
        <w:t xml:space="preserve">the </w:t>
      </w:r>
      <w:r w:rsidR="005E5212" w:rsidRPr="00291C34">
        <w:rPr>
          <w:rFonts w:asciiTheme="minorHAnsi" w:hAnsiTheme="minorHAnsi" w:cstheme="minorHAnsi"/>
        </w:rPr>
        <w:t xml:space="preserve">shekel </w:t>
      </w:r>
      <w:r w:rsidR="00104A7D" w:rsidRPr="00291C34">
        <w:rPr>
          <w:rFonts w:asciiTheme="minorHAnsi" w:hAnsiTheme="minorHAnsi" w:cstheme="minorHAnsi"/>
        </w:rPr>
        <w:t xml:space="preserve">strengthened by approximately </w:t>
      </w:r>
      <w:r w:rsidR="00C2017B" w:rsidRPr="00291C34">
        <w:rPr>
          <w:rFonts w:asciiTheme="minorHAnsi" w:hAnsiTheme="minorHAnsi" w:cstheme="minorHAnsi"/>
        </w:rPr>
        <w:t>0.8</w:t>
      </w:r>
      <w:r w:rsidR="00104A7D" w:rsidRPr="00291C34">
        <w:rPr>
          <w:rFonts w:asciiTheme="minorHAnsi" w:hAnsiTheme="minorHAnsi" w:cstheme="minorHAnsi"/>
        </w:rPr>
        <w:t xml:space="preserve"> percent vis-à-vis the </w:t>
      </w:r>
      <w:r w:rsidR="00BE6AB5" w:rsidRPr="00291C34">
        <w:rPr>
          <w:rFonts w:asciiTheme="minorHAnsi" w:hAnsiTheme="minorHAnsi" w:cstheme="minorHAnsi"/>
        </w:rPr>
        <w:t xml:space="preserve">US </w:t>
      </w:r>
      <w:r w:rsidR="00104A7D" w:rsidRPr="00291C34">
        <w:rPr>
          <w:rFonts w:asciiTheme="minorHAnsi" w:hAnsiTheme="minorHAnsi" w:cstheme="minorHAnsi"/>
        </w:rPr>
        <w:t xml:space="preserve">dollar and </w:t>
      </w:r>
      <w:r w:rsidR="00C2017B" w:rsidRPr="00291C34">
        <w:rPr>
          <w:rFonts w:asciiTheme="minorHAnsi" w:hAnsiTheme="minorHAnsi" w:cstheme="minorHAnsi"/>
        </w:rPr>
        <w:t xml:space="preserve">by about 2.9 percent against </w:t>
      </w:r>
      <w:r w:rsidR="00104A7D" w:rsidRPr="00291C34">
        <w:rPr>
          <w:rFonts w:asciiTheme="minorHAnsi" w:hAnsiTheme="minorHAnsi" w:cstheme="minorHAnsi"/>
        </w:rPr>
        <w:t xml:space="preserve">the euro. </w:t>
      </w:r>
      <w:r w:rsidR="006346E3" w:rsidRPr="00291C34">
        <w:rPr>
          <w:rFonts w:asciiTheme="minorHAnsi" w:hAnsiTheme="minorHAnsi" w:cstheme="minorHAnsi"/>
        </w:rPr>
        <w:t xml:space="preserve">In addition, the shekel </w:t>
      </w:r>
      <w:r w:rsidR="00104A7D" w:rsidRPr="00291C34">
        <w:rPr>
          <w:rFonts w:asciiTheme="minorHAnsi" w:hAnsiTheme="minorHAnsi" w:cstheme="minorHAnsi"/>
        </w:rPr>
        <w:t xml:space="preserve">strengthened </w:t>
      </w:r>
      <w:r w:rsidR="006346E3" w:rsidRPr="00291C34">
        <w:rPr>
          <w:rFonts w:asciiTheme="minorHAnsi" w:hAnsiTheme="minorHAnsi" w:cstheme="minorHAnsi"/>
        </w:rPr>
        <w:t xml:space="preserve">by </w:t>
      </w:r>
      <w:r w:rsidR="005A6EB1" w:rsidRPr="00291C34">
        <w:rPr>
          <w:rFonts w:asciiTheme="minorHAnsi" w:hAnsiTheme="minorHAnsi" w:cstheme="minorHAnsi"/>
        </w:rPr>
        <w:t>a</w:t>
      </w:r>
      <w:r w:rsidR="00C2017B" w:rsidRPr="00291C34">
        <w:rPr>
          <w:rFonts w:asciiTheme="minorHAnsi" w:hAnsiTheme="minorHAnsi" w:cstheme="minorHAnsi"/>
        </w:rPr>
        <w:t>bout 1.9 percent against</w:t>
      </w:r>
      <w:r w:rsidR="006346E3" w:rsidRPr="00291C34">
        <w:rPr>
          <w:rFonts w:asciiTheme="minorHAnsi" w:hAnsiTheme="minorHAnsi" w:cstheme="minorHAnsi"/>
        </w:rPr>
        <w:t xml:space="preserve"> the </w:t>
      </w:r>
      <w:r w:rsidR="00716379" w:rsidRPr="00291C34">
        <w:rPr>
          <w:rFonts w:asciiTheme="minorHAnsi" w:hAnsiTheme="minorHAnsi" w:cstheme="minorHAnsi"/>
        </w:rPr>
        <w:t xml:space="preserve">currencies of Israel's main trading partners, </w:t>
      </w:r>
      <w:r w:rsidR="005B529D" w:rsidRPr="00291C34">
        <w:rPr>
          <w:rFonts w:asciiTheme="minorHAnsi" w:hAnsiTheme="minorHAnsi" w:cstheme="minorHAnsi"/>
        </w:rPr>
        <w:t>in terms of</w:t>
      </w:r>
      <w:r w:rsidR="00716379" w:rsidRPr="00291C34">
        <w:rPr>
          <w:rFonts w:asciiTheme="minorHAnsi" w:hAnsiTheme="minorHAnsi" w:cstheme="minorHAnsi"/>
        </w:rPr>
        <w:t xml:space="preserve"> the nominal effective exchange rate (i.e., the trade-weighted average shekel exchange rate against those currencies)</w:t>
      </w:r>
      <w:r w:rsidR="005F20E9" w:rsidRPr="00291C34">
        <w:rPr>
          <w:rFonts w:asciiTheme="minorHAnsi" w:hAnsiTheme="minorHAnsi" w:cstheme="minorHAnsi"/>
        </w:rPr>
        <w:t>.</w:t>
      </w:r>
      <w:r w:rsidR="008D6BC5" w:rsidRPr="00291C34">
        <w:rPr>
          <w:rFonts w:asciiTheme="minorHAnsi" w:hAnsiTheme="minorHAnsi" w:cstheme="minorHAnsi"/>
        </w:rPr>
        <w:t xml:space="preserve"> </w:t>
      </w:r>
    </w:p>
    <w:p w14:paraId="385CB1C4" w14:textId="09306EC9" w:rsidR="0081371F" w:rsidRPr="00291C34" w:rsidRDefault="0081371F" w:rsidP="001E3DF2">
      <w:pPr>
        <w:bidi w:val="0"/>
        <w:jc w:val="both"/>
        <w:rPr>
          <w:rFonts w:asciiTheme="minorHAnsi" w:hAnsiTheme="minorHAnsi" w:cstheme="minorHAnsi"/>
        </w:rPr>
      </w:pPr>
    </w:p>
    <w:p w14:paraId="6A35F835" w14:textId="288D794B" w:rsidR="00F84DAD" w:rsidRPr="00291C34" w:rsidRDefault="00C2017B" w:rsidP="00C2017B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During the first quarter, </w:t>
      </w:r>
      <w:r w:rsidR="00BD1BAB" w:rsidRPr="00291C34">
        <w:rPr>
          <w:rFonts w:asciiTheme="minorHAnsi" w:hAnsiTheme="minorHAnsi" w:cstheme="minorHAnsi"/>
        </w:rPr>
        <w:t>the</w:t>
      </w:r>
      <w:r w:rsidRPr="00291C34">
        <w:rPr>
          <w:rFonts w:asciiTheme="minorHAnsi" w:hAnsiTheme="minorHAnsi" w:cstheme="minorHAnsi"/>
        </w:rPr>
        <w:t xml:space="preserve"> US</w:t>
      </w:r>
      <w:r w:rsidR="00BD1BAB" w:rsidRPr="00291C34">
        <w:rPr>
          <w:rFonts w:asciiTheme="minorHAnsi" w:hAnsiTheme="minorHAnsi" w:cstheme="minorHAnsi"/>
        </w:rPr>
        <w:t xml:space="preserve"> </w:t>
      </w:r>
      <w:r w:rsidR="00441348" w:rsidRPr="00291C34">
        <w:rPr>
          <w:rFonts w:asciiTheme="minorHAnsi" w:hAnsiTheme="minorHAnsi" w:cstheme="minorHAnsi"/>
        </w:rPr>
        <w:t>d</w:t>
      </w:r>
      <w:r w:rsidR="00A3533A" w:rsidRPr="00291C34">
        <w:rPr>
          <w:rFonts w:asciiTheme="minorHAnsi" w:hAnsiTheme="minorHAnsi" w:cstheme="minorHAnsi"/>
        </w:rPr>
        <w:t>ollar</w:t>
      </w:r>
      <w:r w:rsidR="008049BE" w:rsidRPr="00291C34">
        <w:rPr>
          <w:rFonts w:asciiTheme="minorHAnsi" w:hAnsiTheme="minorHAnsi" w:cstheme="minorHAnsi"/>
        </w:rPr>
        <w:t xml:space="preserve"> </w:t>
      </w:r>
      <w:r w:rsidR="00BE6AB5" w:rsidRPr="00291C34">
        <w:rPr>
          <w:rFonts w:asciiTheme="minorHAnsi" w:hAnsiTheme="minorHAnsi" w:cstheme="minorHAnsi"/>
        </w:rPr>
        <w:t>strengthe</w:t>
      </w:r>
      <w:r w:rsidR="00441348" w:rsidRPr="00291C34">
        <w:rPr>
          <w:rFonts w:asciiTheme="minorHAnsi" w:hAnsiTheme="minorHAnsi" w:cstheme="minorHAnsi"/>
        </w:rPr>
        <w:t xml:space="preserve">ned </w:t>
      </w:r>
      <w:r w:rsidRPr="00291C34">
        <w:rPr>
          <w:rFonts w:asciiTheme="minorHAnsi" w:hAnsiTheme="minorHAnsi" w:cstheme="minorHAnsi"/>
        </w:rPr>
        <w:t xml:space="preserve">against most of the major currencies, (Figure 2), including </w:t>
      </w:r>
      <w:r w:rsidR="00BD1BAB" w:rsidRPr="00291C34">
        <w:rPr>
          <w:rFonts w:asciiTheme="minorHAnsi" w:hAnsiTheme="minorHAnsi" w:cstheme="minorHAnsi"/>
        </w:rPr>
        <w:t xml:space="preserve">by </w:t>
      </w:r>
      <w:r w:rsidR="00BE6AB5" w:rsidRPr="00291C34">
        <w:rPr>
          <w:rFonts w:asciiTheme="minorHAnsi" w:hAnsiTheme="minorHAnsi" w:cstheme="minorHAnsi"/>
        </w:rPr>
        <w:t xml:space="preserve">about </w:t>
      </w:r>
      <w:r w:rsidRPr="00291C34">
        <w:rPr>
          <w:rFonts w:asciiTheme="minorHAnsi" w:hAnsiTheme="minorHAnsi" w:cstheme="minorHAnsi"/>
        </w:rPr>
        <w:t>1.6</w:t>
      </w:r>
      <w:r w:rsidR="00BD1BAB" w:rsidRPr="00291C34">
        <w:rPr>
          <w:rFonts w:asciiTheme="minorHAnsi" w:hAnsiTheme="minorHAnsi" w:cstheme="minorHAnsi"/>
        </w:rPr>
        <w:t xml:space="preserve"> percent </w:t>
      </w:r>
      <w:r w:rsidR="008049BE" w:rsidRPr="00291C34">
        <w:rPr>
          <w:rFonts w:asciiTheme="minorHAnsi" w:hAnsiTheme="minorHAnsi" w:cstheme="minorHAnsi"/>
        </w:rPr>
        <w:t xml:space="preserve">against </w:t>
      </w:r>
      <w:r w:rsidR="00BD1BAB" w:rsidRPr="00291C34">
        <w:rPr>
          <w:rFonts w:asciiTheme="minorHAnsi" w:hAnsiTheme="minorHAnsi" w:cstheme="minorHAnsi"/>
        </w:rPr>
        <w:t>the</w:t>
      </w:r>
      <w:r w:rsidRPr="00291C34">
        <w:rPr>
          <w:rFonts w:asciiTheme="minorHAnsi" w:hAnsiTheme="minorHAnsi" w:cstheme="minorHAnsi"/>
        </w:rPr>
        <w:t xml:space="preserve"> Canadian dollar and</w:t>
      </w:r>
      <w:r w:rsidR="005A6EB1" w:rsidRPr="00291C34">
        <w:rPr>
          <w:rFonts w:asciiTheme="minorHAnsi" w:hAnsiTheme="minorHAnsi" w:cstheme="minorHAnsi"/>
        </w:rPr>
        <w:t xml:space="preserve"> about </w:t>
      </w:r>
      <w:r w:rsidRPr="00291C34">
        <w:rPr>
          <w:rFonts w:asciiTheme="minorHAnsi" w:hAnsiTheme="minorHAnsi" w:cstheme="minorHAnsi"/>
        </w:rPr>
        <w:t>by 1.8</w:t>
      </w:r>
      <w:r w:rsidR="005A6EB1" w:rsidRPr="00291C34">
        <w:rPr>
          <w:rFonts w:asciiTheme="minorHAnsi" w:hAnsiTheme="minorHAnsi" w:cstheme="minorHAnsi"/>
        </w:rPr>
        <w:t xml:space="preserve"> percent</w:t>
      </w:r>
      <w:r w:rsidR="00BE6AB5" w:rsidRPr="00291C34">
        <w:rPr>
          <w:rFonts w:asciiTheme="minorHAnsi" w:hAnsiTheme="minorHAnsi" w:cstheme="minorHAnsi"/>
        </w:rPr>
        <w:t xml:space="preserve"> against the British pound</w:t>
      </w:r>
      <w:r w:rsidR="00BD1BAB" w:rsidRPr="00291C34">
        <w:rPr>
          <w:rFonts w:asciiTheme="minorHAnsi" w:hAnsiTheme="minorHAnsi" w:cstheme="minorHAnsi"/>
        </w:rPr>
        <w:t>.</w:t>
      </w:r>
      <w:r w:rsidR="00F8267E" w:rsidRPr="00291C34">
        <w:rPr>
          <w:rFonts w:asciiTheme="minorHAnsi" w:hAnsiTheme="minorHAnsi" w:cstheme="minorHAnsi"/>
        </w:rPr>
        <w:t xml:space="preserve"> </w:t>
      </w:r>
    </w:p>
    <w:p w14:paraId="4CA51C7A" w14:textId="77777777" w:rsidR="00F84DAD" w:rsidRPr="00291C34" w:rsidRDefault="00F84DAD" w:rsidP="00F84DAD">
      <w:pPr>
        <w:bidi w:val="0"/>
        <w:jc w:val="both"/>
        <w:rPr>
          <w:rFonts w:asciiTheme="minorHAnsi" w:hAnsiTheme="minorHAnsi" w:cstheme="minorHAnsi"/>
        </w:rPr>
      </w:pPr>
    </w:p>
    <w:p w14:paraId="3171D6FC" w14:textId="6BD045DC" w:rsidR="00AB5B37" w:rsidRPr="00291C34" w:rsidRDefault="004869C1" w:rsidP="00CE319F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  <w:noProof/>
        </w:rPr>
        <w:drawing>
          <wp:inline distT="0" distB="0" distL="0" distR="0" wp14:anchorId="1728293C" wp14:editId="6C96AF4E">
            <wp:extent cx="5608955" cy="2468880"/>
            <wp:effectExtent l="0" t="0" r="0" b="7620"/>
            <wp:docPr id="3" name="תמונה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08955" cy="2468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5159BC" w14:textId="7E733336" w:rsidR="00AB5B37" w:rsidRPr="00291C34" w:rsidRDefault="00AB5B37" w:rsidP="001E3DF2">
      <w:pPr>
        <w:bidi w:val="0"/>
        <w:jc w:val="both"/>
        <w:rPr>
          <w:rFonts w:asciiTheme="minorHAnsi" w:hAnsiTheme="minorHAnsi" w:cstheme="minorHAnsi"/>
        </w:rPr>
      </w:pPr>
    </w:p>
    <w:p w14:paraId="68337812" w14:textId="76373B59" w:rsidR="00AB5B37" w:rsidRPr="00291C34" w:rsidRDefault="004869C1" w:rsidP="006E38CA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  <w:noProof/>
        </w:rPr>
        <w:lastRenderedPageBreak/>
        <w:drawing>
          <wp:inline distT="0" distB="0" distL="0" distR="0" wp14:anchorId="6E473428" wp14:editId="66DFFAE8">
            <wp:extent cx="6136640" cy="2498416"/>
            <wp:effectExtent l="0" t="0" r="0" b="0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006" cy="250467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2A97957" w14:textId="77777777" w:rsidR="004869C1" w:rsidRPr="00291C34" w:rsidRDefault="004869C1" w:rsidP="001E3DF2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19923D68" w14:textId="19ED60DB" w:rsidR="00716379" w:rsidRPr="00291C34" w:rsidRDefault="00716379" w:rsidP="004869C1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</w:rPr>
        <w:t>2. Exchange Rate Volatility</w:t>
      </w:r>
    </w:p>
    <w:p w14:paraId="6612A6DC" w14:textId="08EA8A4F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1A4A83B8" w14:textId="76F21A29" w:rsidR="00716379" w:rsidRPr="00291C34" w:rsidRDefault="00C2017B" w:rsidP="00C2017B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</w:rPr>
        <w:t>Increase</w:t>
      </w:r>
      <w:r w:rsidR="00A561E0" w:rsidRPr="00291C34">
        <w:rPr>
          <w:rFonts w:asciiTheme="minorHAnsi" w:hAnsiTheme="minorHAnsi" w:cstheme="minorHAnsi"/>
          <w:b/>
          <w:bCs/>
        </w:rPr>
        <w:t xml:space="preserve"> </w:t>
      </w:r>
      <w:r w:rsidR="00716379" w:rsidRPr="00291C34">
        <w:rPr>
          <w:rFonts w:asciiTheme="minorHAnsi" w:hAnsiTheme="minorHAnsi" w:cstheme="minorHAnsi"/>
          <w:b/>
          <w:bCs/>
        </w:rPr>
        <w:t>in actual volatilit</w:t>
      </w:r>
      <w:r w:rsidR="007F44E2" w:rsidRPr="00291C34">
        <w:rPr>
          <w:rFonts w:asciiTheme="minorHAnsi" w:hAnsiTheme="minorHAnsi" w:cstheme="minorHAnsi"/>
          <w:b/>
          <w:bCs/>
        </w:rPr>
        <w:t>y</w:t>
      </w:r>
      <w:r w:rsidR="00024A52" w:rsidRPr="00291C34">
        <w:rPr>
          <w:rFonts w:asciiTheme="minorHAnsi" w:hAnsiTheme="minorHAnsi" w:cstheme="minorHAnsi"/>
          <w:b/>
          <w:bCs/>
        </w:rPr>
        <w:t xml:space="preserve"> </w:t>
      </w:r>
      <w:r w:rsidR="00473C1E" w:rsidRPr="00291C34">
        <w:rPr>
          <w:rFonts w:asciiTheme="minorHAnsi" w:hAnsiTheme="minorHAnsi" w:cstheme="minorHAnsi"/>
          <w:b/>
          <w:bCs/>
        </w:rPr>
        <w:t xml:space="preserve">alongside </w:t>
      </w:r>
      <w:r w:rsidR="00A561E0" w:rsidRPr="00291C34">
        <w:rPr>
          <w:rFonts w:asciiTheme="minorHAnsi" w:hAnsiTheme="minorHAnsi" w:cstheme="minorHAnsi"/>
          <w:b/>
          <w:bCs/>
        </w:rPr>
        <w:t>a</w:t>
      </w:r>
      <w:r w:rsidRPr="00291C34">
        <w:rPr>
          <w:rFonts w:asciiTheme="minorHAnsi" w:hAnsiTheme="minorHAnsi" w:cstheme="minorHAnsi"/>
          <w:b/>
          <w:bCs/>
        </w:rPr>
        <w:t>n</w:t>
      </w:r>
      <w:r w:rsidR="00BE6AB5" w:rsidRPr="00291C34">
        <w:rPr>
          <w:rFonts w:asciiTheme="minorHAnsi" w:hAnsiTheme="minorHAnsi" w:cstheme="minorHAnsi"/>
          <w:b/>
          <w:bCs/>
        </w:rPr>
        <w:t xml:space="preserve"> </w:t>
      </w:r>
      <w:r w:rsidRPr="00291C34">
        <w:rPr>
          <w:rFonts w:asciiTheme="minorHAnsi" w:hAnsiTheme="minorHAnsi" w:cstheme="minorHAnsi"/>
          <w:b/>
          <w:bCs/>
        </w:rPr>
        <w:t>increase</w:t>
      </w:r>
      <w:r w:rsidR="00A561E0" w:rsidRPr="00291C34">
        <w:rPr>
          <w:rFonts w:asciiTheme="minorHAnsi" w:hAnsiTheme="minorHAnsi" w:cstheme="minorHAnsi"/>
          <w:b/>
          <w:bCs/>
        </w:rPr>
        <w:t xml:space="preserve"> </w:t>
      </w:r>
      <w:r w:rsidR="00AE7F22" w:rsidRPr="00291C34">
        <w:rPr>
          <w:rFonts w:asciiTheme="minorHAnsi" w:hAnsiTheme="minorHAnsi" w:cstheme="minorHAnsi"/>
          <w:b/>
          <w:bCs/>
        </w:rPr>
        <w:t>in implied volatility</w:t>
      </w:r>
    </w:p>
    <w:p w14:paraId="0C0FC19E" w14:textId="22E9216B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</w:rPr>
      </w:pPr>
    </w:p>
    <w:p w14:paraId="37ABE184" w14:textId="2DC526BA" w:rsidR="006C3672" w:rsidRPr="00291C34" w:rsidRDefault="00716379" w:rsidP="00C2017B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The </w:t>
      </w:r>
      <w:r w:rsidR="00CF3C2E" w:rsidRPr="00291C34">
        <w:rPr>
          <w:rFonts w:asciiTheme="minorHAnsi" w:hAnsiTheme="minorHAnsi" w:cstheme="minorHAnsi"/>
        </w:rPr>
        <w:t xml:space="preserve">average </w:t>
      </w:r>
      <w:r w:rsidR="005A6EB1" w:rsidRPr="00291C34">
        <w:rPr>
          <w:rFonts w:asciiTheme="minorHAnsi" w:hAnsiTheme="minorHAnsi" w:cstheme="minorHAnsi"/>
        </w:rPr>
        <w:t>actual</w:t>
      </w:r>
      <w:r w:rsidR="00FC2164" w:rsidRPr="00291C34">
        <w:rPr>
          <w:rFonts w:asciiTheme="minorHAnsi" w:hAnsiTheme="minorHAnsi" w:cstheme="minorHAnsi"/>
        </w:rPr>
        <w:t xml:space="preserve"> </w:t>
      </w:r>
      <w:r w:rsidRPr="00291C34">
        <w:rPr>
          <w:rFonts w:asciiTheme="minorHAnsi" w:hAnsiTheme="minorHAnsi" w:cstheme="minorHAnsi"/>
        </w:rPr>
        <w:t>standard deviation of changes in the shekel</w:t>
      </w:r>
      <w:r w:rsidR="00724066" w:rsidRPr="00291C34">
        <w:rPr>
          <w:rFonts w:asciiTheme="minorHAnsi" w:hAnsiTheme="minorHAnsi" w:cstheme="minorHAnsi"/>
        </w:rPr>
        <w:t>/</w:t>
      </w:r>
      <w:r w:rsidRPr="00291C34">
        <w:rPr>
          <w:rFonts w:asciiTheme="minorHAnsi" w:hAnsiTheme="minorHAnsi" w:cstheme="minorHAnsi"/>
        </w:rPr>
        <w:t xml:space="preserve">dollar exchange rate, which represents its </w:t>
      </w:r>
      <w:r w:rsidRPr="00291C34">
        <w:rPr>
          <w:rFonts w:asciiTheme="minorHAnsi" w:hAnsiTheme="minorHAnsi" w:cstheme="minorHAnsi"/>
          <w:b/>
          <w:bCs/>
        </w:rPr>
        <w:t>actual</w:t>
      </w:r>
      <w:r w:rsidRPr="00291C34">
        <w:rPr>
          <w:rFonts w:asciiTheme="minorHAnsi" w:hAnsiTheme="minorHAnsi" w:cstheme="minorHAnsi"/>
        </w:rPr>
        <w:t xml:space="preserve"> volatility, </w:t>
      </w:r>
      <w:r w:rsidR="00C2017B" w:rsidRPr="00291C34">
        <w:rPr>
          <w:rFonts w:asciiTheme="minorHAnsi" w:hAnsiTheme="minorHAnsi" w:cstheme="minorHAnsi"/>
        </w:rPr>
        <w:t>increased</w:t>
      </w:r>
      <w:r w:rsidR="00A561E0" w:rsidRPr="00291C34">
        <w:rPr>
          <w:rFonts w:asciiTheme="minorHAnsi" w:hAnsiTheme="minorHAnsi" w:cstheme="minorHAnsi"/>
        </w:rPr>
        <w:t xml:space="preserve"> </w:t>
      </w:r>
      <w:r w:rsidR="007F44E2" w:rsidRPr="00291C34">
        <w:rPr>
          <w:rFonts w:asciiTheme="minorHAnsi" w:hAnsiTheme="minorHAnsi" w:cstheme="minorHAnsi"/>
        </w:rPr>
        <w:t xml:space="preserve">by </w:t>
      </w:r>
      <w:r w:rsidR="00C2017B" w:rsidRPr="00291C34">
        <w:rPr>
          <w:rFonts w:asciiTheme="minorHAnsi" w:hAnsiTheme="minorHAnsi" w:cstheme="minorHAnsi"/>
        </w:rPr>
        <w:t>0</w:t>
      </w:r>
      <w:r w:rsidR="00BE6AB5" w:rsidRPr="00291C34">
        <w:rPr>
          <w:rFonts w:asciiTheme="minorHAnsi" w:hAnsiTheme="minorHAnsi" w:cstheme="minorHAnsi"/>
        </w:rPr>
        <w:t>.</w:t>
      </w:r>
      <w:r w:rsidR="005A6EB1" w:rsidRPr="00291C34">
        <w:rPr>
          <w:rFonts w:asciiTheme="minorHAnsi" w:hAnsiTheme="minorHAnsi" w:cstheme="minorHAnsi"/>
        </w:rPr>
        <w:t>3</w:t>
      </w:r>
      <w:r w:rsidR="00A561E0" w:rsidRPr="00291C34">
        <w:rPr>
          <w:rFonts w:asciiTheme="minorHAnsi" w:hAnsiTheme="minorHAnsi" w:cstheme="minorHAnsi"/>
        </w:rPr>
        <w:t xml:space="preserve"> </w:t>
      </w:r>
      <w:r w:rsidR="007F44E2" w:rsidRPr="00291C34">
        <w:rPr>
          <w:rFonts w:asciiTheme="minorHAnsi" w:hAnsiTheme="minorHAnsi" w:cstheme="minorHAnsi"/>
        </w:rPr>
        <w:t xml:space="preserve">percentage points </w:t>
      </w:r>
      <w:r w:rsidR="0063362C" w:rsidRPr="00291C34">
        <w:rPr>
          <w:rFonts w:asciiTheme="minorHAnsi" w:hAnsiTheme="minorHAnsi" w:cstheme="minorHAnsi"/>
        </w:rPr>
        <w:t xml:space="preserve">during the quarter, </w:t>
      </w:r>
      <w:r w:rsidR="0081371F" w:rsidRPr="00291C34">
        <w:rPr>
          <w:rFonts w:asciiTheme="minorHAnsi" w:hAnsiTheme="minorHAnsi" w:cstheme="minorHAnsi"/>
        </w:rPr>
        <w:t>to</w:t>
      </w:r>
      <w:r w:rsidRPr="00291C34">
        <w:rPr>
          <w:rFonts w:asciiTheme="minorHAnsi" w:hAnsiTheme="minorHAnsi" w:cstheme="minorHAnsi"/>
        </w:rPr>
        <w:t xml:space="preserve"> </w:t>
      </w:r>
      <w:r w:rsidR="002669C3" w:rsidRPr="00291C34">
        <w:rPr>
          <w:rFonts w:asciiTheme="minorHAnsi" w:hAnsiTheme="minorHAnsi" w:cstheme="minorHAnsi"/>
        </w:rPr>
        <w:t xml:space="preserve">an average </w:t>
      </w:r>
      <w:r w:rsidR="0063362C" w:rsidRPr="00291C34">
        <w:rPr>
          <w:rFonts w:asciiTheme="minorHAnsi" w:hAnsiTheme="minorHAnsi" w:cstheme="minorHAnsi"/>
        </w:rPr>
        <w:t xml:space="preserve">level of </w:t>
      </w:r>
      <w:r w:rsidR="005A6EB1" w:rsidRPr="00291C34">
        <w:rPr>
          <w:rFonts w:asciiTheme="minorHAnsi" w:hAnsiTheme="minorHAnsi" w:cstheme="minorHAnsi"/>
        </w:rPr>
        <w:t>8.</w:t>
      </w:r>
      <w:r w:rsidR="00C2017B" w:rsidRPr="00291C34">
        <w:rPr>
          <w:rFonts w:asciiTheme="minorHAnsi" w:hAnsiTheme="minorHAnsi" w:cstheme="minorHAnsi"/>
        </w:rPr>
        <w:t>4</w:t>
      </w:r>
      <w:r w:rsidR="00A561E0" w:rsidRPr="00291C34">
        <w:rPr>
          <w:rFonts w:asciiTheme="minorHAnsi" w:hAnsiTheme="minorHAnsi" w:cstheme="minorHAnsi"/>
        </w:rPr>
        <w:t xml:space="preserve"> </w:t>
      </w:r>
      <w:r w:rsidRPr="00291C34">
        <w:rPr>
          <w:rFonts w:asciiTheme="minorHAnsi" w:hAnsiTheme="minorHAnsi" w:cstheme="minorHAnsi"/>
        </w:rPr>
        <w:t>percent</w:t>
      </w:r>
      <w:r w:rsidR="002A6B07" w:rsidRPr="00291C34">
        <w:rPr>
          <w:rFonts w:asciiTheme="minorHAnsi" w:hAnsiTheme="minorHAnsi" w:cstheme="minorHAnsi"/>
        </w:rPr>
        <w:t>.</w:t>
      </w:r>
      <w:r w:rsidR="00C2017B" w:rsidRPr="00291C34">
        <w:rPr>
          <w:rFonts w:asciiTheme="minorHAnsi" w:hAnsiTheme="minorHAnsi" w:cstheme="minorHAnsi"/>
        </w:rPr>
        <w:t xml:space="preserve">  The increase in actual volatility came against the background of Operation Roaring Lion (Israel’s campaign against Iran), which contributed to the increase in market volatility.</w:t>
      </w:r>
    </w:p>
    <w:p w14:paraId="7721C4CD" w14:textId="164EF601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</w:rPr>
      </w:pPr>
    </w:p>
    <w:p w14:paraId="47C00622" w14:textId="0CF73D6E" w:rsidR="00716379" w:rsidRPr="00291C34" w:rsidRDefault="00716379" w:rsidP="00C2017B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The </w:t>
      </w:r>
      <w:r w:rsidR="005F7744" w:rsidRPr="00291C34">
        <w:rPr>
          <w:rFonts w:asciiTheme="minorHAnsi" w:hAnsiTheme="minorHAnsi" w:cstheme="minorHAnsi"/>
        </w:rPr>
        <w:t xml:space="preserve">average </w:t>
      </w:r>
      <w:r w:rsidRPr="00291C34">
        <w:rPr>
          <w:rFonts w:asciiTheme="minorHAnsi" w:hAnsiTheme="minorHAnsi" w:cstheme="minorHAnsi"/>
        </w:rPr>
        <w:t xml:space="preserve">implied volatility in </w:t>
      </w:r>
      <w:r w:rsidR="002B1BC6" w:rsidRPr="00291C34">
        <w:rPr>
          <w:rFonts w:asciiTheme="minorHAnsi" w:hAnsiTheme="minorHAnsi" w:cstheme="minorHAnsi"/>
        </w:rPr>
        <w:t>over-the-counter</w:t>
      </w:r>
      <w:r w:rsidRPr="00291C34">
        <w:rPr>
          <w:rFonts w:asciiTheme="minorHAnsi" w:hAnsiTheme="minorHAnsi" w:cstheme="minorHAnsi"/>
        </w:rPr>
        <w:t xml:space="preserve"> shekel</w:t>
      </w:r>
      <w:r w:rsidR="00724066" w:rsidRPr="00291C34">
        <w:rPr>
          <w:rFonts w:asciiTheme="minorHAnsi" w:hAnsiTheme="minorHAnsi" w:cstheme="minorHAnsi"/>
        </w:rPr>
        <w:t>/</w:t>
      </w:r>
      <w:r w:rsidRPr="00291C34">
        <w:rPr>
          <w:rFonts w:asciiTheme="minorHAnsi" w:hAnsiTheme="minorHAnsi" w:cstheme="minorHAnsi"/>
        </w:rPr>
        <w:t>dollar options</w:t>
      </w:r>
      <w:r w:rsidR="00AE7F22" w:rsidRPr="00291C34">
        <w:rPr>
          <w:rFonts w:asciiTheme="minorHAnsi" w:hAnsiTheme="minorHAnsi" w:cstheme="minorHAnsi"/>
        </w:rPr>
        <w:t xml:space="preserve">—those traded outside the stock exchange—which is </w:t>
      </w:r>
      <w:r w:rsidR="004D75D4" w:rsidRPr="00291C34">
        <w:rPr>
          <w:rFonts w:asciiTheme="minorHAnsi" w:hAnsiTheme="minorHAnsi" w:cstheme="minorHAnsi"/>
        </w:rPr>
        <w:t xml:space="preserve">an indication of </w:t>
      </w:r>
      <w:r w:rsidR="004D75D4" w:rsidRPr="00291C34">
        <w:rPr>
          <w:rFonts w:asciiTheme="minorHAnsi" w:hAnsiTheme="minorHAnsi" w:cstheme="minorHAnsi"/>
          <w:b/>
          <w:bCs/>
        </w:rPr>
        <w:t>expected</w:t>
      </w:r>
      <w:r w:rsidR="004D75D4" w:rsidRPr="00291C34">
        <w:rPr>
          <w:rFonts w:asciiTheme="minorHAnsi" w:hAnsiTheme="minorHAnsi" w:cstheme="minorHAnsi"/>
        </w:rPr>
        <w:t xml:space="preserve"> exchange rate volatility,</w:t>
      </w:r>
      <w:r w:rsidR="00E04770" w:rsidRPr="00291C34">
        <w:rPr>
          <w:rFonts w:asciiTheme="minorHAnsi" w:hAnsiTheme="minorHAnsi" w:cstheme="minorHAnsi"/>
        </w:rPr>
        <w:t xml:space="preserve"> </w:t>
      </w:r>
      <w:r w:rsidR="00C2017B" w:rsidRPr="00291C34">
        <w:rPr>
          <w:rFonts w:asciiTheme="minorHAnsi" w:hAnsiTheme="minorHAnsi" w:cstheme="minorHAnsi"/>
        </w:rPr>
        <w:t>increas</w:t>
      </w:r>
      <w:r w:rsidR="00BE6AB5" w:rsidRPr="00291C34">
        <w:rPr>
          <w:rFonts w:asciiTheme="minorHAnsi" w:hAnsiTheme="minorHAnsi" w:cstheme="minorHAnsi"/>
        </w:rPr>
        <w:t>ed</w:t>
      </w:r>
      <w:r w:rsidR="007F44E2" w:rsidRPr="00291C34">
        <w:rPr>
          <w:rFonts w:asciiTheme="minorHAnsi" w:hAnsiTheme="minorHAnsi" w:cstheme="minorHAnsi"/>
        </w:rPr>
        <w:t xml:space="preserve"> </w:t>
      </w:r>
      <w:r w:rsidR="00AE7F22" w:rsidRPr="00291C34">
        <w:rPr>
          <w:rFonts w:asciiTheme="minorHAnsi" w:hAnsiTheme="minorHAnsi" w:cstheme="minorHAnsi"/>
        </w:rPr>
        <w:t xml:space="preserve">by </w:t>
      </w:r>
      <w:r w:rsidR="00BE6AB5" w:rsidRPr="00291C34">
        <w:rPr>
          <w:rFonts w:asciiTheme="minorHAnsi" w:hAnsiTheme="minorHAnsi" w:cstheme="minorHAnsi"/>
        </w:rPr>
        <w:t>0.</w:t>
      </w:r>
      <w:r w:rsidR="00C2017B" w:rsidRPr="00291C34">
        <w:rPr>
          <w:rFonts w:asciiTheme="minorHAnsi" w:hAnsiTheme="minorHAnsi" w:cstheme="minorHAnsi"/>
        </w:rPr>
        <w:t>9</w:t>
      </w:r>
      <w:r w:rsidR="00446C7F" w:rsidRPr="00291C34">
        <w:rPr>
          <w:rFonts w:asciiTheme="minorHAnsi" w:hAnsiTheme="minorHAnsi" w:cstheme="minorHAnsi"/>
        </w:rPr>
        <w:t xml:space="preserve"> </w:t>
      </w:r>
      <w:r w:rsidR="00DD7D9C" w:rsidRPr="00291C34">
        <w:rPr>
          <w:rFonts w:asciiTheme="minorHAnsi" w:hAnsiTheme="minorHAnsi" w:cstheme="minorHAnsi"/>
        </w:rPr>
        <w:t>p</w:t>
      </w:r>
      <w:r w:rsidR="00AE7F22" w:rsidRPr="00291C34">
        <w:rPr>
          <w:rFonts w:asciiTheme="minorHAnsi" w:hAnsiTheme="minorHAnsi" w:cstheme="minorHAnsi"/>
        </w:rPr>
        <w:t>ercent</w:t>
      </w:r>
      <w:r w:rsidR="00EA4081" w:rsidRPr="00291C34">
        <w:rPr>
          <w:rFonts w:asciiTheme="minorHAnsi" w:hAnsiTheme="minorHAnsi" w:cstheme="minorHAnsi"/>
        </w:rPr>
        <w:t>age point</w:t>
      </w:r>
      <w:r w:rsidR="00C2017B" w:rsidRPr="00291C34">
        <w:rPr>
          <w:rFonts w:asciiTheme="minorHAnsi" w:hAnsiTheme="minorHAnsi" w:cstheme="minorHAnsi"/>
        </w:rPr>
        <w:t>s</w:t>
      </w:r>
      <w:r w:rsidR="003F6116" w:rsidRPr="00291C34">
        <w:rPr>
          <w:rFonts w:asciiTheme="minorHAnsi" w:hAnsiTheme="minorHAnsi" w:cstheme="minorHAnsi"/>
        </w:rPr>
        <w:t xml:space="preserve">, </w:t>
      </w:r>
      <w:r w:rsidR="00AE7F22" w:rsidRPr="00291C34">
        <w:rPr>
          <w:rFonts w:asciiTheme="minorHAnsi" w:hAnsiTheme="minorHAnsi" w:cstheme="minorHAnsi"/>
        </w:rPr>
        <w:t>to</w:t>
      </w:r>
      <w:r w:rsidR="006E0BC7" w:rsidRPr="00291C34">
        <w:rPr>
          <w:rFonts w:asciiTheme="minorHAnsi" w:hAnsiTheme="minorHAnsi" w:cstheme="minorHAnsi"/>
        </w:rPr>
        <w:t xml:space="preserve"> </w:t>
      </w:r>
      <w:r w:rsidR="007F44E2" w:rsidRPr="00291C34">
        <w:rPr>
          <w:rFonts w:asciiTheme="minorHAnsi" w:hAnsiTheme="minorHAnsi" w:cstheme="minorHAnsi"/>
        </w:rPr>
        <w:t xml:space="preserve">an average level of </w:t>
      </w:r>
      <w:r w:rsidR="006E0BC7" w:rsidRPr="00291C34">
        <w:rPr>
          <w:rFonts w:asciiTheme="minorHAnsi" w:hAnsiTheme="minorHAnsi" w:cstheme="minorHAnsi"/>
        </w:rPr>
        <w:t xml:space="preserve">about </w:t>
      </w:r>
      <w:r w:rsidR="00C2017B" w:rsidRPr="00291C34">
        <w:rPr>
          <w:rFonts w:asciiTheme="minorHAnsi" w:hAnsiTheme="minorHAnsi" w:cstheme="minorHAnsi"/>
        </w:rPr>
        <w:t>9.7</w:t>
      </w:r>
      <w:r w:rsidR="00DF3848" w:rsidRPr="00291C34">
        <w:rPr>
          <w:rFonts w:asciiTheme="minorHAnsi" w:hAnsiTheme="minorHAnsi" w:cstheme="minorHAnsi"/>
        </w:rPr>
        <w:t xml:space="preserve"> </w:t>
      </w:r>
      <w:r w:rsidR="006E0BC7" w:rsidRPr="00291C34">
        <w:rPr>
          <w:rFonts w:asciiTheme="minorHAnsi" w:hAnsiTheme="minorHAnsi" w:cstheme="minorHAnsi"/>
        </w:rPr>
        <w:t>percent</w:t>
      </w:r>
      <w:r w:rsidR="007F29B3" w:rsidRPr="00291C34">
        <w:rPr>
          <w:rFonts w:asciiTheme="minorHAnsi" w:hAnsiTheme="minorHAnsi" w:cstheme="minorHAnsi"/>
        </w:rPr>
        <w:t xml:space="preserve"> at the end of the quarter</w:t>
      </w:r>
      <w:r w:rsidR="006E0BC7" w:rsidRPr="00291C34">
        <w:rPr>
          <w:rFonts w:asciiTheme="minorHAnsi" w:hAnsiTheme="minorHAnsi" w:cstheme="minorHAnsi"/>
        </w:rPr>
        <w:t>.</w:t>
      </w:r>
      <w:r w:rsidRPr="00291C34">
        <w:rPr>
          <w:rFonts w:asciiTheme="minorHAnsi" w:hAnsiTheme="minorHAnsi" w:cstheme="minorHAnsi"/>
        </w:rPr>
        <w:t xml:space="preserve"> </w:t>
      </w:r>
      <w:r w:rsidR="00BE6AB5" w:rsidRPr="00291C34">
        <w:rPr>
          <w:rFonts w:asciiTheme="minorHAnsi" w:hAnsiTheme="minorHAnsi" w:cstheme="minorHAnsi"/>
        </w:rPr>
        <w:t xml:space="preserve"> </w:t>
      </w:r>
      <w:r w:rsidR="007924C8" w:rsidRPr="00291C34">
        <w:rPr>
          <w:rFonts w:asciiTheme="minorHAnsi" w:hAnsiTheme="minorHAnsi" w:cstheme="minorHAnsi"/>
        </w:rPr>
        <w:t xml:space="preserve">This is </w:t>
      </w:r>
      <w:r w:rsidR="00B82927" w:rsidRPr="00291C34">
        <w:rPr>
          <w:rFonts w:asciiTheme="minorHAnsi" w:hAnsiTheme="minorHAnsi" w:cstheme="minorHAnsi"/>
        </w:rPr>
        <w:t xml:space="preserve">alongside </w:t>
      </w:r>
      <w:r w:rsidR="006E0BC7" w:rsidRPr="00291C34">
        <w:rPr>
          <w:rFonts w:asciiTheme="minorHAnsi" w:hAnsiTheme="minorHAnsi" w:cstheme="minorHAnsi"/>
        </w:rPr>
        <w:t xml:space="preserve">the average level of </w:t>
      </w:r>
      <w:r w:rsidRPr="00291C34">
        <w:rPr>
          <w:rFonts w:asciiTheme="minorHAnsi" w:hAnsiTheme="minorHAnsi" w:cstheme="minorHAnsi"/>
        </w:rPr>
        <w:t xml:space="preserve">implied volatility in foreign exchange options </w:t>
      </w:r>
      <w:r w:rsidR="007B2448" w:rsidRPr="00291C34">
        <w:rPr>
          <w:rFonts w:asciiTheme="minorHAnsi" w:hAnsiTheme="minorHAnsi" w:cstheme="minorHAnsi"/>
        </w:rPr>
        <w:t>in</w:t>
      </w:r>
      <w:r w:rsidR="00877705" w:rsidRPr="00291C34">
        <w:rPr>
          <w:rFonts w:asciiTheme="minorHAnsi" w:hAnsiTheme="minorHAnsi" w:cstheme="minorHAnsi"/>
        </w:rPr>
        <w:t xml:space="preserve"> </w:t>
      </w:r>
      <w:r w:rsidR="007B2448" w:rsidRPr="00291C34">
        <w:rPr>
          <w:rFonts w:asciiTheme="minorHAnsi" w:hAnsiTheme="minorHAnsi" w:cstheme="minorHAnsi"/>
        </w:rPr>
        <w:t xml:space="preserve">emerging </w:t>
      </w:r>
      <w:r w:rsidR="002A6B07" w:rsidRPr="00291C34">
        <w:rPr>
          <w:rFonts w:asciiTheme="minorHAnsi" w:hAnsiTheme="minorHAnsi" w:cstheme="minorHAnsi"/>
        </w:rPr>
        <w:t>markets</w:t>
      </w:r>
      <w:r w:rsidR="007924C8" w:rsidRPr="00291C34">
        <w:rPr>
          <w:rFonts w:asciiTheme="minorHAnsi" w:hAnsiTheme="minorHAnsi" w:cstheme="minorHAnsi"/>
        </w:rPr>
        <w:t xml:space="preserve">, which </w:t>
      </w:r>
      <w:r w:rsidR="00C2017B" w:rsidRPr="00291C34">
        <w:rPr>
          <w:rFonts w:asciiTheme="minorHAnsi" w:hAnsiTheme="minorHAnsi" w:cstheme="minorHAnsi"/>
        </w:rPr>
        <w:t>increased</w:t>
      </w:r>
      <w:r w:rsidR="007924C8" w:rsidRPr="00291C34">
        <w:rPr>
          <w:rFonts w:asciiTheme="minorHAnsi" w:hAnsiTheme="minorHAnsi" w:cstheme="minorHAnsi"/>
        </w:rPr>
        <w:t xml:space="preserve"> by </w:t>
      </w:r>
      <w:r w:rsidR="00BE6AB5" w:rsidRPr="00291C34">
        <w:rPr>
          <w:rFonts w:asciiTheme="minorHAnsi" w:hAnsiTheme="minorHAnsi" w:cstheme="minorHAnsi"/>
        </w:rPr>
        <w:t>1.</w:t>
      </w:r>
      <w:r w:rsidR="00675AFB" w:rsidRPr="00291C34">
        <w:rPr>
          <w:rFonts w:asciiTheme="minorHAnsi" w:hAnsiTheme="minorHAnsi" w:cstheme="minorHAnsi"/>
        </w:rPr>
        <w:t>0</w:t>
      </w:r>
      <w:r w:rsidR="007924C8" w:rsidRPr="00291C34">
        <w:rPr>
          <w:rFonts w:asciiTheme="minorHAnsi" w:hAnsiTheme="minorHAnsi" w:cstheme="minorHAnsi"/>
        </w:rPr>
        <w:t xml:space="preserve"> p</w:t>
      </w:r>
      <w:r w:rsidR="007B2448" w:rsidRPr="00291C34">
        <w:rPr>
          <w:rFonts w:asciiTheme="minorHAnsi" w:hAnsiTheme="minorHAnsi" w:cstheme="minorHAnsi"/>
        </w:rPr>
        <w:t>ercent</w:t>
      </w:r>
      <w:r w:rsidR="007924C8" w:rsidRPr="00291C34">
        <w:rPr>
          <w:rFonts w:asciiTheme="minorHAnsi" w:hAnsiTheme="minorHAnsi" w:cstheme="minorHAnsi"/>
        </w:rPr>
        <w:t xml:space="preserve">age point compared to the previous </w:t>
      </w:r>
      <w:r w:rsidR="0013070F" w:rsidRPr="00291C34">
        <w:rPr>
          <w:rFonts w:asciiTheme="minorHAnsi" w:hAnsiTheme="minorHAnsi" w:cstheme="minorHAnsi"/>
        </w:rPr>
        <w:t>quarter</w:t>
      </w:r>
      <w:r w:rsidR="007924C8" w:rsidRPr="00291C34">
        <w:rPr>
          <w:rFonts w:asciiTheme="minorHAnsi" w:hAnsiTheme="minorHAnsi" w:cstheme="minorHAnsi"/>
        </w:rPr>
        <w:t xml:space="preserve">, to </w:t>
      </w:r>
      <w:r w:rsidR="00C2017B" w:rsidRPr="00291C34">
        <w:rPr>
          <w:rFonts w:asciiTheme="minorHAnsi" w:hAnsiTheme="minorHAnsi" w:cstheme="minorHAnsi"/>
        </w:rPr>
        <w:t>9</w:t>
      </w:r>
      <w:r w:rsidR="00BE6AB5" w:rsidRPr="00291C34">
        <w:rPr>
          <w:rFonts w:asciiTheme="minorHAnsi" w:hAnsiTheme="minorHAnsi" w:cstheme="minorHAnsi"/>
        </w:rPr>
        <w:t>.6</w:t>
      </w:r>
      <w:r w:rsidR="00F45800" w:rsidRPr="00291C34">
        <w:rPr>
          <w:rFonts w:asciiTheme="minorHAnsi" w:hAnsiTheme="minorHAnsi" w:cstheme="minorHAnsi"/>
        </w:rPr>
        <w:t xml:space="preserve"> </w:t>
      </w:r>
      <w:r w:rsidR="00B82927" w:rsidRPr="00291C34">
        <w:rPr>
          <w:rFonts w:asciiTheme="minorHAnsi" w:hAnsiTheme="minorHAnsi" w:cstheme="minorHAnsi"/>
        </w:rPr>
        <w:t>p</w:t>
      </w:r>
      <w:r w:rsidR="007924C8" w:rsidRPr="00291C34">
        <w:rPr>
          <w:rFonts w:asciiTheme="minorHAnsi" w:hAnsiTheme="minorHAnsi" w:cstheme="minorHAnsi"/>
        </w:rPr>
        <w:t xml:space="preserve">ercent at the end of the quarter. </w:t>
      </w:r>
      <w:r w:rsidR="00BE6AB5" w:rsidRPr="00291C34">
        <w:rPr>
          <w:rFonts w:asciiTheme="minorHAnsi" w:hAnsiTheme="minorHAnsi" w:cstheme="minorHAnsi"/>
        </w:rPr>
        <w:t xml:space="preserve">There was a similar </w:t>
      </w:r>
      <w:r w:rsidR="00C2017B" w:rsidRPr="00291C34">
        <w:rPr>
          <w:rFonts w:asciiTheme="minorHAnsi" w:hAnsiTheme="minorHAnsi" w:cstheme="minorHAnsi"/>
        </w:rPr>
        <w:t>increase</w:t>
      </w:r>
      <w:r w:rsidR="00BE6AB5" w:rsidRPr="00291C34">
        <w:rPr>
          <w:rFonts w:asciiTheme="minorHAnsi" w:hAnsiTheme="minorHAnsi" w:cstheme="minorHAnsi"/>
        </w:rPr>
        <w:t xml:space="preserve"> i</w:t>
      </w:r>
      <w:r w:rsidR="00B82927" w:rsidRPr="00291C34">
        <w:rPr>
          <w:rFonts w:asciiTheme="minorHAnsi" w:hAnsiTheme="minorHAnsi" w:cstheme="minorHAnsi"/>
        </w:rPr>
        <w:t xml:space="preserve">n advanced economies, </w:t>
      </w:r>
      <w:r w:rsidR="007924C8" w:rsidRPr="00291C34">
        <w:rPr>
          <w:rFonts w:asciiTheme="minorHAnsi" w:hAnsiTheme="minorHAnsi" w:cstheme="minorHAnsi"/>
        </w:rPr>
        <w:t xml:space="preserve">to </w:t>
      </w:r>
      <w:r w:rsidR="00BE6AB5" w:rsidRPr="00291C34">
        <w:rPr>
          <w:rFonts w:asciiTheme="minorHAnsi" w:hAnsiTheme="minorHAnsi" w:cstheme="minorHAnsi"/>
        </w:rPr>
        <w:t>7.</w:t>
      </w:r>
      <w:r w:rsidR="00C2017B" w:rsidRPr="00291C34">
        <w:rPr>
          <w:rFonts w:asciiTheme="minorHAnsi" w:hAnsiTheme="minorHAnsi" w:cstheme="minorHAnsi"/>
        </w:rPr>
        <w:t>6</w:t>
      </w:r>
      <w:r w:rsidR="00F45800" w:rsidRPr="00291C34">
        <w:rPr>
          <w:rFonts w:asciiTheme="minorHAnsi" w:hAnsiTheme="minorHAnsi" w:cstheme="minorHAnsi"/>
        </w:rPr>
        <w:t xml:space="preserve"> </w:t>
      </w:r>
      <w:r w:rsidR="007924C8" w:rsidRPr="00291C34">
        <w:rPr>
          <w:rFonts w:asciiTheme="minorHAnsi" w:hAnsiTheme="minorHAnsi" w:cstheme="minorHAnsi"/>
        </w:rPr>
        <w:t xml:space="preserve">percent at the end of the quarter </w:t>
      </w:r>
      <w:r w:rsidRPr="00291C34">
        <w:rPr>
          <w:rFonts w:asciiTheme="minorHAnsi" w:hAnsiTheme="minorHAnsi" w:cstheme="minorHAnsi"/>
        </w:rPr>
        <w:t>(Figure 4).</w:t>
      </w:r>
      <w:r w:rsidR="00176396" w:rsidRPr="00291C34">
        <w:rPr>
          <w:rFonts w:asciiTheme="minorHAnsi" w:hAnsiTheme="minorHAnsi" w:cstheme="minorHAnsi"/>
        </w:rPr>
        <w:t xml:space="preserve"> </w:t>
      </w:r>
    </w:p>
    <w:p w14:paraId="716D0A07" w14:textId="1D042F98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</w:rPr>
      </w:pPr>
    </w:p>
    <w:p w14:paraId="2A4BC26F" w14:textId="733B2D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6C637E50" w14:textId="4C227FD6" w:rsidR="002331FC" w:rsidRPr="00291C34" w:rsidRDefault="004869C1" w:rsidP="002331FC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3D08CE6C" wp14:editId="0BF4DF2D">
            <wp:extent cx="5407660" cy="2633980"/>
            <wp:effectExtent l="0" t="0" r="2540" b="0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7660" cy="2633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4FFA2192" w14:textId="777777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7BED2918" w14:textId="270EE15F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01305D92" w14:textId="777777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7C565D7A" w14:textId="777777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70950FCC" w14:textId="41B66AE5" w:rsidR="002331FC" w:rsidRPr="00291C34" w:rsidRDefault="004869C1" w:rsidP="002331FC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F5C7712" wp14:editId="35D0E39E">
            <wp:extent cx="6214745" cy="2426442"/>
            <wp:effectExtent l="0" t="0" r="0" b="0"/>
            <wp:docPr id="8" name="תמונה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34970" cy="24343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63C234C" w14:textId="777777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58C71F08" w14:textId="777777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23FF348D" w14:textId="77777777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296D2B6A" w14:textId="1217456D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237B2539" w14:textId="15EE538A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4B573E22" w14:textId="0C76B70A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4158BC58" w14:textId="3BD273CB" w:rsidR="002331FC" w:rsidRPr="00291C34" w:rsidRDefault="002331FC" w:rsidP="002331FC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6F215FD0" w14:textId="7EEF9BAB" w:rsidR="008639EC" w:rsidRPr="00291C34" w:rsidRDefault="009831EE" w:rsidP="006D5EA0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</w:rPr>
        <w:t>3. The Activity of the Main Se</w:t>
      </w:r>
      <w:r w:rsidR="00183AE0" w:rsidRPr="00291C34">
        <w:rPr>
          <w:rFonts w:asciiTheme="minorHAnsi" w:hAnsiTheme="minorHAnsi" w:cstheme="minorHAnsi"/>
          <w:b/>
          <w:bCs/>
        </w:rPr>
        <w:t>gments</w:t>
      </w:r>
      <w:r w:rsidRPr="00291C34">
        <w:rPr>
          <w:rFonts w:asciiTheme="minorHAnsi" w:hAnsiTheme="minorHAnsi" w:cstheme="minorHAnsi"/>
          <w:b/>
          <w:bCs/>
        </w:rPr>
        <w:t xml:space="preserve"> in the Foreign </w:t>
      </w:r>
      <w:r w:rsidR="00183AE0" w:rsidRPr="00291C34">
        <w:rPr>
          <w:rFonts w:asciiTheme="minorHAnsi" w:hAnsiTheme="minorHAnsi" w:cstheme="minorHAnsi"/>
          <w:b/>
          <w:bCs/>
        </w:rPr>
        <w:t>Exchange</w:t>
      </w:r>
      <w:r w:rsidRPr="00291C34">
        <w:rPr>
          <w:rFonts w:asciiTheme="minorHAnsi" w:hAnsiTheme="minorHAnsi" w:cstheme="minorHAnsi"/>
          <w:b/>
          <w:bCs/>
        </w:rPr>
        <w:t xml:space="preserve"> Market</w:t>
      </w:r>
      <w:r w:rsidR="00221362" w:rsidRPr="00291C34">
        <w:rPr>
          <w:rStyle w:val="ad"/>
          <w:rFonts w:asciiTheme="minorHAnsi" w:hAnsiTheme="minorHAnsi" w:cstheme="minorHAnsi"/>
          <w:b/>
          <w:bCs/>
        </w:rPr>
        <w:footnoteReference w:id="1"/>
      </w:r>
      <w:r w:rsidR="00115E0C" w:rsidRPr="00291C34">
        <w:rPr>
          <w:rFonts w:asciiTheme="minorHAnsi" w:hAnsiTheme="minorHAnsi" w:cstheme="minorHAnsi"/>
          <w:b/>
          <w:bCs/>
          <w:vertAlign w:val="superscript"/>
        </w:rPr>
        <w:t>,</w:t>
      </w:r>
      <w:r w:rsidR="00115E0C" w:rsidRPr="00291C34">
        <w:rPr>
          <w:rStyle w:val="ad"/>
          <w:rFonts w:asciiTheme="minorHAnsi" w:hAnsiTheme="minorHAnsi" w:cstheme="minorHAnsi"/>
          <w:b/>
          <w:bCs/>
        </w:rPr>
        <w:footnoteReference w:id="2"/>
      </w:r>
      <w:r w:rsidR="00115E0C" w:rsidRPr="00291C34">
        <w:rPr>
          <w:rFonts w:asciiTheme="minorHAnsi" w:hAnsiTheme="minorHAnsi" w:cstheme="minorHAnsi"/>
          <w:b/>
          <w:bCs/>
        </w:rPr>
        <w:t xml:space="preserve"> </w:t>
      </w:r>
    </w:p>
    <w:p w14:paraId="4C2CFA44" w14:textId="77777777" w:rsidR="001E3DF2" w:rsidRPr="00291C34" w:rsidRDefault="001E3DF2" w:rsidP="001E3DF2">
      <w:pPr>
        <w:bidi w:val="0"/>
        <w:jc w:val="both"/>
        <w:rPr>
          <w:rFonts w:asciiTheme="minorHAnsi" w:hAnsiTheme="minorHAnsi" w:cstheme="minorHAnsi"/>
        </w:rPr>
      </w:pPr>
    </w:p>
    <w:p w14:paraId="4FC7A3E9" w14:textId="77777777" w:rsidR="00C2017B" w:rsidRPr="00291C34" w:rsidRDefault="00345CD5" w:rsidP="00C2017B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An estimate of activity by the </w:t>
      </w:r>
      <w:r w:rsidRPr="00291C34">
        <w:rPr>
          <w:rFonts w:asciiTheme="minorHAnsi" w:hAnsiTheme="minorHAnsi" w:cstheme="minorHAnsi"/>
          <w:b/>
          <w:bCs/>
        </w:rPr>
        <w:t>main</w:t>
      </w:r>
      <w:r w:rsidRPr="00291C34">
        <w:rPr>
          <w:rFonts w:asciiTheme="minorHAnsi" w:hAnsiTheme="minorHAnsi" w:cstheme="minorHAnsi"/>
        </w:rPr>
        <w:t xml:space="preserve"> </w:t>
      </w:r>
      <w:r w:rsidR="00E05AF2" w:rsidRPr="00291C34">
        <w:rPr>
          <w:rFonts w:asciiTheme="minorHAnsi" w:hAnsiTheme="minorHAnsi" w:cstheme="minorHAnsi"/>
        </w:rPr>
        <w:t>segments</w:t>
      </w:r>
      <w:r w:rsidRPr="00291C34">
        <w:rPr>
          <w:rFonts w:asciiTheme="minorHAnsi" w:hAnsiTheme="minorHAnsi" w:cstheme="minorHAnsi"/>
        </w:rPr>
        <w:t xml:space="preserve"> in the fore</w:t>
      </w:r>
      <w:r w:rsidR="000015AF" w:rsidRPr="00291C34">
        <w:rPr>
          <w:rFonts w:asciiTheme="minorHAnsi" w:hAnsiTheme="minorHAnsi" w:cstheme="minorHAnsi"/>
        </w:rPr>
        <w:t xml:space="preserve">ign exchange </w:t>
      </w:r>
      <w:r w:rsidRPr="00291C34">
        <w:rPr>
          <w:rFonts w:asciiTheme="minorHAnsi" w:hAnsiTheme="minorHAnsi" w:cstheme="minorHAnsi"/>
        </w:rPr>
        <w:t xml:space="preserve">market </w:t>
      </w:r>
      <w:r w:rsidR="00E05AF2" w:rsidRPr="00291C34">
        <w:rPr>
          <w:rFonts w:asciiTheme="minorHAnsi" w:hAnsiTheme="minorHAnsi" w:cstheme="minorHAnsi"/>
        </w:rPr>
        <w:t>indicates</w:t>
      </w:r>
      <w:r w:rsidRPr="00291C34">
        <w:rPr>
          <w:rFonts w:asciiTheme="minorHAnsi" w:hAnsiTheme="minorHAnsi" w:cstheme="minorHAnsi"/>
        </w:rPr>
        <w:t xml:space="preserve"> </w:t>
      </w:r>
      <w:r w:rsidR="00BE6AB5" w:rsidRPr="00291C34">
        <w:rPr>
          <w:rFonts w:asciiTheme="minorHAnsi" w:hAnsiTheme="minorHAnsi" w:cstheme="minorHAnsi"/>
        </w:rPr>
        <w:t>heterogeneous</w:t>
      </w:r>
      <w:r w:rsidR="00C7356F" w:rsidRPr="00291C34">
        <w:rPr>
          <w:rFonts w:asciiTheme="minorHAnsi" w:hAnsiTheme="minorHAnsi" w:cstheme="minorHAnsi"/>
        </w:rPr>
        <w:t xml:space="preserve"> activity</w:t>
      </w:r>
      <w:r w:rsidR="00BE6AB5" w:rsidRPr="00291C34">
        <w:rPr>
          <w:rFonts w:asciiTheme="minorHAnsi" w:hAnsiTheme="minorHAnsi" w:cstheme="minorHAnsi"/>
        </w:rPr>
        <w:t xml:space="preserve">. In the </w:t>
      </w:r>
      <w:r w:rsidR="00C2017B" w:rsidRPr="00291C34">
        <w:rPr>
          <w:rFonts w:asciiTheme="minorHAnsi" w:hAnsiTheme="minorHAnsi" w:cstheme="minorHAnsi"/>
        </w:rPr>
        <w:t>first quarter</w:t>
      </w:r>
      <w:r w:rsidR="00BE6AB5" w:rsidRPr="00291C34">
        <w:rPr>
          <w:rFonts w:asciiTheme="minorHAnsi" w:hAnsiTheme="minorHAnsi" w:cstheme="minorHAnsi"/>
        </w:rPr>
        <w:t xml:space="preserve">, there were net foreign exchange </w:t>
      </w:r>
      <w:r w:rsidR="00C2017B" w:rsidRPr="00291C34">
        <w:rPr>
          <w:rFonts w:asciiTheme="minorHAnsi" w:hAnsiTheme="minorHAnsi" w:cstheme="minorHAnsi"/>
        </w:rPr>
        <w:t xml:space="preserve">purchases by nonresidents, </w:t>
      </w:r>
      <w:r w:rsidR="00675AFB" w:rsidRPr="00291C34">
        <w:rPr>
          <w:rFonts w:asciiTheme="minorHAnsi" w:hAnsiTheme="minorHAnsi" w:cstheme="minorHAnsi"/>
        </w:rPr>
        <w:t>while</w:t>
      </w:r>
      <w:r w:rsidR="00843702" w:rsidRPr="00291C34">
        <w:rPr>
          <w:rFonts w:asciiTheme="minorHAnsi" w:hAnsiTheme="minorHAnsi" w:cstheme="minorHAnsi"/>
        </w:rPr>
        <w:t xml:space="preserve"> </w:t>
      </w:r>
      <w:r w:rsidR="00C2017B" w:rsidRPr="00291C34">
        <w:rPr>
          <w:rFonts w:asciiTheme="minorHAnsi" w:hAnsiTheme="minorHAnsi" w:cstheme="minorHAnsi"/>
        </w:rPr>
        <w:t>institutional investors and</w:t>
      </w:r>
      <w:r w:rsidR="00675AFB" w:rsidRPr="00291C34">
        <w:rPr>
          <w:rFonts w:asciiTheme="minorHAnsi" w:hAnsiTheme="minorHAnsi" w:cstheme="minorHAnsi"/>
        </w:rPr>
        <w:t xml:space="preserve"> the business sector</w:t>
      </w:r>
      <w:r w:rsidR="00C2017B" w:rsidRPr="00291C34">
        <w:rPr>
          <w:rFonts w:asciiTheme="minorHAnsi" w:hAnsiTheme="minorHAnsi" w:cstheme="minorHAnsi"/>
        </w:rPr>
        <w:t xml:space="preserve"> </w:t>
      </w:r>
      <w:r w:rsidR="00675AFB" w:rsidRPr="00291C34">
        <w:rPr>
          <w:rFonts w:asciiTheme="minorHAnsi" w:hAnsiTheme="minorHAnsi" w:cstheme="minorHAnsi"/>
        </w:rPr>
        <w:t xml:space="preserve">made net </w:t>
      </w:r>
      <w:r w:rsidR="00C2017B" w:rsidRPr="00291C34">
        <w:rPr>
          <w:rFonts w:asciiTheme="minorHAnsi" w:hAnsiTheme="minorHAnsi" w:cstheme="minorHAnsi"/>
        </w:rPr>
        <w:t>sales</w:t>
      </w:r>
      <w:r w:rsidR="00675AFB" w:rsidRPr="00291C34">
        <w:rPr>
          <w:rFonts w:asciiTheme="minorHAnsi" w:hAnsiTheme="minorHAnsi" w:cstheme="minorHAnsi"/>
        </w:rPr>
        <w:t xml:space="preserve">, </w:t>
      </w:r>
      <w:r w:rsidR="00C2017B" w:rsidRPr="00291C34">
        <w:rPr>
          <w:rFonts w:asciiTheme="minorHAnsi" w:hAnsiTheme="minorHAnsi" w:cstheme="minorHAnsi"/>
        </w:rPr>
        <w:t xml:space="preserve">which supported the strengthening of the shekel. The activity of the financial segment was relatively moderate. </w:t>
      </w:r>
    </w:p>
    <w:p w14:paraId="2458CF5E" w14:textId="232F6C47" w:rsidR="00C2017B" w:rsidRPr="00291C34" w:rsidRDefault="00C2017B" w:rsidP="00C2017B">
      <w:pPr>
        <w:bidi w:val="0"/>
        <w:jc w:val="both"/>
        <w:rPr>
          <w:rFonts w:asciiTheme="minorHAnsi" w:hAnsiTheme="minorHAnsi" w:cstheme="minorHAnsi"/>
        </w:rPr>
      </w:pPr>
    </w:p>
    <w:p w14:paraId="6D59B73B" w14:textId="6E08BEB1" w:rsidR="006A7339" w:rsidRPr="00291C34" w:rsidRDefault="006A7339" w:rsidP="006A7339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>Nonresidents increased their net foreign exchange purchases to about $6.6 billion, compared with $1.8 billion in the previous quarter.  The institutional investors—pension funds, provident funds, and insurance companies—continued to make net foreign exchange sales, totaling about $5.2 billion during the quarter, compared with sales of about $13.2 billion in the previous quarter.</w:t>
      </w:r>
    </w:p>
    <w:p w14:paraId="48C232C7" w14:textId="11C521C8" w:rsidR="00843702" w:rsidRPr="00291C34" w:rsidRDefault="006A7339" w:rsidP="006A7339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 xml:space="preserve">The business sector </w:t>
      </w:r>
      <w:r w:rsidR="00675AFB" w:rsidRPr="00291C34">
        <w:rPr>
          <w:rFonts w:asciiTheme="minorHAnsi" w:hAnsiTheme="minorHAnsi" w:cstheme="minorHAnsi"/>
        </w:rPr>
        <w:t>moved to net</w:t>
      </w:r>
      <w:r w:rsidR="00843702" w:rsidRPr="00291C34">
        <w:rPr>
          <w:rFonts w:asciiTheme="minorHAnsi" w:hAnsiTheme="minorHAnsi" w:cstheme="minorHAnsi"/>
        </w:rPr>
        <w:t xml:space="preserve"> foreign exchange</w:t>
      </w:r>
      <w:r w:rsidR="00675AFB" w:rsidRPr="00291C34">
        <w:rPr>
          <w:rFonts w:asciiTheme="minorHAnsi" w:hAnsiTheme="minorHAnsi" w:cstheme="minorHAnsi"/>
        </w:rPr>
        <w:t xml:space="preserve"> </w:t>
      </w:r>
      <w:r w:rsidRPr="00291C34">
        <w:rPr>
          <w:rFonts w:asciiTheme="minorHAnsi" w:hAnsiTheme="minorHAnsi" w:cstheme="minorHAnsi"/>
        </w:rPr>
        <w:t>sal</w:t>
      </w:r>
      <w:r w:rsidR="00675AFB" w:rsidRPr="00291C34">
        <w:rPr>
          <w:rFonts w:asciiTheme="minorHAnsi" w:hAnsiTheme="minorHAnsi" w:cstheme="minorHAnsi"/>
        </w:rPr>
        <w:t>es</w:t>
      </w:r>
      <w:r w:rsidR="00843702" w:rsidRPr="00291C34">
        <w:rPr>
          <w:rFonts w:asciiTheme="minorHAnsi" w:hAnsiTheme="minorHAnsi" w:cstheme="minorHAnsi"/>
        </w:rPr>
        <w:t>,</w:t>
      </w:r>
      <w:r w:rsidR="00675AFB" w:rsidRPr="00291C34">
        <w:rPr>
          <w:rFonts w:asciiTheme="minorHAnsi" w:hAnsiTheme="minorHAnsi" w:cstheme="minorHAnsi"/>
        </w:rPr>
        <w:t xml:space="preserve"> totaling about </w:t>
      </w:r>
      <w:r w:rsidR="00843702" w:rsidRPr="00291C34">
        <w:rPr>
          <w:rFonts w:asciiTheme="minorHAnsi" w:hAnsiTheme="minorHAnsi" w:cstheme="minorHAnsi"/>
        </w:rPr>
        <w:t>$</w:t>
      </w:r>
      <w:r w:rsidR="00675AFB" w:rsidRPr="00291C34">
        <w:rPr>
          <w:rFonts w:asciiTheme="minorHAnsi" w:hAnsiTheme="minorHAnsi" w:cstheme="minorHAnsi"/>
        </w:rPr>
        <w:t>1.</w:t>
      </w:r>
      <w:r w:rsidRPr="00291C34">
        <w:rPr>
          <w:rFonts w:asciiTheme="minorHAnsi" w:hAnsiTheme="minorHAnsi" w:cstheme="minorHAnsi"/>
        </w:rPr>
        <w:t>4</w:t>
      </w:r>
      <w:r w:rsidR="00843702" w:rsidRPr="00291C34">
        <w:rPr>
          <w:rFonts w:asciiTheme="minorHAnsi" w:hAnsiTheme="minorHAnsi" w:cstheme="minorHAnsi"/>
        </w:rPr>
        <w:t xml:space="preserve"> billion in the </w:t>
      </w:r>
      <w:r w:rsidR="00C2017B" w:rsidRPr="00291C34">
        <w:rPr>
          <w:rFonts w:asciiTheme="minorHAnsi" w:hAnsiTheme="minorHAnsi" w:cstheme="minorHAnsi"/>
        </w:rPr>
        <w:t>first quarter</w:t>
      </w:r>
      <w:r w:rsidR="00843702" w:rsidRPr="00291C34">
        <w:rPr>
          <w:rFonts w:asciiTheme="minorHAnsi" w:hAnsiTheme="minorHAnsi" w:cstheme="minorHAnsi"/>
        </w:rPr>
        <w:t>, compared to</w:t>
      </w:r>
      <w:r w:rsidR="00675AFB" w:rsidRPr="00291C34">
        <w:rPr>
          <w:rFonts w:asciiTheme="minorHAnsi" w:hAnsiTheme="minorHAnsi" w:cstheme="minorHAnsi"/>
        </w:rPr>
        <w:t xml:space="preserve"> </w:t>
      </w:r>
      <w:r w:rsidRPr="00291C34">
        <w:rPr>
          <w:rFonts w:asciiTheme="minorHAnsi" w:hAnsiTheme="minorHAnsi" w:cstheme="minorHAnsi"/>
        </w:rPr>
        <w:t>purchases</w:t>
      </w:r>
      <w:r w:rsidR="00675AFB" w:rsidRPr="00291C34">
        <w:rPr>
          <w:rFonts w:asciiTheme="minorHAnsi" w:hAnsiTheme="minorHAnsi" w:cstheme="minorHAnsi"/>
        </w:rPr>
        <w:t xml:space="preserve"> of </w:t>
      </w:r>
      <w:r w:rsidR="00843702" w:rsidRPr="00291C34">
        <w:rPr>
          <w:rFonts w:asciiTheme="minorHAnsi" w:hAnsiTheme="minorHAnsi" w:cstheme="minorHAnsi"/>
        </w:rPr>
        <w:t>about $</w:t>
      </w:r>
      <w:r w:rsidRPr="00291C34">
        <w:rPr>
          <w:rFonts w:asciiTheme="minorHAnsi" w:hAnsiTheme="minorHAnsi" w:cstheme="minorHAnsi"/>
        </w:rPr>
        <w:t>5.6</w:t>
      </w:r>
      <w:r w:rsidR="00843702" w:rsidRPr="00291C34">
        <w:rPr>
          <w:rFonts w:asciiTheme="minorHAnsi" w:hAnsiTheme="minorHAnsi" w:cstheme="minorHAnsi"/>
        </w:rPr>
        <w:t xml:space="preserve"> billion in the </w:t>
      </w:r>
      <w:r w:rsidRPr="00291C34">
        <w:rPr>
          <w:rFonts w:asciiTheme="minorHAnsi" w:hAnsiTheme="minorHAnsi" w:cstheme="minorHAnsi"/>
        </w:rPr>
        <w:t>previous</w:t>
      </w:r>
      <w:r w:rsidR="00843702" w:rsidRPr="00291C34">
        <w:rPr>
          <w:rFonts w:asciiTheme="minorHAnsi" w:hAnsiTheme="minorHAnsi" w:cstheme="minorHAnsi"/>
        </w:rPr>
        <w:t xml:space="preserve"> quarter. </w:t>
      </w:r>
      <w:r w:rsidR="00675AFB" w:rsidRPr="00291C34">
        <w:rPr>
          <w:rFonts w:asciiTheme="minorHAnsi" w:hAnsiTheme="minorHAnsi" w:cstheme="minorHAnsi"/>
        </w:rPr>
        <w:t>T</w:t>
      </w:r>
      <w:r w:rsidR="00843702" w:rsidRPr="00291C34">
        <w:rPr>
          <w:rFonts w:asciiTheme="minorHAnsi" w:hAnsiTheme="minorHAnsi" w:cstheme="minorHAnsi"/>
        </w:rPr>
        <w:t xml:space="preserve">he financial sector (mainly the banks) </w:t>
      </w:r>
      <w:r w:rsidR="00675AFB" w:rsidRPr="00291C34">
        <w:rPr>
          <w:rFonts w:asciiTheme="minorHAnsi" w:hAnsiTheme="minorHAnsi" w:cstheme="minorHAnsi"/>
        </w:rPr>
        <w:t>made net foreign exchange</w:t>
      </w:r>
      <w:r w:rsidR="00843702" w:rsidRPr="00291C34">
        <w:rPr>
          <w:rFonts w:asciiTheme="minorHAnsi" w:hAnsiTheme="minorHAnsi" w:cstheme="minorHAnsi"/>
        </w:rPr>
        <w:t xml:space="preserve"> </w:t>
      </w:r>
      <w:r w:rsidRPr="00291C34">
        <w:rPr>
          <w:rFonts w:asciiTheme="minorHAnsi" w:hAnsiTheme="minorHAnsi" w:cstheme="minorHAnsi"/>
        </w:rPr>
        <w:t>sal</w:t>
      </w:r>
      <w:r w:rsidR="00843702" w:rsidRPr="00291C34">
        <w:rPr>
          <w:rFonts w:asciiTheme="minorHAnsi" w:hAnsiTheme="minorHAnsi" w:cstheme="minorHAnsi"/>
        </w:rPr>
        <w:t>es totaling about $</w:t>
      </w:r>
      <w:r w:rsidR="00675AFB" w:rsidRPr="00291C34">
        <w:rPr>
          <w:rFonts w:asciiTheme="minorHAnsi" w:hAnsiTheme="minorHAnsi" w:cstheme="minorHAnsi"/>
        </w:rPr>
        <w:t>0.</w:t>
      </w:r>
      <w:r w:rsidRPr="00291C34">
        <w:rPr>
          <w:rFonts w:asciiTheme="minorHAnsi" w:hAnsiTheme="minorHAnsi" w:cstheme="minorHAnsi"/>
        </w:rPr>
        <w:t>2</w:t>
      </w:r>
      <w:r w:rsidR="00843702" w:rsidRPr="00291C34">
        <w:rPr>
          <w:rFonts w:asciiTheme="minorHAnsi" w:hAnsiTheme="minorHAnsi" w:cstheme="minorHAnsi"/>
        </w:rPr>
        <w:t xml:space="preserve"> billion in the </w:t>
      </w:r>
      <w:r w:rsidR="00C2017B" w:rsidRPr="00291C34">
        <w:rPr>
          <w:rFonts w:asciiTheme="minorHAnsi" w:hAnsiTheme="minorHAnsi" w:cstheme="minorHAnsi"/>
        </w:rPr>
        <w:t>first quarter</w:t>
      </w:r>
      <w:r w:rsidR="00675AFB" w:rsidRPr="00291C34">
        <w:rPr>
          <w:rFonts w:asciiTheme="minorHAnsi" w:hAnsiTheme="minorHAnsi" w:cstheme="minorHAnsi"/>
        </w:rPr>
        <w:t xml:space="preserve">, </w:t>
      </w:r>
      <w:r w:rsidRPr="00291C34">
        <w:rPr>
          <w:rFonts w:asciiTheme="minorHAnsi" w:hAnsiTheme="minorHAnsi" w:cstheme="minorHAnsi"/>
        </w:rPr>
        <w:t>compared with</w:t>
      </w:r>
      <w:r w:rsidR="00675AFB" w:rsidRPr="00291C34">
        <w:rPr>
          <w:rFonts w:asciiTheme="minorHAnsi" w:hAnsiTheme="minorHAnsi" w:cstheme="minorHAnsi"/>
        </w:rPr>
        <w:t xml:space="preserve"> purchases of about $</w:t>
      </w:r>
      <w:r w:rsidRPr="00291C34">
        <w:rPr>
          <w:rFonts w:asciiTheme="minorHAnsi" w:hAnsiTheme="minorHAnsi" w:cstheme="minorHAnsi"/>
        </w:rPr>
        <w:t>0.9</w:t>
      </w:r>
      <w:r w:rsidR="00675AFB" w:rsidRPr="00291C34">
        <w:rPr>
          <w:rFonts w:asciiTheme="minorHAnsi" w:hAnsiTheme="minorHAnsi" w:cstheme="minorHAnsi"/>
        </w:rPr>
        <w:t xml:space="preserve"> billion in the </w:t>
      </w:r>
      <w:r w:rsidRPr="00291C34">
        <w:rPr>
          <w:rFonts w:asciiTheme="minorHAnsi" w:hAnsiTheme="minorHAnsi" w:cstheme="minorHAnsi"/>
        </w:rPr>
        <w:t>previous</w:t>
      </w:r>
      <w:r w:rsidR="00675AFB" w:rsidRPr="00291C34">
        <w:rPr>
          <w:rFonts w:asciiTheme="minorHAnsi" w:hAnsiTheme="minorHAnsi" w:cstheme="minorHAnsi"/>
        </w:rPr>
        <w:t xml:space="preserve"> quarter</w:t>
      </w:r>
      <w:r w:rsidR="00843702" w:rsidRPr="00291C34">
        <w:rPr>
          <w:rFonts w:asciiTheme="minorHAnsi" w:hAnsiTheme="minorHAnsi" w:cstheme="minorHAnsi"/>
        </w:rPr>
        <w:t>.</w:t>
      </w:r>
    </w:p>
    <w:p w14:paraId="61B43B7D" w14:textId="14E2E2EA" w:rsidR="001E3DF2" w:rsidRPr="00291C34" w:rsidRDefault="001E3DF2">
      <w:pPr>
        <w:bidi w:val="0"/>
        <w:rPr>
          <w:rFonts w:asciiTheme="minorHAnsi" w:hAnsiTheme="minorHAnsi" w:cstheme="minorHAnsi"/>
          <w:rtl/>
        </w:rPr>
      </w:pPr>
    </w:p>
    <w:p w14:paraId="4656CFF2" w14:textId="6157EEB2" w:rsidR="00465721" w:rsidRPr="00291C34" w:rsidRDefault="00465721" w:rsidP="001E3DF2">
      <w:pPr>
        <w:bidi w:val="0"/>
        <w:jc w:val="both"/>
        <w:rPr>
          <w:rFonts w:asciiTheme="minorHAnsi" w:hAnsiTheme="minorHAnsi" w:cstheme="minorHAnsi"/>
        </w:rPr>
      </w:pPr>
    </w:p>
    <w:p w14:paraId="0B74484A" w14:textId="0597F90D" w:rsidR="00465721" w:rsidRPr="00291C34" w:rsidRDefault="00465721" w:rsidP="001E3DF2">
      <w:pPr>
        <w:bidi w:val="0"/>
        <w:jc w:val="both"/>
        <w:rPr>
          <w:rFonts w:asciiTheme="minorHAnsi" w:hAnsiTheme="minorHAnsi" w:cstheme="minorHAnsi"/>
        </w:rPr>
      </w:pPr>
    </w:p>
    <w:p w14:paraId="5262EB40" w14:textId="3EB0793F" w:rsidR="001E409B" w:rsidRPr="00291C34" w:rsidRDefault="004869C1" w:rsidP="001E3DF2">
      <w:pPr>
        <w:bidi w:val="0"/>
        <w:jc w:val="center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  <w:noProof/>
        </w:rPr>
        <w:drawing>
          <wp:inline distT="0" distB="0" distL="0" distR="0" wp14:anchorId="2F895476" wp14:editId="6CFFDEC7">
            <wp:extent cx="6060103" cy="2247900"/>
            <wp:effectExtent l="0" t="0" r="0" b="0"/>
            <wp:docPr id="11" name="תמונה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73029" cy="2252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3283B75" w14:textId="02057CDB" w:rsidR="004869C1" w:rsidRPr="00291C34" w:rsidRDefault="004869C1" w:rsidP="004869C1">
      <w:pPr>
        <w:bidi w:val="0"/>
        <w:jc w:val="center"/>
        <w:rPr>
          <w:rFonts w:asciiTheme="minorHAnsi" w:hAnsiTheme="minorHAnsi" w:cstheme="minorHAnsi"/>
        </w:rPr>
      </w:pPr>
    </w:p>
    <w:p w14:paraId="2793A15F" w14:textId="77777777" w:rsidR="004869C1" w:rsidRPr="00291C34" w:rsidRDefault="004869C1" w:rsidP="004869C1">
      <w:pPr>
        <w:bidi w:val="0"/>
        <w:jc w:val="center"/>
        <w:rPr>
          <w:rFonts w:asciiTheme="minorHAnsi" w:hAnsiTheme="minorHAnsi" w:cstheme="minorHAnsi"/>
        </w:rPr>
      </w:pPr>
    </w:p>
    <w:p w14:paraId="56FB07ED" w14:textId="5FFDE741" w:rsidR="007D2403" w:rsidRPr="00291C34" w:rsidRDefault="004869C1" w:rsidP="001E3DF2">
      <w:pPr>
        <w:bidi w:val="0"/>
        <w:jc w:val="center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  <w:noProof/>
        </w:rPr>
        <w:drawing>
          <wp:inline distT="0" distB="0" distL="0" distR="0" wp14:anchorId="5F9EC807" wp14:editId="35A6EDCF">
            <wp:extent cx="5414010" cy="2639695"/>
            <wp:effectExtent l="0" t="0" r="0" b="8255"/>
            <wp:docPr id="12" name="תמונה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6396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6BF6A5" w14:textId="77777777" w:rsidR="007D2403" w:rsidRPr="00291C34" w:rsidRDefault="007D2403" w:rsidP="001E3DF2">
      <w:pPr>
        <w:bidi w:val="0"/>
        <w:jc w:val="both"/>
        <w:rPr>
          <w:rFonts w:asciiTheme="minorHAnsi" w:hAnsiTheme="minorHAnsi" w:cstheme="minorHAnsi"/>
        </w:rPr>
      </w:pPr>
    </w:p>
    <w:p w14:paraId="03E21932" w14:textId="7C801189" w:rsidR="00716379" w:rsidRPr="00291C34" w:rsidRDefault="00466441" w:rsidP="00E64202">
      <w:pPr>
        <w:bidi w:val="0"/>
        <w:jc w:val="both"/>
        <w:rPr>
          <w:rFonts w:asciiTheme="minorHAnsi" w:hAnsiTheme="minorHAnsi" w:cstheme="minorHAnsi"/>
          <w:b/>
          <w:bCs/>
        </w:rPr>
      </w:pPr>
      <w:r w:rsidRPr="00291C34">
        <w:rPr>
          <w:rFonts w:asciiTheme="minorHAnsi" w:hAnsiTheme="minorHAnsi" w:cstheme="minorHAnsi"/>
          <w:b/>
          <w:bCs/>
        </w:rPr>
        <w:t>4</w:t>
      </w:r>
      <w:r w:rsidR="00716379" w:rsidRPr="00291C34">
        <w:rPr>
          <w:rFonts w:asciiTheme="minorHAnsi" w:hAnsiTheme="minorHAnsi" w:cstheme="minorHAnsi"/>
          <w:b/>
          <w:bCs/>
        </w:rPr>
        <w:t xml:space="preserve">. </w:t>
      </w:r>
      <w:r w:rsidR="00E64202" w:rsidRPr="00291C34">
        <w:rPr>
          <w:rFonts w:asciiTheme="minorHAnsi" w:hAnsiTheme="minorHAnsi" w:cstheme="minorHAnsi"/>
          <w:b/>
          <w:bCs/>
        </w:rPr>
        <w:t xml:space="preserve">Trading </w:t>
      </w:r>
      <w:r w:rsidR="00716379" w:rsidRPr="00291C34">
        <w:rPr>
          <w:rFonts w:asciiTheme="minorHAnsi" w:hAnsiTheme="minorHAnsi" w:cstheme="minorHAnsi"/>
          <w:b/>
          <w:bCs/>
        </w:rPr>
        <w:t xml:space="preserve">Volume </w:t>
      </w:r>
      <w:r w:rsidR="00D934F6" w:rsidRPr="00291C34">
        <w:rPr>
          <w:rFonts w:asciiTheme="minorHAnsi" w:hAnsiTheme="minorHAnsi" w:cstheme="minorHAnsi"/>
          <w:b/>
          <w:bCs/>
        </w:rPr>
        <w:t>in the Foreign Currency Market—</w:t>
      </w:r>
      <w:r w:rsidR="00584A0F" w:rsidRPr="00291C34">
        <w:rPr>
          <w:rFonts w:asciiTheme="minorHAnsi" w:hAnsiTheme="minorHAnsi" w:cstheme="minorHAnsi"/>
          <w:b/>
          <w:bCs/>
        </w:rPr>
        <w:t>T</w:t>
      </w:r>
      <w:r w:rsidR="00D934F6" w:rsidRPr="00291C34">
        <w:rPr>
          <w:rFonts w:asciiTheme="minorHAnsi" w:hAnsiTheme="minorHAnsi" w:cstheme="minorHAnsi"/>
          <w:b/>
          <w:bCs/>
        </w:rPr>
        <w:t xml:space="preserve">ables and </w:t>
      </w:r>
      <w:r w:rsidR="00584A0F" w:rsidRPr="00291C34">
        <w:rPr>
          <w:rFonts w:asciiTheme="minorHAnsi" w:hAnsiTheme="minorHAnsi" w:cstheme="minorHAnsi"/>
          <w:b/>
          <w:bCs/>
        </w:rPr>
        <w:t>F</w:t>
      </w:r>
      <w:r w:rsidR="00D934F6" w:rsidRPr="00291C34">
        <w:rPr>
          <w:rFonts w:asciiTheme="minorHAnsi" w:hAnsiTheme="minorHAnsi" w:cstheme="minorHAnsi"/>
          <w:b/>
          <w:bCs/>
        </w:rPr>
        <w:t>igures</w:t>
      </w:r>
    </w:p>
    <w:p w14:paraId="13ED5361" w14:textId="417175F4" w:rsidR="000C57D0" w:rsidRPr="00291C34" w:rsidRDefault="000C57D0" w:rsidP="001E3DF2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38C6E2F0" w14:textId="3B07DA8C" w:rsidR="003A15FE" w:rsidRPr="00291C34" w:rsidRDefault="00F4540B" w:rsidP="003A15FE">
      <w:pPr>
        <w:bidi w:val="0"/>
        <w:jc w:val="both"/>
        <w:rPr>
          <w:rFonts w:asciiTheme="minorHAnsi" w:hAnsiTheme="minorHAnsi" w:cstheme="minorHAnsi"/>
          <w:b/>
          <w:bCs/>
          <w:color w:val="4F81BD" w:themeColor="accent1"/>
        </w:rPr>
      </w:pPr>
      <w:r w:rsidRPr="00291C34">
        <w:rPr>
          <w:rFonts w:asciiTheme="minorHAnsi" w:hAnsiTheme="minorHAnsi" w:cstheme="minorHAnsi"/>
          <w:b/>
          <w:bCs/>
          <w:color w:val="4F81BD" w:themeColor="accent1"/>
        </w:rPr>
        <w:t>T</w:t>
      </w:r>
      <w:r w:rsidR="003A15FE" w:rsidRPr="00291C34">
        <w:rPr>
          <w:rFonts w:asciiTheme="minorHAnsi" w:hAnsiTheme="minorHAnsi" w:cstheme="minorHAnsi"/>
          <w:b/>
          <w:bCs/>
          <w:color w:val="4F81BD" w:themeColor="accent1"/>
        </w:rPr>
        <w:t>rading volume vis-à-vis the domestic banking system</w:t>
      </w:r>
      <w:r w:rsidR="0063362C" w:rsidRPr="00291C34">
        <w:rPr>
          <w:rStyle w:val="ad"/>
          <w:rFonts w:asciiTheme="minorHAnsi" w:hAnsiTheme="minorHAnsi" w:cstheme="minorHAnsi"/>
          <w:b/>
          <w:bCs/>
          <w:color w:val="4F81BD" w:themeColor="accent1"/>
        </w:rPr>
        <w:footnoteReference w:id="3"/>
      </w:r>
    </w:p>
    <w:p w14:paraId="6F1AC643" w14:textId="77777777" w:rsidR="003A15FE" w:rsidRPr="00291C34" w:rsidRDefault="003A15FE" w:rsidP="003A15FE">
      <w:pPr>
        <w:bidi w:val="0"/>
        <w:jc w:val="both"/>
        <w:rPr>
          <w:rFonts w:asciiTheme="minorHAnsi" w:hAnsiTheme="minorHAnsi" w:cstheme="minorHAnsi"/>
          <w:b/>
          <w:bCs/>
        </w:rPr>
      </w:pPr>
    </w:p>
    <w:p w14:paraId="12A47D45" w14:textId="0EF82959" w:rsidR="000C57D0" w:rsidRPr="00291C34" w:rsidRDefault="000C57D0" w:rsidP="003A61BF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  <w:b/>
          <w:bCs/>
        </w:rPr>
        <w:t xml:space="preserve">The average daily </w:t>
      </w:r>
      <w:r w:rsidR="0087642C" w:rsidRPr="00291C34">
        <w:rPr>
          <w:rFonts w:asciiTheme="minorHAnsi" w:hAnsiTheme="minorHAnsi" w:cstheme="minorHAnsi"/>
          <w:b/>
          <w:bCs/>
        </w:rPr>
        <w:t>trading</w:t>
      </w:r>
      <w:r w:rsidR="0087642C" w:rsidRPr="00291C34">
        <w:rPr>
          <w:rFonts w:asciiTheme="minorHAnsi" w:hAnsiTheme="minorHAnsi" w:cstheme="minorHAnsi"/>
        </w:rPr>
        <w:t xml:space="preserve"> </w:t>
      </w:r>
      <w:r w:rsidRPr="00291C34">
        <w:rPr>
          <w:rFonts w:asciiTheme="minorHAnsi" w:hAnsiTheme="minorHAnsi" w:cstheme="minorHAnsi"/>
          <w:b/>
          <w:bCs/>
        </w:rPr>
        <w:t xml:space="preserve">volume </w:t>
      </w:r>
      <w:r w:rsidR="00675AFB" w:rsidRPr="00291C34">
        <w:rPr>
          <w:rFonts w:asciiTheme="minorHAnsi" w:hAnsiTheme="minorHAnsi" w:cstheme="minorHAnsi"/>
        </w:rPr>
        <w:t>increased</w:t>
      </w:r>
      <w:r w:rsidR="00C12090" w:rsidRPr="00291C34">
        <w:rPr>
          <w:rFonts w:asciiTheme="minorHAnsi" w:hAnsiTheme="minorHAnsi" w:cstheme="minorHAnsi"/>
        </w:rPr>
        <w:t xml:space="preserve"> </w:t>
      </w:r>
      <w:r w:rsidR="0078051F" w:rsidRPr="00291C34">
        <w:rPr>
          <w:rFonts w:asciiTheme="minorHAnsi" w:hAnsiTheme="minorHAnsi" w:cstheme="minorHAnsi"/>
        </w:rPr>
        <w:t xml:space="preserve">by about </w:t>
      </w:r>
      <w:r w:rsidR="003A61BF" w:rsidRPr="00291C34">
        <w:rPr>
          <w:rFonts w:asciiTheme="minorHAnsi" w:hAnsiTheme="minorHAnsi" w:cstheme="minorHAnsi"/>
        </w:rPr>
        <w:t>8</w:t>
      </w:r>
      <w:r w:rsidR="00675AFB" w:rsidRPr="00291C34">
        <w:rPr>
          <w:rFonts w:asciiTheme="minorHAnsi" w:hAnsiTheme="minorHAnsi" w:cstheme="minorHAnsi"/>
        </w:rPr>
        <w:t xml:space="preserve">.5 </w:t>
      </w:r>
      <w:r w:rsidR="0078051F" w:rsidRPr="00291C34">
        <w:rPr>
          <w:rFonts w:asciiTheme="minorHAnsi" w:hAnsiTheme="minorHAnsi" w:cstheme="minorHAnsi"/>
        </w:rPr>
        <w:t xml:space="preserve">percent </w:t>
      </w:r>
      <w:r w:rsidR="009B1A17" w:rsidRPr="00291C34">
        <w:rPr>
          <w:rFonts w:asciiTheme="minorHAnsi" w:hAnsiTheme="minorHAnsi" w:cstheme="minorHAnsi"/>
        </w:rPr>
        <w:t xml:space="preserve">during the </w:t>
      </w:r>
      <w:r w:rsidR="00C2017B" w:rsidRPr="00291C34">
        <w:rPr>
          <w:rFonts w:asciiTheme="minorHAnsi" w:hAnsiTheme="minorHAnsi" w:cstheme="minorHAnsi"/>
        </w:rPr>
        <w:t>first quarter</w:t>
      </w:r>
      <w:r w:rsidR="003A61BF" w:rsidRPr="00291C34">
        <w:rPr>
          <w:rFonts w:asciiTheme="minorHAnsi" w:hAnsiTheme="minorHAnsi" w:cstheme="minorHAnsi"/>
        </w:rPr>
        <w:t>,</w:t>
      </w:r>
      <w:r w:rsidR="00C2017B" w:rsidRPr="00291C34">
        <w:rPr>
          <w:rFonts w:asciiTheme="minorHAnsi" w:hAnsiTheme="minorHAnsi" w:cstheme="minorHAnsi"/>
        </w:rPr>
        <w:t xml:space="preserve"> </w:t>
      </w:r>
      <w:r w:rsidR="00A45819" w:rsidRPr="00291C34">
        <w:rPr>
          <w:rFonts w:asciiTheme="minorHAnsi" w:hAnsiTheme="minorHAnsi" w:cstheme="minorHAnsi"/>
        </w:rPr>
        <w:t>to $</w:t>
      </w:r>
      <w:r w:rsidR="00675AFB" w:rsidRPr="00291C34">
        <w:rPr>
          <w:rFonts w:asciiTheme="minorHAnsi" w:hAnsiTheme="minorHAnsi" w:cstheme="minorHAnsi"/>
        </w:rPr>
        <w:t>1</w:t>
      </w:r>
      <w:r w:rsidR="003A61BF" w:rsidRPr="00291C34">
        <w:rPr>
          <w:rFonts w:asciiTheme="minorHAnsi" w:hAnsiTheme="minorHAnsi" w:cstheme="minorHAnsi"/>
        </w:rPr>
        <w:t>6</w:t>
      </w:r>
      <w:r w:rsidR="00675AFB" w:rsidRPr="00291C34">
        <w:rPr>
          <w:rFonts w:asciiTheme="minorHAnsi" w:hAnsiTheme="minorHAnsi" w:cstheme="minorHAnsi"/>
        </w:rPr>
        <w:t>.</w:t>
      </w:r>
      <w:r w:rsidR="003A61BF" w:rsidRPr="00291C34">
        <w:rPr>
          <w:rFonts w:asciiTheme="minorHAnsi" w:hAnsiTheme="minorHAnsi" w:cstheme="minorHAnsi"/>
        </w:rPr>
        <w:t>2</w:t>
      </w:r>
      <w:r w:rsidR="00112B2E" w:rsidRPr="00291C34">
        <w:rPr>
          <w:rFonts w:asciiTheme="minorHAnsi" w:hAnsiTheme="minorHAnsi" w:cstheme="minorHAnsi"/>
        </w:rPr>
        <w:t xml:space="preserve"> </w:t>
      </w:r>
      <w:r w:rsidR="00A45819" w:rsidRPr="00291C34">
        <w:rPr>
          <w:rFonts w:asciiTheme="minorHAnsi" w:hAnsiTheme="minorHAnsi" w:cstheme="minorHAnsi"/>
        </w:rPr>
        <w:t>billion</w:t>
      </w:r>
      <w:r w:rsidR="00FA003E" w:rsidRPr="00291C34">
        <w:rPr>
          <w:rFonts w:asciiTheme="minorHAnsi" w:hAnsiTheme="minorHAnsi" w:cstheme="minorHAnsi"/>
        </w:rPr>
        <w:t xml:space="preserve">, with most of the </w:t>
      </w:r>
      <w:r w:rsidR="00675AFB" w:rsidRPr="00291C34">
        <w:rPr>
          <w:rFonts w:asciiTheme="minorHAnsi" w:hAnsiTheme="minorHAnsi" w:cstheme="minorHAnsi"/>
        </w:rPr>
        <w:t>increase</w:t>
      </w:r>
      <w:r w:rsidR="00FA003E" w:rsidRPr="00291C34">
        <w:rPr>
          <w:rFonts w:asciiTheme="minorHAnsi" w:hAnsiTheme="minorHAnsi" w:cstheme="minorHAnsi"/>
        </w:rPr>
        <w:t xml:space="preserve"> </w:t>
      </w:r>
      <w:r w:rsidR="004A1213" w:rsidRPr="00291C34">
        <w:rPr>
          <w:rFonts w:asciiTheme="minorHAnsi" w:hAnsiTheme="minorHAnsi" w:cstheme="minorHAnsi"/>
        </w:rPr>
        <w:t>coming from</w:t>
      </w:r>
      <w:r w:rsidR="00994D5A" w:rsidRPr="00291C34">
        <w:rPr>
          <w:rFonts w:asciiTheme="minorHAnsi" w:hAnsiTheme="minorHAnsi" w:cstheme="minorHAnsi"/>
        </w:rPr>
        <w:t xml:space="preserve"> </w:t>
      </w:r>
      <w:r w:rsidR="00112B2E" w:rsidRPr="00291C34">
        <w:rPr>
          <w:rFonts w:asciiTheme="minorHAnsi" w:hAnsiTheme="minorHAnsi" w:cstheme="minorHAnsi"/>
        </w:rPr>
        <w:t>s</w:t>
      </w:r>
      <w:r w:rsidR="004A1213" w:rsidRPr="00291C34">
        <w:rPr>
          <w:rFonts w:asciiTheme="minorHAnsi" w:hAnsiTheme="minorHAnsi" w:cstheme="minorHAnsi"/>
        </w:rPr>
        <w:t>wap</w:t>
      </w:r>
      <w:r w:rsidR="00112B2E" w:rsidRPr="00291C34">
        <w:rPr>
          <w:rFonts w:asciiTheme="minorHAnsi" w:hAnsiTheme="minorHAnsi" w:cstheme="minorHAnsi"/>
        </w:rPr>
        <w:t xml:space="preserve"> </w:t>
      </w:r>
      <w:r w:rsidR="003125B3" w:rsidRPr="00291C34">
        <w:rPr>
          <w:rFonts w:asciiTheme="minorHAnsi" w:hAnsiTheme="minorHAnsi" w:cstheme="minorHAnsi"/>
        </w:rPr>
        <w:t>transactions</w:t>
      </w:r>
      <w:r w:rsidR="00FA003E" w:rsidRPr="00291C34">
        <w:rPr>
          <w:rFonts w:asciiTheme="minorHAnsi" w:hAnsiTheme="minorHAnsi" w:cstheme="minorHAnsi"/>
        </w:rPr>
        <w:t>.</w:t>
      </w:r>
    </w:p>
    <w:p w14:paraId="4B66690D" w14:textId="77777777" w:rsidR="000C57D0" w:rsidRPr="00291C34" w:rsidRDefault="000C57D0" w:rsidP="001E3DF2">
      <w:pPr>
        <w:bidi w:val="0"/>
        <w:jc w:val="both"/>
        <w:rPr>
          <w:rFonts w:asciiTheme="minorHAnsi" w:hAnsiTheme="minorHAnsi" w:cstheme="minorHAnsi"/>
        </w:rPr>
      </w:pPr>
    </w:p>
    <w:p w14:paraId="32D8FF46" w14:textId="5F47C45F" w:rsidR="001B4974" w:rsidRPr="00291C34" w:rsidRDefault="00227FCB" w:rsidP="003A61BF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  <w:b/>
          <w:bCs/>
        </w:rPr>
        <w:t>N</w:t>
      </w:r>
      <w:r w:rsidR="001B4974" w:rsidRPr="00291C34">
        <w:rPr>
          <w:rFonts w:asciiTheme="minorHAnsi" w:hAnsiTheme="minorHAnsi" w:cstheme="minorHAnsi"/>
          <w:b/>
          <w:bCs/>
        </w:rPr>
        <w:t>onresidents' share of total trading</w:t>
      </w:r>
      <w:r w:rsidR="000C57D0" w:rsidRPr="00291C34">
        <w:rPr>
          <w:rFonts w:asciiTheme="minorHAnsi" w:hAnsiTheme="minorHAnsi" w:cstheme="minorHAnsi"/>
          <w:b/>
          <w:bCs/>
        </w:rPr>
        <w:t xml:space="preserve"> volume</w:t>
      </w:r>
      <w:r w:rsidR="001030DF" w:rsidRPr="00291C34">
        <w:rPr>
          <w:rFonts w:asciiTheme="minorHAnsi" w:hAnsiTheme="minorHAnsi" w:cstheme="minorHAnsi"/>
          <w:b/>
          <w:bCs/>
        </w:rPr>
        <w:t xml:space="preserve"> vis-à-vis the domestic banking system</w:t>
      </w:r>
      <w:r w:rsidR="001B4974" w:rsidRPr="00291C34">
        <w:rPr>
          <w:rFonts w:asciiTheme="minorHAnsi" w:hAnsiTheme="minorHAnsi" w:cstheme="minorHAnsi"/>
          <w:b/>
          <w:bCs/>
        </w:rPr>
        <w:t xml:space="preserve"> </w:t>
      </w:r>
      <w:r w:rsidR="001B4974" w:rsidRPr="00291C34">
        <w:rPr>
          <w:rFonts w:asciiTheme="minorHAnsi" w:hAnsiTheme="minorHAnsi" w:cstheme="minorHAnsi"/>
        </w:rPr>
        <w:t>(spot and forward transactions, options</w:t>
      </w:r>
      <w:r w:rsidR="0063362C" w:rsidRPr="00291C34">
        <w:rPr>
          <w:rFonts w:asciiTheme="minorHAnsi" w:hAnsiTheme="minorHAnsi" w:cstheme="minorHAnsi"/>
        </w:rPr>
        <w:t>,</w:t>
      </w:r>
      <w:r w:rsidR="001B4974" w:rsidRPr="00291C34">
        <w:rPr>
          <w:rFonts w:asciiTheme="minorHAnsi" w:hAnsiTheme="minorHAnsi" w:cstheme="minorHAnsi"/>
        </w:rPr>
        <w:t xml:space="preserve"> and swaps) </w:t>
      </w:r>
      <w:r w:rsidR="003A61BF" w:rsidRPr="00291C34">
        <w:rPr>
          <w:rFonts w:asciiTheme="minorHAnsi" w:hAnsiTheme="minorHAnsi" w:cstheme="minorHAnsi"/>
        </w:rPr>
        <w:t xml:space="preserve">declined </w:t>
      </w:r>
      <w:r w:rsidR="001B4974" w:rsidRPr="00291C34">
        <w:rPr>
          <w:rFonts w:asciiTheme="minorHAnsi" w:hAnsiTheme="minorHAnsi" w:cstheme="minorHAnsi"/>
        </w:rPr>
        <w:t xml:space="preserve">by about </w:t>
      </w:r>
      <w:r w:rsidR="003A61BF" w:rsidRPr="00291C34">
        <w:rPr>
          <w:rFonts w:asciiTheme="minorHAnsi" w:hAnsiTheme="minorHAnsi" w:cstheme="minorHAnsi"/>
        </w:rPr>
        <w:t>1</w:t>
      </w:r>
      <w:r w:rsidR="00112B2E" w:rsidRPr="00291C34">
        <w:rPr>
          <w:rFonts w:asciiTheme="minorHAnsi" w:hAnsiTheme="minorHAnsi" w:cstheme="minorHAnsi"/>
        </w:rPr>
        <w:t xml:space="preserve"> </w:t>
      </w:r>
      <w:r w:rsidR="001B4974" w:rsidRPr="00291C34">
        <w:rPr>
          <w:rFonts w:asciiTheme="minorHAnsi" w:hAnsiTheme="minorHAnsi" w:cstheme="minorHAnsi"/>
        </w:rPr>
        <w:t>percent</w:t>
      </w:r>
      <w:r w:rsidR="00994D5A" w:rsidRPr="00291C34">
        <w:rPr>
          <w:rFonts w:asciiTheme="minorHAnsi" w:hAnsiTheme="minorHAnsi" w:cstheme="minorHAnsi"/>
        </w:rPr>
        <w:t>age point</w:t>
      </w:r>
      <w:r w:rsidR="00461E98" w:rsidRPr="00291C34">
        <w:rPr>
          <w:rFonts w:asciiTheme="minorHAnsi" w:hAnsiTheme="minorHAnsi" w:cstheme="minorHAnsi"/>
        </w:rPr>
        <w:t xml:space="preserve"> </w:t>
      </w:r>
      <w:r w:rsidR="001B4974" w:rsidRPr="00291C34">
        <w:rPr>
          <w:rFonts w:asciiTheme="minorHAnsi" w:hAnsiTheme="minorHAnsi" w:cstheme="minorHAnsi"/>
        </w:rPr>
        <w:t xml:space="preserve">to about </w:t>
      </w:r>
      <w:r w:rsidR="00675AFB" w:rsidRPr="00291C34">
        <w:rPr>
          <w:rFonts w:asciiTheme="minorHAnsi" w:hAnsiTheme="minorHAnsi" w:cstheme="minorHAnsi"/>
        </w:rPr>
        <w:t>4</w:t>
      </w:r>
      <w:r w:rsidR="003A61BF" w:rsidRPr="00291C34">
        <w:rPr>
          <w:rFonts w:asciiTheme="minorHAnsi" w:hAnsiTheme="minorHAnsi" w:cstheme="minorHAnsi"/>
        </w:rPr>
        <w:t>0.6</w:t>
      </w:r>
      <w:r w:rsidR="00675AFB" w:rsidRPr="00291C34">
        <w:rPr>
          <w:rFonts w:asciiTheme="minorHAnsi" w:hAnsiTheme="minorHAnsi" w:cstheme="minorHAnsi"/>
        </w:rPr>
        <w:t xml:space="preserve"> </w:t>
      </w:r>
      <w:r w:rsidR="00601CA2" w:rsidRPr="00291C34">
        <w:rPr>
          <w:rFonts w:asciiTheme="minorHAnsi" w:hAnsiTheme="minorHAnsi" w:cstheme="minorHAnsi"/>
        </w:rPr>
        <w:t>p</w:t>
      </w:r>
      <w:r w:rsidR="001B4974" w:rsidRPr="00291C34">
        <w:rPr>
          <w:rFonts w:asciiTheme="minorHAnsi" w:hAnsiTheme="minorHAnsi" w:cstheme="minorHAnsi"/>
        </w:rPr>
        <w:t xml:space="preserve">ercent at the end of the </w:t>
      </w:r>
      <w:r w:rsidR="00C2017B" w:rsidRPr="00291C34">
        <w:rPr>
          <w:rFonts w:asciiTheme="minorHAnsi" w:hAnsiTheme="minorHAnsi" w:cstheme="minorHAnsi"/>
        </w:rPr>
        <w:t xml:space="preserve">first quarter </w:t>
      </w:r>
      <w:r w:rsidR="001B4974" w:rsidRPr="00291C34">
        <w:rPr>
          <w:rFonts w:asciiTheme="minorHAnsi" w:hAnsiTheme="minorHAnsi" w:cstheme="minorHAnsi"/>
        </w:rPr>
        <w:t xml:space="preserve">. </w:t>
      </w:r>
    </w:p>
    <w:p w14:paraId="065FC886" w14:textId="77777777" w:rsidR="00A62731" w:rsidRPr="00291C34" w:rsidRDefault="00A62731" w:rsidP="001E3DF2">
      <w:pPr>
        <w:jc w:val="both"/>
        <w:rPr>
          <w:rFonts w:asciiTheme="minorHAnsi" w:hAnsiTheme="minorHAnsi" w:cstheme="minorHAnsi"/>
          <w:sz w:val="20"/>
          <w:szCs w:val="20"/>
          <w:rtl/>
        </w:rPr>
      </w:pPr>
    </w:p>
    <w:p w14:paraId="6F364926" w14:textId="51B672BD" w:rsidR="006D5EA0" w:rsidRPr="00291C34" w:rsidRDefault="00DD5CD4" w:rsidP="006D5EA0">
      <w:pPr>
        <w:bidi w:val="0"/>
        <w:jc w:val="center"/>
        <w:rPr>
          <w:rFonts w:asciiTheme="minorHAnsi" w:hAnsiTheme="minorHAnsi" w:cstheme="minorHAnsi"/>
          <w:sz w:val="20"/>
          <w:szCs w:val="20"/>
        </w:rPr>
      </w:pPr>
      <w:r w:rsidRPr="00291C34">
        <w:rPr>
          <w:rFonts w:asciiTheme="minorHAnsi" w:hAnsiTheme="minorHAnsi" w:cstheme="minorHAnsi"/>
          <w:noProof/>
          <w:sz w:val="20"/>
          <w:szCs w:val="20"/>
        </w:rPr>
        <w:lastRenderedPageBreak/>
        <w:drawing>
          <wp:inline distT="0" distB="0" distL="0" distR="0" wp14:anchorId="1C94D288" wp14:editId="4D4C5891">
            <wp:extent cx="5414010" cy="2646045"/>
            <wp:effectExtent l="0" t="0" r="0" b="1905"/>
            <wp:docPr id="17" name="תמונה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4010" cy="26460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F35884" w14:textId="2C0F772C" w:rsidR="00D80DD5" w:rsidRPr="00291C34" w:rsidRDefault="00D80DD5" w:rsidP="00D80DD5">
      <w:pPr>
        <w:bidi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5DE71637" w14:textId="57FD7AC1" w:rsidR="00D80DD5" w:rsidRPr="00291C34" w:rsidRDefault="00DD5CD4" w:rsidP="00475E9A">
      <w:pPr>
        <w:bidi w:val="0"/>
        <w:rPr>
          <w:rFonts w:asciiTheme="minorHAnsi" w:hAnsiTheme="minorHAnsi" w:cstheme="minorHAnsi"/>
          <w:sz w:val="20"/>
          <w:szCs w:val="20"/>
        </w:rPr>
      </w:pPr>
      <w:r w:rsidRPr="00291C34">
        <w:rPr>
          <w:rFonts w:asciiTheme="minorHAnsi" w:hAnsiTheme="minorHAnsi" w:cstheme="minorHAnsi"/>
          <w:noProof/>
        </w:rPr>
        <w:drawing>
          <wp:inline distT="0" distB="0" distL="0" distR="0" wp14:anchorId="010C5341" wp14:editId="1C2A6A27">
            <wp:extent cx="5850890" cy="5421987"/>
            <wp:effectExtent l="0" t="0" r="0" b="7620"/>
            <wp:docPr id="13" name="תמונה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54219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F3BE9" w14:textId="4B9FAE4F" w:rsidR="00D80DD5" w:rsidRPr="00291C34" w:rsidRDefault="00D80DD5" w:rsidP="00D80DD5">
      <w:pPr>
        <w:bidi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B7E5F14" w14:textId="765D0145" w:rsidR="00D80DD5" w:rsidRPr="00291C34" w:rsidRDefault="00D80DD5" w:rsidP="00D80DD5">
      <w:pPr>
        <w:bidi w:val="0"/>
        <w:jc w:val="center"/>
        <w:rPr>
          <w:rFonts w:asciiTheme="minorHAnsi" w:hAnsiTheme="minorHAnsi" w:cstheme="minorHAnsi"/>
          <w:sz w:val="20"/>
          <w:szCs w:val="20"/>
        </w:rPr>
      </w:pPr>
    </w:p>
    <w:p w14:paraId="2B49B21B" w14:textId="475938B7" w:rsidR="00D80DD5" w:rsidRPr="00291C34" w:rsidRDefault="00D80DD5" w:rsidP="00D80DD5">
      <w:pPr>
        <w:bidi w:val="0"/>
        <w:rPr>
          <w:rFonts w:asciiTheme="minorHAnsi" w:hAnsiTheme="minorHAnsi" w:cstheme="minorHAnsi"/>
          <w:sz w:val="20"/>
          <w:szCs w:val="20"/>
        </w:rPr>
      </w:pPr>
    </w:p>
    <w:p w14:paraId="0EFFCC9A" w14:textId="77777777" w:rsidR="00D80DD5" w:rsidRPr="00291C34" w:rsidRDefault="00D80DD5" w:rsidP="00D80DD5">
      <w:pPr>
        <w:bidi w:val="0"/>
        <w:rPr>
          <w:rFonts w:asciiTheme="minorHAnsi" w:hAnsiTheme="minorHAnsi" w:cstheme="minorHAnsi"/>
          <w:b/>
          <w:bCs/>
          <w:color w:val="4F81BD" w:themeColor="accent1"/>
        </w:rPr>
      </w:pPr>
      <w:r w:rsidRPr="00291C34">
        <w:rPr>
          <w:rFonts w:asciiTheme="minorHAnsi" w:hAnsiTheme="minorHAnsi" w:cstheme="minorHAnsi"/>
          <w:b/>
          <w:bCs/>
          <w:color w:val="4F81BD" w:themeColor="accent1"/>
        </w:rPr>
        <w:lastRenderedPageBreak/>
        <w:t>Estimated total trading volume</w:t>
      </w:r>
      <w:r w:rsidRPr="00291C34">
        <w:rPr>
          <w:rStyle w:val="ad"/>
          <w:rFonts w:asciiTheme="minorHAnsi" w:hAnsiTheme="minorHAnsi" w:cstheme="minorHAnsi"/>
          <w:b/>
          <w:bCs/>
          <w:color w:val="4F81BD" w:themeColor="accent1"/>
        </w:rPr>
        <w:footnoteReference w:id="4"/>
      </w:r>
      <w:r w:rsidRPr="00291C34">
        <w:rPr>
          <w:rFonts w:asciiTheme="minorHAnsi" w:hAnsiTheme="minorHAnsi" w:cstheme="minorHAnsi"/>
          <w:b/>
          <w:bCs/>
          <w:color w:val="4F81BD" w:themeColor="accent1"/>
        </w:rPr>
        <w:t>—domestic banking system and foreign reporting entities</w:t>
      </w:r>
    </w:p>
    <w:p w14:paraId="0658ED51" w14:textId="77777777" w:rsidR="00D80DD5" w:rsidRPr="00291C34" w:rsidRDefault="00D80DD5" w:rsidP="00D80DD5">
      <w:pPr>
        <w:bidi w:val="0"/>
        <w:rPr>
          <w:rFonts w:asciiTheme="minorHAnsi" w:hAnsiTheme="minorHAnsi" w:cstheme="minorHAnsi"/>
          <w:b/>
          <w:bCs/>
        </w:rPr>
      </w:pPr>
    </w:p>
    <w:p w14:paraId="50BDE689" w14:textId="0E430A75" w:rsidR="00873B9F" w:rsidRPr="00291C34" w:rsidRDefault="00D80DD5" w:rsidP="003A61BF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>The estimated total activity in transactions against the shekel</w:t>
      </w:r>
      <w:r w:rsidR="003125B3" w:rsidRPr="00291C34">
        <w:rPr>
          <w:rFonts w:asciiTheme="minorHAnsi" w:hAnsiTheme="minorHAnsi" w:cstheme="minorHAnsi"/>
        </w:rPr>
        <w:t>,</w:t>
      </w:r>
      <w:r w:rsidRPr="00291C34">
        <w:rPr>
          <w:rFonts w:asciiTheme="minorHAnsi" w:hAnsiTheme="minorHAnsi" w:cstheme="minorHAnsi"/>
        </w:rPr>
        <w:t xml:space="preserve"> </w:t>
      </w:r>
      <w:r w:rsidR="00475E9A" w:rsidRPr="00291C34">
        <w:rPr>
          <w:rFonts w:asciiTheme="minorHAnsi" w:hAnsiTheme="minorHAnsi" w:cstheme="minorHAnsi"/>
        </w:rPr>
        <w:t xml:space="preserve">as </w:t>
      </w:r>
      <w:r w:rsidRPr="00291C34">
        <w:rPr>
          <w:rFonts w:asciiTheme="minorHAnsi" w:hAnsiTheme="minorHAnsi" w:cstheme="minorHAnsi"/>
        </w:rPr>
        <w:t>reflected in reports from the domestic banking system and foreign reporting entities</w:t>
      </w:r>
      <w:r w:rsidR="003125B3" w:rsidRPr="00291C34">
        <w:rPr>
          <w:rFonts w:asciiTheme="minorHAnsi" w:hAnsiTheme="minorHAnsi" w:cstheme="minorHAnsi"/>
        </w:rPr>
        <w:t>,</w:t>
      </w:r>
      <w:r w:rsidRPr="00291C34">
        <w:rPr>
          <w:rFonts w:asciiTheme="minorHAnsi" w:hAnsiTheme="minorHAnsi" w:cstheme="minorHAnsi"/>
        </w:rPr>
        <w:t xml:space="preserve"> </w:t>
      </w:r>
      <w:r w:rsidR="00C62192" w:rsidRPr="00291C34">
        <w:rPr>
          <w:rFonts w:asciiTheme="minorHAnsi" w:hAnsiTheme="minorHAnsi" w:cstheme="minorHAnsi"/>
        </w:rPr>
        <w:t xml:space="preserve">indicates </w:t>
      </w:r>
      <w:r w:rsidRPr="00291C34">
        <w:rPr>
          <w:rFonts w:asciiTheme="minorHAnsi" w:hAnsiTheme="minorHAnsi" w:cstheme="minorHAnsi"/>
        </w:rPr>
        <w:t>that</w:t>
      </w:r>
      <w:r w:rsidR="003125B3" w:rsidRPr="00291C34">
        <w:rPr>
          <w:rFonts w:asciiTheme="minorHAnsi" w:hAnsiTheme="minorHAnsi" w:cstheme="minorHAnsi"/>
        </w:rPr>
        <w:t xml:space="preserve"> </w:t>
      </w:r>
      <w:r w:rsidR="00345CD5" w:rsidRPr="00291C34">
        <w:rPr>
          <w:rFonts w:asciiTheme="minorHAnsi" w:hAnsiTheme="minorHAnsi" w:cstheme="minorHAnsi"/>
        </w:rPr>
        <w:t xml:space="preserve">nonresidents’ share of trading volume in spot and forward transactions (excluding swaps and options) was about </w:t>
      </w:r>
      <w:r w:rsidR="0066696B" w:rsidRPr="00291C34">
        <w:rPr>
          <w:rFonts w:asciiTheme="minorHAnsi" w:hAnsiTheme="minorHAnsi" w:cstheme="minorHAnsi"/>
        </w:rPr>
        <w:t>8</w:t>
      </w:r>
      <w:r w:rsidR="003A61BF" w:rsidRPr="00291C34">
        <w:rPr>
          <w:rFonts w:asciiTheme="minorHAnsi" w:hAnsiTheme="minorHAnsi" w:cstheme="minorHAnsi"/>
        </w:rPr>
        <w:t>8</w:t>
      </w:r>
      <w:r w:rsidR="0066696B" w:rsidRPr="00291C34">
        <w:rPr>
          <w:rFonts w:asciiTheme="minorHAnsi" w:hAnsiTheme="minorHAnsi" w:cstheme="minorHAnsi"/>
        </w:rPr>
        <w:t xml:space="preserve"> </w:t>
      </w:r>
      <w:r w:rsidR="00345CD5" w:rsidRPr="00291C34">
        <w:rPr>
          <w:rFonts w:asciiTheme="minorHAnsi" w:hAnsiTheme="minorHAnsi" w:cstheme="minorHAnsi"/>
        </w:rPr>
        <w:t xml:space="preserve">percent in the </w:t>
      </w:r>
      <w:r w:rsidR="003A61BF" w:rsidRPr="00291C34">
        <w:rPr>
          <w:rFonts w:asciiTheme="minorHAnsi" w:hAnsiTheme="minorHAnsi" w:cstheme="minorHAnsi"/>
        </w:rPr>
        <w:t>first quarter</w:t>
      </w:r>
      <w:r w:rsidR="00345CD5" w:rsidRPr="00291C34">
        <w:rPr>
          <w:rFonts w:asciiTheme="minorHAnsi" w:hAnsiTheme="minorHAnsi" w:cstheme="minorHAnsi"/>
        </w:rPr>
        <w:t>.</w:t>
      </w:r>
    </w:p>
    <w:p w14:paraId="1C94E6D6" w14:textId="02C4DA3F" w:rsidR="00D80DD5" w:rsidRPr="00291C34" w:rsidRDefault="00E8290A" w:rsidP="003A61BF">
      <w:pPr>
        <w:bidi w:val="0"/>
        <w:jc w:val="both"/>
        <w:rPr>
          <w:rFonts w:asciiTheme="minorHAnsi" w:hAnsiTheme="minorHAnsi" w:cstheme="minorHAnsi"/>
        </w:rPr>
      </w:pPr>
      <w:r w:rsidRPr="00291C34">
        <w:rPr>
          <w:rFonts w:asciiTheme="minorHAnsi" w:hAnsiTheme="minorHAnsi" w:cstheme="minorHAnsi"/>
        </w:rPr>
        <w:t>T</w:t>
      </w:r>
      <w:r w:rsidR="00D80DD5" w:rsidRPr="00291C34">
        <w:rPr>
          <w:rFonts w:asciiTheme="minorHAnsi" w:hAnsiTheme="minorHAnsi" w:cstheme="minorHAnsi"/>
        </w:rPr>
        <w:t xml:space="preserve">rade between nonresidents constituted </w:t>
      </w:r>
      <w:r w:rsidR="00475E9A" w:rsidRPr="00291C34">
        <w:rPr>
          <w:rFonts w:asciiTheme="minorHAnsi" w:hAnsiTheme="minorHAnsi" w:cstheme="minorHAnsi"/>
        </w:rPr>
        <w:t xml:space="preserve">about </w:t>
      </w:r>
      <w:r w:rsidR="0066696B" w:rsidRPr="00291C34">
        <w:rPr>
          <w:rFonts w:asciiTheme="minorHAnsi" w:hAnsiTheme="minorHAnsi" w:cstheme="minorHAnsi"/>
        </w:rPr>
        <w:t>7</w:t>
      </w:r>
      <w:r w:rsidR="003A61BF" w:rsidRPr="00291C34">
        <w:rPr>
          <w:rFonts w:asciiTheme="minorHAnsi" w:hAnsiTheme="minorHAnsi" w:cstheme="minorHAnsi"/>
        </w:rPr>
        <w:t>9</w:t>
      </w:r>
      <w:r w:rsidR="005305DA" w:rsidRPr="00291C34">
        <w:rPr>
          <w:rFonts w:asciiTheme="minorHAnsi" w:hAnsiTheme="minorHAnsi" w:cstheme="minorHAnsi"/>
        </w:rPr>
        <w:t xml:space="preserve"> </w:t>
      </w:r>
      <w:r w:rsidR="00D80DD5" w:rsidRPr="00291C34">
        <w:rPr>
          <w:rFonts w:asciiTheme="minorHAnsi" w:hAnsiTheme="minorHAnsi" w:cstheme="minorHAnsi"/>
        </w:rPr>
        <w:t>percent of the volume</w:t>
      </w:r>
      <w:r w:rsidR="00345CD5" w:rsidRPr="00291C34">
        <w:rPr>
          <w:rFonts w:asciiTheme="minorHAnsi" w:hAnsiTheme="minorHAnsi" w:cstheme="minorHAnsi"/>
        </w:rPr>
        <w:t>, which had a daily average of about $</w:t>
      </w:r>
      <w:r w:rsidR="003A61BF" w:rsidRPr="00291C34">
        <w:rPr>
          <w:rFonts w:asciiTheme="minorHAnsi" w:hAnsiTheme="minorHAnsi" w:cstheme="minorHAnsi"/>
        </w:rPr>
        <w:t>21.3</w:t>
      </w:r>
      <w:r w:rsidR="005305DA" w:rsidRPr="00291C34">
        <w:rPr>
          <w:rFonts w:asciiTheme="minorHAnsi" w:hAnsiTheme="minorHAnsi" w:cstheme="minorHAnsi"/>
        </w:rPr>
        <w:t xml:space="preserve"> </w:t>
      </w:r>
      <w:r w:rsidR="00345CD5" w:rsidRPr="00291C34">
        <w:rPr>
          <w:rFonts w:asciiTheme="minorHAnsi" w:hAnsiTheme="minorHAnsi" w:cstheme="minorHAnsi"/>
        </w:rPr>
        <w:t>billion.</w:t>
      </w:r>
    </w:p>
    <w:p w14:paraId="0DA8CFF3" w14:textId="7A2F4D33" w:rsidR="00D80DD5" w:rsidRPr="00291C34" w:rsidRDefault="00D80DD5" w:rsidP="00D80DD5">
      <w:pPr>
        <w:bidi w:val="0"/>
        <w:rPr>
          <w:rFonts w:asciiTheme="minorHAnsi" w:hAnsiTheme="minorHAnsi" w:cstheme="minorHAnsi"/>
        </w:rPr>
      </w:pPr>
    </w:p>
    <w:p w14:paraId="03B187DB" w14:textId="5E4ED82B" w:rsidR="00D80DD5" w:rsidRPr="00291C34" w:rsidRDefault="00D80DD5">
      <w:pPr>
        <w:bidi w:val="0"/>
        <w:rPr>
          <w:rFonts w:asciiTheme="minorHAnsi" w:hAnsiTheme="minorHAnsi" w:cstheme="minorHAnsi"/>
        </w:rPr>
      </w:pPr>
    </w:p>
    <w:p w14:paraId="792414DE" w14:textId="5C5F5F7C" w:rsidR="00D80DD5" w:rsidRPr="00291C34" w:rsidRDefault="00DD5CD4" w:rsidP="00451EEC">
      <w:pPr>
        <w:bidi w:val="0"/>
        <w:rPr>
          <w:rFonts w:asciiTheme="minorHAnsi" w:hAnsiTheme="minorHAnsi" w:cstheme="minorHAnsi"/>
        </w:rPr>
      </w:pPr>
      <w:bookmarkStart w:id="0" w:name="_GoBack"/>
      <w:r w:rsidRPr="00291C34">
        <w:rPr>
          <w:rFonts w:asciiTheme="minorHAnsi" w:hAnsiTheme="minorHAnsi" w:cstheme="minorHAnsi"/>
          <w:noProof/>
        </w:rPr>
        <w:drawing>
          <wp:inline distT="0" distB="0" distL="0" distR="0" wp14:anchorId="3A92339F" wp14:editId="5CEDCF8F">
            <wp:extent cx="5850890" cy="3413019"/>
            <wp:effectExtent l="0" t="0" r="0" b="0"/>
            <wp:docPr id="14" name="תמונה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34130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80DD5" w:rsidRPr="00291C34" w:rsidSect="005D39B6">
      <w:footerReference w:type="default" r:id="rId18"/>
      <w:pgSz w:w="11906" w:h="16838"/>
      <w:pgMar w:top="1135" w:right="1416" w:bottom="1135" w:left="1276" w:header="397" w:footer="39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5DDC9B" w14:textId="77777777" w:rsidR="00F81447" w:rsidRDefault="00F81447" w:rsidP="00E64B36">
      <w:r>
        <w:separator/>
      </w:r>
    </w:p>
  </w:endnote>
  <w:endnote w:type="continuationSeparator" w:id="0">
    <w:p w14:paraId="6DF100C6" w14:textId="77777777" w:rsidR="00F81447" w:rsidRDefault="00F81447" w:rsidP="00E64B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22348819"/>
      <w:docPartObj>
        <w:docPartGallery w:val="Page Numbers (Bottom of Page)"/>
        <w:docPartUnique/>
      </w:docPartObj>
    </w:sdtPr>
    <w:sdtEndPr>
      <w:rPr>
        <w:cs/>
      </w:rPr>
    </w:sdtEndPr>
    <w:sdtContent>
      <w:sdt>
        <w:sdtPr>
          <w:id w:val="-2137554086"/>
          <w:docPartObj>
            <w:docPartGallery w:val="Page Numbers (Top of Page)"/>
            <w:docPartUnique/>
          </w:docPartObj>
        </w:sdtPr>
        <w:sdtEndPr/>
        <w:sdtContent>
          <w:p w14:paraId="3EC27B23" w14:textId="6BCC1CA3" w:rsidR="006D5EA0" w:rsidRPr="00540991" w:rsidRDefault="006D5EA0" w:rsidP="00C2017B">
            <w:pPr>
              <w:pStyle w:val="a6"/>
              <w:bidi w:val="0"/>
              <w:rPr>
                <w:rtl/>
                <w:cs/>
              </w:rPr>
            </w:pPr>
            <w:r w:rsidRPr="00540991">
              <w:t>Bank of Israel - Israe</w:t>
            </w:r>
            <w:r>
              <w:t xml:space="preserve">l’s foreign currency market in </w:t>
            </w:r>
            <w:r w:rsidR="008D11D4">
              <w:t>the</w:t>
            </w:r>
            <w:r w:rsidR="00E61393">
              <w:t xml:space="preserve"> </w:t>
            </w:r>
            <w:r w:rsidR="00C2017B">
              <w:t>first</w:t>
            </w:r>
            <w:r w:rsidR="00A3533A">
              <w:t xml:space="preserve"> quarter</w:t>
            </w:r>
            <w:r>
              <w:t xml:space="preserve"> </w:t>
            </w:r>
            <w:r w:rsidR="008D11D4">
              <w:t xml:space="preserve">of </w:t>
            </w:r>
            <w:r w:rsidR="00353385">
              <w:t>202</w:t>
            </w:r>
            <w:r w:rsidR="00C2017B">
              <w:t>6</w:t>
            </w:r>
            <w:r w:rsidR="005D39B6">
              <w:t xml:space="preserve">     </w:t>
            </w:r>
            <w:r w:rsidRPr="00540991">
              <w:t>Page</w:t>
            </w:r>
            <w:r w:rsidR="00FD07FC">
              <w:t xml:space="preserve"> </w:t>
            </w:r>
            <w:r w:rsidRPr="00540991">
              <w:rPr>
                <w:b/>
                <w:bCs/>
              </w:rPr>
              <w:fldChar w:fldCharType="begin"/>
            </w:r>
            <w:r w:rsidRPr="00540991">
              <w:rPr>
                <w:b/>
                <w:bCs/>
                <w:rtl/>
                <w:cs/>
              </w:rPr>
              <w:instrText>PAGE</w:instrText>
            </w:r>
            <w:r w:rsidRPr="00540991">
              <w:rPr>
                <w:b/>
                <w:bCs/>
              </w:rPr>
              <w:fldChar w:fldCharType="separate"/>
            </w:r>
            <w:r w:rsidR="00291C34">
              <w:rPr>
                <w:b/>
                <w:bCs/>
                <w:noProof/>
              </w:rPr>
              <w:t>1</w:t>
            </w:r>
            <w:r w:rsidRPr="00540991">
              <w:rPr>
                <w:b/>
                <w:bCs/>
              </w:rPr>
              <w:fldChar w:fldCharType="end"/>
            </w:r>
            <w:r w:rsidR="00FD07FC">
              <w:rPr>
                <w:b/>
                <w:bCs/>
              </w:rPr>
              <w:t xml:space="preserve"> </w:t>
            </w:r>
            <w:r>
              <w:rPr>
                <w:rFonts w:hint="cs"/>
                <w:rtl/>
                <w:cs/>
                <w:lang w:val="he-IL"/>
              </w:rPr>
              <w:t>o</w:t>
            </w:r>
            <w:r w:rsidRPr="00540991">
              <w:t>f</w:t>
            </w:r>
            <w:r w:rsidR="00DC49A5">
              <w:t xml:space="preserve"> </w:t>
            </w:r>
            <w:r w:rsidRPr="00540991">
              <w:rPr>
                <w:b/>
                <w:bCs/>
              </w:rPr>
              <w:fldChar w:fldCharType="begin"/>
            </w:r>
            <w:r w:rsidRPr="00540991">
              <w:rPr>
                <w:b/>
                <w:bCs/>
                <w:rtl/>
                <w:cs/>
              </w:rPr>
              <w:instrText>NUMPAGES</w:instrText>
            </w:r>
            <w:r w:rsidRPr="00540991">
              <w:rPr>
                <w:b/>
                <w:bCs/>
              </w:rPr>
              <w:fldChar w:fldCharType="separate"/>
            </w:r>
            <w:r w:rsidR="00291C34">
              <w:rPr>
                <w:b/>
                <w:bCs/>
                <w:noProof/>
              </w:rPr>
              <w:t>6</w:t>
            </w:r>
            <w:r w:rsidRPr="00540991">
              <w:rPr>
                <w:b/>
                <w:bCs/>
              </w:rPr>
              <w:fldChar w:fldCharType="end"/>
            </w:r>
          </w:p>
        </w:sdtContent>
      </w:sdt>
    </w:sdtContent>
  </w:sdt>
  <w:p w14:paraId="6EFBFD90" w14:textId="77777777" w:rsidR="00A749E1" w:rsidRPr="00B96022" w:rsidRDefault="00A749E1" w:rsidP="00B96022">
    <w:pPr>
      <w:pStyle w:val="a6"/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603214" w14:textId="77777777" w:rsidR="00F81447" w:rsidRDefault="00F81447" w:rsidP="00E64B36">
      <w:r>
        <w:separator/>
      </w:r>
    </w:p>
  </w:footnote>
  <w:footnote w:type="continuationSeparator" w:id="0">
    <w:p w14:paraId="2A57CD0E" w14:textId="77777777" w:rsidR="00F81447" w:rsidRDefault="00F81447" w:rsidP="00E64B36">
      <w:r>
        <w:continuationSeparator/>
      </w:r>
    </w:p>
  </w:footnote>
  <w:footnote w:id="1">
    <w:p w14:paraId="61C6D2D3" w14:textId="25C92EC8" w:rsidR="00115E0C" w:rsidRDefault="00221362" w:rsidP="00675AFB">
      <w:pPr>
        <w:pStyle w:val="ab"/>
        <w:spacing w:line="240" w:lineRule="auto"/>
      </w:pPr>
      <w:r>
        <w:rPr>
          <w:rStyle w:val="ad"/>
        </w:rPr>
        <w:footnoteRef/>
      </w:r>
      <w:r>
        <w:t xml:space="preserve"> </w:t>
      </w:r>
      <w:r w:rsidR="00D66B63">
        <w:t>For additional information on the segments’ activity in the foreign exchange market, see “</w:t>
      </w:r>
      <w:r w:rsidR="00E05AF2">
        <w:t>Statistical</w:t>
      </w:r>
      <w:r w:rsidR="00D66B63">
        <w:t xml:space="preserve"> Bulletin</w:t>
      </w:r>
      <w:r w:rsidR="00675AFB">
        <w:t>”</w:t>
      </w:r>
      <w:r w:rsidR="00D66B63">
        <w:t xml:space="preserve"> 2024—Chapter D</w:t>
      </w:r>
      <w:r w:rsidR="007E6563">
        <w:t>.</w:t>
      </w:r>
      <w:r w:rsidR="00D66B63">
        <w:t xml:space="preserve"> </w:t>
      </w:r>
    </w:p>
    <w:p w14:paraId="3EBCEF1E" w14:textId="756BB041" w:rsidR="007E6563" w:rsidRDefault="00291C34" w:rsidP="007E6563">
      <w:pPr>
        <w:pStyle w:val="ab"/>
        <w:spacing w:line="240" w:lineRule="auto"/>
      </w:pPr>
      <w:hyperlink r:id="rId1" w:history="1">
        <w:r w:rsidR="007E6563" w:rsidRPr="00921877">
          <w:rPr>
            <w:rStyle w:val="Hyperlink"/>
          </w:rPr>
          <w:t>https://www.boi.org.il/en/communication-and-publications/regular-publications/statistical-publications/statistical-bulletin-2024/</w:t>
        </w:r>
      </w:hyperlink>
    </w:p>
  </w:footnote>
  <w:footnote w:id="2">
    <w:p w14:paraId="31FBF6F6" w14:textId="4BA606A6" w:rsidR="007E6563" w:rsidRDefault="00115E0C" w:rsidP="00675AFB">
      <w:pPr>
        <w:pStyle w:val="ab"/>
        <w:spacing w:line="240" w:lineRule="auto"/>
      </w:pPr>
      <w:r>
        <w:rPr>
          <w:rStyle w:val="ad"/>
        </w:rPr>
        <w:footnoteRef/>
      </w:r>
      <w:r>
        <w:t xml:space="preserve"> The main segments presented do not make up the entire market—for additional information, see the section on “The Database of Foreign Exchange Market Activity” in the Bank of Israel</w:t>
      </w:r>
      <w:r w:rsidR="00675AFB">
        <w:t>’</w:t>
      </w:r>
      <w:r>
        <w:t xml:space="preserve">s </w:t>
      </w:r>
      <w:r w:rsidR="00BE6AB5">
        <w:t>“</w:t>
      </w:r>
      <w:r>
        <w:t>Statistical Bulletin</w:t>
      </w:r>
      <w:r w:rsidR="00BE6AB5">
        <w:t>”</w:t>
      </w:r>
      <w:r>
        <w:t xml:space="preserve"> </w:t>
      </w:r>
      <w:r w:rsidRPr="00BE6AB5">
        <w:t>for 2024</w:t>
      </w:r>
      <w:r>
        <w:t xml:space="preserve"> </w:t>
      </w:r>
    </w:p>
    <w:p w14:paraId="197E4E84" w14:textId="33628B6D" w:rsidR="007E6563" w:rsidRDefault="00291C34" w:rsidP="007E6563">
      <w:pPr>
        <w:pStyle w:val="ab"/>
        <w:spacing w:line="240" w:lineRule="auto"/>
      </w:pPr>
      <w:hyperlink r:id="rId2" w:history="1">
        <w:r w:rsidR="007E6563" w:rsidRPr="00921877">
          <w:rPr>
            <w:rStyle w:val="Hyperlink"/>
          </w:rPr>
          <w:t>https://www.boi.org.il/en/communication-and-publications/regular-publications/statistical-publications/statistical-bulletin-2024/</w:t>
        </w:r>
      </w:hyperlink>
    </w:p>
    <w:p w14:paraId="0489493A" w14:textId="60016636" w:rsidR="00115E0C" w:rsidRDefault="00115E0C" w:rsidP="004F5159">
      <w:pPr>
        <w:pStyle w:val="ab"/>
        <w:spacing w:line="240" w:lineRule="auto"/>
      </w:pPr>
    </w:p>
  </w:footnote>
  <w:footnote w:id="3">
    <w:p w14:paraId="37580CC5" w14:textId="0B19EFB4" w:rsidR="0063362C" w:rsidRDefault="0063362C" w:rsidP="009D4E48">
      <w:pPr>
        <w:pStyle w:val="ab"/>
        <w:spacing w:line="240" w:lineRule="auto"/>
      </w:pPr>
      <w:r>
        <w:rPr>
          <w:rStyle w:val="ad"/>
        </w:rPr>
        <w:footnoteRef/>
      </w:r>
      <w:r>
        <w:t xml:space="preserve"> </w:t>
      </w:r>
      <w:r w:rsidR="009D4E48">
        <w:t>From the beginning of 2020, the data do not include branches of foreign banks in Israel.</w:t>
      </w:r>
    </w:p>
  </w:footnote>
  <w:footnote w:id="4">
    <w:p w14:paraId="1768723E" w14:textId="77777777" w:rsidR="00D80DD5" w:rsidRDefault="00D80DD5" w:rsidP="00D80DD5">
      <w:pPr>
        <w:pStyle w:val="ab"/>
        <w:spacing w:line="240" w:lineRule="auto"/>
      </w:pPr>
      <w:r>
        <w:rPr>
          <w:rStyle w:val="ad"/>
        </w:rPr>
        <w:footnoteRef/>
      </w:r>
      <w:r>
        <w:t xml:space="preserve"> Total trading volume is an estimate of total activity in transactions against the shekel, based on reports by the domestic banking system and by foreign reporting entities.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E95DB1"/>
    <w:multiLevelType w:val="hybridMultilevel"/>
    <w:tmpl w:val="1AB63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removePersonalInformation/>
  <w:removeDateAndTime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efaultTableStyle w:val="a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2D0"/>
    <w:rsid w:val="00000A06"/>
    <w:rsid w:val="000015AF"/>
    <w:rsid w:val="000063E5"/>
    <w:rsid w:val="00010600"/>
    <w:rsid w:val="000123AF"/>
    <w:rsid w:val="000133C4"/>
    <w:rsid w:val="0001385E"/>
    <w:rsid w:val="000138F5"/>
    <w:rsid w:val="0001413F"/>
    <w:rsid w:val="00020C20"/>
    <w:rsid w:val="000225C3"/>
    <w:rsid w:val="00024A52"/>
    <w:rsid w:val="0002528B"/>
    <w:rsid w:val="00031541"/>
    <w:rsid w:val="000345E9"/>
    <w:rsid w:val="00034686"/>
    <w:rsid w:val="00035675"/>
    <w:rsid w:val="00042899"/>
    <w:rsid w:val="00051AE6"/>
    <w:rsid w:val="000526A0"/>
    <w:rsid w:val="00052DFD"/>
    <w:rsid w:val="0005726E"/>
    <w:rsid w:val="00061625"/>
    <w:rsid w:val="00064641"/>
    <w:rsid w:val="00065F2F"/>
    <w:rsid w:val="00074802"/>
    <w:rsid w:val="0008141D"/>
    <w:rsid w:val="00086483"/>
    <w:rsid w:val="00096380"/>
    <w:rsid w:val="000A2172"/>
    <w:rsid w:val="000A2D52"/>
    <w:rsid w:val="000A520E"/>
    <w:rsid w:val="000A65E5"/>
    <w:rsid w:val="000B66D6"/>
    <w:rsid w:val="000C0E73"/>
    <w:rsid w:val="000C1512"/>
    <w:rsid w:val="000C5557"/>
    <w:rsid w:val="000C57D0"/>
    <w:rsid w:val="000C5EF4"/>
    <w:rsid w:val="000C7A2A"/>
    <w:rsid w:val="000D22EB"/>
    <w:rsid w:val="000D26BE"/>
    <w:rsid w:val="000D4B4A"/>
    <w:rsid w:val="000E1A34"/>
    <w:rsid w:val="000E2845"/>
    <w:rsid w:val="000E38B5"/>
    <w:rsid w:val="000E5335"/>
    <w:rsid w:val="000E6E53"/>
    <w:rsid w:val="000F4369"/>
    <w:rsid w:val="000F5EA6"/>
    <w:rsid w:val="000F638D"/>
    <w:rsid w:val="001001A2"/>
    <w:rsid w:val="00101B55"/>
    <w:rsid w:val="00102E8F"/>
    <w:rsid w:val="001030DF"/>
    <w:rsid w:val="00104A7D"/>
    <w:rsid w:val="00112B2E"/>
    <w:rsid w:val="00115E0C"/>
    <w:rsid w:val="001204D4"/>
    <w:rsid w:val="001254A8"/>
    <w:rsid w:val="00130245"/>
    <w:rsid w:val="0013070F"/>
    <w:rsid w:val="001349B9"/>
    <w:rsid w:val="001428C4"/>
    <w:rsid w:val="00143F3A"/>
    <w:rsid w:val="001454F1"/>
    <w:rsid w:val="001459BD"/>
    <w:rsid w:val="00151140"/>
    <w:rsid w:val="0015175D"/>
    <w:rsid w:val="00153DE6"/>
    <w:rsid w:val="00154D08"/>
    <w:rsid w:val="00156288"/>
    <w:rsid w:val="00160B25"/>
    <w:rsid w:val="00165EE7"/>
    <w:rsid w:val="00170192"/>
    <w:rsid w:val="001707E0"/>
    <w:rsid w:val="00171B30"/>
    <w:rsid w:val="001721C7"/>
    <w:rsid w:val="00172B27"/>
    <w:rsid w:val="00176396"/>
    <w:rsid w:val="0017665B"/>
    <w:rsid w:val="0017718E"/>
    <w:rsid w:val="00182B94"/>
    <w:rsid w:val="0018370C"/>
    <w:rsid w:val="00183AC6"/>
    <w:rsid w:val="00183AE0"/>
    <w:rsid w:val="001933D0"/>
    <w:rsid w:val="00194595"/>
    <w:rsid w:val="0019621E"/>
    <w:rsid w:val="0019782B"/>
    <w:rsid w:val="001A0404"/>
    <w:rsid w:val="001B1084"/>
    <w:rsid w:val="001B2122"/>
    <w:rsid w:val="001B4974"/>
    <w:rsid w:val="001B4D8F"/>
    <w:rsid w:val="001B4E73"/>
    <w:rsid w:val="001C07E2"/>
    <w:rsid w:val="001C1BC1"/>
    <w:rsid w:val="001C1FA3"/>
    <w:rsid w:val="001C2790"/>
    <w:rsid w:val="001C2E7B"/>
    <w:rsid w:val="001C388F"/>
    <w:rsid w:val="001C41F2"/>
    <w:rsid w:val="001C64AE"/>
    <w:rsid w:val="001C71E8"/>
    <w:rsid w:val="001D0AB4"/>
    <w:rsid w:val="001D2EB5"/>
    <w:rsid w:val="001D6426"/>
    <w:rsid w:val="001D7072"/>
    <w:rsid w:val="001E3CD1"/>
    <w:rsid w:val="001E3DF2"/>
    <w:rsid w:val="001E409B"/>
    <w:rsid w:val="001E6AE3"/>
    <w:rsid w:val="001F527C"/>
    <w:rsid w:val="001F6A4A"/>
    <w:rsid w:val="001F7971"/>
    <w:rsid w:val="002005DD"/>
    <w:rsid w:val="00206276"/>
    <w:rsid w:val="00212F75"/>
    <w:rsid w:val="0021327F"/>
    <w:rsid w:val="0021416E"/>
    <w:rsid w:val="00216E35"/>
    <w:rsid w:val="0021704D"/>
    <w:rsid w:val="00220D65"/>
    <w:rsid w:val="00221362"/>
    <w:rsid w:val="00227FCB"/>
    <w:rsid w:val="002316F9"/>
    <w:rsid w:val="002331FC"/>
    <w:rsid w:val="00236B78"/>
    <w:rsid w:val="00237CE5"/>
    <w:rsid w:val="0024066C"/>
    <w:rsid w:val="0024170D"/>
    <w:rsid w:val="00242823"/>
    <w:rsid w:val="00252F9E"/>
    <w:rsid w:val="00264C17"/>
    <w:rsid w:val="002669C3"/>
    <w:rsid w:val="002709AA"/>
    <w:rsid w:val="0027498F"/>
    <w:rsid w:val="00280A66"/>
    <w:rsid w:val="00280E43"/>
    <w:rsid w:val="00281C70"/>
    <w:rsid w:val="00282F65"/>
    <w:rsid w:val="002860E9"/>
    <w:rsid w:val="0029082F"/>
    <w:rsid w:val="00291C34"/>
    <w:rsid w:val="00294ABA"/>
    <w:rsid w:val="00295F5E"/>
    <w:rsid w:val="00297AC8"/>
    <w:rsid w:val="002A00BC"/>
    <w:rsid w:val="002A0D2A"/>
    <w:rsid w:val="002A51FC"/>
    <w:rsid w:val="002A6B07"/>
    <w:rsid w:val="002B1BC6"/>
    <w:rsid w:val="002B48CC"/>
    <w:rsid w:val="002B763A"/>
    <w:rsid w:val="002C248A"/>
    <w:rsid w:val="002C3403"/>
    <w:rsid w:val="002C6776"/>
    <w:rsid w:val="002D7BBC"/>
    <w:rsid w:val="002E2128"/>
    <w:rsid w:val="002E4AB3"/>
    <w:rsid w:val="002F0525"/>
    <w:rsid w:val="003004FD"/>
    <w:rsid w:val="0030279B"/>
    <w:rsid w:val="00303015"/>
    <w:rsid w:val="00305D1D"/>
    <w:rsid w:val="003125B3"/>
    <w:rsid w:val="003129D6"/>
    <w:rsid w:val="003136EE"/>
    <w:rsid w:val="00316664"/>
    <w:rsid w:val="00316A5F"/>
    <w:rsid w:val="00326B32"/>
    <w:rsid w:val="003271D0"/>
    <w:rsid w:val="0033007A"/>
    <w:rsid w:val="00340E06"/>
    <w:rsid w:val="00344AA9"/>
    <w:rsid w:val="00345CD5"/>
    <w:rsid w:val="0034638A"/>
    <w:rsid w:val="00347A38"/>
    <w:rsid w:val="00353385"/>
    <w:rsid w:val="003539E2"/>
    <w:rsid w:val="003549F0"/>
    <w:rsid w:val="003617D2"/>
    <w:rsid w:val="00361C9E"/>
    <w:rsid w:val="00362D57"/>
    <w:rsid w:val="003663BD"/>
    <w:rsid w:val="00372416"/>
    <w:rsid w:val="003727EE"/>
    <w:rsid w:val="003772AF"/>
    <w:rsid w:val="00383088"/>
    <w:rsid w:val="00385CB3"/>
    <w:rsid w:val="00387840"/>
    <w:rsid w:val="00387DD7"/>
    <w:rsid w:val="00390345"/>
    <w:rsid w:val="0039059D"/>
    <w:rsid w:val="00390CA5"/>
    <w:rsid w:val="00392CE6"/>
    <w:rsid w:val="003937E7"/>
    <w:rsid w:val="00397AA4"/>
    <w:rsid w:val="003A103D"/>
    <w:rsid w:val="003A15FE"/>
    <w:rsid w:val="003A335C"/>
    <w:rsid w:val="003A3813"/>
    <w:rsid w:val="003A61BF"/>
    <w:rsid w:val="003B0F1E"/>
    <w:rsid w:val="003B715F"/>
    <w:rsid w:val="003B7DC3"/>
    <w:rsid w:val="003C063B"/>
    <w:rsid w:val="003C2BB9"/>
    <w:rsid w:val="003C44AE"/>
    <w:rsid w:val="003C45F4"/>
    <w:rsid w:val="003C6EA3"/>
    <w:rsid w:val="003C7815"/>
    <w:rsid w:val="003D23B5"/>
    <w:rsid w:val="003D6F31"/>
    <w:rsid w:val="003D7088"/>
    <w:rsid w:val="003D7860"/>
    <w:rsid w:val="003D7C2F"/>
    <w:rsid w:val="003E0D23"/>
    <w:rsid w:val="003F6116"/>
    <w:rsid w:val="00411BA4"/>
    <w:rsid w:val="00412846"/>
    <w:rsid w:val="004137E7"/>
    <w:rsid w:val="004147FC"/>
    <w:rsid w:val="00416E0A"/>
    <w:rsid w:val="00416F2B"/>
    <w:rsid w:val="0041749E"/>
    <w:rsid w:val="004200DC"/>
    <w:rsid w:val="00424296"/>
    <w:rsid w:val="004247DA"/>
    <w:rsid w:val="00426CA2"/>
    <w:rsid w:val="00431281"/>
    <w:rsid w:val="00435260"/>
    <w:rsid w:val="004357B2"/>
    <w:rsid w:val="004376D8"/>
    <w:rsid w:val="0044125C"/>
    <w:rsid w:val="00441348"/>
    <w:rsid w:val="00445B15"/>
    <w:rsid w:val="00446C7F"/>
    <w:rsid w:val="004506C0"/>
    <w:rsid w:val="00451EEC"/>
    <w:rsid w:val="004574F7"/>
    <w:rsid w:val="00461E98"/>
    <w:rsid w:val="00465721"/>
    <w:rsid w:val="00466441"/>
    <w:rsid w:val="00467FFB"/>
    <w:rsid w:val="004710A5"/>
    <w:rsid w:val="0047295E"/>
    <w:rsid w:val="00473C1E"/>
    <w:rsid w:val="00475E9A"/>
    <w:rsid w:val="0048070C"/>
    <w:rsid w:val="004869C1"/>
    <w:rsid w:val="00492391"/>
    <w:rsid w:val="00492AB3"/>
    <w:rsid w:val="00497B95"/>
    <w:rsid w:val="004A0425"/>
    <w:rsid w:val="004A1213"/>
    <w:rsid w:val="004A20A5"/>
    <w:rsid w:val="004A548C"/>
    <w:rsid w:val="004B0CEA"/>
    <w:rsid w:val="004B3F3D"/>
    <w:rsid w:val="004B5E31"/>
    <w:rsid w:val="004C61F9"/>
    <w:rsid w:val="004C6A99"/>
    <w:rsid w:val="004C72D6"/>
    <w:rsid w:val="004D08E6"/>
    <w:rsid w:val="004D32A7"/>
    <w:rsid w:val="004D5D6F"/>
    <w:rsid w:val="004D75D4"/>
    <w:rsid w:val="004E3B8E"/>
    <w:rsid w:val="004E4AEC"/>
    <w:rsid w:val="004E66D9"/>
    <w:rsid w:val="004F5159"/>
    <w:rsid w:val="005007E2"/>
    <w:rsid w:val="0050183E"/>
    <w:rsid w:val="005122EB"/>
    <w:rsid w:val="00512B40"/>
    <w:rsid w:val="00512DA3"/>
    <w:rsid w:val="005135B6"/>
    <w:rsid w:val="00513B3E"/>
    <w:rsid w:val="0051643E"/>
    <w:rsid w:val="00520577"/>
    <w:rsid w:val="00520ADA"/>
    <w:rsid w:val="00525B10"/>
    <w:rsid w:val="005305DA"/>
    <w:rsid w:val="00530A25"/>
    <w:rsid w:val="005316D2"/>
    <w:rsid w:val="005331E3"/>
    <w:rsid w:val="00533CB8"/>
    <w:rsid w:val="005406F8"/>
    <w:rsid w:val="00540991"/>
    <w:rsid w:val="00540A8E"/>
    <w:rsid w:val="00540B03"/>
    <w:rsid w:val="00541838"/>
    <w:rsid w:val="005439FF"/>
    <w:rsid w:val="00544758"/>
    <w:rsid w:val="005462D0"/>
    <w:rsid w:val="00546392"/>
    <w:rsid w:val="00547EBB"/>
    <w:rsid w:val="00556116"/>
    <w:rsid w:val="005613C1"/>
    <w:rsid w:val="00565786"/>
    <w:rsid w:val="0056698A"/>
    <w:rsid w:val="00570280"/>
    <w:rsid w:val="005713A8"/>
    <w:rsid w:val="0058083E"/>
    <w:rsid w:val="00584A0F"/>
    <w:rsid w:val="00587598"/>
    <w:rsid w:val="0059277F"/>
    <w:rsid w:val="0059583A"/>
    <w:rsid w:val="005965B3"/>
    <w:rsid w:val="00596FB4"/>
    <w:rsid w:val="00597398"/>
    <w:rsid w:val="00597BB2"/>
    <w:rsid w:val="00597EED"/>
    <w:rsid w:val="005A6EB1"/>
    <w:rsid w:val="005B00FD"/>
    <w:rsid w:val="005B1BA1"/>
    <w:rsid w:val="005B3DCE"/>
    <w:rsid w:val="005B3EEA"/>
    <w:rsid w:val="005B529D"/>
    <w:rsid w:val="005C4C81"/>
    <w:rsid w:val="005C72E2"/>
    <w:rsid w:val="005C7628"/>
    <w:rsid w:val="005D1CE7"/>
    <w:rsid w:val="005D39B6"/>
    <w:rsid w:val="005D7130"/>
    <w:rsid w:val="005E15BD"/>
    <w:rsid w:val="005E26D2"/>
    <w:rsid w:val="005E27F9"/>
    <w:rsid w:val="005E5212"/>
    <w:rsid w:val="005F20E9"/>
    <w:rsid w:val="005F3E47"/>
    <w:rsid w:val="005F6E5B"/>
    <w:rsid w:val="005F7744"/>
    <w:rsid w:val="00600224"/>
    <w:rsid w:val="00601CA2"/>
    <w:rsid w:val="0060215A"/>
    <w:rsid w:val="00602CBA"/>
    <w:rsid w:val="00604322"/>
    <w:rsid w:val="006050B1"/>
    <w:rsid w:val="00605171"/>
    <w:rsid w:val="00606124"/>
    <w:rsid w:val="006149EB"/>
    <w:rsid w:val="0061530A"/>
    <w:rsid w:val="00616685"/>
    <w:rsid w:val="0061692C"/>
    <w:rsid w:val="006216F9"/>
    <w:rsid w:val="00621BB5"/>
    <w:rsid w:val="006223DB"/>
    <w:rsid w:val="00623A3E"/>
    <w:rsid w:val="0062658F"/>
    <w:rsid w:val="0063362C"/>
    <w:rsid w:val="006346E3"/>
    <w:rsid w:val="006349E3"/>
    <w:rsid w:val="0063514B"/>
    <w:rsid w:val="00642252"/>
    <w:rsid w:val="006425AC"/>
    <w:rsid w:val="006426A2"/>
    <w:rsid w:val="0064703F"/>
    <w:rsid w:val="00651C22"/>
    <w:rsid w:val="00652D53"/>
    <w:rsid w:val="00654FCC"/>
    <w:rsid w:val="0065569A"/>
    <w:rsid w:val="006558DE"/>
    <w:rsid w:val="0066439E"/>
    <w:rsid w:val="0066534F"/>
    <w:rsid w:val="0066696B"/>
    <w:rsid w:val="00671C94"/>
    <w:rsid w:val="00672104"/>
    <w:rsid w:val="006730BD"/>
    <w:rsid w:val="00675AFB"/>
    <w:rsid w:val="006777B7"/>
    <w:rsid w:val="006778D4"/>
    <w:rsid w:val="006811E6"/>
    <w:rsid w:val="00681338"/>
    <w:rsid w:val="006855BF"/>
    <w:rsid w:val="00692468"/>
    <w:rsid w:val="00694180"/>
    <w:rsid w:val="00696602"/>
    <w:rsid w:val="006A301B"/>
    <w:rsid w:val="006A3FC4"/>
    <w:rsid w:val="006A6BEF"/>
    <w:rsid w:val="006A7339"/>
    <w:rsid w:val="006A7AC0"/>
    <w:rsid w:val="006B37A4"/>
    <w:rsid w:val="006B4862"/>
    <w:rsid w:val="006B679C"/>
    <w:rsid w:val="006B7D9D"/>
    <w:rsid w:val="006C070A"/>
    <w:rsid w:val="006C1761"/>
    <w:rsid w:val="006C1C18"/>
    <w:rsid w:val="006C3672"/>
    <w:rsid w:val="006C6B43"/>
    <w:rsid w:val="006D3582"/>
    <w:rsid w:val="006D3D86"/>
    <w:rsid w:val="006D4768"/>
    <w:rsid w:val="006D5EA0"/>
    <w:rsid w:val="006E0BC7"/>
    <w:rsid w:val="006E38CA"/>
    <w:rsid w:val="006F20E9"/>
    <w:rsid w:val="006F2E68"/>
    <w:rsid w:val="0070039B"/>
    <w:rsid w:val="00701938"/>
    <w:rsid w:val="00701A3B"/>
    <w:rsid w:val="00707976"/>
    <w:rsid w:val="00707AC7"/>
    <w:rsid w:val="00716379"/>
    <w:rsid w:val="0072067C"/>
    <w:rsid w:val="00721560"/>
    <w:rsid w:val="007218B0"/>
    <w:rsid w:val="00723DBF"/>
    <w:rsid w:val="00724066"/>
    <w:rsid w:val="007326B5"/>
    <w:rsid w:val="0073283D"/>
    <w:rsid w:val="00733ACE"/>
    <w:rsid w:val="00735737"/>
    <w:rsid w:val="00736B67"/>
    <w:rsid w:val="0073750A"/>
    <w:rsid w:val="0074341E"/>
    <w:rsid w:val="00750EC7"/>
    <w:rsid w:val="00751F08"/>
    <w:rsid w:val="00756100"/>
    <w:rsid w:val="00757A52"/>
    <w:rsid w:val="00757B9D"/>
    <w:rsid w:val="007604B4"/>
    <w:rsid w:val="007621F1"/>
    <w:rsid w:val="00766664"/>
    <w:rsid w:val="007666A8"/>
    <w:rsid w:val="007764CA"/>
    <w:rsid w:val="0078051F"/>
    <w:rsid w:val="00785BD2"/>
    <w:rsid w:val="007876B0"/>
    <w:rsid w:val="00791405"/>
    <w:rsid w:val="007924C8"/>
    <w:rsid w:val="00793399"/>
    <w:rsid w:val="00794D46"/>
    <w:rsid w:val="007A2DE7"/>
    <w:rsid w:val="007B2448"/>
    <w:rsid w:val="007B6386"/>
    <w:rsid w:val="007B74E7"/>
    <w:rsid w:val="007C6400"/>
    <w:rsid w:val="007D1025"/>
    <w:rsid w:val="007D2403"/>
    <w:rsid w:val="007D57EE"/>
    <w:rsid w:val="007D65DA"/>
    <w:rsid w:val="007E058D"/>
    <w:rsid w:val="007E38F9"/>
    <w:rsid w:val="007E6563"/>
    <w:rsid w:val="007F0CCC"/>
    <w:rsid w:val="007F1559"/>
    <w:rsid w:val="007F29B3"/>
    <w:rsid w:val="007F44E2"/>
    <w:rsid w:val="007F6F44"/>
    <w:rsid w:val="007F7993"/>
    <w:rsid w:val="008049BE"/>
    <w:rsid w:val="00805221"/>
    <w:rsid w:val="008059F1"/>
    <w:rsid w:val="008072EF"/>
    <w:rsid w:val="0081026B"/>
    <w:rsid w:val="0081371F"/>
    <w:rsid w:val="00834456"/>
    <w:rsid w:val="008403F1"/>
    <w:rsid w:val="008412E8"/>
    <w:rsid w:val="00842BAF"/>
    <w:rsid w:val="00843702"/>
    <w:rsid w:val="0085046F"/>
    <w:rsid w:val="008507C5"/>
    <w:rsid w:val="00853938"/>
    <w:rsid w:val="008639EC"/>
    <w:rsid w:val="00864C55"/>
    <w:rsid w:val="008659EE"/>
    <w:rsid w:val="00872640"/>
    <w:rsid w:val="00873B9F"/>
    <w:rsid w:val="00875999"/>
    <w:rsid w:val="0087642C"/>
    <w:rsid w:val="00877705"/>
    <w:rsid w:val="008829AB"/>
    <w:rsid w:val="00884B49"/>
    <w:rsid w:val="00886CC2"/>
    <w:rsid w:val="008872F8"/>
    <w:rsid w:val="00887755"/>
    <w:rsid w:val="00892E93"/>
    <w:rsid w:val="00894249"/>
    <w:rsid w:val="008960F7"/>
    <w:rsid w:val="008A3B4D"/>
    <w:rsid w:val="008A4204"/>
    <w:rsid w:val="008A7212"/>
    <w:rsid w:val="008A72D3"/>
    <w:rsid w:val="008B0D77"/>
    <w:rsid w:val="008B4273"/>
    <w:rsid w:val="008B6833"/>
    <w:rsid w:val="008B7464"/>
    <w:rsid w:val="008C0C91"/>
    <w:rsid w:val="008C6903"/>
    <w:rsid w:val="008D11D4"/>
    <w:rsid w:val="008D1A2C"/>
    <w:rsid w:val="008D1F4D"/>
    <w:rsid w:val="008D46BB"/>
    <w:rsid w:val="008D4B9C"/>
    <w:rsid w:val="008D58D4"/>
    <w:rsid w:val="008D6BC5"/>
    <w:rsid w:val="008D6FB6"/>
    <w:rsid w:val="008E38AD"/>
    <w:rsid w:val="008E635D"/>
    <w:rsid w:val="008E674E"/>
    <w:rsid w:val="008E7476"/>
    <w:rsid w:val="008E7D15"/>
    <w:rsid w:val="008F1D45"/>
    <w:rsid w:val="008F2476"/>
    <w:rsid w:val="008F361E"/>
    <w:rsid w:val="0091307F"/>
    <w:rsid w:val="00915D25"/>
    <w:rsid w:val="0091626D"/>
    <w:rsid w:val="00923347"/>
    <w:rsid w:val="00924942"/>
    <w:rsid w:val="00926495"/>
    <w:rsid w:val="009338FA"/>
    <w:rsid w:val="00933EF4"/>
    <w:rsid w:val="0093574D"/>
    <w:rsid w:val="009400D8"/>
    <w:rsid w:val="009438E2"/>
    <w:rsid w:val="00952674"/>
    <w:rsid w:val="00960444"/>
    <w:rsid w:val="009609FA"/>
    <w:rsid w:val="00961BD6"/>
    <w:rsid w:val="009651F0"/>
    <w:rsid w:val="00966025"/>
    <w:rsid w:val="00967248"/>
    <w:rsid w:val="009708C5"/>
    <w:rsid w:val="0097278E"/>
    <w:rsid w:val="00973016"/>
    <w:rsid w:val="009744A0"/>
    <w:rsid w:val="009745A6"/>
    <w:rsid w:val="00976781"/>
    <w:rsid w:val="009831EE"/>
    <w:rsid w:val="009844A2"/>
    <w:rsid w:val="009846A7"/>
    <w:rsid w:val="00984FBD"/>
    <w:rsid w:val="00985B16"/>
    <w:rsid w:val="009865FD"/>
    <w:rsid w:val="00994D5A"/>
    <w:rsid w:val="00997FAC"/>
    <w:rsid w:val="009A0D29"/>
    <w:rsid w:val="009B15DB"/>
    <w:rsid w:val="009B1778"/>
    <w:rsid w:val="009B1A17"/>
    <w:rsid w:val="009B3F8D"/>
    <w:rsid w:val="009B50A7"/>
    <w:rsid w:val="009B51A5"/>
    <w:rsid w:val="009B5DE0"/>
    <w:rsid w:val="009C1E74"/>
    <w:rsid w:val="009C21B3"/>
    <w:rsid w:val="009C2C42"/>
    <w:rsid w:val="009C3529"/>
    <w:rsid w:val="009C7BCD"/>
    <w:rsid w:val="009D4E48"/>
    <w:rsid w:val="009D7CDF"/>
    <w:rsid w:val="009E3D4E"/>
    <w:rsid w:val="009E6150"/>
    <w:rsid w:val="009E70F4"/>
    <w:rsid w:val="009F2679"/>
    <w:rsid w:val="00A0590C"/>
    <w:rsid w:val="00A06ACF"/>
    <w:rsid w:val="00A117D2"/>
    <w:rsid w:val="00A15FCE"/>
    <w:rsid w:val="00A1704B"/>
    <w:rsid w:val="00A235FC"/>
    <w:rsid w:val="00A23DBE"/>
    <w:rsid w:val="00A25E08"/>
    <w:rsid w:val="00A32D0E"/>
    <w:rsid w:val="00A33F21"/>
    <w:rsid w:val="00A3533A"/>
    <w:rsid w:val="00A367C5"/>
    <w:rsid w:val="00A37869"/>
    <w:rsid w:val="00A37C5F"/>
    <w:rsid w:val="00A406BA"/>
    <w:rsid w:val="00A41B9A"/>
    <w:rsid w:val="00A44A88"/>
    <w:rsid w:val="00A45819"/>
    <w:rsid w:val="00A46934"/>
    <w:rsid w:val="00A501F6"/>
    <w:rsid w:val="00A5201A"/>
    <w:rsid w:val="00A5203F"/>
    <w:rsid w:val="00A5307A"/>
    <w:rsid w:val="00A561E0"/>
    <w:rsid w:val="00A56F78"/>
    <w:rsid w:val="00A60725"/>
    <w:rsid w:val="00A62731"/>
    <w:rsid w:val="00A71713"/>
    <w:rsid w:val="00A72122"/>
    <w:rsid w:val="00A725A1"/>
    <w:rsid w:val="00A73A47"/>
    <w:rsid w:val="00A74752"/>
    <w:rsid w:val="00A749E1"/>
    <w:rsid w:val="00A74B6D"/>
    <w:rsid w:val="00A80F11"/>
    <w:rsid w:val="00A811CE"/>
    <w:rsid w:val="00A81355"/>
    <w:rsid w:val="00A81B6C"/>
    <w:rsid w:val="00A82B0D"/>
    <w:rsid w:val="00A8444B"/>
    <w:rsid w:val="00A86C23"/>
    <w:rsid w:val="00A87DC1"/>
    <w:rsid w:val="00A9039C"/>
    <w:rsid w:val="00A9162A"/>
    <w:rsid w:val="00A9429D"/>
    <w:rsid w:val="00A94775"/>
    <w:rsid w:val="00A94805"/>
    <w:rsid w:val="00A97D03"/>
    <w:rsid w:val="00AA241D"/>
    <w:rsid w:val="00AA4329"/>
    <w:rsid w:val="00AA7F6F"/>
    <w:rsid w:val="00AB52DC"/>
    <w:rsid w:val="00AB5B37"/>
    <w:rsid w:val="00AB75B4"/>
    <w:rsid w:val="00AC0B5C"/>
    <w:rsid w:val="00AC1143"/>
    <w:rsid w:val="00AC3FC7"/>
    <w:rsid w:val="00AC5D3F"/>
    <w:rsid w:val="00AD0339"/>
    <w:rsid w:val="00AD4E62"/>
    <w:rsid w:val="00AD57E4"/>
    <w:rsid w:val="00AD7CC8"/>
    <w:rsid w:val="00AE645F"/>
    <w:rsid w:val="00AE70C0"/>
    <w:rsid w:val="00AE7F22"/>
    <w:rsid w:val="00AF32A3"/>
    <w:rsid w:val="00AF471B"/>
    <w:rsid w:val="00AF511A"/>
    <w:rsid w:val="00AF67E2"/>
    <w:rsid w:val="00AF6B3A"/>
    <w:rsid w:val="00AF7F92"/>
    <w:rsid w:val="00B04FB0"/>
    <w:rsid w:val="00B05353"/>
    <w:rsid w:val="00B055AC"/>
    <w:rsid w:val="00B108AE"/>
    <w:rsid w:val="00B13C9D"/>
    <w:rsid w:val="00B20B2B"/>
    <w:rsid w:val="00B21C28"/>
    <w:rsid w:val="00B21CC0"/>
    <w:rsid w:val="00B2783E"/>
    <w:rsid w:val="00B3066D"/>
    <w:rsid w:val="00B37116"/>
    <w:rsid w:val="00B37430"/>
    <w:rsid w:val="00B40E49"/>
    <w:rsid w:val="00B45D8B"/>
    <w:rsid w:val="00B46E33"/>
    <w:rsid w:val="00B47112"/>
    <w:rsid w:val="00B47729"/>
    <w:rsid w:val="00B5463B"/>
    <w:rsid w:val="00B550EB"/>
    <w:rsid w:val="00B602F6"/>
    <w:rsid w:val="00B64DCF"/>
    <w:rsid w:val="00B66537"/>
    <w:rsid w:val="00B67F37"/>
    <w:rsid w:val="00B701F2"/>
    <w:rsid w:val="00B7455A"/>
    <w:rsid w:val="00B75E66"/>
    <w:rsid w:val="00B76B5D"/>
    <w:rsid w:val="00B82927"/>
    <w:rsid w:val="00B84789"/>
    <w:rsid w:val="00B85769"/>
    <w:rsid w:val="00B8751E"/>
    <w:rsid w:val="00B87F00"/>
    <w:rsid w:val="00B903FA"/>
    <w:rsid w:val="00B926AD"/>
    <w:rsid w:val="00B96022"/>
    <w:rsid w:val="00B9767B"/>
    <w:rsid w:val="00BA26B5"/>
    <w:rsid w:val="00BA69BE"/>
    <w:rsid w:val="00BB0B79"/>
    <w:rsid w:val="00BB77A2"/>
    <w:rsid w:val="00BC1596"/>
    <w:rsid w:val="00BC22C6"/>
    <w:rsid w:val="00BC43BA"/>
    <w:rsid w:val="00BC71FF"/>
    <w:rsid w:val="00BC7D84"/>
    <w:rsid w:val="00BD1BAB"/>
    <w:rsid w:val="00BD443F"/>
    <w:rsid w:val="00BD70C1"/>
    <w:rsid w:val="00BE2296"/>
    <w:rsid w:val="00BE27B4"/>
    <w:rsid w:val="00BE480B"/>
    <w:rsid w:val="00BE4B58"/>
    <w:rsid w:val="00BE52BF"/>
    <w:rsid w:val="00BE6AB5"/>
    <w:rsid w:val="00BE7ED4"/>
    <w:rsid w:val="00BF2C62"/>
    <w:rsid w:val="00BF2D7E"/>
    <w:rsid w:val="00BF32AB"/>
    <w:rsid w:val="00BF428E"/>
    <w:rsid w:val="00BF4848"/>
    <w:rsid w:val="00C01B10"/>
    <w:rsid w:val="00C10D54"/>
    <w:rsid w:val="00C12090"/>
    <w:rsid w:val="00C13F51"/>
    <w:rsid w:val="00C14E00"/>
    <w:rsid w:val="00C15121"/>
    <w:rsid w:val="00C15BBE"/>
    <w:rsid w:val="00C162A8"/>
    <w:rsid w:val="00C171FF"/>
    <w:rsid w:val="00C2017B"/>
    <w:rsid w:val="00C21009"/>
    <w:rsid w:val="00C210E7"/>
    <w:rsid w:val="00C21C2F"/>
    <w:rsid w:val="00C25F53"/>
    <w:rsid w:val="00C26558"/>
    <w:rsid w:val="00C270C6"/>
    <w:rsid w:val="00C3350A"/>
    <w:rsid w:val="00C36B70"/>
    <w:rsid w:val="00C37129"/>
    <w:rsid w:val="00C443BC"/>
    <w:rsid w:val="00C477FA"/>
    <w:rsid w:val="00C47F00"/>
    <w:rsid w:val="00C52DB7"/>
    <w:rsid w:val="00C52FC2"/>
    <w:rsid w:val="00C54DA8"/>
    <w:rsid w:val="00C56BA1"/>
    <w:rsid w:val="00C6128E"/>
    <w:rsid w:val="00C61C43"/>
    <w:rsid w:val="00C62192"/>
    <w:rsid w:val="00C62D37"/>
    <w:rsid w:val="00C7356F"/>
    <w:rsid w:val="00C74190"/>
    <w:rsid w:val="00C76E10"/>
    <w:rsid w:val="00C777AD"/>
    <w:rsid w:val="00C809DA"/>
    <w:rsid w:val="00C81A02"/>
    <w:rsid w:val="00C869D7"/>
    <w:rsid w:val="00C90887"/>
    <w:rsid w:val="00CA01A1"/>
    <w:rsid w:val="00CA2CA0"/>
    <w:rsid w:val="00CB155C"/>
    <w:rsid w:val="00CB719A"/>
    <w:rsid w:val="00CC2ABA"/>
    <w:rsid w:val="00CC31EA"/>
    <w:rsid w:val="00CC58F8"/>
    <w:rsid w:val="00CC6D30"/>
    <w:rsid w:val="00CD01C3"/>
    <w:rsid w:val="00CD43DC"/>
    <w:rsid w:val="00CD70B6"/>
    <w:rsid w:val="00CE0B40"/>
    <w:rsid w:val="00CE1103"/>
    <w:rsid w:val="00CE319F"/>
    <w:rsid w:val="00CE4684"/>
    <w:rsid w:val="00CE529E"/>
    <w:rsid w:val="00CF0D7A"/>
    <w:rsid w:val="00CF3C2E"/>
    <w:rsid w:val="00CF4AFC"/>
    <w:rsid w:val="00CF5CEA"/>
    <w:rsid w:val="00CF63C0"/>
    <w:rsid w:val="00D005EC"/>
    <w:rsid w:val="00D05632"/>
    <w:rsid w:val="00D072D6"/>
    <w:rsid w:val="00D10A47"/>
    <w:rsid w:val="00D10AE3"/>
    <w:rsid w:val="00D110EB"/>
    <w:rsid w:val="00D116BE"/>
    <w:rsid w:val="00D12941"/>
    <w:rsid w:val="00D17014"/>
    <w:rsid w:val="00D1753D"/>
    <w:rsid w:val="00D211FE"/>
    <w:rsid w:val="00D27A38"/>
    <w:rsid w:val="00D31076"/>
    <w:rsid w:val="00D313DC"/>
    <w:rsid w:val="00D31E5D"/>
    <w:rsid w:val="00D32D46"/>
    <w:rsid w:val="00D32DDD"/>
    <w:rsid w:val="00D37632"/>
    <w:rsid w:val="00D40E9F"/>
    <w:rsid w:val="00D43C5B"/>
    <w:rsid w:val="00D43E2E"/>
    <w:rsid w:val="00D46A6F"/>
    <w:rsid w:val="00D554DA"/>
    <w:rsid w:val="00D60BFC"/>
    <w:rsid w:val="00D60FF3"/>
    <w:rsid w:val="00D648E1"/>
    <w:rsid w:val="00D66B63"/>
    <w:rsid w:val="00D67C46"/>
    <w:rsid w:val="00D67FD3"/>
    <w:rsid w:val="00D80DD5"/>
    <w:rsid w:val="00D83702"/>
    <w:rsid w:val="00D906D3"/>
    <w:rsid w:val="00D907A2"/>
    <w:rsid w:val="00D90F18"/>
    <w:rsid w:val="00D914B7"/>
    <w:rsid w:val="00D934F6"/>
    <w:rsid w:val="00DA65FA"/>
    <w:rsid w:val="00DB0F47"/>
    <w:rsid w:val="00DB291D"/>
    <w:rsid w:val="00DB3BD6"/>
    <w:rsid w:val="00DB402E"/>
    <w:rsid w:val="00DC2C2B"/>
    <w:rsid w:val="00DC3A5B"/>
    <w:rsid w:val="00DC49A5"/>
    <w:rsid w:val="00DD4CFD"/>
    <w:rsid w:val="00DD5CD4"/>
    <w:rsid w:val="00DD7D9C"/>
    <w:rsid w:val="00DE0078"/>
    <w:rsid w:val="00DE01A0"/>
    <w:rsid w:val="00DE0699"/>
    <w:rsid w:val="00DE2E73"/>
    <w:rsid w:val="00DF3848"/>
    <w:rsid w:val="00DF4CC2"/>
    <w:rsid w:val="00DF5143"/>
    <w:rsid w:val="00DF692F"/>
    <w:rsid w:val="00DF6966"/>
    <w:rsid w:val="00E00873"/>
    <w:rsid w:val="00E01704"/>
    <w:rsid w:val="00E020E5"/>
    <w:rsid w:val="00E04222"/>
    <w:rsid w:val="00E04770"/>
    <w:rsid w:val="00E04D4F"/>
    <w:rsid w:val="00E05AF2"/>
    <w:rsid w:val="00E06949"/>
    <w:rsid w:val="00E11590"/>
    <w:rsid w:val="00E13283"/>
    <w:rsid w:val="00E2493A"/>
    <w:rsid w:val="00E24F40"/>
    <w:rsid w:val="00E25475"/>
    <w:rsid w:val="00E3503F"/>
    <w:rsid w:val="00E3560C"/>
    <w:rsid w:val="00E37851"/>
    <w:rsid w:val="00E40ED5"/>
    <w:rsid w:val="00E42C0F"/>
    <w:rsid w:val="00E503AA"/>
    <w:rsid w:val="00E52455"/>
    <w:rsid w:val="00E5462E"/>
    <w:rsid w:val="00E56749"/>
    <w:rsid w:val="00E6114C"/>
    <w:rsid w:val="00E61393"/>
    <w:rsid w:val="00E64202"/>
    <w:rsid w:val="00E64B36"/>
    <w:rsid w:val="00E660F1"/>
    <w:rsid w:val="00E673F0"/>
    <w:rsid w:val="00E71475"/>
    <w:rsid w:val="00E7335C"/>
    <w:rsid w:val="00E8005F"/>
    <w:rsid w:val="00E8008F"/>
    <w:rsid w:val="00E809A4"/>
    <w:rsid w:val="00E8290A"/>
    <w:rsid w:val="00E84DD6"/>
    <w:rsid w:val="00E85DB1"/>
    <w:rsid w:val="00E87603"/>
    <w:rsid w:val="00E927D0"/>
    <w:rsid w:val="00E9418B"/>
    <w:rsid w:val="00E97A52"/>
    <w:rsid w:val="00EA035A"/>
    <w:rsid w:val="00EA4081"/>
    <w:rsid w:val="00EA4091"/>
    <w:rsid w:val="00EB07CD"/>
    <w:rsid w:val="00EB0DEC"/>
    <w:rsid w:val="00EB44F5"/>
    <w:rsid w:val="00EB64E3"/>
    <w:rsid w:val="00EB669A"/>
    <w:rsid w:val="00EC13FB"/>
    <w:rsid w:val="00EC1C00"/>
    <w:rsid w:val="00EC46DA"/>
    <w:rsid w:val="00EC48D4"/>
    <w:rsid w:val="00EC6A33"/>
    <w:rsid w:val="00ED08A0"/>
    <w:rsid w:val="00ED2DF8"/>
    <w:rsid w:val="00ED477C"/>
    <w:rsid w:val="00ED5226"/>
    <w:rsid w:val="00ED5B65"/>
    <w:rsid w:val="00EE09FC"/>
    <w:rsid w:val="00EE0BA4"/>
    <w:rsid w:val="00EE1353"/>
    <w:rsid w:val="00EE1511"/>
    <w:rsid w:val="00EE17C2"/>
    <w:rsid w:val="00EE2AA0"/>
    <w:rsid w:val="00EF0372"/>
    <w:rsid w:val="00EF1AC2"/>
    <w:rsid w:val="00EF312C"/>
    <w:rsid w:val="00EF71C5"/>
    <w:rsid w:val="00EF7FCA"/>
    <w:rsid w:val="00F00D13"/>
    <w:rsid w:val="00F031B0"/>
    <w:rsid w:val="00F03B49"/>
    <w:rsid w:val="00F04C09"/>
    <w:rsid w:val="00F0508D"/>
    <w:rsid w:val="00F06E4F"/>
    <w:rsid w:val="00F101FA"/>
    <w:rsid w:val="00F10E39"/>
    <w:rsid w:val="00F12380"/>
    <w:rsid w:val="00F15890"/>
    <w:rsid w:val="00F15922"/>
    <w:rsid w:val="00F15E93"/>
    <w:rsid w:val="00F167DD"/>
    <w:rsid w:val="00F241C9"/>
    <w:rsid w:val="00F24C4E"/>
    <w:rsid w:val="00F307FA"/>
    <w:rsid w:val="00F4293B"/>
    <w:rsid w:val="00F43537"/>
    <w:rsid w:val="00F4540B"/>
    <w:rsid w:val="00F45800"/>
    <w:rsid w:val="00F53236"/>
    <w:rsid w:val="00F563D6"/>
    <w:rsid w:val="00F56917"/>
    <w:rsid w:val="00F576F6"/>
    <w:rsid w:val="00F57C64"/>
    <w:rsid w:val="00F6263E"/>
    <w:rsid w:val="00F62A83"/>
    <w:rsid w:val="00F806F6"/>
    <w:rsid w:val="00F81447"/>
    <w:rsid w:val="00F81BEE"/>
    <w:rsid w:val="00F81D9F"/>
    <w:rsid w:val="00F8267E"/>
    <w:rsid w:val="00F82AC5"/>
    <w:rsid w:val="00F83B0F"/>
    <w:rsid w:val="00F84DAD"/>
    <w:rsid w:val="00F85F66"/>
    <w:rsid w:val="00F87F2D"/>
    <w:rsid w:val="00F91EA0"/>
    <w:rsid w:val="00F94E2E"/>
    <w:rsid w:val="00FA003E"/>
    <w:rsid w:val="00FA0E1A"/>
    <w:rsid w:val="00FA13BA"/>
    <w:rsid w:val="00FA28D4"/>
    <w:rsid w:val="00FA4531"/>
    <w:rsid w:val="00FA4548"/>
    <w:rsid w:val="00FB0D59"/>
    <w:rsid w:val="00FB4279"/>
    <w:rsid w:val="00FB7F0A"/>
    <w:rsid w:val="00FC2164"/>
    <w:rsid w:val="00FC2A67"/>
    <w:rsid w:val="00FD07FC"/>
    <w:rsid w:val="00FD18A0"/>
    <w:rsid w:val="00FD7E54"/>
    <w:rsid w:val="00FE4E0E"/>
    <w:rsid w:val="00FE5D3B"/>
    <w:rsid w:val="00FF017C"/>
    <w:rsid w:val="00FF1C5A"/>
    <w:rsid w:val="00FF4620"/>
    <w:rsid w:val="00FF5D0D"/>
    <w:rsid w:val="00FF5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27F6855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2AF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81026B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81026B"/>
    <w:pPr>
      <w:keepNext/>
      <w:spacing w:before="240" w:after="60"/>
      <w:outlineLvl w:val="1"/>
    </w:pPr>
    <w:rPr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81026B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4">
    <w:name w:val="heading 4"/>
    <w:basedOn w:val="a"/>
    <w:next w:val="a"/>
    <w:qFormat/>
    <w:rsid w:val="0081026B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qFormat/>
    <w:rsid w:val="0081026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81026B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462D0"/>
    <w:pPr>
      <w:tabs>
        <w:tab w:val="center" w:pos="4153"/>
        <w:tab w:val="right" w:pos="8306"/>
      </w:tabs>
    </w:pPr>
  </w:style>
  <w:style w:type="paragraph" w:customStyle="1" w:styleId="regpar">
    <w:name w:val="regpar"/>
    <w:basedOn w:val="a"/>
    <w:rsid w:val="005462D0"/>
    <w:pPr>
      <w:bidi w:val="0"/>
      <w:spacing w:line="300" w:lineRule="exact"/>
      <w:ind w:firstLine="240"/>
      <w:jc w:val="both"/>
    </w:pPr>
    <w:rPr>
      <w:rFonts w:ascii="Times" w:hAnsi="Times" w:cs="Times"/>
    </w:rPr>
  </w:style>
  <w:style w:type="table" w:styleId="a5">
    <w:name w:val="Table Theme"/>
    <w:basedOn w:val="a1"/>
    <w:rsid w:val="0081026B"/>
    <w:pPr>
      <w:bidi/>
    </w:p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character" w:styleId="Hyperlink">
    <w:name w:val="Hyperlink"/>
    <w:rsid w:val="0081026B"/>
    <w:rPr>
      <w:color w:val="0000FF"/>
      <w:u w:val="single"/>
    </w:rPr>
  </w:style>
  <w:style w:type="character" w:styleId="FollowedHyperlink">
    <w:name w:val="FollowedHyperlink"/>
    <w:rsid w:val="0081026B"/>
    <w:rPr>
      <w:color w:val="606420"/>
      <w:u w:val="single"/>
    </w:rPr>
  </w:style>
  <w:style w:type="paragraph" w:styleId="a6">
    <w:name w:val="footer"/>
    <w:basedOn w:val="a"/>
    <w:link w:val="a7"/>
    <w:uiPriority w:val="99"/>
    <w:rsid w:val="00E64B36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uiPriority w:val="99"/>
    <w:rsid w:val="00E64B36"/>
    <w:rPr>
      <w:sz w:val="24"/>
      <w:szCs w:val="24"/>
    </w:rPr>
  </w:style>
  <w:style w:type="character" w:customStyle="1" w:styleId="a4">
    <w:name w:val="כותרת עליונה תו"/>
    <w:link w:val="a3"/>
    <w:uiPriority w:val="99"/>
    <w:rsid w:val="00E64B36"/>
    <w:rPr>
      <w:sz w:val="24"/>
      <w:szCs w:val="24"/>
    </w:rPr>
  </w:style>
  <w:style w:type="paragraph" w:styleId="a8">
    <w:name w:val="Balloon Text"/>
    <w:basedOn w:val="a"/>
    <w:link w:val="a9"/>
    <w:rsid w:val="00E64B36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E64B36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961BD6"/>
    <w:pPr>
      <w:bidi w:val="0"/>
      <w:ind w:left="720"/>
      <w:contextualSpacing/>
    </w:pPr>
    <w:rPr>
      <w:rFonts w:eastAsia="Calibri" w:cs="Arial"/>
      <w:szCs w:val="22"/>
    </w:rPr>
  </w:style>
  <w:style w:type="paragraph" w:styleId="ab">
    <w:name w:val="footnote text"/>
    <w:basedOn w:val="a"/>
    <w:link w:val="ac"/>
    <w:uiPriority w:val="99"/>
    <w:unhideWhenUsed/>
    <w:rsid w:val="00596FB4"/>
    <w:pPr>
      <w:bidi w:val="0"/>
      <w:spacing w:line="300" w:lineRule="exact"/>
      <w:jc w:val="both"/>
    </w:pPr>
    <w:rPr>
      <w:rFonts w:ascii="Times" w:hAnsi="Times" w:cs="Times"/>
      <w:sz w:val="20"/>
      <w:szCs w:val="20"/>
    </w:rPr>
  </w:style>
  <w:style w:type="character" w:customStyle="1" w:styleId="ac">
    <w:name w:val="טקסט הערת שוליים תו"/>
    <w:link w:val="ab"/>
    <w:uiPriority w:val="99"/>
    <w:rsid w:val="00596FB4"/>
    <w:rPr>
      <w:rFonts w:ascii="Times" w:hAnsi="Times" w:cs="Times"/>
    </w:rPr>
  </w:style>
  <w:style w:type="character" w:styleId="ad">
    <w:name w:val="footnote reference"/>
    <w:unhideWhenUsed/>
    <w:rsid w:val="00596FB4"/>
    <w:rPr>
      <w:vertAlign w:val="superscript"/>
    </w:rPr>
  </w:style>
  <w:style w:type="paragraph" w:customStyle="1" w:styleId="PressReleaseTitle">
    <w:name w:val="Press Release Title"/>
    <w:basedOn w:val="a"/>
    <w:link w:val="PressReleaseTitleChar"/>
    <w:qFormat/>
    <w:rsid w:val="00DE2E73"/>
    <w:pPr>
      <w:tabs>
        <w:tab w:val="center" w:pos="4156"/>
        <w:tab w:val="right" w:pos="8312"/>
      </w:tabs>
      <w:bidi w:val="0"/>
      <w:jc w:val="center"/>
    </w:pPr>
    <w:rPr>
      <w:rFonts w:cs="David"/>
      <w:b/>
      <w:bCs/>
      <w:sz w:val="26"/>
      <w:szCs w:val="26"/>
    </w:rPr>
  </w:style>
  <w:style w:type="character" w:customStyle="1" w:styleId="PressReleaseTitleChar">
    <w:name w:val="Press Release Title Char"/>
    <w:basedOn w:val="a0"/>
    <w:link w:val="PressReleaseTitle"/>
    <w:rsid w:val="00DE2E73"/>
    <w:rPr>
      <w:rFonts w:cs="David"/>
      <w:b/>
      <w:bCs/>
      <w:sz w:val="26"/>
      <w:szCs w:val="26"/>
    </w:rPr>
  </w:style>
  <w:style w:type="paragraph" w:styleId="ae">
    <w:name w:val="Title"/>
    <w:basedOn w:val="a"/>
    <w:next w:val="a"/>
    <w:link w:val="af"/>
    <w:qFormat/>
    <w:rsid w:val="00FA28D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כותרת טקסט תו"/>
    <w:basedOn w:val="a0"/>
    <w:link w:val="ae"/>
    <w:rsid w:val="00FA28D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f0">
    <w:name w:val="annotation reference"/>
    <w:basedOn w:val="a0"/>
    <w:rsid w:val="00F031B0"/>
    <w:rPr>
      <w:sz w:val="16"/>
      <w:szCs w:val="16"/>
    </w:rPr>
  </w:style>
  <w:style w:type="paragraph" w:styleId="af1">
    <w:name w:val="annotation text"/>
    <w:basedOn w:val="a"/>
    <w:link w:val="af2"/>
    <w:rsid w:val="00F031B0"/>
    <w:rPr>
      <w:sz w:val="20"/>
      <w:szCs w:val="20"/>
    </w:rPr>
  </w:style>
  <w:style w:type="character" w:customStyle="1" w:styleId="af2">
    <w:name w:val="טקסט הערה תו"/>
    <w:basedOn w:val="a0"/>
    <w:link w:val="af1"/>
    <w:rsid w:val="00F031B0"/>
  </w:style>
  <w:style w:type="paragraph" w:styleId="af3">
    <w:name w:val="annotation subject"/>
    <w:basedOn w:val="af1"/>
    <w:next w:val="af1"/>
    <w:link w:val="af4"/>
    <w:rsid w:val="00F031B0"/>
    <w:rPr>
      <w:b/>
      <w:bCs/>
    </w:rPr>
  </w:style>
  <w:style w:type="character" w:customStyle="1" w:styleId="af4">
    <w:name w:val="נושא הערה תו"/>
    <w:basedOn w:val="af2"/>
    <w:link w:val="af3"/>
    <w:rsid w:val="00F031B0"/>
    <w:rPr>
      <w:b/>
      <w:bCs/>
    </w:rPr>
  </w:style>
  <w:style w:type="table" w:styleId="af5">
    <w:name w:val="Table Grid"/>
    <w:basedOn w:val="a1"/>
    <w:rsid w:val="005F6E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f5"/>
    <w:uiPriority w:val="59"/>
    <w:rsid w:val="001459B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3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emf"/><Relationship Id="rId2" Type="http://schemas.openxmlformats.org/officeDocument/2006/relationships/numbering" Target="numbering.xml"/><Relationship Id="rId16" Type="http://schemas.openxmlformats.org/officeDocument/2006/relationships/image" Target="media/image9.emf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_rels/footnotes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boi.org.il/en/communication-and-publications/regular-publications/statistical-publications/statistical-bulletin-2024/" TargetMode="External"/><Relationship Id="rId1" Type="http://schemas.openxmlformats.org/officeDocument/2006/relationships/hyperlink" Target="https://www.boi.org.il/en/communication-and-publications/regular-publications/statistical-publications/statistical-bulletin-2024/" TargetMode="Externa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51298-8E8D-4B9C-BD24-2558D08C4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638</Words>
  <Characters>3648</Characters>
  <Application>Microsoft Office Word</Application>
  <DocSecurity>0</DocSecurity>
  <Lines>30</Lines>
  <Paragraphs>8</Paragraphs>
  <ScaleCrop>false</ScaleCrop>
  <HeadingPairs>
    <vt:vector size="4" baseType="variant">
      <vt:variant>
        <vt:lpstr>שם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4278</CharactersWithSpaces>
  <SharedDoc>false</SharedDoc>
  <HLinks>
    <vt:vector size="6" baseType="variant">
      <vt:variant>
        <vt:i4>4980745</vt:i4>
      </vt:variant>
      <vt:variant>
        <vt:i4>0</vt:i4>
      </vt:variant>
      <vt:variant>
        <vt:i4>0</vt:i4>
      </vt:variant>
      <vt:variant>
        <vt:i4>5</vt:i4>
      </vt:variant>
      <vt:variant>
        <vt:lpwstr>http://www.boi.org.il/en/Research/Pages/ind.aspx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2026-05-04T09:51:00Z</dcterms:created>
  <dcterms:modified xsi:type="dcterms:W3CDTF">2026-05-04T09:51:00Z</dcterms:modified>
</cp:coreProperties>
</file>