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5E28F6" w:rsidTr="00031A9D">
        <w:tc>
          <w:tcPr>
            <w:tcW w:w="3343"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b/>
                <w:bCs/>
                <w:rtl/>
              </w:rPr>
            </w:pPr>
            <w:r w:rsidRPr="005E28F6">
              <w:rPr>
                <w:rFonts w:asciiTheme="minorHAnsi" w:hAnsiTheme="minorHAnsi" w:cstheme="minorHAnsi"/>
                <w:b/>
                <w:bCs/>
                <w:rtl/>
              </w:rPr>
              <w:t>בנק ישראל</w:t>
            </w:r>
          </w:p>
          <w:p w:rsidR="00031A9D" w:rsidRPr="005E28F6" w:rsidRDefault="00031A9D" w:rsidP="00F2528F">
            <w:pPr>
              <w:bidi/>
              <w:spacing w:line="360" w:lineRule="auto"/>
              <w:jc w:val="center"/>
              <w:rPr>
                <w:rFonts w:asciiTheme="minorHAnsi" w:hAnsiTheme="minorHAnsi" w:cstheme="minorHAnsi"/>
                <w:b/>
                <w:bCs/>
              </w:rPr>
            </w:pPr>
            <w:r w:rsidRPr="005E28F6">
              <w:rPr>
                <w:rFonts w:asciiTheme="minorHAnsi" w:hAnsiTheme="minorHAnsi" w:cstheme="minorHAnsi"/>
                <w:rtl/>
              </w:rPr>
              <w:t>דוברות והסברה כלכלית</w:t>
            </w:r>
          </w:p>
        </w:tc>
        <w:tc>
          <w:tcPr>
            <w:tcW w:w="2596" w:type="dxa"/>
            <w:tcBorders>
              <w:top w:val="nil"/>
              <w:left w:val="nil"/>
              <w:bottom w:val="nil"/>
              <w:right w:val="nil"/>
            </w:tcBorders>
            <w:shd w:val="clear" w:color="auto" w:fill="FFFFFF"/>
          </w:tcPr>
          <w:p w:rsidR="00031A9D" w:rsidRPr="005E28F6" w:rsidRDefault="00CC57F4" w:rsidP="00F2528F">
            <w:pPr>
              <w:bidi/>
              <w:spacing w:line="360" w:lineRule="auto"/>
              <w:jc w:val="center"/>
              <w:rPr>
                <w:rFonts w:asciiTheme="minorHAnsi" w:hAnsiTheme="minorHAnsi" w:cstheme="minorHAnsi"/>
              </w:rPr>
            </w:pPr>
            <w:r>
              <w:rPr>
                <w:rFonts w:asciiTheme="minorHAnsi" w:hAnsiTheme="minorHAnsi" w:cstheme="minorHAnsi"/>
                <w:noProof/>
              </w:rPr>
              <w:drawing>
                <wp:inline distT="0" distB="0" distL="0" distR="0" wp14:anchorId="5F08C3AE">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rtl/>
              </w:rPr>
            </w:pPr>
            <w:r w:rsidRPr="005E28F6">
              <w:rPr>
                <w:rFonts w:asciiTheme="minorHAnsi" w:hAnsiTheme="minorHAnsi" w:cstheme="minorHAnsi"/>
                <w:highlight w:val="green"/>
                <w:rtl/>
              </w:rPr>
              <w:t>‏</w:t>
            </w:r>
            <w:r w:rsidRPr="005E28F6">
              <w:rPr>
                <w:rFonts w:asciiTheme="minorHAnsi" w:hAnsiTheme="minorHAnsi" w:cstheme="minorHAnsi"/>
                <w:rtl/>
              </w:rPr>
              <w:t xml:space="preserve">ירושלים, </w:t>
            </w: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 \h</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7477BB">
              <w:rPr>
                <w:rFonts w:asciiTheme="minorHAnsi" w:hAnsiTheme="minorHAnsi" w:cstheme="minorHAnsi"/>
                <w:noProof/>
                <w:rtl/>
              </w:rPr>
              <w:t>‏י"א חשון, תשפ"ז</w:t>
            </w:r>
            <w:r w:rsidRPr="005E28F6">
              <w:rPr>
                <w:rFonts w:asciiTheme="minorHAnsi" w:hAnsiTheme="minorHAnsi" w:cstheme="minorHAnsi"/>
                <w:rtl/>
              </w:rPr>
              <w:fldChar w:fldCharType="end"/>
            </w:r>
          </w:p>
          <w:p w:rsidR="00031A9D" w:rsidRPr="005E28F6" w:rsidRDefault="00031A9D" w:rsidP="00F2528F">
            <w:pPr>
              <w:bidi/>
              <w:spacing w:line="360" w:lineRule="auto"/>
              <w:jc w:val="center"/>
              <w:rPr>
                <w:rFonts w:asciiTheme="minorHAnsi" w:hAnsiTheme="minorHAnsi" w:cstheme="minorHAnsi"/>
                <w:highlight w:val="green"/>
              </w:rPr>
            </w:pP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7477BB">
              <w:rPr>
                <w:rFonts w:asciiTheme="minorHAnsi" w:hAnsiTheme="minorHAnsi" w:cstheme="minorHAnsi"/>
                <w:noProof/>
                <w:rtl/>
              </w:rPr>
              <w:t>‏22 אוקטובר, 2026</w:t>
            </w:r>
            <w:r w:rsidRPr="005E28F6">
              <w:rPr>
                <w:rFonts w:asciiTheme="minorHAnsi" w:hAnsiTheme="minorHAnsi" w:cstheme="minorHAnsi"/>
                <w:rtl/>
              </w:rPr>
              <w:fldChar w:fldCharType="end"/>
            </w:r>
          </w:p>
        </w:tc>
      </w:tr>
    </w:tbl>
    <w:p w:rsidR="003E7478" w:rsidRDefault="003E7478" w:rsidP="00DD6497">
      <w:pPr>
        <w:bidi/>
        <w:spacing w:line="360" w:lineRule="auto"/>
        <w:jc w:val="center"/>
        <w:rPr>
          <w:rFonts w:asciiTheme="minorHAnsi" w:hAnsiTheme="minorHAnsi" w:cstheme="minorHAnsi"/>
          <w:sz w:val="22"/>
          <w:szCs w:val="22"/>
          <w:rtl/>
        </w:rPr>
      </w:pPr>
    </w:p>
    <w:p w:rsidR="000B589E" w:rsidRDefault="000B589E" w:rsidP="007477BB">
      <w:pPr>
        <w:bidi/>
        <w:spacing w:line="360" w:lineRule="auto"/>
        <w:rPr>
          <w:rFonts w:asciiTheme="minorHAnsi" w:hAnsiTheme="minorHAnsi" w:cstheme="minorHAnsi"/>
          <w:rtl/>
        </w:rPr>
      </w:pPr>
      <w:r w:rsidRPr="000B589E">
        <w:rPr>
          <w:rFonts w:asciiTheme="minorHAnsi" w:hAnsiTheme="minorHAnsi" w:cstheme="minorHAnsi" w:hint="cs"/>
          <w:rtl/>
        </w:rPr>
        <w:t>הודעה לעיתונו</w:t>
      </w:r>
      <w:r w:rsidRPr="000B589E">
        <w:rPr>
          <w:rFonts w:asciiTheme="minorHAnsi" w:hAnsiTheme="minorHAnsi" w:cstheme="minorHAnsi" w:hint="eastAsia"/>
          <w:rtl/>
        </w:rPr>
        <w:t>ת</w:t>
      </w:r>
      <w:r>
        <w:rPr>
          <w:rFonts w:asciiTheme="minorHAnsi" w:hAnsiTheme="minorHAnsi" w:cstheme="minorHAnsi" w:hint="cs"/>
          <w:rtl/>
        </w:rPr>
        <w:t xml:space="preserve">: </w:t>
      </w:r>
    </w:p>
    <w:p w:rsidR="007477BB" w:rsidRPr="007477BB" w:rsidRDefault="007477BB" w:rsidP="007477BB">
      <w:pPr>
        <w:bidi/>
        <w:spacing w:line="360" w:lineRule="auto"/>
        <w:jc w:val="center"/>
        <w:rPr>
          <w:rFonts w:asciiTheme="minorHAnsi" w:hAnsiTheme="minorHAnsi" w:cstheme="minorHAnsi"/>
          <w:b/>
          <w:bCs/>
          <w:sz w:val="28"/>
          <w:szCs w:val="28"/>
          <w:rtl/>
        </w:rPr>
      </w:pPr>
      <w:bookmarkStart w:id="0" w:name="_GoBack"/>
      <w:r w:rsidRPr="007477BB">
        <w:rPr>
          <w:rFonts w:asciiTheme="minorHAnsi" w:hAnsiTheme="minorHAnsi" w:cs="Calibri"/>
          <w:b/>
          <w:bCs/>
          <w:sz w:val="28"/>
          <w:szCs w:val="28"/>
          <w:rtl/>
        </w:rPr>
        <w:t>ממצאים עיקריים מסקר קציני אשראי של בנק ישראל לרביע השלישי של 2026</w:t>
      </w:r>
    </w:p>
    <w:bookmarkEnd w:id="0"/>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הממצאים המתפרסמים כאן מצרפיים ומתייחסים לכלל התאגידים הבנקאיים. הם מיוצגים באמצעות מאזני נטו משוקללים , המסכמים את השינוי שחל ברביע השלישי של 2026 לעומת הרביע הקודם והשינוי הצפוי ברביע האחרון של 2026 לעומת הרביע השלישי</w:t>
      </w:r>
      <w:r w:rsidRPr="007477BB">
        <w:rPr>
          <w:rFonts w:asciiTheme="minorHAnsi" w:hAnsiTheme="minorHAnsi" w:cstheme="minorHAnsi"/>
        </w:rPr>
        <w:t xml:space="preserve">. </w:t>
      </w:r>
    </w:p>
    <w:p w:rsidR="007477BB" w:rsidRDefault="007477BB" w:rsidP="007477BB">
      <w:pPr>
        <w:pStyle w:val="ListParagraph"/>
        <w:numPr>
          <w:ilvl w:val="0"/>
          <w:numId w:val="11"/>
        </w:numPr>
        <w:bidi/>
        <w:spacing w:line="360" w:lineRule="auto"/>
        <w:rPr>
          <w:rFonts w:asciiTheme="minorHAnsi" w:hAnsiTheme="minorHAnsi" w:cstheme="minorHAnsi"/>
        </w:rPr>
      </w:pPr>
      <w:r w:rsidRPr="007477BB">
        <w:rPr>
          <w:rFonts w:asciiTheme="minorHAnsi" w:hAnsiTheme="minorHAnsi" w:cs="Calibri"/>
          <w:rtl/>
        </w:rPr>
        <w:t>ברביע השלישי של 2026 נמשכה הירידה בביקוש לאשראי העסקי ובתוך כך בענפי הבינוי והנדל"ן, והביקוש לאשראי לדיור ואשראי צרכני נותרו ללא שינוי</w:t>
      </w:r>
      <w:r w:rsidRPr="007477BB">
        <w:rPr>
          <w:rFonts w:asciiTheme="minorHAnsi" w:hAnsiTheme="minorHAnsi" w:cstheme="minorHAnsi"/>
        </w:rPr>
        <w:t>.</w:t>
      </w:r>
    </w:p>
    <w:p w:rsidR="007477BB" w:rsidRDefault="007477BB" w:rsidP="007477BB">
      <w:pPr>
        <w:pStyle w:val="ListParagraph"/>
        <w:numPr>
          <w:ilvl w:val="0"/>
          <w:numId w:val="11"/>
        </w:numPr>
        <w:bidi/>
        <w:spacing w:line="360" w:lineRule="auto"/>
        <w:rPr>
          <w:rFonts w:asciiTheme="minorHAnsi" w:hAnsiTheme="minorHAnsi" w:cstheme="minorHAnsi"/>
        </w:rPr>
      </w:pPr>
      <w:r w:rsidRPr="007477BB">
        <w:rPr>
          <w:rFonts w:asciiTheme="minorHAnsi" w:hAnsiTheme="minorHAnsi" w:cs="Calibri"/>
          <w:rtl/>
        </w:rPr>
        <w:t>צפי להמשך ירידה ברביע הבא בביקוש לאשראי לענפי הבינוי והנדל"ן</w:t>
      </w:r>
      <w:r w:rsidRPr="007477BB">
        <w:rPr>
          <w:rFonts w:asciiTheme="minorHAnsi" w:hAnsiTheme="minorHAnsi" w:cstheme="minorHAnsi"/>
        </w:rPr>
        <w:t xml:space="preserve">. </w:t>
      </w:r>
    </w:p>
    <w:p w:rsidR="007477BB" w:rsidRDefault="007477BB" w:rsidP="007477BB">
      <w:pPr>
        <w:pStyle w:val="ListParagraph"/>
        <w:numPr>
          <w:ilvl w:val="0"/>
          <w:numId w:val="11"/>
        </w:numPr>
        <w:bidi/>
        <w:spacing w:line="360" w:lineRule="auto"/>
        <w:rPr>
          <w:rFonts w:asciiTheme="minorHAnsi" w:hAnsiTheme="minorHAnsi" w:cstheme="minorHAnsi"/>
        </w:rPr>
      </w:pPr>
      <w:r w:rsidRPr="007477BB">
        <w:rPr>
          <w:rFonts w:asciiTheme="minorHAnsi" w:hAnsiTheme="minorHAnsi" w:cs="Calibri"/>
          <w:rtl/>
        </w:rPr>
        <w:t>ברביע השלישי של 2026 הבנקים דיווחו על הקשחה במרווחי האשראי בענפי הבינוי והנדל"ן ובמגזר העסקים הגדולים והקלה במרווחי האשראי הלא מסוכן לעסקים זעירים וקטנים ועסקים בינוניים. במגזר משקי הבית נמשכה ההקלה במרווחי האשראי הצרכני</w:t>
      </w:r>
      <w:r w:rsidRPr="007477BB">
        <w:rPr>
          <w:rFonts w:asciiTheme="minorHAnsi" w:hAnsiTheme="minorHAnsi" w:cstheme="minorHAnsi"/>
        </w:rPr>
        <w:t xml:space="preserve"> </w:t>
      </w:r>
    </w:p>
    <w:p w:rsidR="007477BB" w:rsidRPr="007477BB" w:rsidRDefault="007477BB" w:rsidP="007477BB">
      <w:pPr>
        <w:pStyle w:val="ListParagraph"/>
        <w:numPr>
          <w:ilvl w:val="0"/>
          <w:numId w:val="11"/>
        </w:numPr>
        <w:bidi/>
        <w:spacing w:line="360" w:lineRule="auto"/>
        <w:rPr>
          <w:rFonts w:asciiTheme="minorHAnsi" w:hAnsiTheme="minorHAnsi" w:cstheme="minorHAnsi"/>
          <w:rtl/>
        </w:rPr>
      </w:pPr>
      <w:r w:rsidRPr="007477BB">
        <w:rPr>
          <w:rFonts w:asciiTheme="minorHAnsi" w:hAnsiTheme="minorHAnsi" w:cs="Calibri"/>
          <w:rtl/>
        </w:rPr>
        <w:t>לפי המשיבים, התחרות בשוק האשראי היא הגורם העיקרי להגמשה או הקלה במרווחים של האשראי הצרכני</w:t>
      </w:r>
      <w:r w:rsidRPr="007477BB">
        <w:rPr>
          <w:rFonts w:asciiTheme="minorHAnsi" w:hAnsiTheme="minorHAnsi" w:cstheme="minorHAnsi"/>
        </w:rPr>
        <w:t>.</w:t>
      </w:r>
    </w:p>
    <w:p w:rsidR="007477BB" w:rsidRPr="007477BB" w:rsidRDefault="007477BB" w:rsidP="007477BB">
      <w:pPr>
        <w:bidi/>
        <w:spacing w:line="360" w:lineRule="auto"/>
        <w:rPr>
          <w:rFonts w:asciiTheme="minorHAnsi" w:hAnsiTheme="minorHAnsi" w:cstheme="minorHAnsi"/>
          <w:rtl/>
        </w:rPr>
      </w:pP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א. ביקוש לאשראי</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ברביע השלישי של 2026 נמשכה הירידה בביקוש לכלל האשראי העסקי ובתוך כך לענפי הבינוי והנדל"ן  והבנקים צופים המשך ירידה ברביע הבא. במגזר משקי הבית הביקוש לאשראי צרכני ואשראי לדיור ברביע השלישי של השנה נותרו ללא שינוי. הבנקים צופים גידול בביקוש לאשראי לדיור והתייצבות בביקוש לאשראי צרכני ברביע הבא (תרשים 1)</w:t>
      </w:r>
      <w:r w:rsidRPr="007477BB">
        <w:rPr>
          <w:rFonts w:asciiTheme="minorHAnsi" w:hAnsiTheme="minorHAnsi" w:cstheme="minorHAnsi"/>
        </w:rPr>
        <w:t xml:space="preserve">. </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תרשים 1. מאזני נטו* של השינוי בביקוש לאשראי (נתוני הצפי בקו מקווקו)</w:t>
      </w:r>
      <w:r w:rsidRPr="007477BB">
        <w:rPr>
          <w:rFonts w:asciiTheme="minorHAnsi" w:hAnsiTheme="minorHAnsi" w:cstheme="minorHAnsi"/>
        </w:rPr>
        <w:t xml:space="preserve"> </w:t>
      </w:r>
    </w:p>
    <w:p w:rsidR="007477BB" w:rsidRPr="007477BB" w:rsidRDefault="007477BB" w:rsidP="007477BB">
      <w:pPr>
        <w:bidi/>
        <w:spacing w:line="360" w:lineRule="auto"/>
        <w:rPr>
          <w:rFonts w:asciiTheme="minorHAnsi" w:hAnsiTheme="minorHAnsi" w:cstheme="minorHAnsi"/>
        </w:rPr>
      </w:pPr>
      <w:r w:rsidRPr="007477BB">
        <w:rPr>
          <w:rFonts w:asciiTheme="minorHAnsi" w:hAnsiTheme="minorHAnsi" w:cstheme="minorHAnsi"/>
        </w:rPr>
        <w:lastRenderedPageBreak/>
        <w:t xml:space="preserve"> </w:t>
      </w:r>
      <w:r>
        <w:rPr>
          <w:noProof/>
        </w:rPr>
        <w:drawing>
          <wp:inline distT="0" distB="0" distL="0" distR="0" wp14:anchorId="5AC100AA" wp14:editId="394353E6">
            <wp:extent cx="5025390" cy="3226003"/>
            <wp:effectExtent l="0" t="0" r="3810" b="12700"/>
            <wp:docPr id="1" name="תרשים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477BB" w:rsidRPr="007477BB" w:rsidRDefault="007477BB" w:rsidP="007477BB">
      <w:pPr>
        <w:bidi/>
        <w:spacing w:line="360" w:lineRule="auto"/>
        <w:rPr>
          <w:rFonts w:asciiTheme="minorHAnsi" w:hAnsiTheme="minorHAnsi" w:cstheme="minorHAnsi" w:hint="cs"/>
          <w:rtl/>
        </w:rPr>
      </w:pPr>
      <w:r w:rsidRPr="007477BB">
        <w:rPr>
          <w:rFonts w:asciiTheme="minorHAnsi" w:hAnsiTheme="minorHAnsi" w:cstheme="minorHAnsi"/>
        </w:rPr>
        <w:t xml:space="preserve">  </w:t>
      </w:r>
      <w:r>
        <w:rPr>
          <w:noProof/>
        </w:rPr>
        <w:drawing>
          <wp:inline distT="0" distB="0" distL="0" distR="0" wp14:anchorId="1EABC147" wp14:editId="3E2282CE">
            <wp:extent cx="5025543" cy="3460090"/>
            <wp:effectExtent l="0" t="0" r="3810" b="7620"/>
            <wp:docPr id="4" name="תרשים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theme="minorHAnsi"/>
        </w:rPr>
        <w:t xml:space="preserve">* </w:t>
      </w:r>
      <w:r w:rsidRPr="007477BB">
        <w:rPr>
          <w:rFonts w:asciiTheme="minorHAnsi" w:hAnsiTheme="minorHAnsi" w:cs="Calibri"/>
          <w:rtl/>
        </w:rPr>
        <w:t>ערך חיובי מתאר גידול בביקוש לאשראי ולהיפך</w:t>
      </w:r>
    </w:p>
    <w:p w:rsidR="007477BB" w:rsidRPr="007477BB" w:rsidRDefault="007477BB" w:rsidP="007477BB">
      <w:pPr>
        <w:bidi/>
        <w:spacing w:line="360" w:lineRule="auto"/>
        <w:rPr>
          <w:rFonts w:asciiTheme="minorHAnsi" w:hAnsiTheme="minorHAnsi" w:cstheme="minorHAnsi"/>
          <w:rtl/>
        </w:rPr>
      </w:pP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ב. היצע האשראי</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 xml:space="preserve">הבנקים דיווחו על הקשחה במרווחי האשראי המסוכן והלא מסוכן ברביע השלישי של 2026 בענפי הבינוי והנדל"ן ובמגזר העסקים הגדולים והקלה במרווחי האשראי הלא מסוכן לעסקים זעירים וקטנים ועסקים בינוניים. במגזר </w:t>
      </w:r>
      <w:r w:rsidRPr="007477BB">
        <w:rPr>
          <w:rFonts w:asciiTheme="minorHAnsi" w:hAnsiTheme="minorHAnsi" w:cs="Calibri"/>
          <w:rtl/>
        </w:rPr>
        <w:lastRenderedPageBreak/>
        <w:t>משקי הבית נמשכה ההקלה במרווחי האשראי הצרכני הלא מסוכן ומרווחי האשראי לדיור נותרו ללא שינוי. לפי הבנקים, הגורמים להקלה במרווחי האשראי הצרכני ברביע השלישי היו גורמי התחרות (תרשים 3)</w:t>
      </w:r>
      <w:r w:rsidRPr="007477BB">
        <w:rPr>
          <w:rFonts w:asciiTheme="minorHAnsi" w:hAnsiTheme="minorHAnsi" w:cstheme="minorHAnsi"/>
        </w:rPr>
        <w:t xml:space="preserve">. </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תרשים 3: מאזני נטו* לשינוי בתנאי האשראי עבור בקשות חדשות להעמדות אשראי</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theme="minorHAnsi"/>
        </w:rPr>
        <w:t xml:space="preserve"> </w:t>
      </w:r>
      <w:r>
        <w:rPr>
          <w:noProof/>
        </w:rPr>
        <w:drawing>
          <wp:inline distT="0" distB="0" distL="0" distR="0" wp14:anchorId="1A08F8BC" wp14:editId="653B10F2">
            <wp:extent cx="4834890" cy="3467405"/>
            <wp:effectExtent l="0" t="0" r="3810" b="0"/>
            <wp:docPr id="5" name="תרשים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theme="minorHAnsi"/>
        </w:rPr>
        <w:t xml:space="preserve"> </w:t>
      </w:r>
      <w:r>
        <w:rPr>
          <w:noProof/>
        </w:rPr>
        <w:drawing>
          <wp:inline distT="0" distB="0" distL="0" distR="0" wp14:anchorId="17B48FE0" wp14:editId="05004E7C">
            <wp:extent cx="5098415" cy="3262579"/>
            <wp:effectExtent l="0" t="0" r="6985" b="14605"/>
            <wp:docPr id="3" name="תרשים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theme="minorHAnsi"/>
        </w:rPr>
        <w:t xml:space="preserve">* </w:t>
      </w:r>
      <w:r w:rsidRPr="007477BB">
        <w:rPr>
          <w:rFonts w:asciiTheme="minorHAnsi" w:hAnsiTheme="minorHAnsi" w:cs="Calibri"/>
          <w:rtl/>
        </w:rPr>
        <w:t>ערך שלילי מתאר תרומה להגמשה או הקלה במרווחים ולהיפך</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lastRenderedPageBreak/>
        <w:t>לפי הבנקים, הגורמים העיקריים להגמשה במרווחי האשראי הצרכני ברביע השני של 2026 המשיכו להיות גורמי התחרות (תרשים 4)</w:t>
      </w:r>
      <w:r w:rsidRPr="007477BB">
        <w:rPr>
          <w:rFonts w:asciiTheme="minorHAnsi" w:hAnsiTheme="minorHAnsi" w:cstheme="minorHAnsi"/>
        </w:rPr>
        <w:t xml:space="preserve">.    </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Calibri"/>
          <w:rtl/>
        </w:rPr>
        <w:t>תרשים 4. מאזני נטו* של השינויים בהשפעתם של גורמים שונים על השינוי במרווחי האשראי הצרכני</w:t>
      </w:r>
    </w:p>
    <w:p w:rsidR="007477BB" w:rsidRPr="007477BB" w:rsidRDefault="007477BB" w:rsidP="007477BB">
      <w:pPr>
        <w:bidi/>
        <w:spacing w:line="360" w:lineRule="auto"/>
        <w:rPr>
          <w:rFonts w:asciiTheme="minorHAnsi" w:hAnsiTheme="minorHAnsi" w:cstheme="minorHAnsi"/>
          <w:rtl/>
        </w:rPr>
      </w:pPr>
      <w:r w:rsidRPr="007477BB">
        <w:rPr>
          <w:rFonts w:asciiTheme="minorHAnsi" w:hAnsiTheme="minorHAnsi" w:cstheme="minorHAnsi"/>
        </w:rPr>
        <w:t xml:space="preserve"> </w:t>
      </w:r>
      <w:r>
        <w:rPr>
          <w:noProof/>
        </w:rPr>
        <w:drawing>
          <wp:inline distT="0" distB="0" distL="0" distR="0" wp14:anchorId="4EABF955" wp14:editId="3689056D">
            <wp:extent cx="5310835" cy="3043123"/>
            <wp:effectExtent l="0" t="0" r="4445" b="5080"/>
            <wp:docPr id="11" name="תרשים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B589E" w:rsidRPr="000B589E" w:rsidRDefault="007477BB" w:rsidP="007477BB">
      <w:pPr>
        <w:bidi/>
        <w:spacing w:line="360" w:lineRule="auto"/>
        <w:rPr>
          <w:rFonts w:asciiTheme="minorHAnsi" w:hAnsiTheme="minorHAnsi" w:cstheme="minorHAnsi"/>
        </w:rPr>
      </w:pPr>
      <w:r w:rsidRPr="007477BB">
        <w:rPr>
          <w:rFonts w:asciiTheme="minorHAnsi" w:hAnsiTheme="minorHAnsi" w:cs="Calibri"/>
          <w:rtl/>
        </w:rPr>
        <w:t>* ערך שלילי מתאר תרומה להגמשה או הקלה במרווחים ולהיפך</w:t>
      </w:r>
    </w:p>
    <w:sectPr w:rsidR="000B589E" w:rsidRPr="000B589E" w:rsidSect="00CC2499">
      <w:footerReference w:type="default" r:id="rId13"/>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B6" w:rsidRDefault="00431BB6" w:rsidP="00E04682">
      <w:pPr>
        <w:spacing w:after="0" w:line="240" w:lineRule="auto"/>
      </w:pPr>
      <w:r>
        <w:separator/>
      </w:r>
    </w:p>
  </w:endnote>
  <w:endnote w:type="continuationSeparator" w:id="0">
    <w:p w:rsidR="00431BB6" w:rsidRDefault="00431BB6" w:rsidP="00E0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82" w:rsidRDefault="00F25BB5" w:rsidP="00F20046">
    <w:pPr>
      <w:pStyle w:val="Footer"/>
      <w:rPr>
        <w:rtl/>
      </w:rPr>
    </w:pPr>
    <w:r>
      <w:rPr>
        <w:noProof/>
      </w:rPr>
      <mc:AlternateContent>
        <mc:Choice Requires="wps">
          <w:drawing>
            <wp:anchor distT="0" distB="0" distL="114300" distR="114300" simplePos="0" relativeHeight="251665408" behindDoc="0" locked="0" layoutInCell="1" allowOverlap="1" wp14:anchorId="6F2FA1B7" wp14:editId="115BEBC9">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A1B7"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" filled="f" stroked="f" strokeweight=".5pt">
              <v:textbo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2A58D63D" wp14:editId="2D1F9C15">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D63D"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w92h&#10;PUcCAABjBAAADgAAAAAAAAAAAAAAAAAuAgAAZHJzL2Uyb0RvYy54bWxQSwECLQAUAAYACAAAACEA&#10;1gzHn+EAAAAKAQAADwAAAAAAAAAAAAAAAAChBAAAZHJzL2Rvd25yZXYueG1sUEsFBgAAAAAEAAQA&#10;8wAAAK8FAAAAAA==&#10;" filled="f" stroked="f" strokeweight=".5pt">
              <v:textbo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71AF4990" wp14:editId="6CA604D5">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F4990"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" filled="f" stroked="f" strokeweight=".5pt">
              <v:textbo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ONlrCJF&#10;AgAAYQQAAA4AAAAAAAAAAAAAAAAALgIAAGRycy9lMm9Eb2MueG1sUEsBAi0AFAAGAAgAAAAhAAvz&#10;IM/hAAAACgEAAA8AAAAAAAAAAAAAAAAAnwQAAGRycy9kb3ducmV2LnhtbFBLBQYAAAAABAAEAPMA&#10;AACtBQAAAAA=&#10;" filled="f" stroked="f" strokeweight=".5pt">
              <v:textbo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AD1803" id="מחבר ישר 15"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B6" w:rsidRDefault="00431BB6" w:rsidP="00E04682">
      <w:pPr>
        <w:spacing w:after="0" w:line="240" w:lineRule="auto"/>
      </w:pPr>
      <w:r>
        <w:separator/>
      </w:r>
    </w:p>
  </w:footnote>
  <w:footnote w:type="continuationSeparator" w:id="0">
    <w:p w:rsidR="00431BB6" w:rsidRDefault="00431BB6" w:rsidP="00E0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3" w15:restartNumberingAfterBreak="0">
    <w:nsid w:val="33550835"/>
    <w:multiLevelType w:val="hybridMultilevel"/>
    <w:tmpl w:val="D2022708"/>
    <w:lvl w:ilvl="0" w:tplc="E2AC803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951D18"/>
    <w:multiLevelType w:val="hybridMultilevel"/>
    <w:tmpl w:val="8D94D286"/>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014A7D"/>
    <w:multiLevelType w:val="hybridMultilevel"/>
    <w:tmpl w:val="CC7060DA"/>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F8B7446"/>
    <w:multiLevelType w:val="hybridMultilevel"/>
    <w:tmpl w:val="EC7A8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0642CF"/>
    <w:multiLevelType w:val="hybridMultilevel"/>
    <w:tmpl w:val="917A7A3C"/>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1"/>
  </w:num>
  <w:num w:numId="6">
    <w:abstractNumId w:val="10"/>
  </w:num>
  <w:num w:numId="7">
    <w:abstractNumId w:val="8"/>
  </w:num>
  <w:num w:numId="8">
    <w:abstractNumId w:val="7"/>
  </w:num>
  <w:num w:numId="9">
    <w:abstractNumId w:val="4"/>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680E"/>
    <w:rsid w:val="00012503"/>
    <w:rsid w:val="00031A9D"/>
    <w:rsid w:val="00040A7F"/>
    <w:rsid w:val="00045C65"/>
    <w:rsid w:val="00055CC5"/>
    <w:rsid w:val="00065B9B"/>
    <w:rsid w:val="000727FD"/>
    <w:rsid w:val="00084B5A"/>
    <w:rsid w:val="000857B7"/>
    <w:rsid w:val="00087BB3"/>
    <w:rsid w:val="00095555"/>
    <w:rsid w:val="00096238"/>
    <w:rsid w:val="000A5329"/>
    <w:rsid w:val="000B589E"/>
    <w:rsid w:val="000C1E4D"/>
    <w:rsid w:val="000D2157"/>
    <w:rsid w:val="000D5445"/>
    <w:rsid w:val="000E7ED2"/>
    <w:rsid w:val="00100012"/>
    <w:rsid w:val="00113BC9"/>
    <w:rsid w:val="00115277"/>
    <w:rsid w:val="00115FEF"/>
    <w:rsid w:val="00127DAC"/>
    <w:rsid w:val="00151A07"/>
    <w:rsid w:val="00156135"/>
    <w:rsid w:val="00162DCC"/>
    <w:rsid w:val="00166DBC"/>
    <w:rsid w:val="001705B9"/>
    <w:rsid w:val="00170DDB"/>
    <w:rsid w:val="00184E4C"/>
    <w:rsid w:val="0019079B"/>
    <w:rsid w:val="00196785"/>
    <w:rsid w:val="001A2670"/>
    <w:rsid w:val="001A53CE"/>
    <w:rsid w:val="001B05C6"/>
    <w:rsid w:val="001B28C8"/>
    <w:rsid w:val="001B5E43"/>
    <w:rsid w:val="001C194B"/>
    <w:rsid w:val="001C7D79"/>
    <w:rsid w:val="001D5E62"/>
    <w:rsid w:val="001E0275"/>
    <w:rsid w:val="001E2886"/>
    <w:rsid w:val="001E46DB"/>
    <w:rsid w:val="001F2BE7"/>
    <w:rsid w:val="00223D37"/>
    <w:rsid w:val="00225BDF"/>
    <w:rsid w:val="00245BA3"/>
    <w:rsid w:val="00256095"/>
    <w:rsid w:val="00256D97"/>
    <w:rsid w:val="00265657"/>
    <w:rsid w:val="00274912"/>
    <w:rsid w:val="00275FE8"/>
    <w:rsid w:val="002834B6"/>
    <w:rsid w:val="00290B54"/>
    <w:rsid w:val="00297F94"/>
    <w:rsid w:val="002A2E4C"/>
    <w:rsid w:val="002A3CC4"/>
    <w:rsid w:val="002B564E"/>
    <w:rsid w:val="002B7877"/>
    <w:rsid w:val="002C05A5"/>
    <w:rsid w:val="002C754F"/>
    <w:rsid w:val="002D7AA8"/>
    <w:rsid w:val="002E330F"/>
    <w:rsid w:val="002E5F96"/>
    <w:rsid w:val="002F62A1"/>
    <w:rsid w:val="00301F96"/>
    <w:rsid w:val="003144E6"/>
    <w:rsid w:val="00315D7C"/>
    <w:rsid w:val="00316C9F"/>
    <w:rsid w:val="0031701E"/>
    <w:rsid w:val="0032792A"/>
    <w:rsid w:val="003353C9"/>
    <w:rsid w:val="00341083"/>
    <w:rsid w:val="00352E3C"/>
    <w:rsid w:val="003552BD"/>
    <w:rsid w:val="0036030B"/>
    <w:rsid w:val="003641E2"/>
    <w:rsid w:val="00370E6F"/>
    <w:rsid w:val="0037101B"/>
    <w:rsid w:val="003730B8"/>
    <w:rsid w:val="00375149"/>
    <w:rsid w:val="003A1561"/>
    <w:rsid w:val="003C2931"/>
    <w:rsid w:val="003E7478"/>
    <w:rsid w:val="003F01E4"/>
    <w:rsid w:val="003F57B2"/>
    <w:rsid w:val="00407D90"/>
    <w:rsid w:val="00431BB6"/>
    <w:rsid w:val="00440E7F"/>
    <w:rsid w:val="004537A7"/>
    <w:rsid w:val="004561A3"/>
    <w:rsid w:val="00460DDF"/>
    <w:rsid w:val="00461C90"/>
    <w:rsid w:val="00471092"/>
    <w:rsid w:val="004A120F"/>
    <w:rsid w:val="004A32D7"/>
    <w:rsid w:val="004A6295"/>
    <w:rsid w:val="004C6182"/>
    <w:rsid w:val="004C7925"/>
    <w:rsid w:val="004F26A1"/>
    <w:rsid w:val="004F5E3C"/>
    <w:rsid w:val="00567B1A"/>
    <w:rsid w:val="00571971"/>
    <w:rsid w:val="0057422C"/>
    <w:rsid w:val="00575141"/>
    <w:rsid w:val="0059782C"/>
    <w:rsid w:val="005A52A2"/>
    <w:rsid w:val="005C5BF9"/>
    <w:rsid w:val="005D5F2B"/>
    <w:rsid w:val="005E28F6"/>
    <w:rsid w:val="00614024"/>
    <w:rsid w:val="00632CD2"/>
    <w:rsid w:val="006344CC"/>
    <w:rsid w:val="0063559D"/>
    <w:rsid w:val="0063690B"/>
    <w:rsid w:val="00640309"/>
    <w:rsid w:val="00660075"/>
    <w:rsid w:val="00660F46"/>
    <w:rsid w:val="006811C3"/>
    <w:rsid w:val="006907D5"/>
    <w:rsid w:val="0069557C"/>
    <w:rsid w:val="006C3C36"/>
    <w:rsid w:val="006C5099"/>
    <w:rsid w:val="006F0964"/>
    <w:rsid w:val="00701240"/>
    <w:rsid w:val="00715D7F"/>
    <w:rsid w:val="00716C90"/>
    <w:rsid w:val="007172E4"/>
    <w:rsid w:val="00737090"/>
    <w:rsid w:val="007477BB"/>
    <w:rsid w:val="00780795"/>
    <w:rsid w:val="00783F55"/>
    <w:rsid w:val="007916D5"/>
    <w:rsid w:val="0079406F"/>
    <w:rsid w:val="00797111"/>
    <w:rsid w:val="007A0330"/>
    <w:rsid w:val="007A25C0"/>
    <w:rsid w:val="007A2A08"/>
    <w:rsid w:val="007B2299"/>
    <w:rsid w:val="007B2E35"/>
    <w:rsid w:val="007B64D4"/>
    <w:rsid w:val="007C40B7"/>
    <w:rsid w:val="007C41CE"/>
    <w:rsid w:val="007D028E"/>
    <w:rsid w:val="007E3CCC"/>
    <w:rsid w:val="00803D2A"/>
    <w:rsid w:val="008058DF"/>
    <w:rsid w:val="00810049"/>
    <w:rsid w:val="008137A5"/>
    <w:rsid w:val="00832597"/>
    <w:rsid w:val="008371BA"/>
    <w:rsid w:val="00844664"/>
    <w:rsid w:val="008466F0"/>
    <w:rsid w:val="008473FB"/>
    <w:rsid w:val="00850CC4"/>
    <w:rsid w:val="00886388"/>
    <w:rsid w:val="008B3199"/>
    <w:rsid w:val="008C47FB"/>
    <w:rsid w:val="008C4A46"/>
    <w:rsid w:val="008C706D"/>
    <w:rsid w:val="008D5488"/>
    <w:rsid w:val="008E2484"/>
    <w:rsid w:val="008F0B52"/>
    <w:rsid w:val="008F617A"/>
    <w:rsid w:val="00914AC1"/>
    <w:rsid w:val="00921F03"/>
    <w:rsid w:val="0095375C"/>
    <w:rsid w:val="00965C79"/>
    <w:rsid w:val="00972198"/>
    <w:rsid w:val="00984B1A"/>
    <w:rsid w:val="009851B0"/>
    <w:rsid w:val="00996DA6"/>
    <w:rsid w:val="009A089E"/>
    <w:rsid w:val="009A50FF"/>
    <w:rsid w:val="009B0FA7"/>
    <w:rsid w:val="009B2E19"/>
    <w:rsid w:val="009C6D0D"/>
    <w:rsid w:val="009E2FD2"/>
    <w:rsid w:val="00A076E6"/>
    <w:rsid w:val="00A13844"/>
    <w:rsid w:val="00A27085"/>
    <w:rsid w:val="00A344EF"/>
    <w:rsid w:val="00A41BD0"/>
    <w:rsid w:val="00A47944"/>
    <w:rsid w:val="00A61A41"/>
    <w:rsid w:val="00A6309F"/>
    <w:rsid w:val="00A678C6"/>
    <w:rsid w:val="00A71B93"/>
    <w:rsid w:val="00A730E0"/>
    <w:rsid w:val="00A8460D"/>
    <w:rsid w:val="00A92A3D"/>
    <w:rsid w:val="00AA00A5"/>
    <w:rsid w:val="00AB01E0"/>
    <w:rsid w:val="00AB1761"/>
    <w:rsid w:val="00AB37A4"/>
    <w:rsid w:val="00AC35CD"/>
    <w:rsid w:val="00AE7479"/>
    <w:rsid w:val="00AF1FA7"/>
    <w:rsid w:val="00B02A8E"/>
    <w:rsid w:val="00B071B6"/>
    <w:rsid w:val="00B13490"/>
    <w:rsid w:val="00B161CC"/>
    <w:rsid w:val="00B35876"/>
    <w:rsid w:val="00B569FD"/>
    <w:rsid w:val="00B63A33"/>
    <w:rsid w:val="00B677DC"/>
    <w:rsid w:val="00B70E6F"/>
    <w:rsid w:val="00B91BF0"/>
    <w:rsid w:val="00B955C2"/>
    <w:rsid w:val="00BA0282"/>
    <w:rsid w:val="00BB6985"/>
    <w:rsid w:val="00BD0783"/>
    <w:rsid w:val="00BD17EF"/>
    <w:rsid w:val="00BD7743"/>
    <w:rsid w:val="00BE729B"/>
    <w:rsid w:val="00BF4F97"/>
    <w:rsid w:val="00BF5589"/>
    <w:rsid w:val="00C0095C"/>
    <w:rsid w:val="00C02512"/>
    <w:rsid w:val="00C10172"/>
    <w:rsid w:val="00C25C86"/>
    <w:rsid w:val="00C36D00"/>
    <w:rsid w:val="00C42A4B"/>
    <w:rsid w:val="00C463C1"/>
    <w:rsid w:val="00C46931"/>
    <w:rsid w:val="00C47A89"/>
    <w:rsid w:val="00C73E6B"/>
    <w:rsid w:val="00C85D4E"/>
    <w:rsid w:val="00C86CFC"/>
    <w:rsid w:val="00C9088B"/>
    <w:rsid w:val="00C91BA8"/>
    <w:rsid w:val="00C94FDB"/>
    <w:rsid w:val="00CA2ACF"/>
    <w:rsid w:val="00CB5C9F"/>
    <w:rsid w:val="00CB5CD9"/>
    <w:rsid w:val="00CB74C6"/>
    <w:rsid w:val="00CC2499"/>
    <w:rsid w:val="00CC57F4"/>
    <w:rsid w:val="00CC73CB"/>
    <w:rsid w:val="00CD11DB"/>
    <w:rsid w:val="00CD2037"/>
    <w:rsid w:val="00CD2A65"/>
    <w:rsid w:val="00CE2F8B"/>
    <w:rsid w:val="00D004D1"/>
    <w:rsid w:val="00D02324"/>
    <w:rsid w:val="00D06884"/>
    <w:rsid w:val="00D15579"/>
    <w:rsid w:val="00D45541"/>
    <w:rsid w:val="00D53BFE"/>
    <w:rsid w:val="00D73D49"/>
    <w:rsid w:val="00D747A1"/>
    <w:rsid w:val="00D85F94"/>
    <w:rsid w:val="00D878DF"/>
    <w:rsid w:val="00DB09F3"/>
    <w:rsid w:val="00DC23E1"/>
    <w:rsid w:val="00DC727C"/>
    <w:rsid w:val="00DD2E1F"/>
    <w:rsid w:val="00DD6497"/>
    <w:rsid w:val="00DE140A"/>
    <w:rsid w:val="00DF4B57"/>
    <w:rsid w:val="00E04682"/>
    <w:rsid w:val="00E20D4C"/>
    <w:rsid w:val="00E22BAA"/>
    <w:rsid w:val="00E44A34"/>
    <w:rsid w:val="00E52D98"/>
    <w:rsid w:val="00E52DAA"/>
    <w:rsid w:val="00E566ED"/>
    <w:rsid w:val="00E728E5"/>
    <w:rsid w:val="00E731F0"/>
    <w:rsid w:val="00E80E0F"/>
    <w:rsid w:val="00E84228"/>
    <w:rsid w:val="00EC51AC"/>
    <w:rsid w:val="00ED67BE"/>
    <w:rsid w:val="00EE07B1"/>
    <w:rsid w:val="00EF41BE"/>
    <w:rsid w:val="00F11065"/>
    <w:rsid w:val="00F20046"/>
    <w:rsid w:val="00F2528F"/>
    <w:rsid w:val="00F25BB5"/>
    <w:rsid w:val="00F40307"/>
    <w:rsid w:val="00F571F9"/>
    <w:rsid w:val="00F655AC"/>
    <w:rsid w:val="00F8256F"/>
    <w:rsid w:val="00F95970"/>
    <w:rsid w:val="00FB1B10"/>
    <w:rsid w:val="00FB278F"/>
    <w:rsid w:val="00FB3D7B"/>
    <w:rsid w:val="00FB6F6A"/>
    <w:rsid w:val="00FC67CB"/>
    <w:rsid w:val="00FD61EB"/>
    <w:rsid w:val="00FE245D"/>
    <w:rsid w:val="00FE3344"/>
    <w:rsid w:val="00FE77A7"/>
    <w:rsid w:val="00FF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01226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A9D"/>
    <w:pPr>
      <w:spacing w:after="160" w:line="259" w:lineRule="auto"/>
    </w:pPr>
    <w:rPr>
      <w:rFonts w:ascii="David" w:eastAsia="David" w:hAnsi="David" w:cs="Davi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141"/>
    <w:rPr>
      <w:color w:val="0000FF"/>
      <w:u w:val="single"/>
    </w:rPr>
  </w:style>
  <w:style w:type="paragraph" w:styleId="BalloonText">
    <w:name w:val="Balloon Text"/>
    <w:basedOn w:val="Normal"/>
    <w:link w:val="BalloonTextChar"/>
    <w:uiPriority w:val="99"/>
    <w:semiHidden/>
    <w:unhideWhenUsed/>
    <w:rsid w:val="007B64D4"/>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7B64D4"/>
    <w:rPr>
      <w:rFonts w:ascii="Tahoma" w:hAnsi="Tahoma" w:cs="Tahoma"/>
      <w:sz w:val="18"/>
      <w:szCs w:val="18"/>
    </w:rPr>
  </w:style>
  <w:style w:type="paragraph" w:styleId="Header">
    <w:name w:val="header"/>
    <w:basedOn w:val="Normal"/>
    <w:link w:val="HeaderChar"/>
    <w:uiPriority w:val="99"/>
    <w:unhideWhenUsed/>
    <w:rsid w:val="00E04682"/>
    <w:pPr>
      <w:tabs>
        <w:tab w:val="center" w:pos="4153"/>
        <w:tab w:val="right" w:pos="8306"/>
      </w:tabs>
      <w:spacing w:after="0" w:line="240" w:lineRule="auto"/>
    </w:pPr>
  </w:style>
  <w:style w:type="character" w:customStyle="1" w:styleId="HeaderChar">
    <w:name w:val="Header Char"/>
    <w:basedOn w:val="DefaultParagraphFont"/>
    <w:link w:val="Header"/>
    <w:uiPriority w:val="99"/>
    <w:rsid w:val="00E04682"/>
  </w:style>
  <w:style w:type="paragraph" w:styleId="Footer">
    <w:name w:val="footer"/>
    <w:basedOn w:val="Normal"/>
    <w:link w:val="FooterChar"/>
    <w:uiPriority w:val="99"/>
    <w:unhideWhenUsed/>
    <w:rsid w:val="00E04682"/>
    <w:pPr>
      <w:tabs>
        <w:tab w:val="center" w:pos="4153"/>
        <w:tab w:val="right" w:pos="8306"/>
      </w:tabs>
      <w:spacing w:after="0" w:line="240" w:lineRule="auto"/>
    </w:pPr>
  </w:style>
  <w:style w:type="character" w:customStyle="1" w:styleId="FooterChar">
    <w:name w:val="Footer Char"/>
    <w:basedOn w:val="DefaultParagraphFont"/>
    <w:link w:val="Footer"/>
    <w:uiPriority w:val="99"/>
    <w:rsid w:val="00E04682"/>
  </w:style>
  <w:style w:type="paragraph" w:styleId="ListParagraph">
    <w:name w:val="List Paragraph"/>
    <w:aliases w:val="פיסקת רשימה12,פיסקת רשימה121,פיסקת רשימה2,פיסקת רשימה11"/>
    <w:basedOn w:val="Normal"/>
    <w:link w:val="ListParagraphChar"/>
    <w:uiPriority w:val="34"/>
    <w:qFormat/>
    <w:rsid w:val="00CD2A65"/>
    <w:pPr>
      <w:ind w:left="720"/>
      <w:contextualSpacing/>
    </w:pPr>
  </w:style>
  <w:style w:type="character" w:styleId="CommentReference">
    <w:name w:val="annotation reference"/>
    <w:basedOn w:val="DefaultParagraphFont"/>
    <w:uiPriority w:val="99"/>
    <w:semiHidden/>
    <w:unhideWhenUsed/>
    <w:rsid w:val="004F26A1"/>
    <w:rPr>
      <w:sz w:val="16"/>
      <w:szCs w:val="16"/>
    </w:rPr>
  </w:style>
  <w:style w:type="paragraph" w:styleId="CommentText">
    <w:name w:val="annotation text"/>
    <w:basedOn w:val="Normal"/>
    <w:link w:val="CommentTextChar"/>
    <w:uiPriority w:val="99"/>
    <w:semiHidden/>
    <w:unhideWhenUsed/>
    <w:rsid w:val="004F26A1"/>
    <w:pPr>
      <w:spacing w:line="240" w:lineRule="auto"/>
    </w:pPr>
    <w:rPr>
      <w:sz w:val="20"/>
      <w:szCs w:val="20"/>
    </w:rPr>
  </w:style>
  <w:style w:type="character" w:customStyle="1" w:styleId="CommentTextChar">
    <w:name w:val="Comment Text Char"/>
    <w:basedOn w:val="DefaultParagraphFont"/>
    <w:link w:val="CommentText"/>
    <w:uiPriority w:val="99"/>
    <w:semiHidden/>
    <w:rsid w:val="004F26A1"/>
    <w:rPr>
      <w:sz w:val="20"/>
      <w:szCs w:val="20"/>
    </w:rPr>
  </w:style>
  <w:style w:type="paragraph" w:styleId="CommentSubject">
    <w:name w:val="annotation subject"/>
    <w:basedOn w:val="CommentText"/>
    <w:next w:val="CommentText"/>
    <w:link w:val="CommentSubjectChar"/>
    <w:uiPriority w:val="99"/>
    <w:semiHidden/>
    <w:unhideWhenUsed/>
    <w:rsid w:val="004F26A1"/>
    <w:rPr>
      <w:b/>
      <w:bCs/>
    </w:rPr>
  </w:style>
  <w:style w:type="character" w:customStyle="1" w:styleId="CommentSubjectChar">
    <w:name w:val="Comment Subject Char"/>
    <w:basedOn w:val="CommentTextChar"/>
    <w:link w:val="CommentSubject"/>
    <w:uiPriority w:val="99"/>
    <w:semiHidden/>
    <w:rsid w:val="004F26A1"/>
    <w:rPr>
      <w:b/>
      <w:bCs/>
      <w:sz w:val="20"/>
      <w:szCs w:val="20"/>
    </w:rPr>
  </w:style>
  <w:style w:type="character" w:styleId="FollowedHyperlink">
    <w:name w:val="FollowedHyperlink"/>
    <w:basedOn w:val="DefaultParagraphFont"/>
    <w:uiPriority w:val="99"/>
    <w:semiHidden/>
    <w:unhideWhenUsed/>
    <w:rsid w:val="00B569FD"/>
    <w:rPr>
      <w:color w:val="800080" w:themeColor="followedHyperlink"/>
      <w:u w:val="single"/>
    </w:rPr>
  </w:style>
  <w:style w:type="character" w:customStyle="1" w:styleId="ListParagraphChar">
    <w:name w:val="List Paragraph Char"/>
    <w:aliases w:val="פיסקת רשימה12 Char,פיסקת רשימה121 Char,פיסקת רשימה2 Char,פיסקת רשימה11 Char"/>
    <w:basedOn w:val="DefaultParagraphFont"/>
    <w:link w:val="ListParagraph"/>
    <w:uiPriority w:val="34"/>
    <w:rsid w:val="00031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facebook.com/bankisraelvc" TargetMode="External"/><Relationship Id="rId3" Type="http://schemas.openxmlformats.org/officeDocument/2006/relationships/image" Target="media/image2.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4.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3.png"/><Relationship Id="rId9" Type="http://schemas.microsoft.com/office/2007/relationships/hdphoto" Target="media/hdphoto3.wdp"/><Relationship Id="rId14" Type="http://schemas.openxmlformats.org/officeDocument/2006/relationships/hyperlink" Target="https://www.boi.org.i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mvsrvmmh\vmmh\ISD\&#1508;&#1512;&#1493;&#1497;&#1511;&#1496;&#1497;&#1501;%20&#1502;&#1513;&#1493;&#1514;&#1508;&#1497;&#1501;%20-%207\&#1505;&#1511;&#1512;%20&#1511;&#1510;&#1497;&#1504;&#1497;%20&#1488;&#1513;&#1512;&#1488;&#1497;\2026Q3\&#1491;&#1497;&#1493;&#1493;&#1495;%20&#1500;&#1510;&#1497;&#1489;&#1493;&#1512;\&#1506;&#1493;&#1514;&#1511;%20&#1513;&#1500;%20&#1506;&#1493;&#1514;&#1511;%20&#1513;&#1500;%20&#1490;&#1512;&#1508;&#1497;&#1501;%20&#1505;&#1511;&#1512;%20&#1511;&#1510;&#1497;&#1504;&#1497;%20&#1488;&#1513;&#1512;&#1488;&#1497;%20(00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mvsrvmmh\vmmh\ISD\&#1508;&#1512;&#1493;&#1497;&#1511;&#1496;&#1497;&#1501;%20&#1502;&#1513;&#1493;&#1514;&#1508;&#1497;&#1501;%20-%207\&#1505;&#1511;&#1512;%20&#1511;&#1510;&#1497;&#1504;&#1497;%20&#1488;&#1513;&#1512;&#1488;&#1497;\2026Q3\&#1491;&#1497;&#1493;&#1493;&#1495;%20&#1500;&#1510;&#1497;&#1489;&#1493;&#1512;\&#1506;&#1493;&#1514;&#1511;%20&#1513;&#1500;%20&#1506;&#1493;&#1514;&#1511;%20&#1513;&#1500;%20&#1490;&#1512;&#1508;&#1497;&#1501;%20&#1505;&#1511;&#1512;%20&#1511;&#1510;&#1497;&#1504;&#1497;%20&#1488;&#1513;&#1512;&#1488;&#1497;%20(00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mvsrvmmh\vmmh\ISD\&#1508;&#1512;&#1493;&#1497;&#1511;&#1496;&#1497;&#1501;%20&#1502;&#1513;&#1493;&#1514;&#1508;&#1497;&#1501;%20-%207\&#1505;&#1511;&#1512;%20&#1511;&#1510;&#1497;&#1504;&#1497;%20&#1488;&#1513;&#1512;&#1488;&#1497;\2026Q3\&#1491;&#1497;&#1493;&#1493;&#1495;%20&#1500;&#1510;&#1497;&#1489;&#1493;&#1512;\&#1506;&#1493;&#1514;&#1511;%20&#1513;&#1500;%20&#1506;&#1493;&#1514;&#1511;%20&#1513;&#1500;%20&#1490;&#1512;&#1508;&#1497;&#1501;%20&#1505;&#1511;&#1512;%20&#1511;&#1510;&#1497;&#1504;&#1497;%20&#1488;&#1513;&#1512;&#1488;&#1497;%20(002).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mvsrvmmh\vmmh\ISD\&#1508;&#1512;&#1493;&#1497;&#1511;&#1496;&#1497;&#1501;%20&#1502;&#1513;&#1493;&#1514;&#1508;&#1497;&#1501;%20-%207\&#1505;&#1511;&#1512;%20&#1511;&#1510;&#1497;&#1504;&#1497;%20&#1488;&#1513;&#1512;&#1488;&#1497;\2026Q3\&#1491;&#1497;&#1493;&#1493;&#1495;%20&#1500;&#1510;&#1497;&#1489;&#1493;&#1512;\&#1506;&#1493;&#1514;&#1511;%20&#1513;&#1500;%20&#1506;&#1493;&#1514;&#1511;%20&#1513;&#1500;%20&#1490;&#1512;&#1508;&#1497;&#1501;%20&#1505;&#1511;&#1512;%20&#1511;&#1510;&#1497;&#1504;&#1497;%20&#1488;&#1513;&#1512;&#1488;&#1497;%20(002).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mvsrvmmh\vmmh\ISD\&#1508;&#1512;&#1493;&#1497;&#1511;&#1496;&#1497;&#1501;%20&#1502;&#1513;&#1493;&#1514;&#1508;&#1497;&#1501;%20-%207\&#1505;&#1511;&#1512;%20&#1511;&#1510;&#1497;&#1504;&#1497;%20&#1488;&#1513;&#1512;&#1488;&#1497;\2026Q3\&#1491;&#1497;&#1493;&#1493;&#1495;%20&#1500;&#1510;&#1497;&#1489;&#1493;&#1512;\&#1506;&#1493;&#1514;&#1511;%20&#1513;&#1500;%20&#1506;&#1493;&#1514;&#1511;%20&#1513;&#1500;%20&#1490;&#1512;&#1508;&#1497;&#1501;%20&#1505;&#1511;&#1512;%20&#1511;&#1510;&#1497;&#1504;&#1497;%20&#1488;&#1513;&#1512;&#1488;&#1497;%20(0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[עותק של עותק של גרפים סקר קציני אשראי (002).xlsx]גרף 1!PivotTable7</c:name>
    <c:fmtId val="-1"/>
  </c:pivotSource>
  <c:chart>
    <c:title>
      <c:tx>
        <c:rich>
          <a:bodyPr rot="0" spcFirstLastPara="1" vertOverflow="ellipsis" vert="horz" wrap="square" anchor="ctr" anchorCtr="1"/>
          <a:lstStyle/>
          <a:p>
            <a:pPr algn="r">
              <a:defRPr sz="1400" b="0" i="0" u="none" strike="noStrike" kern="1200" spc="0" baseline="0">
                <a:solidFill>
                  <a:sysClr val="windowText" lastClr="000000"/>
                </a:solidFill>
                <a:latin typeface="Assistant" panose="00000500000000000000" pitchFamily="2" charset="-79"/>
                <a:ea typeface="+mn-ea"/>
                <a:cs typeface="Assistant" panose="00000500000000000000" pitchFamily="2" charset="-79"/>
              </a:defRPr>
            </a:pPr>
            <a:r>
              <a:rPr lang="he-IL" sz="1400" baseline="0">
                <a:solidFill>
                  <a:sysClr val="windowText" lastClr="000000"/>
                </a:solidFill>
                <a:latin typeface="Assistant" panose="00000500000000000000" pitchFamily="2" charset="-79"/>
                <a:cs typeface="Assistant" panose="00000500000000000000" pitchFamily="2" charset="-79"/>
              </a:rPr>
              <a:t>א. משקי בית וסה"כ עסקים </a:t>
            </a:r>
            <a:endParaRPr lang="en-US" sz="1400">
              <a:solidFill>
                <a:sysClr val="windowText" lastClr="000000"/>
              </a:solidFill>
              <a:latin typeface="Assistant" panose="00000500000000000000" pitchFamily="2" charset="-79"/>
              <a:cs typeface="Assistant" panose="00000500000000000000" pitchFamily="2" charset="-79"/>
            </a:endParaRPr>
          </a:p>
        </c:rich>
      </c:tx>
      <c:layout>
        <c:manualLayout>
          <c:xMode val="edge"/>
          <c:yMode val="edge"/>
          <c:x val="0.62301223307671993"/>
          <c:y val="2.6565802311360291E-2"/>
        </c:manualLayout>
      </c:layout>
      <c:overlay val="0"/>
      <c:spPr>
        <a:noFill/>
        <a:ln>
          <a:noFill/>
        </a:ln>
        <a:effectLst/>
      </c:spPr>
      <c:txPr>
        <a:bodyPr rot="0" spcFirstLastPara="1" vertOverflow="ellipsis" vert="horz" wrap="square" anchor="ctr" anchorCtr="1"/>
        <a:lstStyle/>
        <a:p>
          <a:pPr algn="r">
            <a:defRPr sz="1400" b="0" i="0" u="none" strike="noStrike" kern="1200" spc="0" baseline="0">
              <a:solidFill>
                <a:sysClr val="windowText" lastClr="000000"/>
              </a:solidFill>
              <a:latin typeface="Assistant" panose="00000500000000000000" pitchFamily="2" charset="-79"/>
              <a:ea typeface="+mn-ea"/>
              <a:cs typeface="Assistant" panose="00000500000000000000" pitchFamily="2" charset="-79"/>
            </a:defRPr>
          </a:pPr>
          <a:endParaRPr lang="he-IL"/>
        </a:p>
      </c:txPr>
    </c:title>
    <c:autoTitleDeleted val="0"/>
    <c:pivotFmts>
      <c:pivotFmt>
        <c:idx val="0"/>
        <c:spPr>
          <a:solidFill>
            <a:schemeClr val="accent1"/>
          </a:solidFill>
          <a:ln w="28575" cap="rnd">
            <a:solidFill>
              <a:srgbClr val="008DA3"/>
            </a:solidFill>
            <a:round/>
          </a:ln>
          <a:effectLst/>
        </c:spPr>
        <c:marker>
          <c:symbol val="circle"/>
          <c:size val="5"/>
          <c:spPr>
            <a:solidFill>
              <a:srgbClr val="008DA3"/>
            </a:solidFill>
            <a:ln w="9525">
              <a:solidFill>
                <a:srgbClr val="008DA3"/>
              </a:solidFill>
            </a:ln>
            <a:effectLst/>
          </c:spPr>
        </c:marker>
      </c:pivotFmt>
      <c:pivotFmt>
        <c:idx val="1"/>
        <c:spPr>
          <a:solidFill>
            <a:schemeClr val="accent1"/>
          </a:solidFill>
          <a:ln w="28575" cap="rnd">
            <a:solidFill>
              <a:srgbClr val="008DA3"/>
            </a:solidFill>
            <a:prstDash val="solid"/>
            <a:round/>
          </a:ln>
          <a:effectLst/>
        </c:spPr>
        <c:marker>
          <c:symbol val="circle"/>
          <c:size val="5"/>
          <c:spPr>
            <a:solidFill>
              <a:srgbClr val="008DA3"/>
            </a:solidFill>
            <a:ln w="9525">
              <a:solidFill>
                <a:srgbClr val="008DA3"/>
              </a:solidFill>
            </a:ln>
            <a:effectLst/>
          </c:spPr>
        </c:marker>
      </c:pivotFmt>
      <c:pivotFmt>
        <c:idx val="2"/>
        <c:spPr>
          <a:solidFill>
            <a:schemeClr val="accent1"/>
          </a:solidFill>
          <a:ln w="28575" cap="rnd">
            <a:solidFill>
              <a:srgbClr val="6C63FF"/>
            </a:solidFill>
            <a:round/>
          </a:ln>
          <a:effectLst/>
        </c:spPr>
        <c:marker>
          <c:symbol val="circle"/>
          <c:size val="5"/>
          <c:spPr>
            <a:solidFill>
              <a:srgbClr val="6C63FF"/>
            </a:solidFill>
            <a:ln w="9525">
              <a:solidFill>
                <a:srgbClr val="6C63FF"/>
              </a:solidFill>
            </a:ln>
            <a:effectLst/>
          </c:spPr>
        </c:marker>
      </c:pivotFmt>
      <c:pivotFmt>
        <c:idx val="3"/>
        <c:spPr>
          <a:solidFill>
            <a:schemeClr val="accent1"/>
          </a:solidFill>
          <a:ln w="28575" cap="rnd">
            <a:solidFill>
              <a:srgbClr val="6C63FF"/>
            </a:solidFill>
            <a:prstDash val="solid"/>
            <a:round/>
          </a:ln>
          <a:effectLst/>
        </c:spPr>
        <c:marker>
          <c:symbol val="circle"/>
          <c:size val="5"/>
          <c:spPr>
            <a:solidFill>
              <a:srgbClr val="6C63FF"/>
            </a:solidFill>
            <a:ln w="9525">
              <a:solidFill>
                <a:srgbClr val="6C63FF"/>
              </a:solidFill>
            </a:ln>
            <a:effectLst/>
          </c:spPr>
        </c:marker>
      </c:pivotFmt>
      <c:pivotFmt>
        <c:idx val="4"/>
        <c:spPr>
          <a:solidFill>
            <a:schemeClr val="accent1"/>
          </a:solidFill>
          <a:ln w="28575" cap="rnd">
            <a:solidFill>
              <a:srgbClr val="D98D25"/>
            </a:solidFill>
            <a:round/>
          </a:ln>
          <a:effectLst/>
        </c:spPr>
        <c:marker>
          <c:symbol val="circle"/>
          <c:size val="5"/>
          <c:spPr>
            <a:solidFill>
              <a:srgbClr val="D98D25"/>
            </a:solidFill>
            <a:ln w="9525">
              <a:solidFill>
                <a:srgbClr val="D98D25"/>
              </a:solidFill>
            </a:ln>
            <a:effectLst/>
          </c:spPr>
        </c:marker>
      </c:pivotFmt>
      <c:pivotFmt>
        <c:idx val="5"/>
        <c:spPr>
          <a:solidFill>
            <a:schemeClr val="accent1"/>
          </a:solidFill>
          <a:ln w="28575" cap="rnd">
            <a:solidFill>
              <a:srgbClr val="D98D25"/>
            </a:solidFill>
            <a:prstDash val="solid"/>
            <a:round/>
          </a:ln>
          <a:effectLst/>
        </c:spPr>
        <c:marker>
          <c:symbol val="circle"/>
          <c:size val="5"/>
          <c:spPr>
            <a:solidFill>
              <a:srgbClr val="D98D25"/>
            </a:solidFill>
            <a:ln w="9525">
              <a:solidFill>
                <a:srgbClr val="D98D25"/>
              </a:solidFill>
            </a:ln>
            <a:effectLst/>
          </c:spPr>
        </c:marker>
      </c:pivotFmt>
      <c:pivotFmt>
        <c:idx val="6"/>
        <c:spPr>
          <a:solidFill>
            <a:schemeClr val="accent1"/>
          </a:solidFill>
          <a:ln w="28575" cap="rnd">
            <a:solidFill>
              <a:srgbClr val="6C63FF"/>
            </a:solidFill>
            <a:prstDash val="solid"/>
            <a:round/>
          </a:ln>
          <a:effectLst/>
        </c:spPr>
        <c:marker>
          <c:symbol val="circle"/>
          <c:size val="5"/>
          <c:spPr>
            <a:solidFill>
              <a:srgbClr val="6C63FF"/>
            </a:solidFill>
            <a:ln w="9525">
              <a:solidFill>
                <a:srgbClr val="6C63FF"/>
              </a:solidFill>
            </a:ln>
            <a:effectLst/>
          </c:spPr>
        </c:marker>
      </c:pivotFmt>
      <c:pivotFmt>
        <c:idx val="7"/>
        <c:spPr>
          <a:solidFill>
            <a:schemeClr val="accent1"/>
          </a:solidFill>
          <a:ln w="28575" cap="rnd">
            <a:solidFill>
              <a:srgbClr val="008DA3"/>
            </a:solidFill>
            <a:prstDash val="solid"/>
            <a:round/>
          </a:ln>
          <a:effectLst/>
        </c:spPr>
        <c:marker>
          <c:symbol val="circle"/>
          <c:size val="5"/>
          <c:spPr>
            <a:solidFill>
              <a:srgbClr val="008DA3"/>
            </a:solidFill>
            <a:ln w="9525">
              <a:solidFill>
                <a:srgbClr val="008DA3"/>
              </a:solidFill>
            </a:ln>
            <a:effectLst/>
          </c:spPr>
        </c:marker>
      </c:pivotFmt>
      <c:pivotFmt>
        <c:idx val="8"/>
        <c:spPr>
          <a:solidFill>
            <a:schemeClr val="accent1"/>
          </a:solidFill>
          <a:ln w="28575" cap="rnd">
            <a:solidFill>
              <a:srgbClr val="D98D25"/>
            </a:solidFill>
            <a:prstDash val="solid"/>
            <a:round/>
          </a:ln>
          <a:effectLst/>
        </c:spPr>
        <c:marker>
          <c:symbol val="circle"/>
          <c:size val="5"/>
          <c:spPr>
            <a:solidFill>
              <a:srgbClr val="D98D25"/>
            </a:solidFill>
            <a:ln w="9525">
              <a:solidFill>
                <a:srgbClr val="D98D25"/>
              </a:solidFill>
            </a:ln>
            <a:effectLst/>
          </c:spPr>
        </c:marker>
      </c:pivotFmt>
      <c:pivotFmt>
        <c:idx val="9"/>
        <c:spPr>
          <a:solidFill>
            <a:schemeClr val="accent1"/>
          </a:solidFill>
          <a:ln w="28575" cap="rnd">
            <a:solidFill>
              <a:srgbClr val="008DA3"/>
            </a:solidFill>
            <a:round/>
          </a:ln>
          <a:effectLst/>
        </c:spPr>
        <c:marker>
          <c:symbol val="circle"/>
          <c:size val="5"/>
          <c:spPr>
            <a:solidFill>
              <a:srgbClr val="008DA3"/>
            </a:solidFill>
            <a:ln w="9525">
              <a:solidFill>
                <a:srgbClr val="008DA3"/>
              </a:solidFill>
            </a:ln>
            <a:effectLst/>
          </c:spPr>
        </c:marker>
      </c:pivotFmt>
      <c:pivotFmt>
        <c:idx val="10"/>
        <c:spPr>
          <a:solidFill>
            <a:schemeClr val="accent1"/>
          </a:solidFill>
          <a:ln w="28575" cap="rnd">
            <a:solidFill>
              <a:srgbClr val="6C63FF"/>
            </a:solidFill>
            <a:round/>
          </a:ln>
          <a:effectLst/>
        </c:spPr>
        <c:marker>
          <c:symbol val="circle"/>
          <c:size val="5"/>
          <c:spPr>
            <a:solidFill>
              <a:srgbClr val="6C63FF"/>
            </a:solidFill>
            <a:ln w="9525">
              <a:solidFill>
                <a:srgbClr val="6C63FF"/>
              </a:solidFill>
            </a:ln>
            <a:effectLst/>
          </c:spPr>
        </c:marker>
      </c:pivotFmt>
      <c:pivotFmt>
        <c:idx val="11"/>
        <c:spPr>
          <a:solidFill>
            <a:schemeClr val="accent1"/>
          </a:solidFill>
          <a:ln w="28575" cap="rnd">
            <a:solidFill>
              <a:srgbClr val="D98D25"/>
            </a:solidFill>
            <a:round/>
          </a:ln>
          <a:effectLst/>
        </c:spPr>
        <c:marker>
          <c:symbol val="circle"/>
          <c:size val="5"/>
          <c:spPr>
            <a:solidFill>
              <a:srgbClr val="D98D25"/>
            </a:solidFill>
            <a:ln w="9525">
              <a:solidFill>
                <a:srgbClr val="D98D25"/>
              </a:solidFill>
            </a:ln>
            <a:effectLst/>
          </c:spPr>
        </c:marker>
      </c:pivotFmt>
      <c:pivotFmt>
        <c:idx val="12"/>
        <c:spPr>
          <a:solidFill>
            <a:schemeClr val="accent1"/>
          </a:solidFill>
          <a:ln w="28575" cap="rnd">
            <a:solidFill>
              <a:srgbClr val="6C63FF"/>
            </a:solidFill>
            <a:prstDash val="solid"/>
            <a:round/>
          </a:ln>
          <a:effectLst/>
        </c:spPr>
        <c:marker>
          <c:symbol val="circle"/>
          <c:size val="5"/>
          <c:spPr>
            <a:solidFill>
              <a:srgbClr val="6C63FF"/>
            </a:solidFill>
            <a:ln w="9525">
              <a:solidFill>
                <a:srgbClr val="6C63FF"/>
              </a:solidFill>
            </a:ln>
            <a:effectLst/>
          </c:spPr>
        </c:marker>
      </c:pivotFmt>
      <c:pivotFmt>
        <c:idx val="13"/>
        <c:spPr>
          <a:solidFill>
            <a:schemeClr val="accent1"/>
          </a:solidFill>
          <a:ln w="28575" cap="rnd">
            <a:solidFill>
              <a:srgbClr val="008DA3"/>
            </a:solidFill>
            <a:prstDash val="solid"/>
            <a:round/>
          </a:ln>
          <a:effectLst/>
        </c:spPr>
        <c:marker>
          <c:symbol val="circle"/>
          <c:size val="5"/>
          <c:spPr>
            <a:solidFill>
              <a:srgbClr val="008DA3"/>
            </a:solidFill>
            <a:ln w="9525">
              <a:solidFill>
                <a:srgbClr val="008DA3"/>
              </a:solidFill>
            </a:ln>
            <a:effectLst/>
          </c:spPr>
        </c:marker>
      </c:pivotFmt>
      <c:pivotFmt>
        <c:idx val="14"/>
        <c:spPr>
          <a:solidFill>
            <a:schemeClr val="accent1"/>
          </a:solidFill>
          <a:ln w="28575" cap="rnd">
            <a:solidFill>
              <a:srgbClr val="D98D25"/>
            </a:solidFill>
            <a:prstDash val="solid"/>
            <a:round/>
          </a:ln>
          <a:effectLst/>
        </c:spPr>
        <c:marker>
          <c:symbol val="circle"/>
          <c:size val="5"/>
          <c:spPr>
            <a:solidFill>
              <a:srgbClr val="D98D25"/>
            </a:solidFill>
            <a:ln w="9525">
              <a:solidFill>
                <a:srgbClr val="D98D25"/>
              </a:solidFill>
            </a:ln>
            <a:effectLst/>
          </c:spPr>
        </c:marker>
      </c:pivotFmt>
      <c:pivotFmt>
        <c:idx val="15"/>
        <c:spPr>
          <a:solidFill>
            <a:schemeClr val="accent1"/>
          </a:solidFill>
          <a:ln w="28575" cap="rnd">
            <a:solidFill>
              <a:srgbClr val="6C63FF"/>
            </a:solidFill>
            <a:prstDash val="dash"/>
            <a:round/>
          </a:ln>
          <a:effectLst/>
        </c:spPr>
        <c:marker>
          <c:symbol val="circle"/>
          <c:size val="5"/>
          <c:spPr>
            <a:solidFill>
              <a:srgbClr val="6C63FF"/>
            </a:solidFill>
            <a:ln w="9525">
              <a:solidFill>
                <a:srgbClr val="6C63FF"/>
              </a:solidFill>
            </a:ln>
            <a:effectLst/>
          </c:spPr>
        </c:marker>
      </c:pivotFmt>
      <c:pivotFmt>
        <c:idx val="16"/>
        <c:spPr>
          <a:solidFill>
            <a:schemeClr val="accent1"/>
          </a:solidFill>
          <a:ln w="28575" cap="rnd">
            <a:solidFill>
              <a:srgbClr val="008DA3"/>
            </a:solidFill>
            <a:prstDash val="dash"/>
            <a:round/>
          </a:ln>
          <a:effectLst/>
        </c:spPr>
        <c:marker>
          <c:symbol val="circle"/>
          <c:size val="5"/>
          <c:spPr>
            <a:solidFill>
              <a:srgbClr val="008DA3"/>
            </a:solidFill>
            <a:ln w="9525">
              <a:solidFill>
                <a:srgbClr val="008DA3"/>
              </a:solidFill>
            </a:ln>
            <a:effectLst/>
          </c:spPr>
        </c:marker>
      </c:pivotFmt>
      <c:pivotFmt>
        <c:idx val="17"/>
        <c:spPr>
          <a:solidFill>
            <a:schemeClr val="accent1"/>
          </a:solidFill>
          <a:ln w="28575" cap="rnd">
            <a:solidFill>
              <a:srgbClr val="D98D25"/>
            </a:solidFill>
            <a:prstDash val="dash"/>
            <a:round/>
          </a:ln>
          <a:effectLst/>
        </c:spPr>
        <c:marker>
          <c:symbol val="circle"/>
          <c:size val="5"/>
          <c:spPr>
            <a:solidFill>
              <a:srgbClr val="D98D25"/>
            </a:solidFill>
            <a:ln w="9525">
              <a:solidFill>
                <a:srgbClr val="D98D25"/>
              </a:solidFill>
            </a:ln>
            <a:effectLst/>
          </c:spPr>
        </c:marker>
      </c:pivotFmt>
      <c:pivotFmt>
        <c:idx val="18"/>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19"/>
        <c:spPr>
          <a:solidFill>
            <a:schemeClr val="accent1"/>
          </a:solidFill>
          <a:ln w="28575" cap="rnd">
            <a:solidFill>
              <a:srgbClr val="008DA3"/>
            </a:solidFill>
            <a:prstDash val="solid"/>
            <a:round/>
          </a:ln>
          <a:effectLst/>
        </c:spPr>
        <c:marker>
          <c:symbol val="circle"/>
          <c:size val="5"/>
          <c:spPr>
            <a:solidFill>
              <a:srgbClr val="008DA3"/>
            </a:solidFill>
            <a:ln w="9525">
              <a:noFill/>
            </a:ln>
            <a:effectLst/>
          </c:spPr>
        </c:marker>
      </c:pivotFmt>
      <c:pivotFmt>
        <c:idx val="20"/>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21"/>
        <c:spPr>
          <a:solidFill>
            <a:schemeClr val="accent1"/>
          </a:solidFill>
          <a:ln w="28575" cap="rnd">
            <a:solidFill>
              <a:srgbClr val="6C63FF"/>
            </a:solidFill>
            <a:prstDash val="solid"/>
            <a:round/>
          </a:ln>
          <a:effectLst/>
        </c:spPr>
        <c:marker>
          <c:symbol val="circle"/>
          <c:size val="5"/>
          <c:spPr>
            <a:solidFill>
              <a:srgbClr val="6C63FF"/>
            </a:solidFill>
            <a:ln w="9525">
              <a:noFill/>
            </a:ln>
            <a:effectLst/>
          </c:spPr>
        </c:marker>
      </c:pivotFmt>
      <c:pivotFmt>
        <c:idx val="22"/>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23"/>
        <c:spPr>
          <a:solidFill>
            <a:schemeClr val="accent1"/>
          </a:solidFill>
          <a:ln w="28575" cap="rnd">
            <a:solidFill>
              <a:srgbClr val="D98D25"/>
            </a:solidFill>
            <a:prstDash val="solid"/>
            <a:round/>
          </a:ln>
          <a:effectLst/>
        </c:spPr>
        <c:marker>
          <c:symbol val="circle"/>
          <c:size val="5"/>
          <c:spPr>
            <a:solidFill>
              <a:srgbClr val="D98D25"/>
            </a:solidFill>
            <a:ln w="9525">
              <a:noFill/>
            </a:ln>
            <a:effectLst/>
          </c:spPr>
        </c:marker>
      </c:pivotFmt>
      <c:pivotFmt>
        <c:idx val="24"/>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25"/>
        <c:spPr>
          <a:solidFill>
            <a:schemeClr val="accent1"/>
          </a:solidFill>
          <a:ln w="28575" cap="rnd">
            <a:solidFill>
              <a:srgbClr val="6C63FF"/>
            </a:solidFill>
            <a:round/>
          </a:ln>
          <a:effectLst/>
        </c:spPr>
        <c:marker>
          <c:symbol val="circle"/>
          <c:size val="5"/>
        </c:marker>
      </c:pivotFmt>
      <c:pivotFmt>
        <c:idx val="26"/>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27"/>
        <c:spPr>
          <a:solidFill>
            <a:schemeClr val="accent1"/>
          </a:solidFill>
          <a:ln w="28575" cap="rnd">
            <a:solidFill>
              <a:srgbClr val="6C63FF"/>
            </a:solidFill>
            <a:prstDash val="dash"/>
            <a:round/>
          </a:ln>
          <a:effectLst/>
        </c:spPr>
        <c:marker>
          <c:symbol val="circle"/>
          <c:size val="5"/>
          <c:spPr>
            <a:solidFill>
              <a:srgbClr val="6C63FF"/>
            </a:solidFill>
            <a:ln w="9525">
              <a:noFill/>
            </a:ln>
            <a:effectLst/>
          </c:spPr>
        </c:marker>
      </c:pivotFmt>
      <c:pivotFmt>
        <c:idx val="28"/>
        <c:spPr>
          <a:solidFill>
            <a:schemeClr val="accent1"/>
          </a:solidFill>
          <a:ln w="28575" cap="rnd">
            <a:solidFill>
              <a:srgbClr val="D98D25"/>
            </a:solidFill>
            <a:prstDash val="dash"/>
            <a:round/>
          </a:ln>
          <a:effectLst/>
        </c:spPr>
        <c:marker>
          <c:symbol val="circle"/>
          <c:size val="5"/>
          <c:spPr>
            <a:solidFill>
              <a:srgbClr val="D98D25"/>
            </a:solidFill>
            <a:ln w="9525">
              <a:noFill/>
            </a:ln>
            <a:effectLst/>
          </c:spPr>
        </c:marker>
      </c:pivotFmt>
      <c:pivotFmt>
        <c:idx val="29"/>
        <c:spPr>
          <a:solidFill>
            <a:schemeClr val="accent1"/>
          </a:solidFill>
          <a:ln w="28575" cap="rnd">
            <a:solidFill>
              <a:srgbClr val="008DA3"/>
            </a:solidFill>
            <a:prstDash val="dash"/>
            <a:round/>
          </a:ln>
          <a:effectLst/>
        </c:spPr>
        <c:marker>
          <c:symbol val="circle"/>
          <c:size val="5"/>
          <c:spPr>
            <a:solidFill>
              <a:srgbClr val="008DA3"/>
            </a:solidFill>
            <a:ln w="9525">
              <a:noFill/>
            </a:ln>
            <a:effectLst/>
          </c:spPr>
        </c:marker>
      </c:pivotFmt>
      <c:pivotFmt>
        <c:idx val="30"/>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31"/>
        <c:spPr>
          <a:solidFill>
            <a:schemeClr val="accent1"/>
          </a:solidFill>
          <a:ln w="28575" cap="rnd">
            <a:solidFill>
              <a:srgbClr val="008DA3"/>
            </a:solidFill>
            <a:prstDash val="solid"/>
            <a:round/>
          </a:ln>
          <a:effectLst/>
        </c:spPr>
        <c:marker>
          <c:symbol val="circle"/>
          <c:size val="5"/>
          <c:spPr>
            <a:solidFill>
              <a:srgbClr val="008DA3"/>
            </a:solidFill>
            <a:ln w="9525">
              <a:noFill/>
            </a:ln>
            <a:effectLst/>
          </c:spPr>
        </c:marker>
      </c:pivotFmt>
      <c:pivotFmt>
        <c:idx val="32"/>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33"/>
        <c:spPr>
          <a:solidFill>
            <a:schemeClr val="accent1"/>
          </a:solidFill>
          <a:ln w="28575" cap="rnd">
            <a:solidFill>
              <a:srgbClr val="008DA3"/>
            </a:solidFill>
            <a:prstDash val="dash"/>
            <a:round/>
          </a:ln>
          <a:effectLst/>
        </c:spPr>
        <c:marker>
          <c:symbol val="circle"/>
          <c:size val="5"/>
          <c:spPr>
            <a:solidFill>
              <a:srgbClr val="008DA3"/>
            </a:solidFill>
            <a:ln w="9525">
              <a:noFill/>
            </a:ln>
            <a:effectLst/>
          </c:spPr>
        </c:marker>
      </c:pivotFmt>
      <c:pivotFmt>
        <c:idx val="34"/>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35"/>
        <c:spPr>
          <a:solidFill>
            <a:schemeClr val="accent1"/>
          </a:solidFill>
          <a:ln w="28575" cap="rnd">
            <a:solidFill>
              <a:srgbClr val="6C63FF"/>
            </a:solidFill>
            <a:prstDash val="solid"/>
            <a:round/>
          </a:ln>
          <a:effectLst/>
        </c:spPr>
        <c:marker>
          <c:symbol val="circle"/>
          <c:size val="5"/>
          <c:spPr>
            <a:solidFill>
              <a:srgbClr val="6C63FF"/>
            </a:solidFill>
            <a:ln w="9525">
              <a:noFill/>
            </a:ln>
            <a:effectLst/>
          </c:spPr>
        </c:marker>
      </c:pivotFmt>
      <c:pivotFmt>
        <c:idx val="36"/>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37"/>
        <c:spPr>
          <a:solidFill>
            <a:schemeClr val="accent1"/>
          </a:solidFill>
          <a:ln w="28575" cap="rnd">
            <a:solidFill>
              <a:srgbClr val="6C63FF"/>
            </a:solidFill>
            <a:prstDash val="dash"/>
            <a:round/>
          </a:ln>
          <a:effectLst/>
        </c:spPr>
        <c:marker>
          <c:symbol val="circle"/>
          <c:size val="5"/>
          <c:spPr>
            <a:solidFill>
              <a:srgbClr val="6C63FF"/>
            </a:solidFill>
            <a:ln w="9525">
              <a:noFill/>
            </a:ln>
            <a:effectLst/>
          </c:spPr>
        </c:marker>
      </c:pivotFmt>
      <c:pivotFmt>
        <c:idx val="38"/>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39"/>
        <c:spPr>
          <a:solidFill>
            <a:schemeClr val="accent1"/>
          </a:solidFill>
          <a:ln w="28575" cap="rnd">
            <a:solidFill>
              <a:srgbClr val="D98D25"/>
            </a:solidFill>
            <a:prstDash val="solid"/>
            <a:round/>
          </a:ln>
          <a:effectLst/>
        </c:spPr>
        <c:marker>
          <c:symbol val="circle"/>
          <c:size val="5"/>
          <c:spPr>
            <a:solidFill>
              <a:srgbClr val="D98D25"/>
            </a:solidFill>
            <a:ln w="9525">
              <a:noFill/>
            </a:ln>
            <a:effectLst/>
          </c:spPr>
        </c:marker>
      </c:pivotFmt>
      <c:pivotFmt>
        <c:idx val="40"/>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41"/>
        <c:spPr>
          <a:solidFill>
            <a:schemeClr val="accent1"/>
          </a:solidFill>
          <a:ln w="28575" cap="rnd">
            <a:solidFill>
              <a:srgbClr val="D98D25"/>
            </a:solidFill>
            <a:prstDash val="dash"/>
            <a:round/>
          </a:ln>
          <a:effectLst/>
        </c:spPr>
        <c:marker>
          <c:symbol val="circle"/>
          <c:size val="5"/>
          <c:spPr>
            <a:solidFill>
              <a:srgbClr val="D98D25"/>
            </a:solidFill>
            <a:ln w="9525">
              <a:noFill/>
            </a:ln>
            <a:effectLst/>
          </c:spPr>
        </c:marker>
      </c:pivotFmt>
      <c:pivotFmt>
        <c:idx val="42"/>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43"/>
        <c:spPr>
          <a:solidFill>
            <a:schemeClr val="accent1"/>
          </a:solidFill>
          <a:ln w="28575" cap="rnd">
            <a:solidFill>
              <a:srgbClr val="008DA3"/>
            </a:solidFill>
            <a:prstDash val="solid"/>
            <a:round/>
          </a:ln>
          <a:effectLst/>
        </c:spPr>
        <c:marker>
          <c:symbol val="circle"/>
          <c:size val="5"/>
          <c:spPr>
            <a:solidFill>
              <a:srgbClr val="008DA3"/>
            </a:solidFill>
            <a:ln w="9525">
              <a:noFill/>
            </a:ln>
            <a:effectLst/>
          </c:spPr>
        </c:marker>
      </c:pivotFmt>
      <c:pivotFmt>
        <c:idx val="44"/>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45"/>
        <c:spPr>
          <a:solidFill>
            <a:schemeClr val="accent1"/>
          </a:solidFill>
          <a:ln w="28575" cap="rnd">
            <a:solidFill>
              <a:srgbClr val="008DA3"/>
            </a:solidFill>
            <a:prstDash val="dash"/>
            <a:round/>
          </a:ln>
          <a:effectLst/>
        </c:spPr>
        <c:marker>
          <c:symbol val="circle"/>
          <c:size val="5"/>
          <c:spPr>
            <a:solidFill>
              <a:srgbClr val="008DA3"/>
            </a:solidFill>
            <a:ln w="9525">
              <a:noFill/>
            </a:ln>
            <a:effectLst/>
          </c:spPr>
        </c:marker>
      </c:pivotFmt>
      <c:pivotFmt>
        <c:idx val="46"/>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47"/>
        <c:spPr>
          <a:solidFill>
            <a:schemeClr val="accent1"/>
          </a:solidFill>
          <a:ln w="28575" cap="rnd">
            <a:solidFill>
              <a:srgbClr val="6C63FF"/>
            </a:solidFill>
            <a:prstDash val="solid"/>
            <a:round/>
          </a:ln>
          <a:effectLst/>
        </c:spPr>
        <c:marker>
          <c:symbol val="circle"/>
          <c:size val="5"/>
          <c:spPr>
            <a:solidFill>
              <a:srgbClr val="6C63FF"/>
            </a:solidFill>
            <a:ln w="9525">
              <a:noFill/>
            </a:ln>
            <a:effectLst/>
          </c:spPr>
        </c:marker>
      </c:pivotFmt>
      <c:pivotFmt>
        <c:idx val="48"/>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49"/>
        <c:spPr>
          <a:solidFill>
            <a:schemeClr val="accent1"/>
          </a:solidFill>
          <a:ln w="28575" cap="rnd">
            <a:solidFill>
              <a:srgbClr val="6C63FF"/>
            </a:solidFill>
            <a:prstDash val="dash"/>
            <a:round/>
          </a:ln>
          <a:effectLst/>
        </c:spPr>
        <c:marker>
          <c:symbol val="circle"/>
          <c:size val="5"/>
          <c:spPr>
            <a:solidFill>
              <a:srgbClr val="6C63FF"/>
            </a:solidFill>
            <a:ln w="9525">
              <a:noFill/>
            </a:ln>
            <a:effectLst/>
          </c:spPr>
        </c:marker>
      </c:pivotFmt>
      <c:pivotFmt>
        <c:idx val="50"/>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51"/>
        <c:spPr>
          <a:solidFill>
            <a:schemeClr val="accent1"/>
          </a:solidFill>
          <a:ln w="28575" cap="rnd">
            <a:solidFill>
              <a:srgbClr val="D98D25"/>
            </a:solidFill>
            <a:prstDash val="solid"/>
            <a:round/>
          </a:ln>
          <a:effectLst/>
        </c:spPr>
        <c:marker>
          <c:symbol val="circle"/>
          <c:size val="5"/>
          <c:spPr>
            <a:solidFill>
              <a:srgbClr val="D98D25"/>
            </a:solidFill>
            <a:ln w="9525">
              <a:noFill/>
            </a:ln>
            <a:effectLst/>
          </c:spPr>
        </c:marker>
      </c:pivotFmt>
      <c:pivotFmt>
        <c:idx val="52"/>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53"/>
        <c:spPr>
          <a:solidFill>
            <a:schemeClr val="accent1"/>
          </a:solidFill>
          <a:ln w="28575" cap="rnd">
            <a:solidFill>
              <a:srgbClr val="D98D25"/>
            </a:solidFill>
            <a:prstDash val="dash"/>
            <a:round/>
          </a:ln>
          <a:effectLst/>
        </c:spPr>
        <c:marker>
          <c:symbol val="circle"/>
          <c:size val="5"/>
          <c:spPr>
            <a:solidFill>
              <a:srgbClr val="D98D25"/>
            </a:solidFill>
            <a:ln w="9525">
              <a:noFill/>
            </a:ln>
            <a:effectLst/>
          </c:spPr>
        </c:marker>
      </c:pivotFmt>
    </c:pivotFmts>
    <c:plotArea>
      <c:layout>
        <c:manualLayout>
          <c:layoutTarget val="inner"/>
          <c:xMode val="edge"/>
          <c:yMode val="edge"/>
          <c:x val="9.1956889614755177E-2"/>
          <c:y val="0.11988237072460184"/>
          <c:w val="0.88143463482599471"/>
          <c:h val="0.55500334197355761"/>
        </c:manualLayout>
      </c:layout>
      <c:lineChart>
        <c:grouping val="standard"/>
        <c:varyColors val="0"/>
        <c:ser>
          <c:idx val="0"/>
          <c:order val="0"/>
          <c:tx>
            <c:strRef>
              <c:f>'גרף 1'!$H$1:$H$2</c:f>
              <c:strCache>
                <c:ptCount val="1"/>
                <c:pt idx="0">
                  <c:v>דיור</c:v>
                </c:pt>
              </c:strCache>
            </c:strRef>
          </c:tx>
          <c:spPr>
            <a:ln w="28575" cap="rnd">
              <a:solidFill>
                <a:srgbClr val="008DA3"/>
              </a:solidFill>
              <a:round/>
            </a:ln>
            <a:effectLst/>
          </c:spPr>
          <c:marker>
            <c:symbol val="circle"/>
            <c:size val="5"/>
            <c:spPr>
              <a:solidFill>
                <a:srgbClr val="008DA3"/>
              </a:solidFill>
              <a:ln w="9525">
                <a:noFill/>
              </a:ln>
              <a:effectLst/>
            </c:spPr>
          </c:marker>
          <c:dPt>
            <c:idx val="6"/>
            <c:marker>
              <c:symbol val="circle"/>
              <c:size val="5"/>
              <c:spPr>
                <a:solidFill>
                  <a:srgbClr val="008DA3"/>
                </a:solidFill>
                <a:ln w="9525">
                  <a:noFill/>
                </a:ln>
                <a:effectLst/>
              </c:spPr>
            </c:marker>
            <c:bubble3D val="0"/>
            <c:spPr>
              <a:ln w="28575" cap="rnd">
                <a:solidFill>
                  <a:srgbClr val="008DA3"/>
                </a:solidFill>
                <a:prstDash val="solid"/>
                <a:round/>
              </a:ln>
              <a:effectLst/>
            </c:spPr>
            <c:extLst>
              <c:ext xmlns:c16="http://schemas.microsoft.com/office/drawing/2014/chart" uri="{C3380CC4-5D6E-409C-BE32-E72D297353CC}">
                <c16:uniqueId val="{00000001-7164-462F-9748-93DA04F85A7D}"/>
              </c:ext>
            </c:extLst>
          </c:dPt>
          <c:dPt>
            <c:idx val="7"/>
            <c:marker>
              <c:symbol val="circle"/>
              <c:size val="5"/>
              <c:spPr>
                <a:solidFill>
                  <a:srgbClr val="008DA3"/>
                </a:solidFill>
                <a:ln w="9525">
                  <a:noFill/>
                </a:ln>
                <a:effectLst/>
              </c:spPr>
            </c:marker>
            <c:bubble3D val="0"/>
            <c:spPr>
              <a:ln w="28575" cap="rnd">
                <a:solidFill>
                  <a:srgbClr val="008DA3"/>
                </a:solidFill>
                <a:round/>
              </a:ln>
              <a:effectLst/>
            </c:spPr>
            <c:extLst>
              <c:ext xmlns:c16="http://schemas.microsoft.com/office/drawing/2014/chart" uri="{C3380CC4-5D6E-409C-BE32-E72D297353CC}">
                <c16:uniqueId val="{00000003-7164-462F-9748-93DA04F85A7D}"/>
              </c:ext>
            </c:extLst>
          </c:dPt>
          <c:dPt>
            <c:idx val="8"/>
            <c:marker>
              <c:symbol val="circle"/>
              <c:size val="5"/>
              <c:spPr>
                <a:solidFill>
                  <a:srgbClr val="008DA3"/>
                </a:solidFill>
                <a:ln w="9525">
                  <a:noFill/>
                </a:ln>
                <a:effectLst/>
              </c:spPr>
            </c:marker>
            <c:bubble3D val="0"/>
            <c:spPr>
              <a:ln w="28575" cap="rnd">
                <a:solidFill>
                  <a:srgbClr val="008DA3"/>
                </a:solidFill>
                <a:prstDash val="dash"/>
                <a:round/>
              </a:ln>
              <a:effectLst/>
            </c:spPr>
            <c:extLst>
              <c:ext xmlns:c16="http://schemas.microsoft.com/office/drawing/2014/chart" uri="{C3380CC4-5D6E-409C-BE32-E72D297353CC}">
                <c16:uniqueId val="{00000005-7164-462F-9748-93DA04F85A7D}"/>
              </c:ext>
            </c:extLst>
          </c:dPt>
          <c:cat>
            <c:multiLvlStrRef>
              <c:f>'גרף 1'!$G$3:$G$14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1'!$H$3:$H$14</c:f>
              <c:numCache>
                <c:formatCode>General</c:formatCode>
                <c:ptCount val="9"/>
                <c:pt idx="0">
                  <c:v>47.538175828704922</c:v>
                </c:pt>
                <c:pt idx="1">
                  <c:v>24.742823519951543</c:v>
                </c:pt>
                <c:pt idx="2">
                  <c:v>12.346153461312346</c:v>
                </c:pt>
                <c:pt idx="3">
                  <c:v>-21.752485331078248</c:v>
                </c:pt>
                <c:pt idx="4">
                  <c:v>2.2181547778088726</c:v>
                </c:pt>
                <c:pt idx="5">
                  <c:v>-7.3982156446260179</c:v>
                </c:pt>
                <c:pt idx="6">
                  <c:v>2.2592918906067778</c:v>
                </c:pt>
                <c:pt idx="7">
                  <c:v>3.3450637721033449</c:v>
                </c:pt>
                <c:pt idx="8">
                  <c:v>22.294897609022296</c:v>
                </c:pt>
              </c:numCache>
            </c:numRef>
          </c:val>
          <c:smooth val="0"/>
          <c:extLst>
            <c:ext xmlns:c16="http://schemas.microsoft.com/office/drawing/2014/chart" uri="{C3380CC4-5D6E-409C-BE32-E72D297353CC}">
              <c16:uniqueId val="{00000006-7164-462F-9748-93DA04F85A7D}"/>
            </c:ext>
          </c:extLst>
        </c:ser>
        <c:ser>
          <c:idx val="1"/>
          <c:order val="1"/>
          <c:tx>
            <c:strRef>
              <c:f>'גרף 1'!$I$1:$I$2</c:f>
              <c:strCache>
                <c:ptCount val="1"/>
                <c:pt idx="0">
                  <c:v>עסקים - סך הכל</c:v>
                </c:pt>
              </c:strCache>
            </c:strRef>
          </c:tx>
          <c:spPr>
            <a:ln w="28575" cap="rnd">
              <a:solidFill>
                <a:srgbClr val="6C63FF"/>
              </a:solidFill>
              <a:round/>
            </a:ln>
            <a:effectLst/>
          </c:spPr>
          <c:marker>
            <c:symbol val="circle"/>
            <c:size val="5"/>
            <c:spPr>
              <a:solidFill>
                <a:srgbClr val="6C63FF"/>
              </a:solidFill>
              <a:ln w="9525">
                <a:noFill/>
              </a:ln>
              <a:effectLst/>
            </c:spPr>
          </c:marker>
          <c:dPt>
            <c:idx val="6"/>
            <c:marker>
              <c:symbol val="circle"/>
              <c:size val="5"/>
              <c:spPr>
                <a:solidFill>
                  <a:srgbClr val="6C63FF"/>
                </a:solidFill>
                <a:ln w="9525">
                  <a:noFill/>
                </a:ln>
                <a:effectLst/>
              </c:spPr>
            </c:marker>
            <c:bubble3D val="0"/>
            <c:spPr>
              <a:ln w="28575" cap="rnd">
                <a:solidFill>
                  <a:srgbClr val="6C63FF"/>
                </a:solidFill>
                <a:prstDash val="solid"/>
                <a:round/>
              </a:ln>
              <a:effectLst/>
            </c:spPr>
            <c:extLst>
              <c:ext xmlns:c16="http://schemas.microsoft.com/office/drawing/2014/chart" uri="{C3380CC4-5D6E-409C-BE32-E72D297353CC}">
                <c16:uniqueId val="{00000008-7164-462F-9748-93DA04F85A7D}"/>
              </c:ext>
            </c:extLst>
          </c:dPt>
          <c:dPt>
            <c:idx val="7"/>
            <c:marker>
              <c:symbol val="circle"/>
              <c:size val="5"/>
              <c:spPr>
                <a:solidFill>
                  <a:srgbClr val="6C63FF"/>
                </a:solidFill>
                <a:ln w="9525">
                  <a:noFill/>
                </a:ln>
                <a:effectLst/>
              </c:spPr>
            </c:marker>
            <c:bubble3D val="0"/>
            <c:spPr>
              <a:ln w="28575" cap="rnd">
                <a:solidFill>
                  <a:srgbClr val="6C63FF"/>
                </a:solidFill>
                <a:round/>
              </a:ln>
              <a:effectLst/>
            </c:spPr>
            <c:extLst>
              <c:ext xmlns:c16="http://schemas.microsoft.com/office/drawing/2014/chart" uri="{C3380CC4-5D6E-409C-BE32-E72D297353CC}">
                <c16:uniqueId val="{0000000A-7164-462F-9748-93DA04F85A7D}"/>
              </c:ext>
            </c:extLst>
          </c:dPt>
          <c:dPt>
            <c:idx val="8"/>
            <c:marker>
              <c:symbol val="circle"/>
              <c:size val="5"/>
              <c:spPr>
                <a:solidFill>
                  <a:srgbClr val="6C63FF"/>
                </a:solidFill>
                <a:ln w="9525">
                  <a:noFill/>
                </a:ln>
                <a:effectLst/>
              </c:spPr>
            </c:marker>
            <c:bubble3D val="0"/>
            <c:spPr>
              <a:ln w="28575" cap="rnd">
                <a:solidFill>
                  <a:srgbClr val="6C63FF"/>
                </a:solidFill>
                <a:prstDash val="dash"/>
                <a:round/>
              </a:ln>
              <a:effectLst/>
            </c:spPr>
            <c:extLst>
              <c:ext xmlns:c16="http://schemas.microsoft.com/office/drawing/2014/chart" uri="{C3380CC4-5D6E-409C-BE32-E72D297353CC}">
                <c16:uniqueId val="{0000000C-7164-462F-9748-93DA04F85A7D}"/>
              </c:ext>
            </c:extLst>
          </c:dPt>
          <c:cat>
            <c:multiLvlStrRef>
              <c:f>'גרף 1'!$G$3:$G$14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1'!$I$3:$I$14</c:f>
              <c:numCache>
                <c:formatCode>General</c:formatCode>
                <c:ptCount val="9"/>
                <c:pt idx="0">
                  <c:v>0</c:v>
                </c:pt>
                <c:pt idx="1">
                  <c:v>0</c:v>
                </c:pt>
                <c:pt idx="2">
                  <c:v>0.54262305339565897</c:v>
                </c:pt>
                <c:pt idx="3">
                  <c:v>-25.643322936823068</c:v>
                </c:pt>
                <c:pt idx="4">
                  <c:v>29.102099511116407</c:v>
                </c:pt>
                <c:pt idx="5">
                  <c:v>29.098030177116392</c:v>
                </c:pt>
                <c:pt idx="6">
                  <c:v>-20.658306828206584</c:v>
                </c:pt>
                <c:pt idx="7">
                  <c:v>-17.180329413162557</c:v>
                </c:pt>
                <c:pt idx="8">
                  <c:v>-7.4552650094403576</c:v>
                </c:pt>
              </c:numCache>
            </c:numRef>
          </c:val>
          <c:smooth val="0"/>
          <c:extLst>
            <c:ext xmlns:c16="http://schemas.microsoft.com/office/drawing/2014/chart" uri="{C3380CC4-5D6E-409C-BE32-E72D297353CC}">
              <c16:uniqueId val="{0000000D-7164-462F-9748-93DA04F85A7D}"/>
            </c:ext>
          </c:extLst>
        </c:ser>
        <c:ser>
          <c:idx val="2"/>
          <c:order val="2"/>
          <c:tx>
            <c:strRef>
              <c:f>'גרף 1'!$J$1:$J$2</c:f>
              <c:strCache>
                <c:ptCount val="1"/>
                <c:pt idx="0">
                  <c:v>צרכני</c:v>
                </c:pt>
              </c:strCache>
            </c:strRef>
          </c:tx>
          <c:spPr>
            <a:ln w="28575" cap="rnd">
              <a:solidFill>
                <a:srgbClr val="D98D25"/>
              </a:solidFill>
              <a:round/>
            </a:ln>
            <a:effectLst/>
          </c:spPr>
          <c:marker>
            <c:symbol val="circle"/>
            <c:size val="5"/>
            <c:spPr>
              <a:solidFill>
                <a:srgbClr val="D98D25"/>
              </a:solidFill>
              <a:ln w="9525">
                <a:noFill/>
              </a:ln>
              <a:effectLst/>
            </c:spPr>
          </c:marker>
          <c:dPt>
            <c:idx val="6"/>
            <c:marker>
              <c:symbol val="circle"/>
              <c:size val="5"/>
              <c:spPr>
                <a:solidFill>
                  <a:srgbClr val="D98D25"/>
                </a:solidFill>
                <a:ln w="9525">
                  <a:noFill/>
                </a:ln>
                <a:effectLst/>
              </c:spPr>
            </c:marker>
            <c:bubble3D val="0"/>
            <c:spPr>
              <a:ln w="28575" cap="rnd">
                <a:solidFill>
                  <a:srgbClr val="D98D25"/>
                </a:solidFill>
                <a:prstDash val="solid"/>
                <a:round/>
              </a:ln>
              <a:effectLst/>
            </c:spPr>
            <c:extLst>
              <c:ext xmlns:c16="http://schemas.microsoft.com/office/drawing/2014/chart" uri="{C3380CC4-5D6E-409C-BE32-E72D297353CC}">
                <c16:uniqueId val="{0000000F-7164-462F-9748-93DA04F85A7D}"/>
              </c:ext>
            </c:extLst>
          </c:dPt>
          <c:dPt>
            <c:idx val="7"/>
            <c:marker>
              <c:symbol val="circle"/>
              <c:size val="5"/>
              <c:spPr>
                <a:solidFill>
                  <a:srgbClr val="D98D25"/>
                </a:solidFill>
                <a:ln w="9525">
                  <a:noFill/>
                </a:ln>
                <a:effectLst/>
              </c:spPr>
            </c:marker>
            <c:bubble3D val="0"/>
            <c:spPr>
              <a:ln w="28575" cap="rnd">
                <a:solidFill>
                  <a:srgbClr val="D98D25"/>
                </a:solidFill>
                <a:round/>
              </a:ln>
              <a:effectLst/>
            </c:spPr>
            <c:extLst>
              <c:ext xmlns:c16="http://schemas.microsoft.com/office/drawing/2014/chart" uri="{C3380CC4-5D6E-409C-BE32-E72D297353CC}">
                <c16:uniqueId val="{00000011-7164-462F-9748-93DA04F85A7D}"/>
              </c:ext>
            </c:extLst>
          </c:dPt>
          <c:dPt>
            <c:idx val="8"/>
            <c:marker>
              <c:symbol val="circle"/>
              <c:size val="5"/>
              <c:spPr>
                <a:solidFill>
                  <a:srgbClr val="D98D25"/>
                </a:solidFill>
                <a:ln w="9525">
                  <a:noFill/>
                </a:ln>
                <a:effectLst/>
              </c:spPr>
            </c:marker>
            <c:bubble3D val="0"/>
            <c:spPr>
              <a:ln w="28575" cap="rnd">
                <a:solidFill>
                  <a:srgbClr val="D98D25"/>
                </a:solidFill>
                <a:prstDash val="dash"/>
                <a:round/>
              </a:ln>
              <a:effectLst/>
            </c:spPr>
            <c:extLst>
              <c:ext xmlns:c16="http://schemas.microsoft.com/office/drawing/2014/chart" uri="{C3380CC4-5D6E-409C-BE32-E72D297353CC}">
                <c16:uniqueId val="{00000013-7164-462F-9748-93DA04F85A7D}"/>
              </c:ext>
            </c:extLst>
          </c:dPt>
          <c:cat>
            <c:multiLvlStrRef>
              <c:f>'גרף 1'!$G$3:$G$14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1'!$J$3:$J$14</c:f>
              <c:numCache>
                <c:formatCode>General</c:formatCode>
                <c:ptCount val="9"/>
                <c:pt idx="0">
                  <c:v>-25.405358684950812</c:v>
                </c:pt>
                <c:pt idx="1">
                  <c:v>13.135229482573729</c:v>
                </c:pt>
                <c:pt idx="2">
                  <c:v>-3.0185925688909441</c:v>
                </c:pt>
                <c:pt idx="3">
                  <c:v>4.1263618851876211</c:v>
                </c:pt>
                <c:pt idx="4">
                  <c:v>24.913346598424567</c:v>
                </c:pt>
                <c:pt idx="5">
                  <c:v>-29.09676584802542</c:v>
                </c:pt>
                <c:pt idx="6">
                  <c:v>14.158982227915047</c:v>
                </c:pt>
                <c:pt idx="7">
                  <c:v>4.3055964672913891</c:v>
                </c:pt>
                <c:pt idx="8">
                  <c:v>4.3055964672913891</c:v>
                </c:pt>
              </c:numCache>
            </c:numRef>
          </c:val>
          <c:smooth val="0"/>
          <c:extLst>
            <c:ext xmlns:c16="http://schemas.microsoft.com/office/drawing/2014/chart" uri="{C3380CC4-5D6E-409C-BE32-E72D297353CC}">
              <c16:uniqueId val="{00000014-7164-462F-9748-93DA04F85A7D}"/>
            </c:ext>
          </c:extLst>
        </c:ser>
        <c:dLbls>
          <c:showLegendKey val="0"/>
          <c:showVal val="0"/>
          <c:showCatName val="0"/>
          <c:showSerName val="0"/>
          <c:showPercent val="0"/>
          <c:showBubbleSize val="0"/>
        </c:dLbls>
        <c:marker val="1"/>
        <c:smooth val="0"/>
        <c:axId val="765308968"/>
        <c:axId val="765309296"/>
      </c:lineChart>
      <c:catAx>
        <c:axId val="765308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Assistant" panose="00000500000000000000" pitchFamily="2" charset="-79"/>
                <a:ea typeface="+mn-ea"/>
                <a:cs typeface="Assistant" panose="00000500000000000000" pitchFamily="2" charset="-79"/>
              </a:defRPr>
            </a:pPr>
            <a:endParaRPr lang="he-IL"/>
          </a:p>
        </c:txPr>
        <c:crossAx val="765309296"/>
        <c:crossesAt val="-100"/>
        <c:auto val="1"/>
        <c:lblAlgn val="ctr"/>
        <c:lblOffset val="100"/>
        <c:noMultiLvlLbl val="0"/>
      </c:catAx>
      <c:valAx>
        <c:axId val="765309296"/>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765308968"/>
        <c:crosses val="autoZero"/>
        <c:crossBetween val="midCat"/>
      </c:valAx>
      <c:spPr>
        <a:noFill/>
        <a:ln>
          <a:noFill/>
        </a:ln>
        <a:effectLst/>
      </c:spPr>
    </c:plotArea>
    <c:legend>
      <c:legendPos val="b"/>
      <c:layout>
        <c:manualLayout>
          <c:xMode val="edge"/>
          <c:yMode val="edge"/>
          <c:x val="0.10704701525652735"/>
          <c:y val="0.89888123359580052"/>
          <c:w val="0.65537306066827716"/>
          <c:h val="6.4095115600589767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[עותק של עותק של גרפים סקר קציני אשראי (002).xlsx]גרף 1!PivotTable8</c:name>
    <c:fmtId val="-1"/>
  </c:pivotSource>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he-IL" sz="1400">
                <a:solidFill>
                  <a:sysClr val="windowText" lastClr="000000"/>
                </a:solidFill>
                <a:latin typeface="Assistant" panose="00000500000000000000" pitchFamily="2" charset="-79"/>
                <a:cs typeface="Assistant" panose="00000500000000000000" pitchFamily="2" charset="-79"/>
              </a:rPr>
              <a:t>ב. עסקים לפי גודל עסק וענפי הבינוי והנדל"ן</a:t>
            </a:r>
            <a:endParaRPr lang="en-US" sz="1400">
              <a:solidFill>
                <a:sysClr val="windowText" lastClr="000000"/>
              </a:solidFill>
              <a:latin typeface="Assistant" panose="00000500000000000000" pitchFamily="2" charset="-79"/>
              <a:cs typeface="Assistant" panose="00000500000000000000" pitchFamily="2" charset="-79"/>
            </a:endParaRPr>
          </a:p>
        </c:rich>
      </c:tx>
      <c:layout>
        <c:manualLayout>
          <c:xMode val="edge"/>
          <c:yMode val="edge"/>
          <c:x val="0.41695058908711469"/>
          <c:y val="2.622950819672131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he-IL"/>
        </a:p>
      </c:txPr>
    </c:title>
    <c:autoTitleDeleted val="0"/>
    <c:pivotFmts>
      <c:pivotFmt>
        <c:idx val="0"/>
        <c:spPr>
          <a:solidFill>
            <a:schemeClr val="accent1"/>
          </a:solidFill>
          <a:ln w="28575" cap="rnd">
            <a:solidFill>
              <a:srgbClr val="D87585"/>
            </a:solidFill>
            <a:prstDash val="solid"/>
            <a:round/>
          </a:ln>
          <a:effectLst/>
        </c:spPr>
        <c:marker>
          <c:symbol val="circle"/>
          <c:size val="5"/>
          <c:spPr>
            <a:solidFill>
              <a:srgbClr val="D87585"/>
            </a:solidFill>
            <a:ln w="9525">
              <a:solidFill>
                <a:srgbClr val="D87585"/>
              </a:solidFill>
            </a:ln>
            <a:effectLst/>
          </c:spPr>
        </c:marker>
      </c:pivotFmt>
      <c:pivotFmt>
        <c:idx val="1"/>
        <c:spPr>
          <a:solidFill>
            <a:schemeClr val="accent1"/>
          </a:solidFill>
          <a:ln w="28575" cap="rnd">
            <a:solidFill>
              <a:srgbClr val="D87585"/>
            </a:solidFill>
            <a:prstDash val="solid"/>
            <a:round/>
          </a:ln>
          <a:effectLst/>
        </c:spPr>
        <c:marker>
          <c:symbol val="circle"/>
          <c:size val="5"/>
          <c:spPr>
            <a:solidFill>
              <a:srgbClr val="D87585"/>
            </a:solidFill>
            <a:ln w="9525">
              <a:solidFill>
                <a:srgbClr val="D87585"/>
              </a:solidFill>
            </a:ln>
            <a:effectLst/>
          </c:spPr>
        </c:marker>
      </c:pivotFmt>
      <c:pivotFmt>
        <c:idx val="2"/>
        <c:spPr>
          <a:solidFill>
            <a:schemeClr val="accent1"/>
          </a:solidFill>
          <a:ln w="28575" cap="rnd">
            <a:solidFill>
              <a:srgbClr val="6C63FF"/>
            </a:solidFill>
            <a:round/>
          </a:ln>
          <a:effectLst/>
        </c:spPr>
        <c:marker>
          <c:symbol val="circle"/>
          <c:size val="5"/>
          <c:spPr>
            <a:solidFill>
              <a:srgbClr val="6C63FF"/>
            </a:solidFill>
            <a:ln w="9525">
              <a:solidFill>
                <a:srgbClr val="6C63FF"/>
              </a:solidFill>
            </a:ln>
            <a:effectLst/>
          </c:spPr>
        </c:marker>
      </c:pivotFmt>
      <c:pivotFmt>
        <c:idx val="3"/>
        <c:spPr>
          <a:solidFill>
            <a:schemeClr val="accent1"/>
          </a:solidFill>
          <a:ln w="28575" cap="rnd">
            <a:solidFill>
              <a:srgbClr val="6C63FF"/>
            </a:solidFill>
            <a:prstDash val="dash"/>
            <a:round/>
          </a:ln>
          <a:effectLst/>
        </c:spPr>
        <c:marker>
          <c:symbol val="circle"/>
          <c:size val="5"/>
          <c:spPr>
            <a:solidFill>
              <a:srgbClr val="6C63FF"/>
            </a:solidFill>
            <a:ln w="9525">
              <a:solidFill>
                <a:srgbClr val="6C63FF"/>
              </a:solidFill>
              <a:prstDash val="dash"/>
            </a:ln>
            <a:effectLst/>
          </c:spPr>
        </c:marker>
      </c:pivotFmt>
      <c:pivotFmt>
        <c:idx val="4"/>
        <c:spPr>
          <a:solidFill>
            <a:schemeClr val="accent1"/>
          </a:solidFill>
          <a:ln w="28575" cap="rnd">
            <a:solidFill>
              <a:srgbClr val="357C32"/>
            </a:solidFill>
            <a:round/>
          </a:ln>
          <a:effectLst/>
        </c:spPr>
        <c:marker>
          <c:symbol val="circle"/>
          <c:size val="5"/>
          <c:spPr>
            <a:solidFill>
              <a:srgbClr val="357C32"/>
            </a:solidFill>
            <a:ln w="9525">
              <a:solidFill>
                <a:srgbClr val="357C32"/>
              </a:solidFill>
            </a:ln>
            <a:effectLst/>
          </c:spPr>
        </c:marker>
      </c:pivotFmt>
      <c:pivotFmt>
        <c:idx val="5"/>
        <c:spPr>
          <a:solidFill>
            <a:schemeClr val="accent1"/>
          </a:solidFill>
          <a:ln w="28575" cap="rnd">
            <a:solidFill>
              <a:srgbClr val="357C32"/>
            </a:solidFill>
            <a:prstDash val="solid"/>
            <a:round/>
          </a:ln>
          <a:effectLst/>
        </c:spPr>
        <c:marker>
          <c:symbol val="circle"/>
          <c:size val="5"/>
          <c:spPr>
            <a:solidFill>
              <a:srgbClr val="357C32"/>
            </a:solidFill>
            <a:ln w="9525">
              <a:solidFill>
                <a:srgbClr val="357C32"/>
              </a:solidFill>
              <a:prstDash val="dash"/>
            </a:ln>
            <a:effectLst/>
          </c:spPr>
        </c:marker>
      </c:pivotFmt>
      <c:pivotFmt>
        <c:idx val="6"/>
        <c:spPr>
          <a:solidFill>
            <a:schemeClr val="accent1"/>
          </a:solidFill>
          <a:ln w="28575" cap="rnd">
            <a:solidFill>
              <a:srgbClr val="D98D25"/>
            </a:solidFill>
            <a:round/>
          </a:ln>
          <a:effectLst/>
        </c:spPr>
        <c:marker>
          <c:symbol val="circle"/>
          <c:size val="5"/>
          <c:spPr>
            <a:solidFill>
              <a:srgbClr val="D98D25"/>
            </a:solidFill>
            <a:ln w="9525">
              <a:solidFill>
                <a:srgbClr val="D98D25"/>
              </a:solidFill>
            </a:ln>
            <a:effectLst/>
          </c:spPr>
        </c:marker>
      </c:pivotFmt>
      <c:pivotFmt>
        <c:idx val="7"/>
        <c:spPr>
          <a:solidFill>
            <a:schemeClr val="accent1"/>
          </a:solidFill>
          <a:ln w="28575" cap="rnd">
            <a:solidFill>
              <a:srgbClr val="D98D25"/>
            </a:solidFill>
            <a:prstDash val="solid"/>
            <a:round/>
          </a:ln>
          <a:effectLst/>
        </c:spPr>
        <c:marker>
          <c:symbol val="circle"/>
          <c:size val="5"/>
        </c:marker>
      </c:pivotFmt>
      <c:pivotFmt>
        <c:idx val="8"/>
        <c:spPr>
          <a:solidFill>
            <a:schemeClr val="accent1"/>
          </a:solidFill>
          <a:ln w="28575" cap="rnd">
            <a:solidFill>
              <a:srgbClr val="D87585"/>
            </a:solidFill>
            <a:prstDash val="solid"/>
            <a:round/>
          </a:ln>
          <a:effectLst/>
        </c:spPr>
        <c:marker>
          <c:symbol val="circle"/>
          <c:size val="5"/>
          <c:spPr>
            <a:solidFill>
              <a:srgbClr val="D87585"/>
            </a:solidFill>
            <a:ln w="9525">
              <a:solidFill>
                <a:srgbClr val="D87585"/>
              </a:solidFill>
            </a:ln>
            <a:effectLst/>
          </c:spPr>
        </c:marker>
      </c:pivotFmt>
      <c:pivotFmt>
        <c:idx val="9"/>
        <c:spPr>
          <a:solidFill>
            <a:schemeClr val="accent1"/>
          </a:solidFill>
          <a:ln w="28575" cap="rnd">
            <a:solidFill>
              <a:srgbClr val="008DA3"/>
            </a:solidFill>
            <a:prstDash val="solid"/>
            <a:round/>
          </a:ln>
          <a:effectLst/>
        </c:spPr>
        <c:marker>
          <c:symbol val="circle"/>
          <c:size val="5"/>
          <c:spPr>
            <a:solidFill>
              <a:srgbClr val="008DA3"/>
            </a:solidFill>
            <a:ln w="9525">
              <a:solidFill>
                <a:srgbClr val="008DA3"/>
              </a:solidFill>
            </a:ln>
            <a:effectLst/>
          </c:spPr>
        </c:marker>
      </c:pivotFmt>
      <c:pivotFmt>
        <c:idx val="10"/>
        <c:spPr>
          <a:solidFill>
            <a:schemeClr val="accent1"/>
          </a:solidFill>
          <a:ln w="28575" cap="rnd">
            <a:solidFill>
              <a:srgbClr val="008DA3"/>
            </a:solidFill>
            <a:round/>
          </a:ln>
          <a:effectLst/>
        </c:spPr>
        <c:marker>
          <c:symbol val="circle"/>
          <c:size val="5"/>
          <c:spPr>
            <a:solidFill>
              <a:srgbClr val="008DA3"/>
            </a:solidFill>
            <a:ln w="9525">
              <a:solidFill>
                <a:srgbClr val="008DA3"/>
              </a:solidFill>
            </a:ln>
            <a:effectLst/>
          </c:spPr>
        </c:marker>
      </c:pivotFmt>
      <c:pivotFmt>
        <c:idx val="11"/>
        <c:spPr>
          <a:solidFill>
            <a:schemeClr val="accent1"/>
          </a:solidFill>
          <a:ln w="28575" cap="rnd">
            <a:solidFill>
              <a:srgbClr val="D87585"/>
            </a:solidFill>
            <a:prstDash val="solid"/>
            <a:round/>
          </a:ln>
          <a:effectLst/>
        </c:spPr>
        <c:marker>
          <c:symbol val="circle"/>
          <c:size val="5"/>
          <c:spPr>
            <a:solidFill>
              <a:srgbClr val="D87585"/>
            </a:solidFill>
            <a:ln w="9525">
              <a:solidFill>
                <a:srgbClr val="D87585"/>
              </a:solidFill>
            </a:ln>
            <a:effectLst/>
          </c:spPr>
        </c:marker>
      </c:pivotFmt>
      <c:pivotFmt>
        <c:idx val="12"/>
        <c:spPr>
          <a:solidFill>
            <a:schemeClr val="accent1"/>
          </a:solidFill>
          <a:ln w="28575" cap="rnd">
            <a:solidFill>
              <a:srgbClr val="D98D25"/>
            </a:solidFill>
            <a:prstDash val="solid"/>
            <a:round/>
          </a:ln>
          <a:effectLst/>
        </c:spPr>
        <c:marker>
          <c:symbol val="circle"/>
          <c:size val="5"/>
          <c:spPr>
            <a:solidFill>
              <a:srgbClr val="D98D25"/>
            </a:solidFill>
            <a:ln w="9525">
              <a:solidFill>
                <a:srgbClr val="D98D25"/>
              </a:solidFill>
            </a:ln>
            <a:effectLst/>
          </c:spPr>
        </c:marker>
      </c:pivotFmt>
      <c:pivotFmt>
        <c:idx val="13"/>
        <c:spPr>
          <a:solidFill>
            <a:schemeClr val="accent1"/>
          </a:solidFill>
          <a:ln w="28575" cap="rnd">
            <a:solidFill>
              <a:srgbClr val="008DA3"/>
            </a:solidFill>
            <a:prstDash val="solid"/>
            <a:round/>
          </a:ln>
          <a:effectLst/>
        </c:spPr>
        <c:marker>
          <c:symbol val="circle"/>
          <c:size val="5"/>
          <c:spPr>
            <a:solidFill>
              <a:srgbClr val="008DA3"/>
            </a:solidFill>
            <a:ln w="9525">
              <a:solidFill>
                <a:srgbClr val="008DA3"/>
              </a:solidFill>
            </a:ln>
            <a:effectLst/>
          </c:spPr>
        </c:marker>
      </c:pivotFmt>
      <c:pivotFmt>
        <c:idx val="14"/>
        <c:spPr>
          <a:solidFill>
            <a:schemeClr val="accent1"/>
          </a:solidFill>
          <a:ln w="28575" cap="rnd">
            <a:solidFill>
              <a:srgbClr val="357C32"/>
            </a:solidFill>
            <a:prstDash val="solid"/>
            <a:round/>
          </a:ln>
          <a:effectLst/>
        </c:spPr>
        <c:marker>
          <c:symbol val="circle"/>
          <c:size val="5"/>
          <c:spPr>
            <a:solidFill>
              <a:srgbClr val="357C32"/>
            </a:solidFill>
            <a:ln w="9525">
              <a:solidFill>
                <a:srgbClr val="357C32"/>
              </a:solidFill>
            </a:ln>
            <a:effectLst/>
          </c:spPr>
        </c:marker>
      </c:pivotFmt>
      <c:pivotFmt>
        <c:idx val="15"/>
        <c:spPr>
          <a:solidFill>
            <a:schemeClr val="accent1"/>
          </a:solidFill>
          <a:ln w="28575" cap="rnd">
            <a:solidFill>
              <a:srgbClr val="002060"/>
            </a:solidFill>
            <a:prstDash val="solid"/>
            <a:round/>
          </a:ln>
          <a:effectLst/>
        </c:spPr>
        <c:marker>
          <c:symbol val="circle"/>
          <c:size val="5"/>
          <c:spPr>
            <a:solidFill>
              <a:srgbClr val="002060"/>
            </a:solidFill>
            <a:ln w="9525">
              <a:solidFill>
                <a:srgbClr val="002060"/>
              </a:solidFill>
            </a:ln>
            <a:effectLst/>
          </c:spPr>
        </c:marker>
      </c:pivotFmt>
      <c:pivotFmt>
        <c:idx val="16"/>
        <c:spPr>
          <a:solidFill>
            <a:schemeClr val="accent1"/>
          </a:solidFill>
          <a:ln w="28575" cap="rnd">
            <a:solidFill>
              <a:srgbClr val="002060"/>
            </a:solidFill>
            <a:round/>
          </a:ln>
          <a:effectLst/>
        </c:spPr>
        <c:marker>
          <c:symbol val="circle"/>
          <c:size val="5"/>
          <c:spPr>
            <a:solidFill>
              <a:srgbClr val="002060"/>
            </a:solidFill>
            <a:ln w="9525">
              <a:solidFill>
                <a:srgbClr val="002060"/>
              </a:solidFill>
            </a:ln>
            <a:effectLst/>
          </c:spPr>
        </c:marker>
      </c:pivotFmt>
      <c:pivotFmt>
        <c:idx val="17"/>
        <c:spPr>
          <a:solidFill>
            <a:schemeClr val="accent1"/>
          </a:solidFill>
          <a:ln w="28575" cap="rnd">
            <a:solidFill>
              <a:srgbClr val="002060"/>
            </a:solidFill>
            <a:round/>
          </a:ln>
          <a:effectLst/>
        </c:spPr>
        <c:marker>
          <c:symbol val="circle"/>
          <c:size val="5"/>
          <c:spPr>
            <a:solidFill>
              <a:srgbClr val="002060"/>
            </a:solidFill>
            <a:ln w="9525">
              <a:solidFill>
                <a:srgbClr val="002060"/>
              </a:solidFill>
            </a:ln>
            <a:effectLst/>
          </c:spPr>
        </c:marker>
      </c:pivotFmt>
      <c:pivotFmt>
        <c:idx val="18"/>
        <c:spPr>
          <a:solidFill>
            <a:schemeClr val="accent1"/>
          </a:solidFill>
          <a:ln w="28575" cap="rnd">
            <a:solidFill>
              <a:srgbClr val="D87585"/>
            </a:solidFill>
            <a:prstDash val="solid"/>
            <a:round/>
          </a:ln>
          <a:effectLst/>
        </c:spPr>
        <c:marker>
          <c:symbol val="circle"/>
          <c:size val="5"/>
          <c:spPr>
            <a:solidFill>
              <a:srgbClr val="D87585"/>
            </a:solidFill>
            <a:ln w="9525">
              <a:solidFill>
                <a:srgbClr val="D87585"/>
              </a:solidFill>
            </a:ln>
            <a:effectLst/>
          </c:spPr>
        </c:marker>
      </c:pivotFmt>
      <c:pivotFmt>
        <c:idx val="19"/>
        <c:spPr>
          <a:solidFill>
            <a:schemeClr val="accent1"/>
          </a:solidFill>
          <a:ln w="28575" cap="rnd">
            <a:solidFill>
              <a:srgbClr val="002060"/>
            </a:solidFill>
            <a:round/>
          </a:ln>
          <a:effectLst/>
        </c:spPr>
        <c:marker>
          <c:symbol val="circle"/>
          <c:size val="5"/>
          <c:spPr>
            <a:solidFill>
              <a:srgbClr val="002060"/>
            </a:solidFill>
            <a:ln w="9525">
              <a:solidFill>
                <a:srgbClr val="002060"/>
              </a:solidFill>
            </a:ln>
            <a:effectLst/>
          </c:spPr>
        </c:marker>
      </c:pivotFmt>
      <c:pivotFmt>
        <c:idx val="20"/>
        <c:spPr>
          <a:solidFill>
            <a:schemeClr val="accent1"/>
          </a:solidFill>
          <a:ln w="28575" cap="rnd">
            <a:solidFill>
              <a:srgbClr val="008DA3"/>
            </a:solidFill>
            <a:round/>
          </a:ln>
          <a:effectLst/>
        </c:spPr>
        <c:marker>
          <c:symbol val="circle"/>
          <c:size val="5"/>
          <c:spPr>
            <a:solidFill>
              <a:srgbClr val="008DA3"/>
            </a:solidFill>
            <a:ln w="9525">
              <a:solidFill>
                <a:srgbClr val="008DA3"/>
              </a:solidFill>
            </a:ln>
            <a:effectLst/>
          </c:spPr>
        </c:marker>
      </c:pivotFmt>
      <c:pivotFmt>
        <c:idx val="21"/>
        <c:spPr>
          <a:solidFill>
            <a:schemeClr val="accent1"/>
          </a:solidFill>
          <a:ln w="28575" cap="rnd">
            <a:solidFill>
              <a:srgbClr val="357C32"/>
            </a:solidFill>
            <a:round/>
          </a:ln>
          <a:effectLst/>
        </c:spPr>
        <c:marker>
          <c:symbol val="circle"/>
          <c:size val="5"/>
          <c:spPr>
            <a:solidFill>
              <a:srgbClr val="357C32"/>
            </a:solidFill>
            <a:ln w="9525">
              <a:solidFill>
                <a:srgbClr val="357C32"/>
              </a:solidFill>
            </a:ln>
            <a:effectLst/>
          </c:spPr>
        </c:marker>
      </c:pivotFmt>
      <c:pivotFmt>
        <c:idx val="22"/>
        <c:spPr>
          <a:solidFill>
            <a:schemeClr val="accent1"/>
          </a:solidFill>
          <a:ln w="28575" cap="rnd">
            <a:solidFill>
              <a:srgbClr val="D98D25"/>
            </a:solidFill>
            <a:round/>
          </a:ln>
          <a:effectLst/>
        </c:spPr>
        <c:marker>
          <c:symbol val="circle"/>
          <c:size val="5"/>
          <c:spPr>
            <a:solidFill>
              <a:srgbClr val="D98D25"/>
            </a:solidFill>
            <a:ln w="9525">
              <a:solidFill>
                <a:srgbClr val="D98D25"/>
              </a:solidFill>
            </a:ln>
            <a:effectLst/>
          </c:spPr>
        </c:marker>
      </c:pivotFmt>
      <c:pivotFmt>
        <c:idx val="23"/>
        <c:spPr>
          <a:solidFill>
            <a:schemeClr val="accent1"/>
          </a:solidFill>
          <a:ln w="28575" cap="rnd">
            <a:solidFill>
              <a:srgbClr val="002060"/>
            </a:solidFill>
            <a:prstDash val="solid"/>
            <a:round/>
          </a:ln>
          <a:effectLst/>
        </c:spPr>
        <c:marker>
          <c:symbol val="circle"/>
          <c:size val="5"/>
          <c:spPr>
            <a:solidFill>
              <a:srgbClr val="002060"/>
            </a:solidFill>
            <a:ln w="9525">
              <a:solidFill>
                <a:srgbClr val="002060"/>
              </a:solidFill>
            </a:ln>
            <a:effectLst/>
          </c:spPr>
        </c:marker>
      </c:pivotFmt>
      <c:pivotFmt>
        <c:idx val="24"/>
        <c:spPr>
          <a:solidFill>
            <a:schemeClr val="accent1"/>
          </a:solidFill>
          <a:ln w="28575" cap="rnd">
            <a:solidFill>
              <a:srgbClr val="357C32"/>
            </a:solidFill>
            <a:prstDash val="solid"/>
            <a:round/>
          </a:ln>
          <a:effectLst/>
        </c:spPr>
        <c:marker>
          <c:symbol val="circle"/>
          <c:size val="5"/>
          <c:spPr>
            <a:solidFill>
              <a:srgbClr val="357C32"/>
            </a:solidFill>
            <a:ln w="9525">
              <a:solidFill>
                <a:srgbClr val="357C32"/>
              </a:solidFill>
            </a:ln>
            <a:effectLst/>
          </c:spPr>
        </c:marker>
      </c:pivotFmt>
      <c:pivotFmt>
        <c:idx val="25"/>
        <c:spPr>
          <a:solidFill>
            <a:schemeClr val="accent1"/>
          </a:solidFill>
          <a:ln w="28575" cap="rnd">
            <a:solidFill>
              <a:srgbClr val="D98D25"/>
            </a:solidFill>
            <a:prstDash val="solid"/>
            <a:round/>
          </a:ln>
          <a:effectLst/>
        </c:spPr>
        <c:marker>
          <c:symbol val="circle"/>
          <c:size val="5"/>
          <c:spPr>
            <a:solidFill>
              <a:srgbClr val="D98D25"/>
            </a:solidFill>
            <a:ln w="9525">
              <a:solidFill>
                <a:srgbClr val="D98D25"/>
              </a:solidFill>
            </a:ln>
            <a:effectLst/>
          </c:spPr>
        </c:marker>
      </c:pivotFmt>
      <c:pivotFmt>
        <c:idx val="26"/>
        <c:spPr>
          <a:solidFill>
            <a:schemeClr val="accent1"/>
          </a:solidFill>
          <a:ln w="28575" cap="rnd">
            <a:solidFill>
              <a:srgbClr val="008DA3"/>
            </a:solidFill>
            <a:prstDash val="solid"/>
            <a:round/>
          </a:ln>
          <a:effectLst/>
        </c:spPr>
        <c:marker>
          <c:symbol val="circle"/>
          <c:size val="5"/>
          <c:spPr>
            <a:solidFill>
              <a:srgbClr val="008DA3"/>
            </a:solidFill>
            <a:ln w="9525">
              <a:solidFill>
                <a:srgbClr val="008DA3"/>
              </a:solidFill>
            </a:ln>
            <a:effectLst/>
          </c:spPr>
        </c:marker>
      </c:pivotFmt>
      <c:pivotFmt>
        <c:idx val="27"/>
        <c:spPr>
          <a:solidFill>
            <a:schemeClr val="accent1"/>
          </a:solidFill>
          <a:ln w="28575" cap="rnd">
            <a:solidFill>
              <a:srgbClr val="D87585"/>
            </a:solidFill>
            <a:prstDash val="solid"/>
            <a:round/>
          </a:ln>
          <a:effectLst/>
        </c:spPr>
        <c:marker>
          <c:symbol val="circle"/>
          <c:size val="5"/>
          <c:spPr>
            <a:solidFill>
              <a:srgbClr val="D87585"/>
            </a:solidFill>
            <a:ln w="9525">
              <a:solidFill>
                <a:srgbClr val="D87585"/>
              </a:solidFill>
            </a:ln>
            <a:effectLst/>
          </c:spPr>
        </c:marker>
      </c:pivotFmt>
      <c:pivotFmt>
        <c:idx val="28"/>
        <c:spPr>
          <a:solidFill>
            <a:schemeClr val="accent1"/>
          </a:solidFill>
          <a:ln w="28575" cap="rnd">
            <a:solidFill>
              <a:srgbClr val="D98D25"/>
            </a:solidFill>
            <a:prstDash val="dash"/>
            <a:round/>
          </a:ln>
          <a:effectLst/>
        </c:spPr>
        <c:marker>
          <c:symbol val="circle"/>
          <c:size val="5"/>
          <c:spPr>
            <a:solidFill>
              <a:srgbClr val="D98D25"/>
            </a:solidFill>
            <a:ln w="9525">
              <a:solidFill>
                <a:srgbClr val="D98D25"/>
              </a:solidFill>
            </a:ln>
            <a:effectLst/>
          </c:spPr>
        </c:marker>
      </c:pivotFmt>
      <c:pivotFmt>
        <c:idx val="29"/>
        <c:spPr>
          <a:solidFill>
            <a:schemeClr val="accent1"/>
          </a:solidFill>
          <a:ln w="28575" cap="rnd">
            <a:solidFill>
              <a:srgbClr val="357C32"/>
            </a:solidFill>
            <a:prstDash val="dash"/>
            <a:round/>
          </a:ln>
          <a:effectLst/>
        </c:spPr>
        <c:marker>
          <c:symbol val="circle"/>
          <c:size val="5"/>
          <c:spPr>
            <a:solidFill>
              <a:srgbClr val="357C32"/>
            </a:solidFill>
            <a:ln w="9525">
              <a:solidFill>
                <a:srgbClr val="357C32"/>
              </a:solidFill>
            </a:ln>
            <a:effectLst/>
          </c:spPr>
        </c:marker>
      </c:pivotFmt>
      <c:pivotFmt>
        <c:idx val="30"/>
        <c:spPr>
          <a:solidFill>
            <a:schemeClr val="accent1"/>
          </a:solidFill>
          <a:ln w="28575" cap="rnd">
            <a:solidFill>
              <a:srgbClr val="002060"/>
            </a:solidFill>
            <a:prstDash val="dash"/>
            <a:round/>
          </a:ln>
          <a:effectLst/>
        </c:spPr>
        <c:marker>
          <c:symbol val="circle"/>
          <c:size val="5"/>
          <c:spPr>
            <a:solidFill>
              <a:srgbClr val="002060"/>
            </a:solidFill>
            <a:ln w="9525">
              <a:solidFill>
                <a:srgbClr val="002060"/>
              </a:solidFill>
            </a:ln>
            <a:effectLst/>
          </c:spPr>
        </c:marker>
      </c:pivotFmt>
      <c:pivotFmt>
        <c:idx val="31"/>
        <c:spPr>
          <a:solidFill>
            <a:schemeClr val="accent1"/>
          </a:solidFill>
          <a:ln w="28575" cap="rnd">
            <a:solidFill>
              <a:srgbClr val="008DA3"/>
            </a:solidFill>
            <a:prstDash val="dash"/>
            <a:round/>
          </a:ln>
          <a:effectLst/>
        </c:spPr>
        <c:marker>
          <c:symbol val="circle"/>
          <c:size val="5"/>
          <c:spPr>
            <a:solidFill>
              <a:srgbClr val="008DA3"/>
            </a:solidFill>
            <a:ln w="9525">
              <a:solidFill>
                <a:srgbClr val="008DA3"/>
              </a:solidFill>
            </a:ln>
            <a:effectLst/>
          </c:spPr>
        </c:marker>
      </c:pivotFmt>
      <c:pivotFmt>
        <c:idx val="32"/>
        <c:spPr>
          <a:solidFill>
            <a:schemeClr val="accent1"/>
          </a:solidFill>
          <a:ln w="28575" cap="rnd">
            <a:solidFill>
              <a:srgbClr val="D87585"/>
            </a:solidFill>
            <a:prstDash val="dash"/>
            <a:round/>
          </a:ln>
          <a:effectLst/>
        </c:spPr>
        <c:marker>
          <c:symbol val="circle"/>
          <c:size val="5"/>
          <c:spPr>
            <a:solidFill>
              <a:srgbClr val="D87585"/>
            </a:solidFill>
            <a:ln w="9525">
              <a:solidFill>
                <a:srgbClr val="D87585"/>
              </a:solidFill>
            </a:ln>
            <a:effectLst/>
          </c:spPr>
        </c:marker>
      </c:pivotFmt>
      <c:pivotFmt>
        <c:idx val="33"/>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34"/>
        <c:spPr>
          <a:solidFill>
            <a:schemeClr val="accent1"/>
          </a:solidFill>
          <a:ln w="28575" cap="rnd">
            <a:solidFill>
              <a:srgbClr val="D98D25"/>
            </a:solidFill>
            <a:prstDash val="solid"/>
            <a:round/>
          </a:ln>
          <a:effectLst/>
        </c:spPr>
        <c:marker>
          <c:symbol val="circle"/>
          <c:size val="5"/>
          <c:spPr>
            <a:solidFill>
              <a:srgbClr val="D98D25"/>
            </a:solidFill>
            <a:ln w="9525">
              <a:noFill/>
            </a:ln>
            <a:effectLst/>
          </c:spPr>
        </c:marker>
      </c:pivotFmt>
      <c:pivotFmt>
        <c:idx val="35"/>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36"/>
        <c:spPr>
          <a:solidFill>
            <a:schemeClr val="accent1"/>
          </a:solidFill>
          <a:ln w="28575" cap="rnd">
            <a:solidFill>
              <a:srgbClr val="008DA3"/>
            </a:solidFill>
            <a:prstDash val="solid"/>
            <a:round/>
          </a:ln>
          <a:effectLst/>
        </c:spPr>
        <c:marker>
          <c:symbol val="circle"/>
          <c:size val="5"/>
          <c:spPr>
            <a:solidFill>
              <a:srgbClr val="008DA3"/>
            </a:solidFill>
            <a:ln w="9525">
              <a:noFill/>
            </a:ln>
            <a:effectLst/>
          </c:spPr>
        </c:marker>
      </c:pivotFmt>
      <c:pivotFmt>
        <c:idx val="37"/>
        <c:spPr>
          <a:solidFill>
            <a:schemeClr val="accent1"/>
          </a:solidFill>
          <a:ln w="28575" cap="rnd">
            <a:solidFill>
              <a:srgbClr val="357C32"/>
            </a:solidFill>
            <a:round/>
          </a:ln>
          <a:effectLst/>
        </c:spPr>
        <c:marker>
          <c:symbol val="circle"/>
          <c:size val="5"/>
          <c:spPr>
            <a:solidFill>
              <a:srgbClr val="357C32"/>
            </a:solidFill>
            <a:ln w="9525">
              <a:noFill/>
            </a:ln>
            <a:effectLst/>
          </c:spPr>
        </c:marker>
      </c:pivotFmt>
      <c:pivotFmt>
        <c:idx val="38"/>
        <c:spPr>
          <a:solidFill>
            <a:schemeClr val="accent1"/>
          </a:solidFill>
          <a:ln w="28575" cap="rnd">
            <a:solidFill>
              <a:srgbClr val="357C32"/>
            </a:solidFill>
            <a:prstDash val="solid"/>
            <a:round/>
          </a:ln>
          <a:effectLst/>
        </c:spPr>
        <c:marker>
          <c:symbol val="circle"/>
          <c:size val="5"/>
          <c:spPr>
            <a:solidFill>
              <a:srgbClr val="357C32"/>
            </a:solidFill>
            <a:ln w="9525">
              <a:noFill/>
            </a:ln>
            <a:effectLst/>
          </c:spPr>
        </c:marker>
      </c:pivotFmt>
      <c:pivotFmt>
        <c:idx val="39"/>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40"/>
        <c:spPr>
          <a:solidFill>
            <a:schemeClr val="accent1"/>
          </a:solidFill>
          <a:ln w="28575" cap="rnd">
            <a:solidFill>
              <a:srgbClr val="D87585"/>
            </a:solidFill>
            <a:prstDash val="solid"/>
            <a:round/>
          </a:ln>
          <a:effectLst/>
        </c:spPr>
        <c:marker>
          <c:symbol val="circle"/>
          <c:size val="5"/>
          <c:spPr>
            <a:solidFill>
              <a:srgbClr val="D87585"/>
            </a:solidFill>
            <a:ln w="9525">
              <a:noFill/>
            </a:ln>
            <a:effectLst/>
          </c:spPr>
        </c:marker>
      </c:pivotFmt>
      <c:pivotFmt>
        <c:idx val="41"/>
        <c:spPr>
          <a:solidFill>
            <a:schemeClr val="accent1"/>
          </a:solidFill>
          <a:ln w="28575" cap="rnd">
            <a:solidFill>
              <a:srgbClr val="002060"/>
            </a:solidFill>
            <a:round/>
          </a:ln>
          <a:effectLst/>
        </c:spPr>
        <c:marker>
          <c:symbol val="circle"/>
          <c:size val="5"/>
          <c:spPr>
            <a:solidFill>
              <a:srgbClr val="002060"/>
            </a:solidFill>
            <a:ln w="9525">
              <a:noFill/>
            </a:ln>
            <a:effectLst/>
          </c:spPr>
        </c:marker>
      </c:pivotFmt>
      <c:pivotFmt>
        <c:idx val="42"/>
        <c:spPr>
          <a:solidFill>
            <a:schemeClr val="accent1"/>
          </a:solidFill>
          <a:ln w="28575" cap="rnd">
            <a:solidFill>
              <a:srgbClr val="002060"/>
            </a:solidFill>
            <a:prstDash val="solid"/>
            <a:round/>
          </a:ln>
          <a:effectLst/>
        </c:spPr>
        <c:marker>
          <c:symbol val="circle"/>
          <c:size val="5"/>
          <c:spPr>
            <a:solidFill>
              <a:srgbClr val="002060"/>
            </a:solidFill>
            <a:ln w="9525">
              <a:noFill/>
            </a:ln>
            <a:effectLst/>
          </c:spPr>
        </c:marker>
      </c:pivotFmt>
      <c:pivotFmt>
        <c:idx val="43"/>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44"/>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45"/>
        <c:spPr>
          <a:solidFill>
            <a:schemeClr val="accent1"/>
          </a:solidFill>
          <a:ln w="28575" cap="rnd">
            <a:solidFill>
              <a:srgbClr val="357C32"/>
            </a:solidFill>
            <a:round/>
          </a:ln>
          <a:effectLst/>
        </c:spPr>
        <c:marker>
          <c:symbol val="circle"/>
          <c:size val="5"/>
          <c:spPr>
            <a:solidFill>
              <a:srgbClr val="357C32"/>
            </a:solidFill>
            <a:ln w="9525">
              <a:noFill/>
            </a:ln>
            <a:effectLst/>
          </c:spPr>
        </c:marker>
      </c:pivotFmt>
      <c:pivotFmt>
        <c:idx val="46"/>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47"/>
        <c:spPr>
          <a:solidFill>
            <a:schemeClr val="accent1"/>
          </a:solidFill>
          <a:ln w="28575" cap="rnd">
            <a:solidFill>
              <a:srgbClr val="002060"/>
            </a:solidFill>
            <a:round/>
          </a:ln>
          <a:effectLst/>
        </c:spPr>
        <c:marker>
          <c:symbol val="circle"/>
          <c:size val="5"/>
          <c:spPr>
            <a:solidFill>
              <a:srgbClr val="002060"/>
            </a:solidFill>
            <a:ln w="9525">
              <a:noFill/>
            </a:ln>
            <a:effectLst/>
          </c:spPr>
        </c:marker>
      </c:pivotFmt>
      <c:pivotFmt>
        <c:idx val="48"/>
        <c:spPr>
          <a:solidFill>
            <a:schemeClr val="accent1"/>
          </a:solidFill>
          <a:ln w="28575" cap="rnd">
            <a:solidFill>
              <a:srgbClr val="D98D25"/>
            </a:solidFill>
            <a:prstDash val="dash"/>
            <a:round/>
          </a:ln>
          <a:effectLst/>
        </c:spPr>
        <c:marker>
          <c:symbol val="circle"/>
          <c:size val="5"/>
          <c:spPr>
            <a:solidFill>
              <a:srgbClr val="D98D25"/>
            </a:solidFill>
            <a:ln w="9525">
              <a:noFill/>
            </a:ln>
            <a:effectLst/>
          </c:spPr>
        </c:marker>
      </c:pivotFmt>
      <c:pivotFmt>
        <c:idx val="49"/>
        <c:spPr>
          <a:solidFill>
            <a:schemeClr val="accent1"/>
          </a:solidFill>
          <a:ln w="28575" cap="rnd">
            <a:solidFill>
              <a:srgbClr val="357C32"/>
            </a:solidFill>
            <a:prstDash val="dash"/>
            <a:round/>
          </a:ln>
          <a:effectLst/>
        </c:spPr>
        <c:marker>
          <c:symbol val="circle"/>
          <c:size val="5"/>
          <c:spPr>
            <a:solidFill>
              <a:srgbClr val="357C32"/>
            </a:solidFill>
            <a:ln w="9525">
              <a:noFill/>
            </a:ln>
            <a:effectLst/>
          </c:spPr>
        </c:marker>
      </c:pivotFmt>
      <c:pivotFmt>
        <c:idx val="50"/>
        <c:spPr>
          <a:solidFill>
            <a:schemeClr val="accent1"/>
          </a:solidFill>
          <a:ln w="28575" cap="rnd">
            <a:solidFill>
              <a:srgbClr val="008DA3"/>
            </a:solidFill>
            <a:prstDash val="dash"/>
            <a:round/>
          </a:ln>
          <a:effectLst/>
        </c:spPr>
        <c:marker>
          <c:symbol val="circle"/>
          <c:size val="5"/>
          <c:spPr>
            <a:solidFill>
              <a:srgbClr val="008DA3"/>
            </a:solidFill>
            <a:ln w="9525">
              <a:noFill/>
            </a:ln>
            <a:effectLst/>
          </c:spPr>
        </c:marker>
      </c:pivotFmt>
      <c:pivotFmt>
        <c:idx val="51"/>
        <c:spPr>
          <a:solidFill>
            <a:schemeClr val="accent1"/>
          </a:solidFill>
          <a:ln w="28575" cap="rnd">
            <a:solidFill>
              <a:srgbClr val="D87585"/>
            </a:solidFill>
            <a:prstDash val="dash"/>
            <a:round/>
          </a:ln>
          <a:effectLst/>
        </c:spPr>
        <c:marker>
          <c:symbol val="circle"/>
          <c:size val="5"/>
          <c:spPr>
            <a:solidFill>
              <a:srgbClr val="D87585"/>
            </a:solidFill>
            <a:ln w="9525">
              <a:noFill/>
            </a:ln>
            <a:effectLst/>
          </c:spPr>
        </c:marker>
      </c:pivotFmt>
      <c:pivotFmt>
        <c:idx val="52"/>
        <c:spPr>
          <a:solidFill>
            <a:schemeClr val="accent1"/>
          </a:solidFill>
          <a:ln w="28575" cap="rnd">
            <a:solidFill>
              <a:srgbClr val="002060"/>
            </a:solidFill>
            <a:prstDash val="dash"/>
            <a:round/>
          </a:ln>
          <a:effectLst/>
        </c:spPr>
        <c:marker>
          <c:symbol val="circle"/>
          <c:size val="5"/>
          <c:spPr>
            <a:solidFill>
              <a:srgbClr val="002060"/>
            </a:solidFill>
            <a:ln w="9525">
              <a:noFill/>
            </a:ln>
            <a:effectLst/>
          </c:spPr>
        </c:marker>
      </c:pivotFmt>
      <c:pivotFmt>
        <c:idx val="53"/>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54"/>
        <c:spPr>
          <a:solidFill>
            <a:schemeClr val="accent1"/>
          </a:solidFill>
          <a:ln w="28575" cap="rnd">
            <a:solidFill>
              <a:srgbClr val="D98D25"/>
            </a:solidFill>
            <a:prstDash val="solid"/>
            <a:round/>
          </a:ln>
          <a:effectLst/>
        </c:spPr>
        <c:marker>
          <c:symbol val="circle"/>
          <c:size val="5"/>
          <c:spPr>
            <a:solidFill>
              <a:srgbClr val="D98D25"/>
            </a:solidFill>
            <a:ln w="9525">
              <a:noFill/>
            </a:ln>
            <a:effectLst/>
          </c:spPr>
        </c:marker>
      </c:pivotFmt>
      <c:pivotFmt>
        <c:idx val="55"/>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56"/>
        <c:spPr>
          <a:solidFill>
            <a:schemeClr val="accent1"/>
          </a:solidFill>
          <a:ln w="28575" cap="rnd">
            <a:solidFill>
              <a:srgbClr val="D98D25"/>
            </a:solidFill>
            <a:prstDash val="dash"/>
            <a:round/>
          </a:ln>
          <a:effectLst/>
        </c:spPr>
        <c:marker>
          <c:symbol val="circle"/>
          <c:size val="5"/>
          <c:spPr>
            <a:solidFill>
              <a:srgbClr val="D98D25"/>
            </a:solidFill>
            <a:ln w="9525">
              <a:noFill/>
            </a:ln>
            <a:effectLst/>
          </c:spPr>
        </c:marker>
      </c:pivotFmt>
      <c:pivotFmt>
        <c:idx val="57"/>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58"/>
        <c:spPr>
          <a:solidFill>
            <a:schemeClr val="accent1"/>
          </a:solidFill>
          <a:ln w="28575" cap="rnd">
            <a:solidFill>
              <a:srgbClr val="008DA3"/>
            </a:solidFill>
            <a:prstDash val="solid"/>
            <a:round/>
          </a:ln>
          <a:effectLst/>
        </c:spPr>
        <c:marker>
          <c:symbol val="circle"/>
          <c:size val="5"/>
          <c:spPr>
            <a:solidFill>
              <a:srgbClr val="008DA3"/>
            </a:solidFill>
            <a:ln w="9525">
              <a:noFill/>
            </a:ln>
            <a:effectLst/>
          </c:spPr>
        </c:marker>
      </c:pivotFmt>
      <c:pivotFmt>
        <c:idx val="59"/>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60"/>
        <c:spPr>
          <a:solidFill>
            <a:schemeClr val="accent1"/>
          </a:solidFill>
          <a:ln w="28575" cap="rnd">
            <a:solidFill>
              <a:srgbClr val="008DA3"/>
            </a:solidFill>
            <a:prstDash val="dash"/>
            <a:round/>
          </a:ln>
          <a:effectLst/>
        </c:spPr>
        <c:marker>
          <c:symbol val="circle"/>
          <c:size val="5"/>
          <c:spPr>
            <a:solidFill>
              <a:srgbClr val="008DA3"/>
            </a:solidFill>
            <a:ln w="9525">
              <a:noFill/>
            </a:ln>
            <a:effectLst/>
          </c:spPr>
        </c:marker>
      </c:pivotFmt>
      <c:pivotFmt>
        <c:idx val="61"/>
        <c:spPr>
          <a:solidFill>
            <a:schemeClr val="accent1"/>
          </a:solidFill>
          <a:ln w="28575" cap="rnd">
            <a:solidFill>
              <a:srgbClr val="357C32"/>
            </a:solidFill>
            <a:round/>
          </a:ln>
          <a:effectLst/>
        </c:spPr>
        <c:marker>
          <c:symbol val="circle"/>
          <c:size val="5"/>
          <c:spPr>
            <a:solidFill>
              <a:srgbClr val="357C32"/>
            </a:solidFill>
            <a:ln w="9525">
              <a:noFill/>
            </a:ln>
            <a:effectLst/>
          </c:spPr>
        </c:marker>
      </c:pivotFmt>
      <c:pivotFmt>
        <c:idx val="62"/>
        <c:spPr>
          <a:solidFill>
            <a:schemeClr val="accent1"/>
          </a:solidFill>
          <a:ln w="28575" cap="rnd">
            <a:solidFill>
              <a:srgbClr val="357C32"/>
            </a:solidFill>
            <a:prstDash val="solid"/>
            <a:round/>
          </a:ln>
          <a:effectLst/>
        </c:spPr>
        <c:marker>
          <c:symbol val="circle"/>
          <c:size val="5"/>
          <c:spPr>
            <a:solidFill>
              <a:srgbClr val="357C32"/>
            </a:solidFill>
            <a:ln w="9525">
              <a:noFill/>
            </a:ln>
            <a:effectLst/>
          </c:spPr>
        </c:marker>
      </c:pivotFmt>
      <c:pivotFmt>
        <c:idx val="63"/>
        <c:spPr>
          <a:solidFill>
            <a:schemeClr val="accent1"/>
          </a:solidFill>
          <a:ln w="28575" cap="rnd">
            <a:solidFill>
              <a:srgbClr val="357C32"/>
            </a:solidFill>
            <a:round/>
          </a:ln>
          <a:effectLst/>
        </c:spPr>
        <c:marker>
          <c:symbol val="circle"/>
          <c:size val="5"/>
          <c:spPr>
            <a:solidFill>
              <a:srgbClr val="357C32"/>
            </a:solidFill>
            <a:ln w="9525">
              <a:noFill/>
            </a:ln>
            <a:effectLst/>
          </c:spPr>
        </c:marker>
      </c:pivotFmt>
      <c:pivotFmt>
        <c:idx val="64"/>
        <c:spPr>
          <a:solidFill>
            <a:schemeClr val="accent1"/>
          </a:solidFill>
          <a:ln w="28575" cap="rnd">
            <a:solidFill>
              <a:srgbClr val="357C32"/>
            </a:solidFill>
            <a:prstDash val="dash"/>
            <a:round/>
          </a:ln>
          <a:effectLst/>
        </c:spPr>
        <c:marker>
          <c:symbol val="circle"/>
          <c:size val="5"/>
          <c:spPr>
            <a:solidFill>
              <a:srgbClr val="357C32"/>
            </a:solidFill>
            <a:ln w="9525">
              <a:noFill/>
            </a:ln>
            <a:effectLst/>
          </c:spPr>
        </c:marker>
      </c:pivotFmt>
      <c:pivotFmt>
        <c:idx val="65"/>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66"/>
        <c:spPr>
          <a:solidFill>
            <a:schemeClr val="accent1"/>
          </a:solidFill>
          <a:ln w="28575" cap="rnd">
            <a:solidFill>
              <a:srgbClr val="D87585"/>
            </a:solidFill>
            <a:prstDash val="solid"/>
            <a:round/>
          </a:ln>
          <a:effectLst/>
        </c:spPr>
        <c:marker>
          <c:symbol val="circle"/>
          <c:size val="5"/>
          <c:spPr>
            <a:solidFill>
              <a:srgbClr val="D87585"/>
            </a:solidFill>
            <a:ln w="9525">
              <a:noFill/>
            </a:ln>
            <a:effectLst/>
          </c:spPr>
        </c:marker>
      </c:pivotFmt>
      <c:pivotFmt>
        <c:idx val="67"/>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68"/>
        <c:spPr>
          <a:solidFill>
            <a:schemeClr val="accent1"/>
          </a:solidFill>
          <a:ln w="28575" cap="rnd">
            <a:solidFill>
              <a:srgbClr val="D87585"/>
            </a:solidFill>
            <a:prstDash val="dash"/>
            <a:round/>
          </a:ln>
          <a:effectLst/>
        </c:spPr>
        <c:marker>
          <c:symbol val="circle"/>
          <c:size val="5"/>
          <c:spPr>
            <a:solidFill>
              <a:srgbClr val="D87585"/>
            </a:solidFill>
            <a:ln w="9525">
              <a:noFill/>
            </a:ln>
            <a:effectLst/>
          </c:spPr>
        </c:marker>
      </c:pivotFmt>
      <c:pivotFmt>
        <c:idx val="69"/>
        <c:spPr>
          <a:solidFill>
            <a:schemeClr val="accent1"/>
          </a:solidFill>
          <a:ln w="28575" cap="rnd">
            <a:solidFill>
              <a:srgbClr val="002060"/>
            </a:solidFill>
            <a:round/>
          </a:ln>
          <a:effectLst/>
        </c:spPr>
        <c:marker>
          <c:symbol val="circle"/>
          <c:size val="5"/>
          <c:spPr>
            <a:solidFill>
              <a:srgbClr val="002060"/>
            </a:solidFill>
            <a:ln w="9525">
              <a:noFill/>
            </a:ln>
            <a:effectLst/>
          </c:spPr>
        </c:marker>
      </c:pivotFmt>
      <c:pivotFmt>
        <c:idx val="70"/>
        <c:spPr>
          <a:solidFill>
            <a:schemeClr val="accent1"/>
          </a:solidFill>
          <a:ln w="28575" cap="rnd">
            <a:solidFill>
              <a:srgbClr val="002060"/>
            </a:solidFill>
            <a:prstDash val="solid"/>
            <a:round/>
          </a:ln>
          <a:effectLst/>
        </c:spPr>
        <c:marker>
          <c:symbol val="circle"/>
          <c:size val="5"/>
          <c:spPr>
            <a:solidFill>
              <a:srgbClr val="002060"/>
            </a:solidFill>
            <a:ln w="9525">
              <a:noFill/>
            </a:ln>
            <a:effectLst/>
          </c:spPr>
        </c:marker>
      </c:pivotFmt>
      <c:pivotFmt>
        <c:idx val="71"/>
        <c:spPr>
          <a:solidFill>
            <a:schemeClr val="accent1"/>
          </a:solidFill>
          <a:ln w="28575" cap="rnd">
            <a:solidFill>
              <a:srgbClr val="002060"/>
            </a:solidFill>
            <a:round/>
          </a:ln>
          <a:effectLst/>
        </c:spPr>
        <c:marker>
          <c:symbol val="circle"/>
          <c:size val="5"/>
          <c:spPr>
            <a:solidFill>
              <a:srgbClr val="002060"/>
            </a:solidFill>
            <a:ln w="9525">
              <a:noFill/>
            </a:ln>
            <a:effectLst/>
          </c:spPr>
        </c:marker>
      </c:pivotFmt>
      <c:pivotFmt>
        <c:idx val="72"/>
        <c:spPr>
          <a:solidFill>
            <a:schemeClr val="accent1"/>
          </a:solidFill>
          <a:ln w="28575" cap="rnd">
            <a:solidFill>
              <a:srgbClr val="002060"/>
            </a:solidFill>
            <a:prstDash val="dash"/>
            <a:round/>
          </a:ln>
          <a:effectLst/>
        </c:spPr>
        <c:marker>
          <c:symbol val="circle"/>
          <c:size val="5"/>
          <c:spPr>
            <a:solidFill>
              <a:srgbClr val="002060"/>
            </a:solidFill>
            <a:ln w="9525">
              <a:noFill/>
            </a:ln>
            <a:effectLst/>
          </c:spPr>
        </c:marker>
      </c:pivotFmt>
      <c:pivotFmt>
        <c:idx val="73"/>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74"/>
        <c:spPr>
          <a:solidFill>
            <a:schemeClr val="accent1"/>
          </a:solidFill>
          <a:ln w="28575" cap="rnd">
            <a:solidFill>
              <a:srgbClr val="D98D25"/>
            </a:solidFill>
            <a:prstDash val="solid"/>
            <a:round/>
          </a:ln>
          <a:effectLst/>
        </c:spPr>
        <c:marker>
          <c:symbol val="circle"/>
          <c:size val="5"/>
          <c:spPr>
            <a:solidFill>
              <a:srgbClr val="D98D25"/>
            </a:solidFill>
            <a:ln w="9525">
              <a:noFill/>
            </a:ln>
            <a:effectLst/>
          </c:spPr>
        </c:marker>
      </c:pivotFmt>
      <c:pivotFmt>
        <c:idx val="75"/>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76"/>
        <c:spPr>
          <a:solidFill>
            <a:schemeClr val="accent1"/>
          </a:solidFill>
          <a:ln w="28575" cap="rnd">
            <a:solidFill>
              <a:srgbClr val="D98D25"/>
            </a:solidFill>
            <a:prstDash val="dash"/>
            <a:round/>
          </a:ln>
          <a:effectLst/>
        </c:spPr>
        <c:marker>
          <c:symbol val="circle"/>
          <c:size val="5"/>
          <c:spPr>
            <a:solidFill>
              <a:srgbClr val="D98D25"/>
            </a:solidFill>
            <a:ln w="9525">
              <a:noFill/>
            </a:ln>
            <a:effectLst/>
          </c:spPr>
        </c:marker>
      </c:pivotFmt>
      <c:pivotFmt>
        <c:idx val="77"/>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78"/>
        <c:spPr>
          <a:solidFill>
            <a:schemeClr val="accent1"/>
          </a:solidFill>
          <a:ln w="28575" cap="rnd">
            <a:solidFill>
              <a:srgbClr val="008DA3"/>
            </a:solidFill>
            <a:prstDash val="solid"/>
            <a:round/>
          </a:ln>
          <a:effectLst/>
        </c:spPr>
        <c:marker>
          <c:symbol val="circle"/>
          <c:size val="5"/>
          <c:spPr>
            <a:solidFill>
              <a:srgbClr val="008DA3"/>
            </a:solidFill>
            <a:ln w="9525">
              <a:noFill/>
            </a:ln>
            <a:effectLst/>
          </c:spPr>
        </c:marker>
      </c:pivotFmt>
      <c:pivotFmt>
        <c:idx val="79"/>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80"/>
        <c:spPr>
          <a:solidFill>
            <a:schemeClr val="accent1"/>
          </a:solidFill>
          <a:ln w="28575" cap="rnd">
            <a:solidFill>
              <a:srgbClr val="008DA3"/>
            </a:solidFill>
            <a:prstDash val="dash"/>
            <a:round/>
          </a:ln>
          <a:effectLst/>
        </c:spPr>
        <c:marker>
          <c:symbol val="circle"/>
          <c:size val="5"/>
          <c:spPr>
            <a:solidFill>
              <a:srgbClr val="008DA3"/>
            </a:solidFill>
            <a:ln w="9525">
              <a:noFill/>
            </a:ln>
            <a:effectLst/>
          </c:spPr>
        </c:marker>
      </c:pivotFmt>
      <c:pivotFmt>
        <c:idx val="81"/>
        <c:spPr>
          <a:solidFill>
            <a:schemeClr val="accent1"/>
          </a:solidFill>
          <a:ln w="28575" cap="rnd">
            <a:solidFill>
              <a:srgbClr val="357C32"/>
            </a:solidFill>
            <a:round/>
          </a:ln>
          <a:effectLst/>
        </c:spPr>
        <c:marker>
          <c:symbol val="circle"/>
          <c:size val="5"/>
          <c:spPr>
            <a:solidFill>
              <a:srgbClr val="357C32"/>
            </a:solidFill>
            <a:ln w="9525">
              <a:noFill/>
            </a:ln>
            <a:effectLst/>
          </c:spPr>
        </c:marker>
      </c:pivotFmt>
      <c:pivotFmt>
        <c:idx val="82"/>
        <c:spPr>
          <a:solidFill>
            <a:schemeClr val="accent1"/>
          </a:solidFill>
          <a:ln w="28575" cap="rnd">
            <a:solidFill>
              <a:srgbClr val="357C32"/>
            </a:solidFill>
            <a:prstDash val="solid"/>
            <a:round/>
          </a:ln>
          <a:effectLst/>
        </c:spPr>
        <c:marker>
          <c:symbol val="circle"/>
          <c:size val="5"/>
          <c:spPr>
            <a:solidFill>
              <a:srgbClr val="357C32"/>
            </a:solidFill>
            <a:ln w="9525">
              <a:noFill/>
            </a:ln>
            <a:effectLst/>
          </c:spPr>
        </c:marker>
      </c:pivotFmt>
      <c:pivotFmt>
        <c:idx val="83"/>
        <c:spPr>
          <a:solidFill>
            <a:schemeClr val="accent1"/>
          </a:solidFill>
          <a:ln w="28575" cap="rnd">
            <a:solidFill>
              <a:srgbClr val="357C32"/>
            </a:solidFill>
            <a:round/>
          </a:ln>
          <a:effectLst/>
        </c:spPr>
        <c:marker>
          <c:symbol val="circle"/>
          <c:size val="5"/>
          <c:spPr>
            <a:solidFill>
              <a:srgbClr val="357C32"/>
            </a:solidFill>
            <a:ln w="9525">
              <a:noFill/>
            </a:ln>
            <a:effectLst/>
          </c:spPr>
        </c:marker>
      </c:pivotFmt>
      <c:pivotFmt>
        <c:idx val="84"/>
        <c:spPr>
          <a:solidFill>
            <a:schemeClr val="accent1"/>
          </a:solidFill>
          <a:ln w="28575" cap="rnd">
            <a:solidFill>
              <a:srgbClr val="357C32"/>
            </a:solidFill>
            <a:prstDash val="dash"/>
            <a:round/>
          </a:ln>
          <a:effectLst/>
        </c:spPr>
        <c:marker>
          <c:symbol val="circle"/>
          <c:size val="5"/>
          <c:spPr>
            <a:solidFill>
              <a:srgbClr val="357C32"/>
            </a:solidFill>
            <a:ln w="9525">
              <a:noFill/>
            </a:ln>
            <a:effectLst/>
          </c:spPr>
        </c:marker>
      </c:pivotFmt>
      <c:pivotFmt>
        <c:idx val="85"/>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86"/>
        <c:spPr>
          <a:solidFill>
            <a:schemeClr val="accent1"/>
          </a:solidFill>
          <a:ln w="28575" cap="rnd">
            <a:solidFill>
              <a:srgbClr val="D87585"/>
            </a:solidFill>
            <a:prstDash val="solid"/>
            <a:round/>
          </a:ln>
          <a:effectLst/>
        </c:spPr>
        <c:marker>
          <c:symbol val="circle"/>
          <c:size val="5"/>
          <c:spPr>
            <a:solidFill>
              <a:srgbClr val="D87585"/>
            </a:solidFill>
            <a:ln w="9525">
              <a:noFill/>
            </a:ln>
            <a:effectLst/>
          </c:spPr>
        </c:marker>
      </c:pivotFmt>
      <c:pivotFmt>
        <c:idx val="87"/>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88"/>
        <c:spPr>
          <a:solidFill>
            <a:schemeClr val="accent1"/>
          </a:solidFill>
          <a:ln w="28575" cap="rnd">
            <a:solidFill>
              <a:srgbClr val="D87585"/>
            </a:solidFill>
            <a:prstDash val="dash"/>
            <a:round/>
          </a:ln>
          <a:effectLst/>
        </c:spPr>
        <c:marker>
          <c:symbol val="circle"/>
          <c:size val="5"/>
          <c:spPr>
            <a:solidFill>
              <a:srgbClr val="D87585"/>
            </a:solidFill>
            <a:ln w="9525">
              <a:noFill/>
            </a:ln>
            <a:effectLst/>
          </c:spPr>
        </c:marker>
      </c:pivotFmt>
      <c:pivotFmt>
        <c:idx val="89"/>
        <c:spPr>
          <a:solidFill>
            <a:schemeClr val="accent1"/>
          </a:solidFill>
          <a:ln w="28575" cap="rnd">
            <a:solidFill>
              <a:srgbClr val="002060"/>
            </a:solidFill>
            <a:round/>
          </a:ln>
          <a:effectLst/>
        </c:spPr>
        <c:marker>
          <c:symbol val="circle"/>
          <c:size val="5"/>
          <c:spPr>
            <a:solidFill>
              <a:srgbClr val="002060"/>
            </a:solidFill>
            <a:ln w="9525">
              <a:noFill/>
            </a:ln>
            <a:effectLst/>
          </c:spPr>
        </c:marker>
      </c:pivotFmt>
      <c:pivotFmt>
        <c:idx val="90"/>
        <c:spPr>
          <a:solidFill>
            <a:schemeClr val="accent1"/>
          </a:solidFill>
          <a:ln w="28575" cap="rnd">
            <a:solidFill>
              <a:srgbClr val="002060"/>
            </a:solidFill>
            <a:prstDash val="solid"/>
            <a:round/>
          </a:ln>
          <a:effectLst/>
        </c:spPr>
        <c:marker>
          <c:symbol val="circle"/>
          <c:size val="5"/>
          <c:spPr>
            <a:solidFill>
              <a:srgbClr val="002060"/>
            </a:solidFill>
            <a:ln w="9525">
              <a:noFill/>
            </a:ln>
            <a:effectLst/>
          </c:spPr>
        </c:marker>
      </c:pivotFmt>
      <c:pivotFmt>
        <c:idx val="91"/>
        <c:spPr>
          <a:solidFill>
            <a:schemeClr val="accent1"/>
          </a:solidFill>
          <a:ln w="28575" cap="rnd">
            <a:solidFill>
              <a:srgbClr val="002060"/>
            </a:solidFill>
            <a:round/>
          </a:ln>
          <a:effectLst/>
        </c:spPr>
        <c:marker>
          <c:symbol val="circle"/>
          <c:size val="5"/>
          <c:spPr>
            <a:solidFill>
              <a:srgbClr val="002060"/>
            </a:solidFill>
            <a:ln w="9525">
              <a:noFill/>
            </a:ln>
            <a:effectLst/>
          </c:spPr>
        </c:marker>
      </c:pivotFmt>
      <c:pivotFmt>
        <c:idx val="92"/>
        <c:spPr>
          <a:solidFill>
            <a:schemeClr val="accent1"/>
          </a:solidFill>
          <a:ln w="28575" cap="rnd">
            <a:solidFill>
              <a:srgbClr val="002060"/>
            </a:solidFill>
            <a:prstDash val="dash"/>
            <a:round/>
          </a:ln>
          <a:effectLst/>
        </c:spPr>
        <c:marker>
          <c:symbol val="circle"/>
          <c:size val="5"/>
          <c:spPr>
            <a:solidFill>
              <a:srgbClr val="002060"/>
            </a:solidFill>
            <a:ln w="9525">
              <a:noFill/>
            </a:ln>
            <a:effectLst/>
          </c:spPr>
        </c:marker>
      </c:pivotFmt>
    </c:pivotFmts>
    <c:plotArea>
      <c:layout>
        <c:manualLayout>
          <c:layoutTarget val="inner"/>
          <c:xMode val="edge"/>
          <c:yMode val="edge"/>
          <c:x val="9.1772679482459971E-2"/>
          <c:y val="0.12758331503382794"/>
          <c:w val="0.86695722152967347"/>
          <c:h val="0.5548367323649761"/>
        </c:manualLayout>
      </c:layout>
      <c:lineChart>
        <c:grouping val="standard"/>
        <c:varyColors val="0"/>
        <c:ser>
          <c:idx val="0"/>
          <c:order val="0"/>
          <c:tx>
            <c:strRef>
              <c:f>'גרף 1'!$M$1:$M$2</c:f>
              <c:strCache>
                <c:ptCount val="1"/>
                <c:pt idx="0">
                  <c:v>אשראי לעסקים קטנים וזעירים</c:v>
                </c:pt>
              </c:strCache>
            </c:strRef>
          </c:tx>
          <c:spPr>
            <a:ln w="28575" cap="rnd">
              <a:solidFill>
                <a:srgbClr val="D98D25"/>
              </a:solidFill>
              <a:round/>
            </a:ln>
            <a:effectLst/>
          </c:spPr>
          <c:marker>
            <c:symbol val="circle"/>
            <c:size val="5"/>
            <c:spPr>
              <a:solidFill>
                <a:srgbClr val="D98D25"/>
              </a:solidFill>
              <a:ln w="9525">
                <a:noFill/>
              </a:ln>
              <a:effectLst/>
            </c:spPr>
          </c:marker>
          <c:dPt>
            <c:idx val="6"/>
            <c:marker>
              <c:symbol val="circle"/>
              <c:size val="5"/>
              <c:spPr>
                <a:solidFill>
                  <a:srgbClr val="D98D25"/>
                </a:solidFill>
                <a:ln w="9525">
                  <a:noFill/>
                </a:ln>
                <a:effectLst/>
              </c:spPr>
            </c:marker>
            <c:bubble3D val="0"/>
            <c:spPr>
              <a:ln w="28575" cap="rnd">
                <a:solidFill>
                  <a:srgbClr val="D98D25"/>
                </a:solidFill>
                <a:prstDash val="solid"/>
                <a:round/>
              </a:ln>
              <a:effectLst/>
            </c:spPr>
            <c:extLst>
              <c:ext xmlns:c16="http://schemas.microsoft.com/office/drawing/2014/chart" uri="{C3380CC4-5D6E-409C-BE32-E72D297353CC}">
                <c16:uniqueId val="{00000001-337F-4053-9CE4-1026D2A9A07A}"/>
              </c:ext>
            </c:extLst>
          </c:dPt>
          <c:dPt>
            <c:idx val="7"/>
            <c:marker>
              <c:symbol val="circle"/>
              <c:size val="5"/>
              <c:spPr>
                <a:solidFill>
                  <a:srgbClr val="D98D25"/>
                </a:solidFill>
                <a:ln w="9525">
                  <a:noFill/>
                </a:ln>
                <a:effectLst/>
              </c:spPr>
            </c:marker>
            <c:bubble3D val="0"/>
            <c:spPr>
              <a:ln w="28575" cap="rnd">
                <a:solidFill>
                  <a:srgbClr val="D98D25"/>
                </a:solidFill>
                <a:round/>
              </a:ln>
              <a:effectLst/>
            </c:spPr>
            <c:extLst>
              <c:ext xmlns:c16="http://schemas.microsoft.com/office/drawing/2014/chart" uri="{C3380CC4-5D6E-409C-BE32-E72D297353CC}">
                <c16:uniqueId val="{00000003-337F-4053-9CE4-1026D2A9A07A}"/>
              </c:ext>
            </c:extLst>
          </c:dPt>
          <c:dPt>
            <c:idx val="8"/>
            <c:marker>
              <c:symbol val="circle"/>
              <c:size val="5"/>
              <c:spPr>
                <a:solidFill>
                  <a:srgbClr val="D98D25"/>
                </a:solidFill>
                <a:ln w="9525">
                  <a:noFill/>
                </a:ln>
                <a:effectLst/>
              </c:spPr>
            </c:marker>
            <c:bubble3D val="0"/>
            <c:spPr>
              <a:ln w="28575" cap="rnd">
                <a:solidFill>
                  <a:srgbClr val="D98D25"/>
                </a:solidFill>
                <a:prstDash val="dash"/>
                <a:round/>
              </a:ln>
              <a:effectLst/>
            </c:spPr>
            <c:extLst>
              <c:ext xmlns:c16="http://schemas.microsoft.com/office/drawing/2014/chart" uri="{C3380CC4-5D6E-409C-BE32-E72D297353CC}">
                <c16:uniqueId val="{00000005-337F-4053-9CE4-1026D2A9A07A}"/>
              </c:ext>
            </c:extLst>
          </c:dPt>
          <c:cat>
            <c:multiLvlStrRef>
              <c:f>'גרף 1'!$L$3:$L$14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1'!$M$3:$M$14</c:f>
              <c:numCache>
                <c:formatCode>General</c:formatCode>
                <c:ptCount val="9"/>
                <c:pt idx="0">
                  <c:v>56.930939943172277</c:v>
                </c:pt>
                <c:pt idx="1">
                  <c:v>8.7490614426825015</c:v>
                </c:pt>
                <c:pt idx="2">
                  <c:v>14.450496214741044</c:v>
                </c:pt>
                <c:pt idx="3">
                  <c:v>31.675195576126701</c:v>
                </c:pt>
                <c:pt idx="4">
                  <c:v>43.506506428756495</c:v>
                </c:pt>
                <c:pt idx="5">
                  <c:v>-24.863870660024865</c:v>
                </c:pt>
                <c:pt idx="6">
                  <c:v>-28.390675999085172</c:v>
                </c:pt>
                <c:pt idx="7">
                  <c:v>0</c:v>
                </c:pt>
                <c:pt idx="8">
                  <c:v>53.887582375569437</c:v>
                </c:pt>
              </c:numCache>
            </c:numRef>
          </c:val>
          <c:smooth val="0"/>
          <c:extLst>
            <c:ext xmlns:c16="http://schemas.microsoft.com/office/drawing/2014/chart" uri="{C3380CC4-5D6E-409C-BE32-E72D297353CC}">
              <c16:uniqueId val="{00000006-337F-4053-9CE4-1026D2A9A07A}"/>
            </c:ext>
          </c:extLst>
        </c:ser>
        <c:ser>
          <c:idx val="1"/>
          <c:order val="1"/>
          <c:tx>
            <c:strRef>
              <c:f>'גרף 1'!$N$1:$N$2</c:f>
              <c:strCache>
                <c:ptCount val="1"/>
                <c:pt idx="0">
                  <c:v>אשראי לעסקים בינוניים</c:v>
                </c:pt>
              </c:strCache>
            </c:strRef>
          </c:tx>
          <c:spPr>
            <a:ln w="28575" cap="rnd">
              <a:solidFill>
                <a:srgbClr val="008DA3"/>
              </a:solidFill>
              <a:round/>
            </a:ln>
            <a:effectLst/>
          </c:spPr>
          <c:marker>
            <c:symbol val="circle"/>
            <c:size val="5"/>
            <c:spPr>
              <a:solidFill>
                <a:srgbClr val="008DA3"/>
              </a:solidFill>
              <a:ln w="9525">
                <a:noFill/>
              </a:ln>
              <a:effectLst/>
            </c:spPr>
          </c:marker>
          <c:dPt>
            <c:idx val="6"/>
            <c:marker>
              <c:symbol val="circle"/>
              <c:size val="5"/>
              <c:spPr>
                <a:solidFill>
                  <a:srgbClr val="008DA3"/>
                </a:solidFill>
                <a:ln w="9525">
                  <a:noFill/>
                </a:ln>
                <a:effectLst/>
              </c:spPr>
            </c:marker>
            <c:bubble3D val="0"/>
            <c:spPr>
              <a:ln w="28575" cap="rnd">
                <a:solidFill>
                  <a:srgbClr val="008DA3"/>
                </a:solidFill>
                <a:prstDash val="solid"/>
                <a:round/>
              </a:ln>
              <a:effectLst/>
            </c:spPr>
            <c:extLst>
              <c:ext xmlns:c16="http://schemas.microsoft.com/office/drawing/2014/chart" uri="{C3380CC4-5D6E-409C-BE32-E72D297353CC}">
                <c16:uniqueId val="{00000008-337F-4053-9CE4-1026D2A9A07A}"/>
              </c:ext>
            </c:extLst>
          </c:dPt>
          <c:dPt>
            <c:idx val="7"/>
            <c:marker>
              <c:symbol val="circle"/>
              <c:size val="5"/>
              <c:spPr>
                <a:solidFill>
                  <a:srgbClr val="008DA3"/>
                </a:solidFill>
                <a:ln w="9525">
                  <a:noFill/>
                </a:ln>
                <a:effectLst/>
              </c:spPr>
            </c:marker>
            <c:bubble3D val="0"/>
            <c:spPr>
              <a:ln w="28575" cap="rnd">
                <a:solidFill>
                  <a:srgbClr val="008DA3"/>
                </a:solidFill>
                <a:round/>
              </a:ln>
              <a:effectLst/>
            </c:spPr>
            <c:extLst>
              <c:ext xmlns:c16="http://schemas.microsoft.com/office/drawing/2014/chart" uri="{C3380CC4-5D6E-409C-BE32-E72D297353CC}">
                <c16:uniqueId val="{0000000A-337F-4053-9CE4-1026D2A9A07A}"/>
              </c:ext>
            </c:extLst>
          </c:dPt>
          <c:dPt>
            <c:idx val="8"/>
            <c:marker>
              <c:symbol val="circle"/>
              <c:size val="5"/>
              <c:spPr>
                <a:solidFill>
                  <a:srgbClr val="008DA3"/>
                </a:solidFill>
                <a:ln w="9525">
                  <a:noFill/>
                </a:ln>
                <a:effectLst/>
              </c:spPr>
            </c:marker>
            <c:bubble3D val="0"/>
            <c:spPr>
              <a:ln w="28575" cap="rnd">
                <a:solidFill>
                  <a:srgbClr val="008DA3"/>
                </a:solidFill>
                <a:prstDash val="dash"/>
                <a:round/>
              </a:ln>
              <a:effectLst/>
            </c:spPr>
            <c:extLst>
              <c:ext xmlns:c16="http://schemas.microsoft.com/office/drawing/2014/chart" uri="{C3380CC4-5D6E-409C-BE32-E72D297353CC}">
                <c16:uniqueId val="{0000000C-337F-4053-9CE4-1026D2A9A07A}"/>
              </c:ext>
            </c:extLst>
          </c:dPt>
          <c:cat>
            <c:multiLvlStrRef>
              <c:f>'גרף 1'!$L$3:$L$14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1'!$N$3:$N$14</c:f>
              <c:numCache>
                <c:formatCode>General</c:formatCode>
                <c:ptCount val="9"/>
                <c:pt idx="0">
                  <c:v>34.783672077965214</c:v>
                </c:pt>
                <c:pt idx="1">
                  <c:v>35.081598319350817</c:v>
                </c:pt>
                <c:pt idx="2">
                  <c:v>3.3786240640067571</c:v>
                </c:pt>
                <c:pt idx="3">
                  <c:v>0</c:v>
                </c:pt>
                <c:pt idx="4">
                  <c:v>0</c:v>
                </c:pt>
                <c:pt idx="5">
                  <c:v>37.305512130776165</c:v>
                </c:pt>
                <c:pt idx="6">
                  <c:v>11.296967424977407</c:v>
                </c:pt>
                <c:pt idx="7">
                  <c:v>5.8465755852707675</c:v>
                </c:pt>
                <c:pt idx="8">
                  <c:v>5.8465755852707675</c:v>
                </c:pt>
              </c:numCache>
            </c:numRef>
          </c:val>
          <c:smooth val="0"/>
          <c:extLst>
            <c:ext xmlns:c16="http://schemas.microsoft.com/office/drawing/2014/chart" uri="{C3380CC4-5D6E-409C-BE32-E72D297353CC}">
              <c16:uniqueId val="{0000000D-337F-4053-9CE4-1026D2A9A07A}"/>
            </c:ext>
          </c:extLst>
        </c:ser>
        <c:ser>
          <c:idx val="2"/>
          <c:order val="2"/>
          <c:tx>
            <c:strRef>
              <c:f>'גרף 1'!$O$1:$O$2</c:f>
              <c:strCache>
                <c:ptCount val="1"/>
                <c:pt idx="0">
                  <c:v>אשראי לעסקים גדולים</c:v>
                </c:pt>
              </c:strCache>
            </c:strRef>
          </c:tx>
          <c:spPr>
            <a:ln w="28575" cap="rnd">
              <a:solidFill>
                <a:srgbClr val="357C32"/>
              </a:solidFill>
              <a:round/>
            </a:ln>
            <a:effectLst/>
          </c:spPr>
          <c:marker>
            <c:symbol val="circle"/>
            <c:size val="5"/>
            <c:spPr>
              <a:solidFill>
                <a:srgbClr val="357C32"/>
              </a:solidFill>
              <a:ln w="9525">
                <a:noFill/>
              </a:ln>
              <a:effectLst/>
            </c:spPr>
          </c:marker>
          <c:dPt>
            <c:idx val="6"/>
            <c:marker>
              <c:symbol val="circle"/>
              <c:size val="5"/>
              <c:spPr>
                <a:solidFill>
                  <a:srgbClr val="357C32"/>
                </a:solidFill>
                <a:ln w="9525">
                  <a:noFill/>
                </a:ln>
                <a:effectLst/>
              </c:spPr>
            </c:marker>
            <c:bubble3D val="0"/>
            <c:spPr>
              <a:ln w="28575" cap="rnd">
                <a:solidFill>
                  <a:srgbClr val="357C32"/>
                </a:solidFill>
                <a:prstDash val="solid"/>
                <a:round/>
              </a:ln>
              <a:effectLst/>
            </c:spPr>
            <c:extLst>
              <c:ext xmlns:c16="http://schemas.microsoft.com/office/drawing/2014/chart" uri="{C3380CC4-5D6E-409C-BE32-E72D297353CC}">
                <c16:uniqueId val="{0000000F-337F-4053-9CE4-1026D2A9A07A}"/>
              </c:ext>
            </c:extLst>
          </c:dPt>
          <c:dPt>
            <c:idx val="7"/>
            <c:marker>
              <c:symbol val="circle"/>
              <c:size val="5"/>
              <c:spPr>
                <a:solidFill>
                  <a:srgbClr val="357C32"/>
                </a:solidFill>
                <a:ln w="9525">
                  <a:noFill/>
                </a:ln>
                <a:effectLst/>
              </c:spPr>
            </c:marker>
            <c:bubble3D val="0"/>
            <c:spPr>
              <a:ln w="28575" cap="rnd">
                <a:solidFill>
                  <a:srgbClr val="357C32"/>
                </a:solidFill>
                <a:round/>
              </a:ln>
              <a:effectLst/>
            </c:spPr>
            <c:extLst>
              <c:ext xmlns:c16="http://schemas.microsoft.com/office/drawing/2014/chart" uri="{C3380CC4-5D6E-409C-BE32-E72D297353CC}">
                <c16:uniqueId val="{00000011-337F-4053-9CE4-1026D2A9A07A}"/>
              </c:ext>
            </c:extLst>
          </c:dPt>
          <c:dPt>
            <c:idx val="8"/>
            <c:marker>
              <c:symbol val="circle"/>
              <c:size val="5"/>
              <c:spPr>
                <a:solidFill>
                  <a:srgbClr val="357C32"/>
                </a:solidFill>
                <a:ln w="9525">
                  <a:noFill/>
                </a:ln>
                <a:effectLst/>
              </c:spPr>
            </c:marker>
            <c:bubble3D val="0"/>
            <c:spPr>
              <a:ln w="28575" cap="rnd">
                <a:solidFill>
                  <a:srgbClr val="357C32"/>
                </a:solidFill>
                <a:prstDash val="dash"/>
                <a:round/>
              </a:ln>
              <a:effectLst/>
            </c:spPr>
            <c:extLst>
              <c:ext xmlns:c16="http://schemas.microsoft.com/office/drawing/2014/chart" uri="{C3380CC4-5D6E-409C-BE32-E72D297353CC}">
                <c16:uniqueId val="{00000013-337F-4053-9CE4-1026D2A9A07A}"/>
              </c:ext>
            </c:extLst>
          </c:dPt>
          <c:cat>
            <c:multiLvlStrRef>
              <c:f>'גרף 1'!$L$3:$L$14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1'!$O$3:$O$14</c:f>
              <c:numCache>
                <c:formatCode>General</c:formatCode>
                <c:ptCount val="9"/>
                <c:pt idx="0">
                  <c:v>0</c:v>
                </c:pt>
                <c:pt idx="1">
                  <c:v>1.4931210104955206</c:v>
                </c:pt>
                <c:pt idx="2">
                  <c:v>0</c:v>
                </c:pt>
                <c:pt idx="3">
                  <c:v>-29.393707080735457</c:v>
                </c:pt>
                <c:pt idx="4">
                  <c:v>38.450974301638453</c:v>
                </c:pt>
                <c:pt idx="5">
                  <c:v>28.973577712260763</c:v>
                </c:pt>
                <c:pt idx="6">
                  <c:v>9.6400531436710803</c:v>
                </c:pt>
                <c:pt idx="7">
                  <c:v>9.9397705132099397</c:v>
                </c:pt>
                <c:pt idx="8">
                  <c:v>26.931576425326931</c:v>
                </c:pt>
              </c:numCache>
            </c:numRef>
          </c:val>
          <c:smooth val="0"/>
          <c:extLst>
            <c:ext xmlns:c16="http://schemas.microsoft.com/office/drawing/2014/chart" uri="{C3380CC4-5D6E-409C-BE32-E72D297353CC}">
              <c16:uniqueId val="{00000014-337F-4053-9CE4-1026D2A9A07A}"/>
            </c:ext>
          </c:extLst>
        </c:ser>
        <c:ser>
          <c:idx val="3"/>
          <c:order val="3"/>
          <c:tx>
            <c:strRef>
              <c:f>'גרף 1'!$P$1:$P$2</c:f>
              <c:strCache>
                <c:ptCount val="1"/>
                <c:pt idx="0">
                  <c:v>אשראי לענף הבינוי</c:v>
                </c:pt>
              </c:strCache>
            </c:strRef>
          </c:tx>
          <c:spPr>
            <a:ln w="28575" cap="rnd">
              <a:solidFill>
                <a:srgbClr val="D87585"/>
              </a:solidFill>
              <a:round/>
            </a:ln>
            <a:effectLst/>
          </c:spPr>
          <c:marker>
            <c:symbol val="circle"/>
            <c:size val="5"/>
            <c:spPr>
              <a:solidFill>
                <a:srgbClr val="D87585"/>
              </a:solidFill>
              <a:ln w="9525">
                <a:noFill/>
              </a:ln>
              <a:effectLst/>
            </c:spPr>
          </c:marker>
          <c:dPt>
            <c:idx val="6"/>
            <c:marker>
              <c:symbol val="circle"/>
              <c:size val="5"/>
              <c:spPr>
                <a:solidFill>
                  <a:srgbClr val="D87585"/>
                </a:solidFill>
                <a:ln w="9525">
                  <a:noFill/>
                </a:ln>
                <a:effectLst/>
              </c:spPr>
            </c:marker>
            <c:bubble3D val="0"/>
            <c:spPr>
              <a:ln w="28575" cap="rnd">
                <a:solidFill>
                  <a:srgbClr val="D87585"/>
                </a:solidFill>
                <a:prstDash val="solid"/>
                <a:round/>
              </a:ln>
              <a:effectLst/>
            </c:spPr>
            <c:extLst>
              <c:ext xmlns:c16="http://schemas.microsoft.com/office/drawing/2014/chart" uri="{C3380CC4-5D6E-409C-BE32-E72D297353CC}">
                <c16:uniqueId val="{00000016-337F-4053-9CE4-1026D2A9A07A}"/>
              </c:ext>
            </c:extLst>
          </c:dPt>
          <c:dPt>
            <c:idx val="7"/>
            <c:marker>
              <c:symbol val="circle"/>
              <c:size val="5"/>
              <c:spPr>
                <a:solidFill>
                  <a:srgbClr val="D87585"/>
                </a:solidFill>
                <a:ln w="9525">
                  <a:noFill/>
                </a:ln>
                <a:effectLst/>
              </c:spPr>
            </c:marker>
            <c:bubble3D val="0"/>
            <c:spPr>
              <a:ln w="28575" cap="rnd">
                <a:solidFill>
                  <a:srgbClr val="D87585"/>
                </a:solidFill>
                <a:round/>
              </a:ln>
              <a:effectLst/>
            </c:spPr>
            <c:extLst>
              <c:ext xmlns:c16="http://schemas.microsoft.com/office/drawing/2014/chart" uri="{C3380CC4-5D6E-409C-BE32-E72D297353CC}">
                <c16:uniqueId val="{00000018-337F-4053-9CE4-1026D2A9A07A}"/>
              </c:ext>
            </c:extLst>
          </c:dPt>
          <c:dPt>
            <c:idx val="8"/>
            <c:marker>
              <c:symbol val="circle"/>
              <c:size val="5"/>
              <c:spPr>
                <a:solidFill>
                  <a:srgbClr val="D87585"/>
                </a:solidFill>
                <a:ln w="9525">
                  <a:noFill/>
                </a:ln>
                <a:effectLst/>
              </c:spPr>
            </c:marker>
            <c:bubble3D val="0"/>
            <c:spPr>
              <a:ln w="28575" cap="rnd">
                <a:solidFill>
                  <a:srgbClr val="D87585"/>
                </a:solidFill>
                <a:prstDash val="dash"/>
                <a:round/>
              </a:ln>
              <a:effectLst/>
            </c:spPr>
            <c:extLst>
              <c:ext xmlns:c16="http://schemas.microsoft.com/office/drawing/2014/chart" uri="{C3380CC4-5D6E-409C-BE32-E72D297353CC}">
                <c16:uniqueId val="{0000001A-337F-4053-9CE4-1026D2A9A07A}"/>
              </c:ext>
            </c:extLst>
          </c:dPt>
          <c:cat>
            <c:multiLvlStrRef>
              <c:f>'גרף 1'!$L$3:$L$14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1'!$P$3:$P$14</c:f>
              <c:numCache>
                <c:formatCode>General</c:formatCode>
                <c:ptCount val="9"/>
                <c:pt idx="0">
                  <c:v>28.337336286999999</c:v>
                </c:pt>
                <c:pt idx="1">
                  <c:v>48.124578623855626</c:v>
                </c:pt>
                <c:pt idx="2">
                  <c:v>0</c:v>
                </c:pt>
                <c:pt idx="3">
                  <c:v>-28.749985218172501</c:v>
                </c:pt>
                <c:pt idx="4">
                  <c:v>34.587427588996235</c:v>
                </c:pt>
                <c:pt idx="5">
                  <c:v>34.784939888478277</c:v>
                </c:pt>
                <c:pt idx="6">
                  <c:v>-57.297968287872976</c:v>
                </c:pt>
                <c:pt idx="7">
                  <c:v>-23.54045291604708</c:v>
                </c:pt>
                <c:pt idx="8">
                  <c:v>-23.54045291604708</c:v>
                </c:pt>
              </c:numCache>
            </c:numRef>
          </c:val>
          <c:smooth val="0"/>
          <c:extLst>
            <c:ext xmlns:c16="http://schemas.microsoft.com/office/drawing/2014/chart" uri="{C3380CC4-5D6E-409C-BE32-E72D297353CC}">
              <c16:uniqueId val="{0000001B-337F-4053-9CE4-1026D2A9A07A}"/>
            </c:ext>
          </c:extLst>
        </c:ser>
        <c:ser>
          <c:idx val="4"/>
          <c:order val="4"/>
          <c:tx>
            <c:strRef>
              <c:f>'גרף 1'!$Q$1:$Q$2</c:f>
              <c:strCache>
                <c:ptCount val="1"/>
                <c:pt idx="0">
                  <c:v>אשראי לענף הנדל''ן</c:v>
                </c:pt>
              </c:strCache>
            </c:strRef>
          </c:tx>
          <c:spPr>
            <a:ln w="28575" cap="rnd">
              <a:solidFill>
                <a:srgbClr val="002060"/>
              </a:solidFill>
              <a:round/>
            </a:ln>
            <a:effectLst/>
          </c:spPr>
          <c:marker>
            <c:symbol val="circle"/>
            <c:size val="5"/>
            <c:spPr>
              <a:solidFill>
                <a:srgbClr val="002060"/>
              </a:solidFill>
              <a:ln w="9525">
                <a:noFill/>
              </a:ln>
              <a:effectLst/>
            </c:spPr>
          </c:marker>
          <c:dPt>
            <c:idx val="6"/>
            <c:marker>
              <c:symbol val="circle"/>
              <c:size val="5"/>
              <c:spPr>
                <a:solidFill>
                  <a:srgbClr val="002060"/>
                </a:solidFill>
                <a:ln w="9525">
                  <a:noFill/>
                </a:ln>
                <a:effectLst/>
              </c:spPr>
            </c:marker>
            <c:bubble3D val="0"/>
            <c:spPr>
              <a:ln w="28575" cap="rnd">
                <a:solidFill>
                  <a:srgbClr val="002060"/>
                </a:solidFill>
                <a:prstDash val="solid"/>
                <a:round/>
              </a:ln>
              <a:effectLst/>
            </c:spPr>
            <c:extLst>
              <c:ext xmlns:c16="http://schemas.microsoft.com/office/drawing/2014/chart" uri="{C3380CC4-5D6E-409C-BE32-E72D297353CC}">
                <c16:uniqueId val="{0000001D-337F-4053-9CE4-1026D2A9A07A}"/>
              </c:ext>
            </c:extLst>
          </c:dPt>
          <c:dPt>
            <c:idx val="7"/>
            <c:marker>
              <c:symbol val="circle"/>
              <c:size val="5"/>
              <c:spPr>
                <a:solidFill>
                  <a:srgbClr val="002060"/>
                </a:solidFill>
                <a:ln w="9525">
                  <a:noFill/>
                </a:ln>
                <a:effectLst/>
              </c:spPr>
            </c:marker>
            <c:bubble3D val="0"/>
            <c:spPr>
              <a:ln w="28575" cap="rnd">
                <a:solidFill>
                  <a:srgbClr val="002060"/>
                </a:solidFill>
                <a:round/>
              </a:ln>
              <a:effectLst/>
            </c:spPr>
            <c:extLst>
              <c:ext xmlns:c16="http://schemas.microsoft.com/office/drawing/2014/chart" uri="{C3380CC4-5D6E-409C-BE32-E72D297353CC}">
                <c16:uniqueId val="{0000001F-337F-4053-9CE4-1026D2A9A07A}"/>
              </c:ext>
            </c:extLst>
          </c:dPt>
          <c:dPt>
            <c:idx val="8"/>
            <c:marker>
              <c:symbol val="circle"/>
              <c:size val="5"/>
              <c:spPr>
                <a:solidFill>
                  <a:srgbClr val="002060"/>
                </a:solidFill>
                <a:ln w="9525">
                  <a:noFill/>
                </a:ln>
                <a:effectLst/>
              </c:spPr>
            </c:marker>
            <c:bubble3D val="0"/>
            <c:spPr>
              <a:ln w="28575" cap="rnd">
                <a:solidFill>
                  <a:srgbClr val="002060"/>
                </a:solidFill>
                <a:prstDash val="dash"/>
                <a:round/>
              </a:ln>
              <a:effectLst/>
            </c:spPr>
            <c:extLst>
              <c:ext xmlns:c16="http://schemas.microsoft.com/office/drawing/2014/chart" uri="{C3380CC4-5D6E-409C-BE32-E72D297353CC}">
                <c16:uniqueId val="{00000021-337F-4053-9CE4-1026D2A9A07A}"/>
              </c:ext>
            </c:extLst>
          </c:dPt>
          <c:cat>
            <c:multiLvlStrRef>
              <c:f>'גרף 1'!$L$3:$L$14</c:f>
              <c:multiLvlStrCache>
                <c:ptCount val="9"/>
                <c:lvl>
                  <c:pt idx="0">
                    <c:v>Q4</c:v>
                  </c:pt>
                  <c:pt idx="1">
                    <c:v>Q1</c:v>
                  </c:pt>
                  <c:pt idx="2">
                    <c:v>Q2</c:v>
                  </c:pt>
                  <c:pt idx="3">
                    <c:v>Q3</c:v>
                  </c:pt>
                  <c:pt idx="4">
                    <c:v>Q4</c:v>
                  </c:pt>
                  <c:pt idx="5">
                    <c:v>Q1</c:v>
                  </c:pt>
                  <c:pt idx="6">
                    <c:v>Q2</c:v>
                  </c:pt>
                  <c:pt idx="7">
                    <c:v>Q3</c:v>
                  </c:pt>
                  <c:pt idx="8">
                    <c:v>Q4</c:v>
                  </c:pt>
                </c:lvl>
                <c:lvl>
                  <c:pt idx="0">
                    <c:v>2024</c:v>
                  </c:pt>
                  <c:pt idx="1">
                    <c:v>2025</c:v>
                  </c:pt>
                  <c:pt idx="5">
                    <c:v>2026</c:v>
                  </c:pt>
                </c:lvl>
              </c:multiLvlStrCache>
            </c:multiLvlStrRef>
          </c:cat>
          <c:val>
            <c:numRef>
              <c:f>'גרף 1'!$Q$3:$Q$14</c:f>
              <c:numCache>
                <c:formatCode>General</c:formatCode>
                <c:ptCount val="9"/>
                <c:pt idx="0">
                  <c:v>0</c:v>
                </c:pt>
                <c:pt idx="1">
                  <c:v>3.7403553282074808</c:v>
                </c:pt>
                <c:pt idx="2">
                  <c:v>-36.911376615910733</c:v>
                </c:pt>
                <c:pt idx="3">
                  <c:v>-30.668856992184015</c:v>
                </c:pt>
                <c:pt idx="4">
                  <c:v>0</c:v>
                </c:pt>
                <c:pt idx="5">
                  <c:v>0</c:v>
                </c:pt>
                <c:pt idx="6">
                  <c:v>-64.713497236364717</c:v>
                </c:pt>
                <c:pt idx="7">
                  <c:v>-23.164978645046329</c:v>
                </c:pt>
                <c:pt idx="8">
                  <c:v>-29.497197732058993</c:v>
                </c:pt>
              </c:numCache>
            </c:numRef>
          </c:val>
          <c:smooth val="0"/>
          <c:extLst>
            <c:ext xmlns:c16="http://schemas.microsoft.com/office/drawing/2014/chart" uri="{C3380CC4-5D6E-409C-BE32-E72D297353CC}">
              <c16:uniqueId val="{00000022-337F-4053-9CE4-1026D2A9A07A}"/>
            </c:ext>
          </c:extLst>
        </c:ser>
        <c:dLbls>
          <c:showLegendKey val="0"/>
          <c:showVal val="0"/>
          <c:showCatName val="0"/>
          <c:showSerName val="0"/>
          <c:showPercent val="0"/>
          <c:showBubbleSize val="0"/>
        </c:dLbls>
        <c:marker val="1"/>
        <c:smooth val="0"/>
        <c:axId val="771717416"/>
        <c:axId val="771717744"/>
      </c:lineChart>
      <c:catAx>
        <c:axId val="771717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Assistant" panose="00000500000000000000" pitchFamily="2" charset="-79"/>
                <a:ea typeface="+mn-ea"/>
                <a:cs typeface="Assistant" panose="00000500000000000000" pitchFamily="2" charset="-79"/>
              </a:defRPr>
            </a:pPr>
            <a:endParaRPr lang="he-IL"/>
          </a:p>
        </c:txPr>
        <c:crossAx val="771717744"/>
        <c:crossesAt val="-100"/>
        <c:auto val="0"/>
        <c:lblAlgn val="ctr"/>
        <c:lblOffset val="100"/>
        <c:noMultiLvlLbl val="0"/>
      </c:catAx>
      <c:valAx>
        <c:axId val="771717744"/>
        <c:scaling>
          <c:orientation val="minMax"/>
          <c:max val="100"/>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771717416"/>
        <c:crosses val="autoZero"/>
        <c:crossBetween val="midCat"/>
      </c:valAx>
      <c:spPr>
        <a:noFill/>
        <a:ln>
          <a:noFill/>
        </a:ln>
        <a:effectLst/>
      </c:spPr>
    </c:plotArea>
    <c:legend>
      <c:legendPos val="l"/>
      <c:layout>
        <c:manualLayout>
          <c:xMode val="edge"/>
          <c:yMode val="edge"/>
          <c:x val="3.3710570671803518E-2"/>
          <c:y val="0.85708546391860385"/>
          <c:w val="0.9662894293281965"/>
          <c:h val="0.133361372229352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[עותק של עותק של גרפים סקר קציני אשראי (002).xlsx]גרף 3א!PivotTable10</c:name>
    <c:fmtId val="-1"/>
  </c:pivotSource>
  <c:chart>
    <c:title>
      <c:tx>
        <c:rich>
          <a:bodyPr rot="0" spcFirstLastPara="1" vertOverflow="ellipsis" vert="horz" wrap="square" anchor="ctr" anchorCtr="1"/>
          <a:lstStyle/>
          <a:p>
            <a:pPr>
              <a:defRPr sz="1000" b="0" i="0" u="none" strike="noStrike" kern="1200" spc="0" baseline="0">
                <a:solidFill>
                  <a:sysClr val="windowText" lastClr="000000"/>
                </a:solidFill>
                <a:latin typeface="Assistant" panose="00000500000000000000" pitchFamily="2" charset="-79"/>
                <a:ea typeface="+mn-ea"/>
                <a:cs typeface="Assistant" panose="00000500000000000000" pitchFamily="2" charset="-79"/>
              </a:defRPr>
            </a:pPr>
            <a:r>
              <a:rPr lang="he-IL" sz="1000">
                <a:solidFill>
                  <a:sysClr val="windowText" lastClr="000000"/>
                </a:solidFill>
                <a:latin typeface="Assistant" panose="00000500000000000000" pitchFamily="2" charset="-79"/>
                <a:cs typeface="Assistant" panose="00000500000000000000" pitchFamily="2" charset="-79"/>
              </a:rPr>
              <a:t>א. מרווחים ברמת סיכון</a:t>
            </a:r>
            <a:r>
              <a:rPr lang="he-IL" sz="1000" baseline="0">
                <a:solidFill>
                  <a:sysClr val="windowText" lastClr="000000"/>
                </a:solidFill>
                <a:latin typeface="Assistant" panose="00000500000000000000" pitchFamily="2" charset="-79"/>
                <a:cs typeface="Assistant" panose="00000500000000000000" pitchFamily="2" charset="-79"/>
              </a:rPr>
              <a:t> לא גבוהה</a:t>
            </a:r>
            <a:endParaRPr lang="en-US" sz="1000">
              <a:solidFill>
                <a:sysClr val="windowText" lastClr="000000"/>
              </a:solidFill>
              <a:latin typeface="Assistant" panose="00000500000000000000" pitchFamily="2" charset="-79"/>
              <a:cs typeface="Assistant" panose="00000500000000000000" pitchFamily="2" charset="-79"/>
            </a:endParaRPr>
          </a:p>
        </c:rich>
      </c:tx>
      <c:layout>
        <c:manualLayout>
          <c:xMode val="edge"/>
          <c:yMode val="edge"/>
          <c:x val="0.6619152251531677"/>
          <c:y val="5.5258467023172903E-3"/>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Assistant" panose="00000500000000000000" pitchFamily="2" charset="-79"/>
              <a:ea typeface="+mn-ea"/>
              <a:cs typeface="Assistant" panose="00000500000000000000" pitchFamily="2" charset="-79"/>
            </a:defRPr>
          </a:pPr>
          <a:endParaRPr lang="he-IL"/>
        </a:p>
      </c:txPr>
    </c:title>
    <c:autoTitleDeleted val="0"/>
    <c:pivotFmts>
      <c:pivotFmt>
        <c:idx val="0"/>
        <c:spPr>
          <a:solidFill>
            <a:schemeClr val="accent1"/>
          </a:solidFill>
          <a:ln w="28575" cap="rnd">
            <a:solidFill>
              <a:srgbClr val="D87585"/>
            </a:solidFill>
            <a:round/>
          </a:ln>
          <a:effectLst/>
        </c:spPr>
        <c:marker>
          <c:symbol val="circle"/>
          <c:size val="5"/>
          <c:spPr>
            <a:solidFill>
              <a:srgbClr val="D87585"/>
            </a:solidFill>
            <a:ln w="9525">
              <a:solidFill>
                <a:srgbClr val="D87585"/>
              </a:solidFill>
            </a:ln>
            <a:effectLst/>
          </c:spPr>
        </c:marker>
      </c:pivotFmt>
      <c:pivotFmt>
        <c:idx val="1"/>
        <c:spPr>
          <a:solidFill>
            <a:schemeClr val="accent1"/>
          </a:solidFill>
          <a:ln w="28575" cap="rnd">
            <a:solidFill>
              <a:srgbClr val="D87585"/>
            </a:solidFill>
            <a:round/>
          </a:ln>
          <a:effectLst/>
        </c:spPr>
        <c:marker>
          <c:symbol val="circle"/>
          <c:size val="5"/>
          <c:spPr>
            <a:solidFill>
              <a:srgbClr val="D87585"/>
            </a:solidFill>
            <a:ln w="9525">
              <a:solidFill>
                <a:srgbClr val="D87585"/>
              </a:solidFill>
            </a:ln>
            <a:effectLst/>
          </c:spPr>
        </c:marker>
      </c:pivotFmt>
      <c:pivotFmt>
        <c:idx val="2"/>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
        <c:spPr>
          <a:solidFill>
            <a:schemeClr val="accent1"/>
          </a:solidFill>
          <a:ln w="28575" cap="rnd">
            <a:solidFill>
              <a:srgbClr val="6C63FF"/>
            </a:solidFill>
            <a:round/>
          </a:ln>
          <a:effectLst/>
        </c:spPr>
        <c:marker>
          <c:symbol val="circle"/>
          <c:size val="5"/>
          <c:spPr>
            <a:solidFill>
              <a:srgbClr val="6C63FF"/>
            </a:solidFill>
            <a:ln w="9525">
              <a:solidFill>
                <a:schemeClr val="accent3"/>
              </a:solidFill>
            </a:ln>
            <a:effectLst/>
          </c:spPr>
        </c:marker>
      </c:pivotFmt>
      <c:pivotFmt>
        <c:idx val="4"/>
        <c:spPr>
          <a:solidFill>
            <a:schemeClr val="accent1"/>
          </a:solidFill>
          <a:ln w="28575" cap="rnd">
            <a:solidFill>
              <a:srgbClr val="6C63FF"/>
            </a:solidFill>
            <a:round/>
          </a:ln>
          <a:effectLst/>
        </c:spPr>
        <c:marker>
          <c:symbol val="circle"/>
          <c:size val="5"/>
          <c:spPr>
            <a:solidFill>
              <a:srgbClr val="6C63FF"/>
            </a:solidFill>
            <a:ln w="9525">
              <a:solidFill>
                <a:schemeClr val="accent1"/>
              </a:solidFill>
            </a:ln>
            <a:effectLst/>
          </c:spPr>
        </c:marker>
      </c:pivotFmt>
      <c:pivotFmt>
        <c:idx val="5"/>
        <c:spPr>
          <a:solidFill>
            <a:schemeClr val="accent1"/>
          </a:solidFill>
          <a:ln w="28575" cap="rnd">
            <a:solidFill>
              <a:srgbClr val="D98D25"/>
            </a:solidFill>
            <a:round/>
          </a:ln>
          <a:effectLst/>
        </c:spPr>
        <c:marker>
          <c:symbol val="circle"/>
          <c:size val="5"/>
          <c:spPr>
            <a:solidFill>
              <a:srgbClr val="D98D25"/>
            </a:solidFill>
            <a:ln w="9525">
              <a:solidFill>
                <a:srgbClr val="D98D25"/>
              </a:solidFill>
            </a:ln>
            <a:effectLst/>
          </c:spPr>
        </c:marker>
      </c:pivotFmt>
      <c:pivotFmt>
        <c:idx val="6"/>
        <c:spPr>
          <a:solidFill>
            <a:schemeClr val="accent1"/>
          </a:solidFill>
          <a:ln w="28575" cap="rnd">
            <a:solidFill>
              <a:srgbClr val="008DA3"/>
            </a:solidFill>
            <a:round/>
          </a:ln>
          <a:effectLst/>
        </c:spPr>
        <c:marker>
          <c:symbol val="circle"/>
          <c:size val="5"/>
          <c:spPr>
            <a:solidFill>
              <a:srgbClr val="008DA3"/>
            </a:solidFill>
            <a:ln w="9525">
              <a:solidFill>
                <a:srgbClr val="008DA3"/>
              </a:solidFill>
            </a:ln>
            <a:effectLst/>
          </c:spPr>
        </c:marker>
      </c:pivotFmt>
      <c:pivotFmt>
        <c:idx val="7"/>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8"/>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1"/>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12"/>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13"/>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14"/>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15"/>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16"/>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17"/>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18"/>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19"/>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0"/>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21"/>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22"/>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23"/>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5"/>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26"/>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7"/>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28"/>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29"/>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30"/>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s>
    <c:plotArea>
      <c:layout>
        <c:manualLayout>
          <c:layoutTarget val="inner"/>
          <c:xMode val="edge"/>
          <c:yMode val="edge"/>
          <c:x val="8.1872335958005249E-2"/>
          <c:y val="0.10431276598899712"/>
          <c:w val="0.85948010498687677"/>
          <c:h val="0.56705280484007292"/>
        </c:manualLayout>
      </c:layout>
      <c:lineChart>
        <c:grouping val="standard"/>
        <c:varyColors val="0"/>
        <c:ser>
          <c:idx val="0"/>
          <c:order val="0"/>
          <c:tx>
            <c:strRef>
              <c:f>'גרף 3א'!$H$1:$H$2</c:f>
              <c:strCache>
                <c:ptCount val="1"/>
                <c:pt idx="0">
                  <c:v>בינוי</c:v>
                </c:pt>
              </c:strCache>
            </c:strRef>
          </c:tx>
          <c:spPr>
            <a:ln w="28575" cap="rnd">
              <a:solidFill>
                <a:srgbClr val="D87585"/>
              </a:solidFill>
              <a:round/>
            </a:ln>
            <a:effectLst/>
          </c:spPr>
          <c:marker>
            <c:symbol val="circle"/>
            <c:size val="5"/>
            <c:spPr>
              <a:solidFill>
                <a:srgbClr val="D87585"/>
              </a:solidFill>
              <a:ln w="9525">
                <a:no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3א'!$H$3:$H$13</c:f>
              <c:numCache>
                <c:formatCode>General</c:formatCode>
                <c:ptCount val="8"/>
                <c:pt idx="0">
                  <c:v>-79.580551563</c:v>
                </c:pt>
                <c:pt idx="1">
                  <c:v>-94.450527062516642</c:v>
                </c:pt>
                <c:pt idx="2">
                  <c:v>-78.647516114293239</c:v>
                </c:pt>
                <c:pt idx="3">
                  <c:v>-43.78019288336268</c:v>
                </c:pt>
                <c:pt idx="4">
                  <c:v>-41.765474357874702</c:v>
                </c:pt>
                <c:pt idx="5">
                  <c:v>-75.766532341606137</c:v>
                </c:pt>
                <c:pt idx="6">
                  <c:v>-17.010455967170106</c:v>
                </c:pt>
                <c:pt idx="7">
                  <c:v>33.806030784067609</c:v>
                </c:pt>
              </c:numCache>
            </c:numRef>
          </c:val>
          <c:smooth val="0"/>
          <c:extLst>
            <c:ext xmlns:c16="http://schemas.microsoft.com/office/drawing/2014/chart" uri="{C3380CC4-5D6E-409C-BE32-E72D297353CC}">
              <c16:uniqueId val="{00000000-A5F5-47DE-89E5-39944E9D6503}"/>
            </c:ext>
          </c:extLst>
        </c:ser>
        <c:ser>
          <c:idx val="1"/>
          <c:order val="1"/>
          <c:tx>
            <c:strRef>
              <c:f>'גרף 3א'!$I$1:$I$2</c:f>
              <c:strCache>
                <c:ptCount val="1"/>
                <c:pt idx="0">
                  <c:v>דיור</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3א'!$I$3:$I$13</c:f>
              <c:numCache>
                <c:formatCode>General</c:formatCode>
                <c:ptCount val="8"/>
                <c:pt idx="0">
                  <c:v>-63.531385119572938</c:v>
                </c:pt>
                <c:pt idx="1">
                  <c:v>4.8901452272706587</c:v>
                </c:pt>
                <c:pt idx="2">
                  <c:v>-7.715854731707716</c:v>
                </c:pt>
                <c:pt idx="3">
                  <c:v>43.354522974056643</c:v>
                </c:pt>
                <c:pt idx="4">
                  <c:v>20.758312942283034</c:v>
                </c:pt>
                <c:pt idx="5">
                  <c:v>-2.2391030488776091</c:v>
                </c:pt>
                <c:pt idx="6">
                  <c:v>-3.3698046974101095</c:v>
                </c:pt>
                <c:pt idx="7">
                  <c:v>0</c:v>
                </c:pt>
              </c:numCache>
            </c:numRef>
          </c:val>
          <c:smooth val="0"/>
          <c:extLst>
            <c:ext xmlns:c16="http://schemas.microsoft.com/office/drawing/2014/chart" uri="{C3380CC4-5D6E-409C-BE32-E72D297353CC}">
              <c16:uniqueId val="{00000001-A5F5-47DE-89E5-39944E9D6503}"/>
            </c:ext>
          </c:extLst>
        </c:ser>
        <c:ser>
          <c:idx val="2"/>
          <c:order val="2"/>
          <c:tx>
            <c:strRef>
              <c:f>'גרף 3א'!$J$1:$J$2</c:f>
              <c:strCache>
                <c:ptCount val="1"/>
                <c:pt idx="0">
                  <c:v>נדל''ן</c:v>
                </c:pt>
              </c:strCache>
            </c:strRef>
          </c:tx>
          <c:spPr>
            <a:ln w="28575" cap="rnd">
              <a:solidFill>
                <a:srgbClr val="6C63FF"/>
              </a:solidFill>
              <a:round/>
            </a:ln>
            <a:effectLst/>
          </c:spPr>
          <c:marker>
            <c:symbol val="circle"/>
            <c:size val="5"/>
            <c:spPr>
              <a:solidFill>
                <a:srgbClr val="6C63FF"/>
              </a:solidFill>
              <a:ln w="9525">
                <a:no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3א'!$J$3:$J$13</c:f>
              <c:numCache>
                <c:formatCode>General</c:formatCode>
                <c:ptCount val="8"/>
                <c:pt idx="0">
                  <c:v>-79.838715352179833</c:v>
                </c:pt>
                <c:pt idx="1">
                  <c:v>-93.983683746187964</c:v>
                </c:pt>
                <c:pt idx="2">
                  <c:v>-85.744179676257232</c:v>
                </c:pt>
                <c:pt idx="3">
                  <c:v>-45.2001184380712</c:v>
                </c:pt>
                <c:pt idx="4">
                  <c:v>-44.979466643434939</c:v>
                </c:pt>
                <c:pt idx="5">
                  <c:v>-85.490720727729013</c:v>
                </c:pt>
                <c:pt idx="6">
                  <c:v>-25.961191640525961</c:v>
                </c:pt>
                <c:pt idx="7">
                  <c:v>38.552383671077102</c:v>
                </c:pt>
              </c:numCache>
            </c:numRef>
          </c:val>
          <c:smooth val="0"/>
          <c:extLst>
            <c:ext xmlns:c16="http://schemas.microsoft.com/office/drawing/2014/chart" uri="{C3380CC4-5D6E-409C-BE32-E72D297353CC}">
              <c16:uniqueId val="{00000002-A5F5-47DE-89E5-39944E9D6503}"/>
            </c:ext>
          </c:extLst>
        </c:ser>
        <c:ser>
          <c:idx val="3"/>
          <c:order val="3"/>
          <c:tx>
            <c:strRef>
              <c:f>'גרף 3א'!$K$1:$K$2</c:f>
              <c:strCache>
                <c:ptCount val="1"/>
                <c:pt idx="0">
                  <c:v>עסקים בינוניים</c:v>
                </c:pt>
              </c:strCache>
            </c:strRef>
          </c:tx>
          <c:spPr>
            <a:ln w="28575" cap="rnd">
              <a:solidFill>
                <a:srgbClr val="D98D25"/>
              </a:solidFill>
              <a:round/>
            </a:ln>
            <a:effectLst/>
          </c:spPr>
          <c:marker>
            <c:symbol val="circle"/>
            <c:size val="5"/>
            <c:spPr>
              <a:solidFill>
                <a:srgbClr val="D98D25"/>
              </a:solidFill>
              <a:ln w="9525">
                <a:no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3א'!$K$3:$K$13</c:f>
              <c:numCache>
                <c:formatCode>General</c:formatCode>
                <c:ptCount val="8"/>
                <c:pt idx="0">
                  <c:v>-73.533776930326468</c:v>
                </c:pt>
                <c:pt idx="1">
                  <c:v>-44.693977485946938</c:v>
                </c:pt>
                <c:pt idx="2">
                  <c:v>-94.407862908888816</c:v>
                </c:pt>
                <c:pt idx="3">
                  <c:v>-56.880553362244953</c:v>
                </c:pt>
                <c:pt idx="4">
                  <c:v>-57.625351631669496</c:v>
                </c:pt>
                <c:pt idx="5">
                  <c:v>-94.330584290934013</c:v>
                </c:pt>
                <c:pt idx="6">
                  <c:v>-56.81429291788637</c:v>
                </c:pt>
                <c:pt idx="7">
                  <c:v>-29.599800314152002</c:v>
                </c:pt>
              </c:numCache>
            </c:numRef>
          </c:val>
          <c:smooth val="0"/>
          <c:extLst>
            <c:ext xmlns:c16="http://schemas.microsoft.com/office/drawing/2014/chart" uri="{C3380CC4-5D6E-409C-BE32-E72D297353CC}">
              <c16:uniqueId val="{00000003-A5F5-47DE-89E5-39944E9D6503}"/>
            </c:ext>
          </c:extLst>
        </c:ser>
        <c:ser>
          <c:idx val="4"/>
          <c:order val="4"/>
          <c:tx>
            <c:strRef>
              <c:f>'גרף 3א'!$L$1:$L$2</c:f>
              <c:strCache>
                <c:ptCount val="1"/>
                <c:pt idx="0">
                  <c:v>עסקים גדולים</c:v>
                </c:pt>
              </c:strCache>
            </c:strRef>
          </c:tx>
          <c:spPr>
            <a:ln w="28575" cap="rnd">
              <a:solidFill>
                <a:srgbClr val="008DA3"/>
              </a:solidFill>
              <a:round/>
            </a:ln>
            <a:effectLst/>
          </c:spPr>
          <c:marker>
            <c:symbol val="circle"/>
            <c:size val="5"/>
            <c:spPr>
              <a:solidFill>
                <a:srgbClr val="008DA3"/>
              </a:solidFill>
              <a:ln w="9525">
                <a:no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3א'!$L$3:$L$13</c:f>
              <c:numCache>
                <c:formatCode>General</c:formatCode>
                <c:ptCount val="8"/>
                <c:pt idx="0">
                  <c:v>-81.278122288756165</c:v>
                </c:pt>
                <c:pt idx="1">
                  <c:v>-82.366098035252904</c:v>
                </c:pt>
                <c:pt idx="2">
                  <c:v>-90.923836095154613</c:v>
                </c:pt>
                <c:pt idx="3">
                  <c:v>-46.395600701482437</c:v>
                </c:pt>
                <c:pt idx="4">
                  <c:v>-44.622633559044623</c:v>
                </c:pt>
                <c:pt idx="5">
                  <c:v>-51.971737879167748</c:v>
                </c:pt>
                <c:pt idx="6">
                  <c:v>13.09310825196072</c:v>
                </c:pt>
                <c:pt idx="7">
                  <c:v>63.635301592063634</c:v>
                </c:pt>
              </c:numCache>
            </c:numRef>
          </c:val>
          <c:smooth val="0"/>
          <c:extLst>
            <c:ext xmlns:c16="http://schemas.microsoft.com/office/drawing/2014/chart" uri="{C3380CC4-5D6E-409C-BE32-E72D297353CC}">
              <c16:uniqueId val="{00000004-A5F5-47DE-89E5-39944E9D6503}"/>
            </c:ext>
          </c:extLst>
        </c:ser>
        <c:ser>
          <c:idx val="5"/>
          <c:order val="5"/>
          <c:tx>
            <c:strRef>
              <c:f>'גרף 3א'!$M$1:$M$2</c:f>
              <c:strCache>
                <c:ptCount val="1"/>
                <c:pt idx="0">
                  <c:v>עסקים קטנים וזעירים</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3א'!$M$3:$M$13</c:f>
              <c:numCache>
                <c:formatCode>General</c:formatCode>
                <c:ptCount val="8"/>
                <c:pt idx="0">
                  <c:v>-59.69195148536123</c:v>
                </c:pt>
                <c:pt idx="1">
                  <c:v>-34.28655054213143</c:v>
                </c:pt>
                <c:pt idx="2">
                  <c:v>-75.1175800023737</c:v>
                </c:pt>
                <c:pt idx="3">
                  <c:v>25.14032274560056</c:v>
                </c:pt>
                <c:pt idx="4">
                  <c:v>-11.281446552788719</c:v>
                </c:pt>
                <c:pt idx="5">
                  <c:v>-18.044981165618044</c:v>
                </c:pt>
                <c:pt idx="6">
                  <c:v>-17.018351462051054</c:v>
                </c:pt>
                <c:pt idx="7">
                  <c:v>-29.740947364048704</c:v>
                </c:pt>
              </c:numCache>
            </c:numRef>
          </c:val>
          <c:smooth val="0"/>
          <c:extLst>
            <c:ext xmlns:c16="http://schemas.microsoft.com/office/drawing/2014/chart" uri="{C3380CC4-5D6E-409C-BE32-E72D297353CC}">
              <c16:uniqueId val="{00000005-A5F5-47DE-89E5-39944E9D6503}"/>
            </c:ext>
          </c:extLst>
        </c:ser>
        <c:ser>
          <c:idx val="6"/>
          <c:order val="6"/>
          <c:tx>
            <c:strRef>
              <c:f>'גרף 3א'!$N$1:$N$2</c:f>
              <c:strCache>
                <c:ptCount val="1"/>
                <c:pt idx="0">
                  <c:v>צרכני</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multiLvlStrRef>
              <c:f>'גרף 3א'!$G$3:$G$13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3א'!$N$3:$N$13</c:f>
              <c:numCache>
                <c:formatCode>General</c:formatCode>
                <c:ptCount val="8"/>
                <c:pt idx="0">
                  <c:v>-58.388926487116777</c:v>
                </c:pt>
                <c:pt idx="1">
                  <c:v>-35.375446285729247</c:v>
                </c:pt>
                <c:pt idx="2">
                  <c:v>-25.139798099224581</c:v>
                </c:pt>
                <c:pt idx="3">
                  <c:v>-34.252416531197241</c:v>
                </c:pt>
                <c:pt idx="4">
                  <c:v>-11.768582368058842</c:v>
                </c:pt>
                <c:pt idx="5">
                  <c:v>-22.359124347465844</c:v>
                </c:pt>
                <c:pt idx="6">
                  <c:v>-22.401644533465589</c:v>
                </c:pt>
                <c:pt idx="7">
                  <c:v>-34.463522016531073</c:v>
                </c:pt>
              </c:numCache>
            </c:numRef>
          </c:val>
          <c:smooth val="0"/>
          <c:extLst>
            <c:ext xmlns:c16="http://schemas.microsoft.com/office/drawing/2014/chart" uri="{C3380CC4-5D6E-409C-BE32-E72D297353CC}">
              <c16:uniqueId val="{00000006-A5F5-47DE-89E5-39944E9D6503}"/>
            </c:ext>
          </c:extLst>
        </c:ser>
        <c:dLbls>
          <c:showLegendKey val="0"/>
          <c:showVal val="0"/>
          <c:showCatName val="0"/>
          <c:showSerName val="0"/>
          <c:showPercent val="0"/>
          <c:showBubbleSize val="0"/>
        </c:dLbls>
        <c:marker val="1"/>
        <c:smooth val="0"/>
        <c:axId val="935424480"/>
        <c:axId val="935421528"/>
        <c:extLst/>
      </c:lineChart>
      <c:catAx>
        <c:axId val="9354244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935421528"/>
        <c:crosses val="autoZero"/>
        <c:auto val="1"/>
        <c:lblAlgn val="ctr"/>
        <c:lblOffset val="100"/>
        <c:noMultiLvlLbl val="0"/>
      </c:catAx>
      <c:valAx>
        <c:axId val="935421528"/>
        <c:scaling>
          <c:orientation val="minMax"/>
          <c:max val="100"/>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935424480"/>
        <c:crosses val="autoZero"/>
        <c:crossBetween val="between"/>
      </c:valAx>
      <c:spPr>
        <a:noFill/>
        <a:ln>
          <a:noFill/>
        </a:ln>
        <a:effectLst/>
      </c:spPr>
    </c:plotArea>
    <c:legend>
      <c:legendPos val="b"/>
      <c:layout>
        <c:manualLayout>
          <c:xMode val="edge"/>
          <c:yMode val="edge"/>
          <c:x val="2.7240766683305695E-3"/>
          <c:y val="0.82573928258967633"/>
          <c:w val="0.97278821742374233"/>
          <c:h val="0.1146401212043616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[עותק של עותק של גרפים סקר קציני אשראי (002).xlsx]גרף 3ב!PivotTable11</c:name>
    <c:fmtId val="-1"/>
  </c:pivotSource>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he-IL" sz="1000">
                <a:solidFill>
                  <a:sysClr val="windowText" lastClr="000000"/>
                </a:solidFill>
                <a:latin typeface="Assistant" panose="00000500000000000000" pitchFamily="2" charset="-79"/>
                <a:cs typeface="Assistant" panose="00000500000000000000" pitchFamily="2" charset="-79"/>
              </a:rPr>
              <a:t>ב. מרווחים ברמת סיכון גבוהה</a:t>
            </a:r>
            <a:endParaRPr lang="en-US" sz="1000">
              <a:solidFill>
                <a:sysClr val="windowText" lastClr="000000"/>
              </a:solidFill>
              <a:latin typeface="Assistant" panose="00000500000000000000" pitchFamily="2" charset="-79"/>
              <a:cs typeface="Assistant" panose="00000500000000000000" pitchFamily="2" charset="-79"/>
            </a:endParaRPr>
          </a:p>
        </c:rich>
      </c:tx>
      <c:layout>
        <c:manualLayout>
          <c:xMode val="edge"/>
          <c:yMode val="edge"/>
          <c:x val="0.70401758713462037"/>
          <c:y val="6.0612471917464612E-3"/>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he-IL"/>
        </a:p>
      </c:txPr>
    </c:title>
    <c:autoTitleDeleted val="0"/>
    <c:pivotFmts>
      <c:pivotFmt>
        <c:idx val="0"/>
        <c:spPr>
          <a:solidFill>
            <a:schemeClr val="accent1"/>
          </a:solidFill>
          <a:ln w="28575" cap="rnd">
            <a:solidFill>
              <a:srgbClr val="D87585"/>
            </a:solidFill>
            <a:round/>
          </a:ln>
          <a:effectLst/>
        </c:spPr>
        <c:marker>
          <c:symbol val="circle"/>
          <c:size val="5"/>
          <c:spPr>
            <a:solidFill>
              <a:srgbClr val="D87585"/>
            </a:solidFill>
            <a:ln w="9525">
              <a:solidFill>
                <a:srgbClr val="D87585"/>
              </a:solidFill>
            </a:ln>
            <a:effectLst/>
          </c:spPr>
        </c:marker>
      </c:pivotFmt>
      <c:pivotFmt>
        <c:idx val="1"/>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
        <c:spPr>
          <a:solidFill>
            <a:schemeClr val="accent1"/>
          </a:solidFill>
          <a:ln w="28575" cap="rnd">
            <a:solidFill>
              <a:srgbClr val="6C63FF"/>
            </a:solidFill>
            <a:round/>
          </a:ln>
          <a:effectLst/>
        </c:spPr>
        <c:marker>
          <c:symbol val="circle"/>
          <c:size val="5"/>
          <c:spPr>
            <a:solidFill>
              <a:srgbClr val="6C63FF"/>
            </a:solidFill>
            <a:ln w="9525">
              <a:solidFill>
                <a:srgbClr val="6C63FF"/>
              </a:solidFill>
            </a:ln>
            <a:effectLst/>
          </c:spPr>
        </c:marker>
      </c:pivotFmt>
      <c:pivotFmt>
        <c:idx val="3"/>
        <c:spPr>
          <a:solidFill>
            <a:schemeClr val="accent1"/>
          </a:solidFill>
          <a:ln w="28575" cap="rnd">
            <a:solidFill>
              <a:srgbClr val="6C63FF"/>
            </a:solidFill>
            <a:round/>
          </a:ln>
          <a:effectLst/>
        </c:spPr>
        <c:marker>
          <c:symbol val="circle"/>
          <c:size val="5"/>
          <c:spPr>
            <a:solidFill>
              <a:srgbClr val="6C63FF"/>
            </a:solidFill>
            <a:ln w="9525">
              <a:solidFill>
                <a:srgbClr val="6C63FF"/>
              </a:solidFill>
            </a:ln>
            <a:effectLst/>
          </c:spPr>
        </c:marker>
      </c:pivotFmt>
      <c:pivotFmt>
        <c:idx val="4"/>
        <c:spPr>
          <a:solidFill>
            <a:schemeClr val="accent1"/>
          </a:solidFill>
          <a:ln w="28575" cap="rnd">
            <a:solidFill>
              <a:srgbClr val="D98D25"/>
            </a:solidFill>
            <a:round/>
          </a:ln>
          <a:effectLst/>
        </c:spPr>
        <c:marker>
          <c:symbol val="circle"/>
          <c:size val="5"/>
          <c:spPr>
            <a:solidFill>
              <a:srgbClr val="D98D25"/>
            </a:solidFill>
            <a:ln w="9525">
              <a:solidFill>
                <a:srgbClr val="D98D25"/>
              </a:solidFill>
            </a:ln>
            <a:effectLst/>
          </c:spPr>
        </c:marker>
      </c:pivotFmt>
      <c:pivotFmt>
        <c:idx val="5"/>
        <c:spPr>
          <a:solidFill>
            <a:schemeClr val="accent1"/>
          </a:solidFill>
          <a:ln w="28575" cap="rnd">
            <a:solidFill>
              <a:srgbClr val="008DA3"/>
            </a:solidFill>
            <a:round/>
          </a:ln>
          <a:effectLst/>
        </c:spPr>
        <c:marker>
          <c:symbol val="circle"/>
          <c:size val="5"/>
          <c:spPr>
            <a:solidFill>
              <a:srgbClr val="008DA3"/>
            </a:solidFill>
            <a:ln w="9525">
              <a:solidFill>
                <a:srgbClr val="008DA3"/>
              </a:solidFill>
            </a:ln>
            <a:effectLst/>
          </c:spPr>
        </c:marker>
      </c:pivotFmt>
      <c:pivotFmt>
        <c:idx val="6"/>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7"/>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0"/>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11"/>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12"/>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13"/>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14"/>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15"/>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16"/>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17"/>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18"/>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19"/>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20"/>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21"/>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22"/>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4"/>
        <c:spPr>
          <a:solidFill>
            <a:schemeClr val="accent1"/>
          </a:solidFill>
          <a:ln w="28575" cap="rnd">
            <a:solidFill>
              <a:srgbClr val="D87585"/>
            </a:solidFill>
            <a:round/>
          </a:ln>
          <a:effectLst/>
        </c:spPr>
        <c:marker>
          <c:symbol val="circle"/>
          <c:size val="5"/>
          <c:spPr>
            <a:solidFill>
              <a:srgbClr val="D87585"/>
            </a:solidFill>
            <a:ln w="9525">
              <a:noFill/>
            </a:ln>
            <a:effectLst/>
          </c:spPr>
        </c:marker>
      </c:pivotFmt>
      <c:pivotFmt>
        <c:idx val="25"/>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6"/>
        <c:spPr>
          <a:solidFill>
            <a:schemeClr val="accent1"/>
          </a:solidFill>
          <a:ln w="28575" cap="rnd">
            <a:solidFill>
              <a:srgbClr val="6C63FF"/>
            </a:solidFill>
            <a:round/>
          </a:ln>
          <a:effectLst/>
        </c:spPr>
        <c:marker>
          <c:symbol val="circle"/>
          <c:size val="5"/>
          <c:spPr>
            <a:solidFill>
              <a:srgbClr val="6C63FF"/>
            </a:solidFill>
            <a:ln w="9525">
              <a:noFill/>
            </a:ln>
            <a:effectLst/>
          </c:spPr>
        </c:marker>
      </c:pivotFmt>
      <c:pivotFmt>
        <c:idx val="27"/>
        <c:spPr>
          <a:solidFill>
            <a:schemeClr val="accent1"/>
          </a:solidFill>
          <a:ln w="28575" cap="rnd">
            <a:solidFill>
              <a:srgbClr val="D98D25"/>
            </a:solidFill>
            <a:round/>
          </a:ln>
          <a:effectLst/>
        </c:spPr>
        <c:marker>
          <c:symbol val="circle"/>
          <c:size val="5"/>
          <c:spPr>
            <a:solidFill>
              <a:srgbClr val="D98D25"/>
            </a:solidFill>
            <a:ln w="9525">
              <a:noFill/>
            </a:ln>
            <a:effectLst/>
          </c:spPr>
        </c:marker>
      </c:pivotFmt>
      <c:pivotFmt>
        <c:idx val="28"/>
        <c:spPr>
          <a:solidFill>
            <a:schemeClr val="accent1"/>
          </a:solidFill>
          <a:ln w="28575" cap="rnd">
            <a:solidFill>
              <a:srgbClr val="008DA3"/>
            </a:solidFill>
            <a:round/>
          </a:ln>
          <a:effectLst/>
        </c:spPr>
        <c:marker>
          <c:symbol val="circle"/>
          <c:size val="5"/>
          <c:spPr>
            <a:solidFill>
              <a:srgbClr val="008DA3"/>
            </a:solidFill>
            <a:ln w="9525">
              <a:noFill/>
            </a:ln>
            <a:effectLst/>
          </c:spPr>
        </c:marker>
      </c:pivotFmt>
      <c:pivotFmt>
        <c:idx val="29"/>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s>
    <c:plotArea>
      <c:layout>
        <c:manualLayout>
          <c:layoutTarget val="inner"/>
          <c:xMode val="edge"/>
          <c:yMode val="edge"/>
          <c:x val="7.6521515707885249E-2"/>
          <c:y val="0.10431276598899712"/>
          <c:w val="0.84832117424677733"/>
          <c:h val="0.61487770198580138"/>
        </c:manualLayout>
      </c:layout>
      <c:lineChart>
        <c:grouping val="standard"/>
        <c:varyColors val="0"/>
        <c:ser>
          <c:idx val="0"/>
          <c:order val="0"/>
          <c:tx>
            <c:strRef>
              <c:f>'גרף 3ב'!$H$1:$H$2</c:f>
              <c:strCache>
                <c:ptCount val="1"/>
                <c:pt idx="0">
                  <c:v>בינוי</c:v>
                </c:pt>
              </c:strCache>
            </c:strRef>
          </c:tx>
          <c:spPr>
            <a:ln w="28575" cap="rnd">
              <a:solidFill>
                <a:srgbClr val="D87585"/>
              </a:solidFill>
              <a:round/>
            </a:ln>
            <a:effectLst/>
          </c:spPr>
          <c:marker>
            <c:symbol val="circle"/>
            <c:size val="5"/>
            <c:spPr>
              <a:solidFill>
                <a:srgbClr val="D87585"/>
              </a:solidFill>
              <a:ln w="9525">
                <a:no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3ב'!$H$3:$H$13</c:f>
              <c:numCache>
                <c:formatCode>General</c:formatCode>
                <c:ptCount val="8"/>
                <c:pt idx="0">
                  <c:v>0</c:v>
                </c:pt>
                <c:pt idx="1">
                  <c:v>0</c:v>
                </c:pt>
                <c:pt idx="2">
                  <c:v>0</c:v>
                </c:pt>
                <c:pt idx="3">
                  <c:v>0</c:v>
                </c:pt>
                <c:pt idx="4">
                  <c:v>-12.837426259961488</c:v>
                </c:pt>
                <c:pt idx="5">
                  <c:v>0</c:v>
                </c:pt>
                <c:pt idx="6">
                  <c:v>29.256569469292565</c:v>
                </c:pt>
                <c:pt idx="7">
                  <c:v>33.806030784067609</c:v>
                </c:pt>
              </c:numCache>
            </c:numRef>
          </c:val>
          <c:smooth val="0"/>
          <c:extLst>
            <c:ext xmlns:c16="http://schemas.microsoft.com/office/drawing/2014/chart" uri="{C3380CC4-5D6E-409C-BE32-E72D297353CC}">
              <c16:uniqueId val="{00000000-95ED-429F-BEEA-22C30148BCEF}"/>
            </c:ext>
          </c:extLst>
        </c:ser>
        <c:ser>
          <c:idx val="1"/>
          <c:order val="1"/>
          <c:tx>
            <c:strRef>
              <c:f>'גרף 3ב'!$I$1:$I$2</c:f>
              <c:strCache>
                <c:ptCount val="1"/>
                <c:pt idx="0">
                  <c:v>דיור</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3ב'!$I$3:$I$13</c:f>
              <c:numCache>
                <c:formatCode>General</c:formatCode>
                <c:ptCount val="8"/>
                <c:pt idx="0">
                  <c:v>21.27471974885745</c:v>
                </c:pt>
                <c:pt idx="1">
                  <c:v>40.095033866059431</c:v>
                </c:pt>
                <c:pt idx="2">
                  <c:v>14.838501792314839</c:v>
                </c:pt>
                <c:pt idx="3">
                  <c:v>20.803049915079196</c:v>
                </c:pt>
                <c:pt idx="4">
                  <c:v>0</c:v>
                </c:pt>
                <c:pt idx="5">
                  <c:v>0</c:v>
                </c:pt>
                <c:pt idx="6">
                  <c:v>-1.1105128068033314</c:v>
                </c:pt>
                <c:pt idx="7">
                  <c:v>0</c:v>
                </c:pt>
              </c:numCache>
            </c:numRef>
          </c:val>
          <c:smooth val="0"/>
          <c:extLst>
            <c:ext xmlns:c16="http://schemas.microsoft.com/office/drawing/2014/chart" uri="{C3380CC4-5D6E-409C-BE32-E72D297353CC}">
              <c16:uniqueId val="{00000001-95ED-429F-BEEA-22C30148BCEF}"/>
            </c:ext>
          </c:extLst>
        </c:ser>
        <c:ser>
          <c:idx val="2"/>
          <c:order val="2"/>
          <c:tx>
            <c:strRef>
              <c:f>'גרף 3ב'!$J$1:$J$2</c:f>
              <c:strCache>
                <c:ptCount val="1"/>
                <c:pt idx="0">
                  <c:v>נדל''ן</c:v>
                </c:pt>
              </c:strCache>
            </c:strRef>
          </c:tx>
          <c:spPr>
            <a:ln w="28575" cap="rnd">
              <a:solidFill>
                <a:srgbClr val="6C63FF"/>
              </a:solidFill>
              <a:round/>
            </a:ln>
            <a:effectLst/>
          </c:spPr>
          <c:marker>
            <c:symbol val="circle"/>
            <c:size val="5"/>
            <c:spPr>
              <a:solidFill>
                <a:srgbClr val="6C63FF"/>
              </a:solidFill>
              <a:ln w="9525">
                <a:no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3ב'!$J$3:$J$13</c:f>
              <c:numCache>
                <c:formatCode>General</c:formatCode>
                <c:ptCount val="8"/>
                <c:pt idx="0">
                  <c:v>0</c:v>
                </c:pt>
                <c:pt idx="1">
                  <c:v>0</c:v>
                </c:pt>
                <c:pt idx="2">
                  <c:v>0</c:v>
                </c:pt>
                <c:pt idx="3">
                  <c:v>0</c:v>
                </c:pt>
                <c:pt idx="4">
                  <c:v>0</c:v>
                </c:pt>
                <c:pt idx="5">
                  <c:v>0</c:v>
                </c:pt>
                <c:pt idx="6">
                  <c:v>29.71157919902971</c:v>
                </c:pt>
                <c:pt idx="7">
                  <c:v>41.457707872082914</c:v>
                </c:pt>
              </c:numCache>
            </c:numRef>
          </c:val>
          <c:smooth val="0"/>
          <c:extLst>
            <c:ext xmlns:c16="http://schemas.microsoft.com/office/drawing/2014/chart" uri="{C3380CC4-5D6E-409C-BE32-E72D297353CC}">
              <c16:uniqueId val="{00000002-95ED-429F-BEEA-22C30148BCEF}"/>
            </c:ext>
          </c:extLst>
        </c:ser>
        <c:ser>
          <c:idx val="3"/>
          <c:order val="3"/>
          <c:tx>
            <c:strRef>
              <c:f>'גרף 3ב'!$K$1:$K$2</c:f>
              <c:strCache>
                <c:ptCount val="1"/>
                <c:pt idx="0">
                  <c:v>עסקים בינוניים</c:v>
                </c:pt>
              </c:strCache>
            </c:strRef>
          </c:tx>
          <c:spPr>
            <a:ln w="28575" cap="rnd">
              <a:solidFill>
                <a:srgbClr val="D98D25"/>
              </a:solidFill>
              <a:round/>
            </a:ln>
            <a:effectLst/>
          </c:spPr>
          <c:marker>
            <c:symbol val="circle"/>
            <c:size val="5"/>
            <c:spPr>
              <a:solidFill>
                <a:srgbClr val="D98D25"/>
              </a:solidFill>
              <a:ln w="9525">
                <a:no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3ב'!$K$3:$K$13</c:f>
              <c:numCache>
                <c:formatCode>General</c:formatCode>
                <c:ptCount val="8"/>
                <c:pt idx="0">
                  <c:v>43.145480247956854</c:v>
                </c:pt>
                <c:pt idx="1">
                  <c:v>0</c:v>
                </c:pt>
                <c:pt idx="2">
                  <c:v>0</c:v>
                </c:pt>
                <c:pt idx="3">
                  <c:v>0</c:v>
                </c:pt>
                <c:pt idx="4">
                  <c:v>0</c:v>
                </c:pt>
                <c:pt idx="5">
                  <c:v>0</c:v>
                </c:pt>
                <c:pt idx="6">
                  <c:v>37.501692626924999</c:v>
                </c:pt>
                <c:pt idx="7">
                  <c:v>27.796703164861018</c:v>
                </c:pt>
              </c:numCache>
            </c:numRef>
          </c:val>
          <c:smooth val="0"/>
          <c:extLst>
            <c:ext xmlns:c16="http://schemas.microsoft.com/office/drawing/2014/chart" uri="{C3380CC4-5D6E-409C-BE32-E72D297353CC}">
              <c16:uniqueId val="{00000003-95ED-429F-BEEA-22C30148BCEF}"/>
            </c:ext>
          </c:extLst>
        </c:ser>
        <c:ser>
          <c:idx val="4"/>
          <c:order val="4"/>
          <c:tx>
            <c:strRef>
              <c:f>'גרף 3ב'!$L$1:$L$2</c:f>
              <c:strCache>
                <c:ptCount val="1"/>
                <c:pt idx="0">
                  <c:v>עסקים גדולים</c:v>
                </c:pt>
              </c:strCache>
            </c:strRef>
          </c:tx>
          <c:spPr>
            <a:ln w="28575" cap="rnd">
              <a:solidFill>
                <a:srgbClr val="008DA3"/>
              </a:solidFill>
              <a:round/>
            </a:ln>
            <a:effectLst/>
          </c:spPr>
          <c:marker>
            <c:symbol val="circle"/>
            <c:size val="5"/>
            <c:spPr>
              <a:solidFill>
                <a:srgbClr val="008DA3"/>
              </a:solidFill>
              <a:ln w="9525">
                <a:no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3ב'!$L$3:$L$13</c:f>
              <c:numCache>
                <c:formatCode>General</c:formatCode>
                <c:ptCount val="8"/>
                <c:pt idx="0">
                  <c:v>8.9104081618732689</c:v>
                </c:pt>
                <c:pt idx="1">
                  <c:v>-15.425582625953723</c:v>
                </c:pt>
                <c:pt idx="2">
                  <c:v>1.4845305248074228</c:v>
                </c:pt>
                <c:pt idx="3">
                  <c:v>0</c:v>
                </c:pt>
                <c:pt idx="4">
                  <c:v>0</c:v>
                </c:pt>
                <c:pt idx="5">
                  <c:v>0</c:v>
                </c:pt>
                <c:pt idx="6">
                  <c:v>28.804346230913588</c:v>
                </c:pt>
                <c:pt idx="7">
                  <c:v>63.635301592063634</c:v>
                </c:pt>
              </c:numCache>
            </c:numRef>
          </c:val>
          <c:smooth val="0"/>
          <c:extLst>
            <c:ext xmlns:c16="http://schemas.microsoft.com/office/drawing/2014/chart" uri="{C3380CC4-5D6E-409C-BE32-E72D297353CC}">
              <c16:uniqueId val="{00000004-95ED-429F-BEEA-22C30148BCEF}"/>
            </c:ext>
          </c:extLst>
        </c:ser>
        <c:ser>
          <c:idx val="5"/>
          <c:order val="5"/>
          <c:tx>
            <c:strRef>
              <c:f>'גרף 3ב'!$M$1:$M$2</c:f>
              <c:strCache>
                <c:ptCount val="1"/>
                <c:pt idx="0">
                  <c:v>עסקים קטנים וזעירים</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3ב'!$M$3:$M$13</c:f>
              <c:numCache>
                <c:formatCode>General</c:formatCode>
                <c:ptCount val="8"/>
                <c:pt idx="0">
                  <c:v>-25.501608870897993</c:v>
                </c:pt>
                <c:pt idx="1">
                  <c:v>0</c:v>
                </c:pt>
                <c:pt idx="2">
                  <c:v>18.647281486594881</c:v>
                </c:pt>
                <c:pt idx="3">
                  <c:v>31.675195576126701</c:v>
                </c:pt>
                <c:pt idx="4">
                  <c:v>32.225059875967773</c:v>
                </c:pt>
                <c:pt idx="5">
                  <c:v>-11.481541864011481</c:v>
                </c:pt>
                <c:pt idx="6">
                  <c:v>34.892166930104679</c:v>
                </c:pt>
                <c:pt idx="7">
                  <c:v>-9.3218245900466083</c:v>
                </c:pt>
              </c:numCache>
            </c:numRef>
          </c:val>
          <c:smooth val="0"/>
          <c:extLst>
            <c:ext xmlns:c16="http://schemas.microsoft.com/office/drawing/2014/chart" uri="{C3380CC4-5D6E-409C-BE32-E72D297353CC}">
              <c16:uniqueId val="{00000005-95ED-429F-BEEA-22C30148BCEF}"/>
            </c:ext>
          </c:extLst>
        </c:ser>
        <c:ser>
          <c:idx val="6"/>
          <c:order val="6"/>
          <c:tx>
            <c:strRef>
              <c:f>'גרף 3ב'!$N$1:$N$2</c:f>
              <c:strCache>
                <c:ptCount val="1"/>
                <c:pt idx="0">
                  <c:v>צרכני</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multiLvlStrRef>
              <c:f>'גרף 3ב'!$G$3:$G$13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3ב'!$N$3:$N$13</c:f>
              <c:numCache>
                <c:formatCode>General</c:formatCode>
                <c:ptCount val="8"/>
                <c:pt idx="0">
                  <c:v>-17.22493632453445</c:v>
                </c:pt>
                <c:pt idx="1">
                  <c:v>-8.3245190163833502</c:v>
                </c:pt>
                <c:pt idx="2">
                  <c:v>-12.140218356263579</c:v>
                </c:pt>
                <c:pt idx="3">
                  <c:v>-8.1520906022755444</c:v>
                </c:pt>
                <c:pt idx="4">
                  <c:v>-7.8307229613391538</c:v>
                </c:pt>
                <c:pt idx="5">
                  <c:v>-3.9497537107763017</c:v>
                </c:pt>
                <c:pt idx="6">
                  <c:v>-3.9976322872760144</c:v>
                </c:pt>
                <c:pt idx="7">
                  <c:v>-5.0778604367898446</c:v>
                </c:pt>
              </c:numCache>
            </c:numRef>
          </c:val>
          <c:smooth val="0"/>
          <c:extLst>
            <c:ext xmlns:c16="http://schemas.microsoft.com/office/drawing/2014/chart" uri="{C3380CC4-5D6E-409C-BE32-E72D297353CC}">
              <c16:uniqueId val="{00000006-95ED-429F-BEEA-22C30148BCEF}"/>
            </c:ext>
          </c:extLst>
        </c:ser>
        <c:dLbls>
          <c:showLegendKey val="0"/>
          <c:showVal val="0"/>
          <c:showCatName val="0"/>
          <c:showSerName val="0"/>
          <c:showPercent val="0"/>
          <c:showBubbleSize val="0"/>
        </c:dLbls>
        <c:marker val="1"/>
        <c:smooth val="0"/>
        <c:axId val="935473352"/>
        <c:axId val="935472368"/>
      </c:lineChart>
      <c:catAx>
        <c:axId val="9354733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935472368"/>
        <c:crosses val="autoZero"/>
        <c:auto val="1"/>
        <c:lblAlgn val="ctr"/>
        <c:lblOffset val="100"/>
        <c:noMultiLvlLbl val="0"/>
      </c:catAx>
      <c:valAx>
        <c:axId val="935472368"/>
        <c:scaling>
          <c:orientation val="minMax"/>
          <c:max val="100"/>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935473352"/>
        <c:crosses val="autoZero"/>
        <c:crossBetween val="between"/>
      </c:valAx>
      <c:spPr>
        <a:noFill/>
        <a:ln>
          <a:noFill/>
        </a:ln>
        <a:effectLst/>
      </c:spPr>
    </c:plotArea>
    <c:legend>
      <c:legendPos val="b"/>
      <c:layout>
        <c:manualLayout>
          <c:xMode val="edge"/>
          <c:yMode val="edge"/>
          <c:x val="8.6896100012814944E-3"/>
          <c:y val="0.86083188753948126"/>
          <c:w val="0.96884441237673979"/>
          <c:h val="0.139168213729381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[עותק של עותק של גרפים סקר קציני אשראי (002).xlsx]גרף 5ג!PivotTable3</c:name>
    <c:fmtId val="-1"/>
  </c:pivotSource>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he-IL" sz="1100">
                <a:solidFill>
                  <a:sysClr val="windowText" lastClr="000000"/>
                </a:solidFill>
                <a:latin typeface="Assistant" panose="00000500000000000000" pitchFamily="2" charset="-79"/>
                <a:cs typeface="Assistant" panose="00000500000000000000" pitchFamily="2" charset="-79"/>
              </a:rPr>
              <a:t>ג. אשראי צרכני</a:t>
            </a:r>
            <a:endParaRPr lang="en-US" sz="1100">
              <a:solidFill>
                <a:sysClr val="windowText" lastClr="000000"/>
              </a:solidFill>
              <a:latin typeface="Assistant" panose="00000500000000000000" pitchFamily="2" charset="-79"/>
              <a:cs typeface="Assistant" panose="00000500000000000000" pitchFamily="2" charset="-79"/>
            </a:endParaRPr>
          </a:p>
        </c:rich>
      </c:tx>
      <c:layout>
        <c:manualLayout>
          <c:xMode val="edge"/>
          <c:yMode val="edge"/>
          <c:x val="0.83005208264208963"/>
          <c:y val="1.562702505778971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endParaRPr lang="he-IL"/>
        </a:p>
      </c:txPr>
    </c:title>
    <c:autoTitleDeleted val="0"/>
    <c:pivotFmts>
      <c:pivotFmt>
        <c:idx val="0"/>
        <c:spPr>
          <a:solidFill>
            <a:srgbClr val="D98D25"/>
          </a:solidFill>
          <a:ln>
            <a:noFill/>
          </a:ln>
          <a:effectLst/>
        </c:spPr>
        <c:marker>
          <c:symbol val="none"/>
        </c:marker>
      </c:pivotFmt>
      <c:pivotFmt>
        <c:idx val="1"/>
        <c:spPr>
          <a:solidFill>
            <a:srgbClr val="008DA3"/>
          </a:solidFill>
          <a:ln>
            <a:noFill/>
          </a:ln>
          <a:effectLst/>
        </c:spPr>
        <c:marker>
          <c:symbol val="none"/>
        </c:marker>
      </c:pivotFmt>
      <c:pivotFmt>
        <c:idx val="2"/>
        <c:spPr>
          <a:solidFill>
            <a:srgbClr val="D87585"/>
          </a:solidFill>
          <a:ln>
            <a:noFill/>
          </a:ln>
          <a:effectLst/>
        </c:spPr>
        <c:marker>
          <c:symbol val="none"/>
        </c:marker>
      </c:pivotFmt>
      <c:pivotFmt>
        <c:idx val="3"/>
        <c:spPr>
          <a:solidFill>
            <a:srgbClr val="6C63FF"/>
          </a:solidFill>
          <a:ln>
            <a:noFill/>
          </a:ln>
          <a:effectLst/>
        </c:spPr>
        <c:marker>
          <c:symbol val="none"/>
        </c:marker>
      </c:pivotFmt>
      <c:pivotFmt>
        <c:idx val="4"/>
        <c:spPr>
          <a:solidFill>
            <a:schemeClr val="accent1"/>
          </a:solidFill>
          <a:ln w="28575" cap="rnd">
            <a:solidFill>
              <a:srgbClr val="000000"/>
            </a:solidFill>
            <a:round/>
          </a:ln>
          <a:effectLst/>
        </c:spPr>
        <c:marker>
          <c:symbol val="none"/>
        </c:marker>
      </c:pivotFmt>
      <c:pivotFmt>
        <c:idx val="5"/>
        <c:spPr>
          <a:solidFill>
            <a:srgbClr val="D98D25"/>
          </a:solidFill>
          <a:ln>
            <a:noFill/>
          </a:ln>
          <a:effectLst/>
        </c:spPr>
        <c:marker>
          <c:symbol val="none"/>
        </c:marker>
      </c:pivotFmt>
      <c:pivotFmt>
        <c:idx val="6"/>
        <c:spPr>
          <a:solidFill>
            <a:srgbClr val="008DA3"/>
          </a:solidFill>
          <a:ln>
            <a:noFill/>
          </a:ln>
          <a:effectLst/>
        </c:spPr>
        <c:marker>
          <c:symbol val="none"/>
        </c:marker>
      </c:pivotFmt>
      <c:pivotFmt>
        <c:idx val="7"/>
        <c:spPr>
          <a:solidFill>
            <a:srgbClr val="D87585"/>
          </a:solidFill>
          <a:ln>
            <a:noFill/>
          </a:ln>
          <a:effectLst/>
        </c:spPr>
        <c:marker>
          <c:symbol val="none"/>
        </c:marker>
      </c:pivotFmt>
      <c:pivotFmt>
        <c:idx val="8"/>
        <c:spPr>
          <a:solidFill>
            <a:srgbClr val="6C63FF"/>
          </a:solidFill>
          <a:ln>
            <a:noFill/>
          </a:ln>
          <a:effectLst/>
        </c:spPr>
        <c:marker>
          <c:symbol val="none"/>
        </c:marker>
      </c:pivotFmt>
      <c:pivotFmt>
        <c:idx val="9"/>
        <c:spPr>
          <a:solidFill>
            <a:schemeClr val="accent1"/>
          </a:solidFill>
          <a:ln w="28575" cap="rnd">
            <a:solidFill>
              <a:schemeClr val="tx1"/>
            </a:solidFill>
            <a:round/>
          </a:ln>
          <a:effectLst/>
        </c:spPr>
        <c:marker>
          <c:symbol val="none"/>
        </c:marker>
      </c:pivotFmt>
      <c:pivotFmt>
        <c:idx val="10"/>
        <c:spPr>
          <a:solidFill>
            <a:srgbClr val="D98D25"/>
          </a:solidFill>
          <a:ln>
            <a:noFill/>
          </a:ln>
          <a:effectLst/>
        </c:spPr>
        <c:marker>
          <c:symbol val="none"/>
        </c:marker>
      </c:pivotFmt>
      <c:pivotFmt>
        <c:idx val="11"/>
        <c:spPr>
          <a:solidFill>
            <a:srgbClr val="008DA3"/>
          </a:solidFill>
          <a:ln>
            <a:noFill/>
          </a:ln>
          <a:effectLst/>
        </c:spPr>
        <c:marker>
          <c:symbol val="none"/>
        </c:marker>
      </c:pivotFmt>
      <c:pivotFmt>
        <c:idx val="12"/>
        <c:spPr>
          <a:solidFill>
            <a:srgbClr val="D87585"/>
          </a:solidFill>
          <a:ln>
            <a:noFill/>
          </a:ln>
          <a:effectLst/>
        </c:spPr>
        <c:marker>
          <c:symbol val="none"/>
        </c:marker>
      </c:pivotFmt>
      <c:pivotFmt>
        <c:idx val="13"/>
        <c:spPr>
          <a:solidFill>
            <a:srgbClr val="6C63FF"/>
          </a:solidFill>
          <a:ln>
            <a:noFill/>
          </a:ln>
          <a:effectLst/>
        </c:spPr>
        <c:marker>
          <c:symbol val="none"/>
        </c:marker>
      </c:pivotFmt>
      <c:pivotFmt>
        <c:idx val="14"/>
        <c:spPr>
          <a:solidFill>
            <a:schemeClr val="accent1"/>
          </a:solidFill>
          <a:ln w="28575" cap="rnd">
            <a:solidFill>
              <a:schemeClr val="tx1"/>
            </a:solidFill>
            <a:round/>
          </a:ln>
          <a:effectLst/>
        </c:spPr>
        <c:marker>
          <c:symbol val="none"/>
        </c:marker>
      </c:pivotFmt>
      <c:pivotFmt>
        <c:idx val="15"/>
        <c:spPr>
          <a:solidFill>
            <a:srgbClr val="D98D25"/>
          </a:solidFill>
          <a:ln>
            <a:noFill/>
          </a:ln>
          <a:effectLst/>
        </c:spPr>
        <c:marker>
          <c:symbol val="none"/>
        </c:marker>
      </c:pivotFmt>
      <c:pivotFmt>
        <c:idx val="16"/>
        <c:spPr>
          <a:solidFill>
            <a:srgbClr val="008DA3"/>
          </a:solidFill>
          <a:ln>
            <a:noFill/>
          </a:ln>
          <a:effectLst/>
        </c:spPr>
        <c:marker>
          <c:symbol val="none"/>
        </c:marker>
      </c:pivotFmt>
      <c:pivotFmt>
        <c:idx val="17"/>
        <c:spPr>
          <a:solidFill>
            <a:srgbClr val="D87585"/>
          </a:solidFill>
          <a:ln>
            <a:noFill/>
          </a:ln>
          <a:effectLst/>
        </c:spPr>
        <c:marker>
          <c:symbol val="none"/>
        </c:marker>
      </c:pivotFmt>
      <c:pivotFmt>
        <c:idx val="18"/>
        <c:spPr>
          <a:solidFill>
            <a:srgbClr val="6C63FF"/>
          </a:solidFill>
          <a:ln>
            <a:noFill/>
          </a:ln>
          <a:effectLst/>
        </c:spPr>
        <c:marker>
          <c:symbol val="none"/>
        </c:marker>
      </c:pivotFmt>
      <c:pivotFmt>
        <c:idx val="19"/>
        <c:spPr>
          <a:solidFill>
            <a:schemeClr val="accent1"/>
          </a:solidFill>
          <a:ln w="28575" cap="rnd">
            <a:solidFill>
              <a:schemeClr val="tx1"/>
            </a:solidFill>
            <a:round/>
          </a:ln>
          <a:effectLst/>
        </c:spPr>
        <c:marker>
          <c:symbol val="none"/>
        </c:marker>
      </c:pivotFmt>
    </c:pivotFmts>
    <c:plotArea>
      <c:layout>
        <c:manualLayout>
          <c:layoutTarget val="inner"/>
          <c:xMode val="edge"/>
          <c:yMode val="edge"/>
          <c:x val="6.9465942420154816E-2"/>
          <c:y val="9.3880951861626719E-2"/>
          <c:w val="0.90939100945984919"/>
          <c:h val="0.61880515628067279"/>
        </c:manualLayout>
      </c:layout>
      <c:barChart>
        <c:barDir val="col"/>
        <c:grouping val="stacked"/>
        <c:varyColors val="0"/>
        <c:ser>
          <c:idx val="1"/>
          <c:order val="1"/>
          <c:tx>
            <c:strRef>
              <c:f>'גרף 5ג'!$I$1:$I$2</c:f>
              <c:strCache>
                <c:ptCount val="1"/>
                <c:pt idx="0">
                  <c:v>לחצי תחרות</c:v>
                </c:pt>
              </c:strCache>
            </c:strRef>
          </c:tx>
          <c:spPr>
            <a:solidFill>
              <a:srgbClr val="D98D25"/>
            </a:solidFill>
            <a:ln>
              <a:noFill/>
            </a:ln>
            <a:effectLst/>
          </c:spPr>
          <c:invertIfNegative val="0"/>
          <c:cat>
            <c:multiLvlStrRef>
              <c:f>'גרף 5ג'!$G$3:$G$13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5ג'!$I$3:$I$13</c:f>
              <c:numCache>
                <c:formatCode>General</c:formatCode>
                <c:ptCount val="8"/>
                <c:pt idx="0">
                  <c:v>-99.611458273799229</c:v>
                </c:pt>
                <c:pt idx="1">
                  <c:v>-50.346578741499307</c:v>
                </c:pt>
                <c:pt idx="2">
                  <c:v>-61.499653497615498</c:v>
                </c:pt>
                <c:pt idx="3">
                  <c:v>-48.409189459054772</c:v>
                </c:pt>
                <c:pt idx="4">
                  <c:v>-26.228806490031143</c:v>
                </c:pt>
                <c:pt idx="5">
                  <c:v>-26.235636675242585</c:v>
                </c:pt>
                <c:pt idx="6">
                  <c:v>-26.280115334242318</c:v>
                </c:pt>
                <c:pt idx="7">
                  <c:v>-30.381912310639237</c:v>
                </c:pt>
              </c:numCache>
            </c:numRef>
          </c:val>
          <c:extLst>
            <c:ext xmlns:c16="http://schemas.microsoft.com/office/drawing/2014/chart" uri="{C3380CC4-5D6E-409C-BE32-E72D297353CC}">
              <c16:uniqueId val="{00000000-6A57-4FAE-8731-C9FB3A5684DC}"/>
            </c:ext>
          </c:extLst>
        </c:ser>
        <c:ser>
          <c:idx val="2"/>
          <c:order val="2"/>
          <c:tx>
            <c:strRef>
              <c:f>'גרף 5ג'!$J$1:$J$2</c:f>
              <c:strCache>
                <c:ptCount val="1"/>
                <c:pt idx="0">
                  <c:v>עלויות גיוס המקורות ומגבלות הרכב המאזן</c:v>
                </c:pt>
              </c:strCache>
            </c:strRef>
          </c:tx>
          <c:spPr>
            <a:solidFill>
              <a:srgbClr val="008DA3"/>
            </a:solidFill>
            <a:ln>
              <a:noFill/>
            </a:ln>
            <a:effectLst/>
          </c:spPr>
          <c:invertIfNegative val="0"/>
          <c:cat>
            <c:multiLvlStrRef>
              <c:f>'גרף 5ג'!$G$3:$G$13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5ג'!$J$3:$J$13</c:f>
              <c:numCache>
                <c:formatCode>General</c:formatCode>
                <c:ptCount val="8"/>
                <c:pt idx="0">
                  <c:v>0</c:v>
                </c:pt>
                <c:pt idx="1">
                  <c:v>0</c:v>
                </c:pt>
                <c:pt idx="2">
                  <c:v>0</c:v>
                </c:pt>
                <c:pt idx="3">
                  <c:v>0</c:v>
                </c:pt>
                <c:pt idx="4">
                  <c:v>0.23971629020119858</c:v>
                </c:pt>
                <c:pt idx="5">
                  <c:v>-3.9497537107763017</c:v>
                </c:pt>
                <c:pt idx="6">
                  <c:v>0</c:v>
                </c:pt>
                <c:pt idx="7">
                  <c:v>-4.0418992355919166</c:v>
                </c:pt>
              </c:numCache>
            </c:numRef>
          </c:val>
          <c:extLst>
            <c:ext xmlns:c16="http://schemas.microsoft.com/office/drawing/2014/chart" uri="{C3380CC4-5D6E-409C-BE32-E72D297353CC}">
              <c16:uniqueId val="{00000001-6A57-4FAE-8731-C9FB3A5684DC}"/>
            </c:ext>
          </c:extLst>
        </c:ser>
        <c:ser>
          <c:idx val="3"/>
          <c:order val="3"/>
          <c:tx>
            <c:strRef>
              <c:f>'גרף 5ג'!$K$1:$K$2</c:f>
              <c:strCache>
                <c:ptCount val="1"/>
                <c:pt idx="0">
                  <c:v>תאבון וקיבולת לסיכון אשראי</c:v>
                </c:pt>
              </c:strCache>
            </c:strRef>
          </c:tx>
          <c:spPr>
            <a:solidFill>
              <a:srgbClr val="D87585"/>
            </a:solidFill>
            <a:ln>
              <a:noFill/>
            </a:ln>
            <a:effectLst/>
          </c:spPr>
          <c:invertIfNegative val="0"/>
          <c:cat>
            <c:multiLvlStrRef>
              <c:f>'גרף 5ג'!$G$3:$G$13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5ג'!$K$3:$K$13</c:f>
              <c:numCache>
                <c:formatCode>General</c:formatCode>
                <c:ptCount val="8"/>
                <c:pt idx="0">
                  <c:v>-22.306118013044614</c:v>
                </c:pt>
                <c:pt idx="1">
                  <c:v>0</c:v>
                </c:pt>
                <c:pt idx="2">
                  <c:v>0</c:v>
                </c:pt>
                <c:pt idx="3">
                  <c:v>0</c:v>
                </c:pt>
                <c:pt idx="4">
                  <c:v>0</c:v>
                </c:pt>
                <c:pt idx="5">
                  <c:v>-3.9497537107763017</c:v>
                </c:pt>
                <c:pt idx="6">
                  <c:v>-3.9976322872760144</c:v>
                </c:pt>
                <c:pt idx="7">
                  <c:v>-4.0418992355919166</c:v>
                </c:pt>
              </c:numCache>
            </c:numRef>
          </c:val>
          <c:extLst>
            <c:ext xmlns:c16="http://schemas.microsoft.com/office/drawing/2014/chart" uri="{C3380CC4-5D6E-409C-BE32-E72D297353CC}">
              <c16:uniqueId val="{00000002-6A57-4FAE-8731-C9FB3A5684DC}"/>
            </c:ext>
          </c:extLst>
        </c:ser>
        <c:ser>
          <c:idx val="4"/>
          <c:order val="4"/>
          <c:tx>
            <c:strRef>
              <c:f>'גרף 5ג'!$L$1:$L$2</c:f>
              <c:strCache>
                <c:ptCount val="1"/>
                <c:pt idx="0">
                  <c:v>תפיסת סיכון בבנק</c:v>
                </c:pt>
              </c:strCache>
            </c:strRef>
          </c:tx>
          <c:spPr>
            <a:solidFill>
              <a:srgbClr val="6C63FF"/>
            </a:solidFill>
            <a:ln>
              <a:noFill/>
            </a:ln>
            <a:effectLst/>
          </c:spPr>
          <c:invertIfNegative val="0"/>
          <c:cat>
            <c:multiLvlStrRef>
              <c:f>'גרף 5ג'!$G$3:$G$13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5ג'!$L$3:$L$13</c:f>
              <c:numCache>
                <c:formatCode>General</c:formatCode>
                <c:ptCount val="8"/>
                <c:pt idx="0">
                  <c:v>0</c:v>
                </c:pt>
                <c:pt idx="1">
                  <c:v>0</c:v>
                </c:pt>
                <c:pt idx="2">
                  <c:v>-3.9022200143882935</c:v>
                </c:pt>
                <c:pt idx="3">
                  <c:v>0</c:v>
                </c:pt>
                <c:pt idx="4">
                  <c:v>-3.9378594067196895</c:v>
                </c:pt>
                <c:pt idx="5">
                  <c:v>-3.9497537107763017</c:v>
                </c:pt>
                <c:pt idx="6">
                  <c:v>0</c:v>
                </c:pt>
                <c:pt idx="7">
                  <c:v>-4.0418992355919166</c:v>
                </c:pt>
              </c:numCache>
            </c:numRef>
          </c:val>
          <c:extLst>
            <c:ext xmlns:c16="http://schemas.microsoft.com/office/drawing/2014/chart" uri="{C3380CC4-5D6E-409C-BE32-E72D297353CC}">
              <c16:uniqueId val="{00000003-6A57-4FAE-8731-C9FB3A5684DC}"/>
            </c:ext>
          </c:extLst>
        </c:ser>
        <c:dLbls>
          <c:showLegendKey val="0"/>
          <c:showVal val="0"/>
          <c:showCatName val="0"/>
          <c:showSerName val="0"/>
          <c:showPercent val="0"/>
          <c:showBubbleSize val="0"/>
        </c:dLbls>
        <c:gapWidth val="150"/>
        <c:overlap val="100"/>
        <c:axId val="1039071736"/>
        <c:axId val="1039065176"/>
      </c:barChart>
      <c:lineChart>
        <c:grouping val="standard"/>
        <c:varyColors val="0"/>
        <c:ser>
          <c:idx val="0"/>
          <c:order val="0"/>
          <c:tx>
            <c:strRef>
              <c:f>'גרף 5ג'!$H$1:$H$2</c:f>
              <c:strCache>
                <c:ptCount val="1"/>
                <c:pt idx="0">
                  <c:v>השינוי שחל במרווחים</c:v>
                </c:pt>
              </c:strCache>
            </c:strRef>
          </c:tx>
          <c:spPr>
            <a:ln w="28575" cap="rnd">
              <a:solidFill>
                <a:schemeClr val="tx1"/>
              </a:solidFill>
              <a:round/>
            </a:ln>
            <a:effectLst/>
          </c:spPr>
          <c:marker>
            <c:symbol val="none"/>
          </c:marker>
          <c:cat>
            <c:multiLvlStrRef>
              <c:f>'גרף 5ג'!$G$3:$G$13</c:f>
              <c:multiLvlStrCache>
                <c:ptCount val="8"/>
                <c:lvl>
                  <c:pt idx="0">
                    <c:v>Q4</c:v>
                  </c:pt>
                  <c:pt idx="1">
                    <c:v>Q1</c:v>
                  </c:pt>
                  <c:pt idx="2">
                    <c:v>Q2</c:v>
                  </c:pt>
                  <c:pt idx="3">
                    <c:v>Q3</c:v>
                  </c:pt>
                  <c:pt idx="4">
                    <c:v>Q4</c:v>
                  </c:pt>
                  <c:pt idx="5">
                    <c:v>Q1</c:v>
                  </c:pt>
                  <c:pt idx="6">
                    <c:v>Q2</c:v>
                  </c:pt>
                  <c:pt idx="7">
                    <c:v>Q3</c:v>
                  </c:pt>
                </c:lvl>
                <c:lvl>
                  <c:pt idx="0">
                    <c:v>2024</c:v>
                  </c:pt>
                  <c:pt idx="1">
                    <c:v>2025</c:v>
                  </c:pt>
                  <c:pt idx="5">
                    <c:v>2026</c:v>
                  </c:pt>
                </c:lvl>
              </c:multiLvlStrCache>
            </c:multiLvlStrRef>
          </c:cat>
          <c:val>
            <c:numRef>
              <c:f>'גרף 5ג'!$H$3:$H$13</c:f>
              <c:numCache>
                <c:formatCode>General</c:formatCode>
                <c:ptCount val="8"/>
                <c:pt idx="0">
                  <c:v>-37.806931405825615</c:v>
                </c:pt>
                <c:pt idx="1">
                  <c:v>-21.849982651056301</c:v>
                </c:pt>
                <c:pt idx="2">
                  <c:v>-18.64000822774408</c:v>
                </c:pt>
                <c:pt idx="3">
                  <c:v>-21.202253566736392</c:v>
                </c:pt>
                <c:pt idx="4">
                  <c:v>-9.7996526646989981</c:v>
                </c:pt>
                <c:pt idx="5">
                  <c:v>-13.154439029121074</c:v>
                </c:pt>
                <c:pt idx="6">
                  <c:v>-13.199638410370802</c:v>
                </c:pt>
                <c:pt idx="7">
                  <c:v>-19.770691226660457</c:v>
                </c:pt>
              </c:numCache>
            </c:numRef>
          </c:val>
          <c:smooth val="0"/>
          <c:extLst>
            <c:ext xmlns:c16="http://schemas.microsoft.com/office/drawing/2014/chart" uri="{C3380CC4-5D6E-409C-BE32-E72D297353CC}">
              <c16:uniqueId val="{00000004-6A57-4FAE-8731-C9FB3A5684DC}"/>
            </c:ext>
          </c:extLst>
        </c:ser>
        <c:dLbls>
          <c:showLegendKey val="0"/>
          <c:showVal val="0"/>
          <c:showCatName val="0"/>
          <c:showSerName val="0"/>
          <c:showPercent val="0"/>
          <c:showBubbleSize val="0"/>
        </c:dLbls>
        <c:marker val="1"/>
        <c:smooth val="0"/>
        <c:axId val="1039071736"/>
        <c:axId val="1039065176"/>
      </c:lineChart>
      <c:catAx>
        <c:axId val="10390717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he-IL"/>
          </a:p>
        </c:txPr>
        <c:crossAx val="1039065176"/>
        <c:crosses val="autoZero"/>
        <c:auto val="1"/>
        <c:lblAlgn val="ctr"/>
        <c:lblOffset val="100"/>
        <c:noMultiLvlLbl val="0"/>
      </c:catAx>
      <c:valAx>
        <c:axId val="1039065176"/>
        <c:scaling>
          <c:orientation val="minMax"/>
          <c:max val="200"/>
          <c:min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he-IL"/>
          </a:p>
        </c:txPr>
        <c:crossAx val="1039071736"/>
        <c:crosses val="autoZero"/>
        <c:crossBetween val="between"/>
      </c:valAx>
      <c:spPr>
        <a:noFill/>
        <a:ln>
          <a:noFill/>
        </a:ln>
        <a:effectLst/>
      </c:spPr>
    </c:plotArea>
    <c:legend>
      <c:legendPos val="b"/>
      <c:legendEntry>
        <c:idx val="4"/>
        <c:delete val="1"/>
      </c:legendEntry>
      <c:layout>
        <c:manualLayout>
          <c:xMode val="edge"/>
          <c:yMode val="edge"/>
          <c:x val="1.5658965963438343E-2"/>
          <c:y val="0.85736660838931023"/>
          <c:w val="0.98049187412496552"/>
          <c:h val="0.130112523497167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4</Pages>
  <Words>363</Words>
  <Characters>1818</Characters>
  <Application>Microsoft Office Word</Application>
  <DocSecurity>0</DocSecurity>
  <Lines>15</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2026-10-22T10:03:00Z</dcterms:created>
  <dcterms:modified xsi:type="dcterms:W3CDTF">2026-10-22T10:03:00Z</dcterms:modified>
</cp:coreProperties>
</file>