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21"/>
        <w:bidiVisual/>
        <w:tblW w:w="0" w:type="auto"/>
        <w:tblLayout w:type="fixed"/>
        <w:tblLook w:val="0000" w:firstRow="0" w:lastRow="0" w:firstColumn="0" w:lastColumn="0" w:noHBand="0" w:noVBand="0"/>
      </w:tblPr>
      <w:tblGrid>
        <w:gridCol w:w="3392"/>
        <w:gridCol w:w="2596"/>
        <w:gridCol w:w="3084"/>
      </w:tblGrid>
      <w:tr w:rsidR="00FC171A" w:rsidRPr="00B9169C" w:rsidTr="007520D5">
        <w:trPr>
          <w:cantSplit/>
        </w:trPr>
        <w:tc>
          <w:tcPr>
            <w:tcW w:w="3392" w:type="dxa"/>
            <w:tcBorders>
              <w:top w:val="nil"/>
              <w:left w:val="nil"/>
              <w:bottom w:val="nil"/>
              <w:right w:val="nil"/>
            </w:tcBorders>
            <w:vAlign w:val="center"/>
          </w:tcPr>
          <w:p w:rsidR="00FC171A" w:rsidRPr="00B9169C" w:rsidRDefault="00FC171A" w:rsidP="00FC171A">
            <w:pPr>
              <w:jc w:val="both"/>
              <w:rPr>
                <w:rFonts w:ascii="David" w:hAnsi="David" w:cs="David"/>
                <w:b/>
                <w:bCs/>
                <w:sz w:val="24"/>
                <w:szCs w:val="24"/>
                <w:rtl/>
              </w:rPr>
            </w:pPr>
            <w:r w:rsidRPr="00B9169C">
              <w:rPr>
                <w:rFonts w:ascii="David" w:hAnsi="David" w:cs="David"/>
                <w:b/>
                <w:bCs/>
                <w:sz w:val="24"/>
                <w:szCs w:val="24"/>
                <w:rtl/>
              </w:rPr>
              <w:t>בנק ישראל</w:t>
            </w:r>
          </w:p>
          <w:p w:rsidR="00FC171A" w:rsidRPr="00B9169C" w:rsidRDefault="00FC171A" w:rsidP="00FC171A">
            <w:pPr>
              <w:jc w:val="both"/>
              <w:rPr>
                <w:rFonts w:ascii="David" w:hAnsi="David" w:cs="David"/>
                <w:sz w:val="24"/>
                <w:szCs w:val="24"/>
              </w:rPr>
            </w:pPr>
            <w:r w:rsidRPr="00B9169C">
              <w:rPr>
                <w:rFonts w:ascii="David" w:hAnsi="David" w:cs="David"/>
                <w:sz w:val="24"/>
                <w:szCs w:val="24"/>
                <w:rtl/>
              </w:rPr>
              <w:t>דוברות והסברה כלכלית</w:t>
            </w:r>
          </w:p>
        </w:tc>
        <w:tc>
          <w:tcPr>
            <w:tcW w:w="2596" w:type="dxa"/>
            <w:tcBorders>
              <w:top w:val="nil"/>
              <w:left w:val="nil"/>
              <w:bottom w:val="nil"/>
              <w:right w:val="nil"/>
            </w:tcBorders>
          </w:tcPr>
          <w:p w:rsidR="00FC171A" w:rsidRPr="00B9169C" w:rsidRDefault="00FC171A" w:rsidP="00FC171A">
            <w:pPr>
              <w:jc w:val="both"/>
              <w:rPr>
                <w:rFonts w:ascii="David" w:hAnsi="David" w:cs="David"/>
                <w:sz w:val="24"/>
                <w:szCs w:val="24"/>
              </w:rPr>
            </w:pPr>
            <w:r w:rsidRPr="00B9169C">
              <w:rPr>
                <w:rFonts w:ascii="David" w:hAnsi="David" w:cs="David"/>
                <w:noProof/>
                <w:sz w:val="24"/>
                <w:szCs w:val="24"/>
              </w:rPr>
              <w:drawing>
                <wp:inline distT="0" distB="0" distL="0" distR="0" wp14:anchorId="4C5FDDC4" wp14:editId="14CB79BA">
                  <wp:extent cx="975360" cy="975360"/>
                  <wp:effectExtent l="0" t="0" r="0" b="0"/>
                  <wp:docPr id="1" name="Picture 1" descr="לוגו בנק ישראל"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FC171A" w:rsidRPr="00B9169C" w:rsidRDefault="00FC171A" w:rsidP="00B8762E">
            <w:pPr>
              <w:jc w:val="right"/>
              <w:rPr>
                <w:rFonts w:ascii="David" w:hAnsi="David" w:cs="David"/>
                <w:sz w:val="24"/>
                <w:szCs w:val="24"/>
                <w:rtl/>
              </w:rPr>
            </w:pPr>
            <w:r w:rsidRPr="00B9169C">
              <w:rPr>
                <w:rFonts w:ascii="David" w:hAnsi="David" w:cs="David"/>
                <w:sz w:val="24"/>
                <w:szCs w:val="24"/>
                <w:rtl/>
              </w:rPr>
              <w:t xml:space="preserve">‏ירושלים, </w:t>
            </w:r>
            <w:r w:rsidR="00B8762E">
              <w:rPr>
                <w:rFonts w:ascii="David" w:hAnsi="David" w:cs="David" w:hint="cs"/>
                <w:sz w:val="24"/>
                <w:szCs w:val="24"/>
                <w:rtl/>
              </w:rPr>
              <w:t>ט</w:t>
            </w:r>
            <w:r w:rsidR="009970EF" w:rsidRPr="00B9169C">
              <w:rPr>
                <w:rFonts w:ascii="David" w:hAnsi="David" w:cs="David" w:hint="cs"/>
                <w:sz w:val="24"/>
                <w:szCs w:val="24"/>
                <w:rtl/>
              </w:rPr>
              <w:t xml:space="preserve">' </w:t>
            </w:r>
            <w:r w:rsidR="00B8762E">
              <w:rPr>
                <w:rFonts w:ascii="David" w:hAnsi="David" w:cs="David" w:hint="cs"/>
                <w:sz w:val="24"/>
                <w:szCs w:val="24"/>
                <w:rtl/>
              </w:rPr>
              <w:t>טבת</w:t>
            </w:r>
            <w:r w:rsidRPr="00B9169C">
              <w:rPr>
                <w:rFonts w:ascii="David" w:hAnsi="David" w:cs="David"/>
                <w:sz w:val="24"/>
                <w:szCs w:val="24"/>
                <w:rtl/>
              </w:rPr>
              <w:t>, תשפ"</w:t>
            </w:r>
            <w:r w:rsidR="009970EF" w:rsidRPr="00B9169C">
              <w:rPr>
                <w:rFonts w:ascii="David" w:hAnsi="David" w:cs="David" w:hint="cs"/>
                <w:sz w:val="24"/>
                <w:szCs w:val="24"/>
                <w:rtl/>
              </w:rPr>
              <w:t>ג</w:t>
            </w:r>
          </w:p>
          <w:p w:rsidR="00FC171A" w:rsidRPr="00B9169C" w:rsidRDefault="00FC171A" w:rsidP="00B8762E">
            <w:pPr>
              <w:jc w:val="right"/>
              <w:rPr>
                <w:rFonts w:ascii="David" w:hAnsi="David" w:cs="David"/>
                <w:sz w:val="24"/>
                <w:szCs w:val="24"/>
              </w:rPr>
            </w:pPr>
            <w:r w:rsidRPr="00B9169C">
              <w:rPr>
                <w:rFonts w:ascii="David" w:hAnsi="David" w:cs="David"/>
                <w:sz w:val="24"/>
                <w:szCs w:val="24"/>
                <w:rtl/>
              </w:rPr>
              <w:t>‏‏‏‏‏‏</w:t>
            </w:r>
            <w:r w:rsidR="00B8762E">
              <w:rPr>
                <w:rFonts w:ascii="David" w:hAnsi="David" w:cs="David" w:hint="cs"/>
                <w:sz w:val="24"/>
                <w:szCs w:val="24"/>
                <w:rtl/>
              </w:rPr>
              <w:t>2 בינואר,</w:t>
            </w:r>
            <w:r w:rsidRPr="00B9169C">
              <w:rPr>
                <w:rFonts w:ascii="David" w:hAnsi="David" w:cs="David"/>
                <w:sz w:val="24"/>
                <w:szCs w:val="24"/>
                <w:rtl/>
              </w:rPr>
              <w:t xml:space="preserve"> 202</w:t>
            </w:r>
            <w:r w:rsidR="00B8762E">
              <w:rPr>
                <w:rFonts w:ascii="David" w:hAnsi="David" w:cs="David" w:hint="cs"/>
                <w:sz w:val="24"/>
                <w:szCs w:val="24"/>
                <w:rtl/>
              </w:rPr>
              <w:t>3</w:t>
            </w:r>
          </w:p>
        </w:tc>
      </w:tr>
    </w:tbl>
    <w:p w:rsidR="002311A2" w:rsidRPr="00B9169C" w:rsidRDefault="002311A2" w:rsidP="00A251DD">
      <w:pPr>
        <w:jc w:val="both"/>
        <w:rPr>
          <w:rFonts w:ascii="David" w:hAnsi="David" w:cs="David"/>
          <w:sz w:val="24"/>
          <w:szCs w:val="24"/>
          <w:rtl/>
        </w:rPr>
      </w:pPr>
    </w:p>
    <w:p w:rsidR="00BB518C" w:rsidRPr="00B9169C" w:rsidRDefault="00BB518C" w:rsidP="00B8762E">
      <w:pPr>
        <w:spacing w:before="120" w:after="0" w:line="360" w:lineRule="auto"/>
        <w:ind w:left="23"/>
        <w:contextualSpacing/>
        <w:jc w:val="center"/>
        <w:rPr>
          <w:rFonts w:ascii="David" w:hAnsi="David" w:cs="David"/>
          <w:b/>
          <w:bCs/>
          <w:spacing w:val="5"/>
          <w:kern w:val="28"/>
          <w:sz w:val="28"/>
          <w:szCs w:val="28"/>
          <w:rtl/>
        </w:rPr>
      </w:pPr>
      <w:r w:rsidRPr="00B9169C">
        <w:rPr>
          <w:rFonts w:ascii="David" w:hAnsi="David" w:cs="David"/>
          <w:b/>
          <w:bCs/>
          <w:spacing w:val="5"/>
          <w:kern w:val="28"/>
          <w:sz w:val="28"/>
          <w:szCs w:val="28"/>
          <w:rtl/>
        </w:rPr>
        <w:t xml:space="preserve">התחזית המקרו-כלכלית של חטיבת המחקר, </w:t>
      </w:r>
      <w:r w:rsidR="00B8762E">
        <w:rPr>
          <w:rFonts w:ascii="David" w:hAnsi="David" w:cs="David" w:hint="cs"/>
          <w:b/>
          <w:bCs/>
          <w:spacing w:val="5"/>
          <w:kern w:val="28"/>
          <w:sz w:val="28"/>
          <w:szCs w:val="28"/>
          <w:rtl/>
        </w:rPr>
        <w:t>ינואר</w:t>
      </w:r>
      <w:r w:rsidRPr="00B9169C">
        <w:rPr>
          <w:rFonts w:ascii="David" w:hAnsi="David" w:cs="David"/>
          <w:b/>
          <w:bCs/>
          <w:spacing w:val="5"/>
          <w:kern w:val="28"/>
          <w:sz w:val="28"/>
          <w:szCs w:val="28"/>
          <w:rtl/>
        </w:rPr>
        <w:t xml:space="preserve"> 202</w:t>
      </w:r>
      <w:r w:rsidR="00B8762E">
        <w:rPr>
          <w:rFonts w:ascii="David" w:hAnsi="David" w:cs="David" w:hint="cs"/>
          <w:b/>
          <w:bCs/>
          <w:spacing w:val="5"/>
          <w:kern w:val="28"/>
          <w:sz w:val="28"/>
          <w:szCs w:val="28"/>
          <w:rtl/>
        </w:rPr>
        <w:t>3</w:t>
      </w:r>
    </w:p>
    <w:p w:rsidR="00BB518C" w:rsidRPr="007B4DA1" w:rsidRDefault="00BB518C" w:rsidP="00BB518C">
      <w:pPr>
        <w:keepNext/>
        <w:keepLines/>
        <w:spacing w:before="120" w:after="120" w:line="360" w:lineRule="auto"/>
        <w:ind w:left="23"/>
        <w:jc w:val="both"/>
        <w:outlineLvl w:val="0"/>
        <w:rPr>
          <w:rFonts w:ascii="David" w:hAnsi="David" w:cs="David"/>
          <w:b/>
          <w:bCs/>
          <w:sz w:val="24"/>
          <w:szCs w:val="24"/>
          <w:rtl/>
        </w:rPr>
      </w:pPr>
      <w:r w:rsidRPr="007B4DA1">
        <w:rPr>
          <w:rFonts w:ascii="David" w:hAnsi="David" w:cs="David"/>
          <w:b/>
          <w:bCs/>
          <w:sz w:val="24"/>
          <w:szCs w:val="24"/>
          <w:rtl/>
        </w:rPr>
        <w:t>תמצית</w:t>
      </w:r>
    </w:p>
    <w:p w:rsidR="00BB518C" w:rsidRPr="007B4DA1" w:rsidRDefault="00BB518C" w:rsidP="00996A2C">
      <w:pPr>
        <w:spacing w:before="120" w:after="120" w:line="360" w:lineRule="auto"/>
        <w:jc w:val="both"/>
        <w:rPr>
          <w:rFonts w:ascii="David" w:hAnsi="David" w:cs="David"/>
          <w:sz w:val="24"/>
          <w:szCs w:val="24"/>
          <w:rtl/>
        </w:rPr>
      </w:pPr>
      <w:r w:rsidRPr="007B4DA1">
        <w:rPr>
          <w:rFonts w:ascii="David" w:hAnsi="David" w:cs="David"/>
          <w:sz w:val="24"/>
          <w:szCs w:val="24"/>
          <w:rtl/>
        </w:rPr>
        <w:t xml:space="preserve">מסמך זה מציג את התחזית המקרו-כלכלית שחטיבת המחקר בבנק ישראל גיבשה </w:t>
      </w:r>
      <w:r w:rsidR="00B8762E" w:rsidRPr="007B4DA1">
        <w:rPr>
          <w:rFonts w:ascii="David" w:hAnsi="David" w:cs="David"/>
          <w:sz w:val="24"/>
          <w:szCs w:val="24"/>
          <w:rtl/>
        </w:rPr>
        <w:t>בינואר</w:t>
      </w:r>
      <w:r w:rsidRPr="007B4DA1">
        <w:rPr>
          <w:rFonts w:ascii="David" w:hAnsi="David" w:cs="David"/>
          <w:sz w:val="24"/>
          <w:szCs w:val="24"/>
          <w:rtl/>
        </w:rPr>
        <w:t xml:space="preserve"> 202</w:t>
      </w:r>
      <w:r w:rsidR="00B8762E" w:rsidRPr="007B4DA1">
        <w:rPr>
          <w:rFonts w:ascii="David" w:hAnsi="David" w:cs="David"/>
          <w:sz w:val="24"/>
          <w:szCs w:val="24"/>
          <w:rtl/>
        </w:rPr>
        <w:t>3</w:t>
      </w:r>
      <w:r w:rsidRPr="007B4DA1">
        <w:rPr>
          <w:rFonts w:ascii="David" w:hAnsi="David" w:cs="David"/>
          <w:sz w:val="24"/>
          <w:szCs w:val="24"/>
          <w:vertAlign w:val="superscript"/>
          <w:rtl/>
        </w:rPr>
        <w:footnoteReference w:id="1"/>
      </w:r>
      <w:r w:rsidRPr="007B4DA1">
        <w:rPr>
          <w:rFonts w:ascii="David" w:hAnsi="David" w:cs="David"/>
          <w:sz w:val="24"/>
          <w:szCs w:val="24"/>
          <w:rtl/>
        </w:rPr>
        <w:t xml:space="preserve"> בנוגע למשתני המקרו העיקריים – התוצר, האינפלציה והריבית. על פי התחזית, התוצר צפוי לצמוח בשיעור של </w:t>
      </w:r>
      <w:r w:rsidR="00B8762E" w:rsidRPr="007B4DA1">
        <w:rPr>
          <w:rFonts w:ascii="David" w:hAnsi="David" w:cs="David"/>
          <w:sz w:val="24"/>
          <w:szCs w:val="24"/>
          <w:rtl/>
        </w:rPr>
        <w:t>2.8</w:t>
      </w:r>
      <w:r w:rsidRPr="007B4DA1">
        <w:rPr>
          <w:rFonts w:ascii="David" w:hAnsi="David" w:cs="David"/>
          <w:sz w:val="24"/>
          <w:szCs w:val="24"/>
          <w:rtl/>
        </w:rPr>
        <w:t>% ב-2023</w:t>
      </w:r>
      <w:r w:rsidR="00B8762E" w:rsidRPr="007B4DA1">
        <w:rPr>
          <w:rFonts w:ascii="David" w:hAnsi="David" w:cs="David"/>
          <w:sz w:val="24"/>
          <w:szCs w:val="24"/>
          <w:rtl/>
        </w:rPr>
        <w:t xml:space="preserve"> ובשיעור של 3.</w:t>
      </w:r>
      <w:r w:rsidR="00996A2C" w:rsidRPr="007B4DA1">
        <w:rPr>
          <w:rFonts w:ascii="David" w:hAnsi="David" w:cs="David"/>
          <w:sz w:val="24"/>
          <w:szCs w:val="24"/>
          <w:rtl/>
        </w:rPr>
        <w:t>5</w:t>
      </w:r>
      <w:r w:rsidR="00B8762E" w:rsidRPr="007B4DA1">
        <w:rPr>
          <w:rFonts w:ascii="David" w:hAnsi="David" w:cs="David"/>
          <w:sz w:val="24"/>
          <w:szCs w:val="24"/>
          <w:rtl/>
        </w:rPr>
        <w:t>% ב-2024</w:t>
      </w:r>
      <w:r w:rsidRPr="007B4DA1">
        <w:rPr>
          <w:rFonts w:ascii="David" w:hAnsi="David" w:cs="David"/>
          <w:sz w:val="24"/>
          <w:szCs w:val="24"/>
          <w:rtl/>
        </w:rPr>
        <w:t>. שיעור האינפלציה בארבעת הרבעונים הקרובים</w:t>
      </w:r>
      <w:r w:rsidRPr="007B4DA1">
        <w:rPr>
          <w:rFonts w:ascii="David" w:hAnsi="David" w:cs="David"/>
          <w:sz w:val="24"/>
          <w:szCs w:val="24"/>
          <w:vertAlign w:val="superscript"/>
          <w:rtl/>
        </w:rPr>
        <w:footnoteReference w:id="2"/>
      </w:r>
      <w:r w:rsidRPr="007B4DA1">
        <w:rPr>
          <w:rFonts w:ascii="David" w:hAnsi="David" w:cs="David"/>
          <w:sz w:val="24"/>
          <w:szCs w:val="24"/>
          <w:rtl/>
        </w:rPr>
        <w:t xml:space="preserve"> צפוי להיות </w:t>
      </w:r>
      <w:r w:rsidR="00B8762E" w:rsidRPr="007B4DA1">
        <w:rPr>
          <w:rFonts w:ascii="David" w:hAnsi="David" w:cs="David"/>
          <w:sz w:val="24"/>
          <w:szCs w:val="24"/>
          <w:rtl/>
        </w:rPr>
        <w:t>3.</w:t>
      </w:r>
      <w:r w:rsidR="00996A2C" w:rsidRPr="007B4DA1">
        <w:rPr>
          <w:rFonts w:ascii="David" w:hAnsi="David" w:cs="David"/>
          <w:sz w:val="24"/>
          <w:szCs w:val="24"/>
          <w:rtl/>
        </w:rPr>
        <w:t>0</w:t>
      </w:r>
      <w:r w:rsidRPr="007B4DA1">
        <w:rPr>
          <w:rFonts w:ascii="David" w:hAnsi="David" w:cs="David"/>
          <w:sz w:val="24"/>
          <w:szCs w:val="24"/>
          <w:rtl/>
        </w:rPr>
        <w:t xml:space="preserve">%. </w:t>
      </w:r>
      <w:r w:rsidR="00B8762E" w:rsidRPr="007B4DA1">
        <w:rPr>
          <w:rFonts w:ascii="David" w:hAnsi="David" w:cs="David"/>
          <w:sz w:val="24"/>
          <w:szCs w:val="24"/>
          <w:rtl/>
        </w:rPr>
        <w:t>ו</w:t>
      </w:r>
      <w:r w:rsidRPr="007B4DA1">
        <w:rPr>
          <w:rFonts w:ascii="David" w:hAnsi="David" w:cs="David"/>
          <w:sz w:val="24"/>
          <w:szCs w:val="24"/>
          <w:rtl/>
        </w:rPr>
        <w:t>ב-202</w:t>
      </w:r>
      <w:r w:rsidR="00B8762E" w:rsidRPr="007B4DA1">
        <w:rPr>
          <w:rFonts w:ascii="David" w:hAnsi="David" w:cs="David"/>
          <w:sz w:val="24"/>
          <w:szCs w:val="24"/>
          <w:rtl/>
        </w:rPr>
        <w:t>4</w:t>
      </w:r>
      <w:r w:rsidRPr="007B4DA1">
        <w:rPr>
          <w:rFonts w:ascii="David" w:hAnsi="David" w:cs="David"/>
          <w:sz w:val="24"/>
          <w:szCs w:val="24"/>
          <w:rtl/>
        </w:rPr>
        <w:t xml:space="preserve"> צפוי שיעור האינפלציה לעמוד על </w:t>
      </w:r>
      <w:r w:rsidR="00B8762E" w:rsidRPr="007B4DA1">
        <w:rPr>
          <w:rFonts w:ascii="David" w:hAnsi="David" w:cs="David"/>
          <w:sz w:val="24"/>
          <w:szCs w:val="24"/>
          <w:rtl/>
        </w:rPr>
        <w:t>2.</w:t>
      </w:r>
      <w:r w:rsidR="00996A2C" w:rsidRPr="007B4DA1">
        <w:rPr>
          <w:rFonts w:ascii="David" w:hAnsi="David" w:cs="David"/>
          <w:sz w:val="24"/>
          <w:szCs w:val="24"/>
          <w:rtl/>
        </w:rPr>
        <w:t>0</w:t>
      </w:r>
      <w:r w:rsidR="00B8762E" w:rsidRPr="007B4DA1">
        <w:rPr>
          <w:rFonts w:ascii="David" w:hAnsi="David" w:cs="David"/>
          <w:sz w:val="24"/>
          <w:szCs w:val="24"/>
          <w:rtl/>
        </w:rPr>
        <w:t>%</w:t>
      </w:r>
      <w:r w:rsidRPr="007B4DA1">
        <w:rPr>
          <w:rFonts w:ascii="David" w:hAnsi="David" w:cs="David"/>
          <w:sz w:val="24"/>
          <w:szCs w:val="24"/>
          <w:rtl/>
        </w:rPr>
        <w:t xml:space="preserve">. על פי התחזית, הריבית המוניטרית צפויה לעמוד על </w:t>
      </w:r>
      <w:r w:rsidR="00996A2C" w:rsidRPr="007B4DA1">
        <w:rPr>
          <w:rFonts w:ascii="David" w:hAnsi="David" w:cs="David"/>
          <w:sz w:val="24"/>
          <w:szCs w:val="24"/>
          <w:rtl/>
        </w:rPr>
        <w:t>4.0</w:t>
      </w:r>
      <w:r w:rsidRPr="007B4DA1">
        <w:rPr>
          <w:rFonts w:ascii="David" w:hAnsi="David" w:cs="David"/>
          <w:sz w:val="24"/>
          <w:szCs w:val="24"/>
          <w:rtl/>
        </w:rPr>
        <w:t xml:space="preserve">% </w:t>
      </w:r>
      <w:r w:rsidR="005D00A1" w:rsidRPr="007B4DA1">
        <w:rPr>
          <w:rFonts w:ascii="David" w:hAnsi="David" w:cs="David"/>
          <w:sz w:val="24"/>
          <w:szCs w:val="24"/>
          <w:rtl/>
        </w:rPr>
        <w:t>בממוצע ב</w:t>
      </w:r>
      <w:r w:rsidRPr="007B4DA1">
        <w:rPr>
          <w:rFonts w:ascii="David" w:hAnsi="David" w:cs="David"/>
          <w:sz w:val="24"/>
          <w:szCs w:val="24"/>
          <w:rtl/>
        </w:rPr>
        <w:t xml:space="preserve">רבעון </w:t>
      </w:r>
      <w:r w:rsidR="00B8762E" w:rsidRPr="007B4DA1">
        <w:rPr>
          <w:rFonts w:ascii="David" w:hAnsi="David" w:cs="David"/>
          <w:sz w:val="24"/>
          <w:szCs w:val="24"/>
          <w:rtl/>
        </w:rPr>
        <w:t>הרביעי</w:t>
      </w:r>
      <w:r w:rsidRPr="007B4DA1">
        <w:rPr>
          <w:rFonts w:ascii="David" w:hAnsi="David" w:cs="David"/>
          <w:sz w:val="24"/>
          <w:szCs w:val="24"/>
          <w:rtl/>
        </w:rPr>
        <w:t xml:space="preserve"> של 2023.</w:t>
      </w:r>
    </w:p>
    <w:p w:rsidR="00BB518C" w:rsidRPr="007B4DA1" w:rsidRDefault="00BB518C" w:rsidP="00BB518C">
      <w:pPr>
        <w:keepNext/>
        <w:keepLines/>
        <w:spacing w:before="120" w:after="120" w:line="360" w:lineRule="auto"/>
        <w:ind w:left="23"/>
        <w:jc w:val="both"/>
        <w:outlineLvl w:val="0"/>
        <w:rPr>
          <w:rFonts w:ascii="David" w:hAnsi="David" w:cs="David"/>
          <w:b/>
          <w:bCs/>
          <w:sz w:val="24"/>
          <w:szCs w:val="24"/>
          <w:rtl/>
        </w:rPr>
      </w:pPr>
      <w:r w:rsidRPr="007B4DA1">
        <w:rPr>
          <w:rFonts w:ascii="David" w:hAnsi="David" w:cs="David"/>
          <w:b/>
          <w:bCs/>
          <w:sz w:val="24"/>
          <w:szCs w:val="24"/>
          <w:rtl/>
        </w:rPr>
        <w:t>התחזית</w:t>
      </w:r>
    </w:p>
    <w:p w:rsidR="00BB518C" w:rsidRPr="007B4DA1" w:rsidRDefault="00BB518C" w:rsidP="00BB518C">
      <w:pPr>
        <w:spacing w:before="120" w:after="120" w:line="360" w:lineRule="auto"/>
        <w:jc w:val="both"/>
        <w:rPr>
          <w:rFonts w:ascii="David" w:eastAsia="Calibri" w:hAnsi="David" w:cs="David"/>
          <w:sz w:val="24"/>
          <w:szCs w:val="24"/>
          <w:rtl/>
        </w:rPr>
      </w:pPr>
      <w:r w:rsidRPr="007B4DA1">
        <w:rPr>
          <w:rFonts w:ascii="David" w:eastAsia="Calibri" w:hAnsi="David" w:cs="David"/>
          <w:sz w:val="24"/>
          <w:szCs w:val="24"/>
          <w:rtl/>
        </w:rPr>
        <w:t>חטיבת המחקר של בנק ישראל עורכת בכל רבעון תחזית מקרו-כלכלית שמתבססת על כמה מודלים, על מקורות מידע שונים ועל הערכות שיפוטיות. בתהליך זה יש תפקיד מרכזי למודל ה-</w:t>
      </w:r>
      <w:r w:rsidRPr="007B4DA1">
        <w:rPr>
          <w:rFonts w:ascii="David" w:eastAsia="Calibri" w:hAnsi="David" w:cs="David"/>
          <w:sz w:val="24"/>
          <w:szCs w:val="24"/>
        </w:rPr>
        <w:t>DSGE</w:t>
      </w:r>
      <w:r w:rsidRPr="007B4DA1">
        <w:rPr>
          <w:rFonts w:ascii="David" w:eastAsia="Calibri" w:hAnsi="David" w:cs="David"/>
          <w:sz w:val="24"/>
          <w:szCs w:val="24"/>
          <w:rtl/>
        </w:rPr>
        <w:t xml:space="preserve"> (</w:t>
      </w:r>
      <w:r w:rsidRPr="007B4DA1">
        <w:rPr>
          <w:rFonts w:ascii="David" w:eastAsia="Calibri" w:hAnsi="David" w:cs="David"/>
          <w:sz w:val="24"/>
          <w:szCs w:val="24"/>
        </w:rPr>
        <w:t>Dynamic Stochastic General Equilibrium</w:t>
      </w:r>
      <w:r w:rsidRPr="007B4DA1">
        <w:rPr>
          <w:rFonts w:ascii="David" w:eastAsia="Calibri" w:hAnsi="David" w:cs="David"/>
          <w:sz w:val="24"/>
          <w:szCs w:val="24"/>
          <w:rtl/>
        </w:rPr>
        <w:t>) שפותח בחטיבת המחקר – מודל מבני שמבוסס על יסודות מיקרו-כלכליים.</w:t>
      </w:r>
      <w:r w:rsidRPr="007B4DA1">
        <w:rPr>
          <w:rFonts w:ascii="David" w:eastAsia="Calibri" w:hAnsi="David" w:cs="David"/>
          <w:sz w:val="24"/>
          <w:szCs w:val="24"/>
          <w:vertAlign w:val="superscript"/>
          <w:rtl/>
        </w:rPr>
        <w:footnoteReference w:id="3"/>
      </w:r>
      <w:r w:rsidRPr="007B4DA1">
        <w:rPr>
          <w:rFonts w:ascii="David" w:eastAsia="Calibri" w:hAnsi="David" w:cs="David"/>
          <w:sz w:val="24"/>
          <w:szCs w:val="24"/>
          <w:rtl/>
        </w:rPr>
        <w:t xml:space="preserve"> המודל מספק מסגרת לניתוח הכוחות המשפיעים על הכלכלה ומאפשר לגבש את המידע מהמקורות השונים לכדי תחזית מקרו-כלכלית למשתנים ריאליים ונומינליים, המתאפיינת בעקביות פנימית ובסיפור כלכלי. </w:t>
      </w:r>
    </w:p>
    <w:p w:rsidR="00BB518C" w:rsidRPr="007B4DA1" w:rsidRDefault="00BB518C" w:rsidP="009D3119">
      <w:pPr>
        <w:keepNext/>
        <w:keepLines/>
        <w:numPr>
          <w:ilvl w:val="0"/>
          <w:numId w:val="1"/>
        </w:numPr>
        <w:tabs>
          <w:tab w:val="left" w:pos="680"/>
        </w:tabs>
        <w:spacing w:before="240" w:after="120" w:line="360" w:lineRule="auto"/>
        <w:ind w:left="23" w:firstLine="0"/>
        <w:jc w:val="both"/>
        <w:outlineLvl w:val="1"/>
        <w:rPr>
          <w:rFonts w:ascii="David" w:hAnsi="David" w:cs="David"/>
          <w:b/>
          <w:bCs/>
          <w:sz w:val="24"/>
          <w:szCs w:val="24"/>
          <w:rtl/>
        </w:rPr>
      </w:pPr>
      <w:r w:rsidRPr="007B4DA1">
        <w:rPr>
          <w:rFonts w:ascii="David" w:hAnsi="David" w:cs="David"/>
          <w:b/>
          <w:bCs/>
          <w:sz w:val="24"/>
          <w:szCs w:val="24"/>
          <w:rtl/>
        </w:rPr>
        <w:t>הסביבה העולמית</w:t>
      </w:r>
    </w:p>
    <w:p w:rsidR="00BB518C" w:rsidRPr="007B4DA1" w:rsidRDefault="00BB518C" w:rsidP="00A27E9B">
      <w:pPr>
        <w:spacing w:before="120" w:after="120" w:line="360" w:lineRule="auto"/>
        <w:jc w:val="both"/>
        <w:rPr>
          <w:rFonts w:ascii="David" w:hAnsi="David" w:cs="David"/>
          <w:sz w:val="24"/>
          <w:szCs w:val="24"/>
          <w:rtl/>
        </w:rPr>
      </w:pPr>
      <w:r w:rsidRPr="007B4DA1">
        <w:rPr>
          <w:rFonts w:ascii="David" w:eastAsia="Calibri" w:hAnsi="David" w:cs="David"/>
          <w:sz w:val="24"/>
          <w:szCs w:val="24"/>
          <w:rtl/>
        </w:rPr>
        <w:t xml:space="preserve">הערכותינו לגבי ההתפתחויות בסביבה העולמית מתבססות בעיקרן על התחזיות שמגבשים מוסדות בין-לאומיים ובתי השקעות זרים. </w:t>
      </w:r>
      <w:r w:rsidR="002B6066" w:rsidRPr="007B4DA1">
        <w:rPr>
          <w:rFonts w:ascii="David" w:eastAsia="Calibri" w:hAnsi="David" w:cs="David"/>
          <w:sz w:val="24"/>
          <w:szCs w:val="24"/>
          <w:rtl/>
        </w:rPr>
        <w:t xml:space="preserve">התחזיות לצמיחה </w:t>
      </w:r>
      <w:r w:rsidR="00A148A1" w:rsidRPr="007B4DA1">
        <w:rPr>
          <w:rFonts w:ascii="David" w:eastAsia="Calibri" w:hAnsi="David" w:cs="David"/>
          <w:sz w:val="24"/>
          <w:szCs w:val="24"/>
          <w:rtl/>
        </w:rPr>
        <w:t>ממקורות אלה ל</w:t>
      </w:r>
      <w:r w:rsidR="002B6066" w:rsidRPr="007B4DA1">
        <w:rPr>
          <w:rFonts w:ascii="David" w:eastAsia="Calibri" w:hAnsi="David" w:cs="David"/>
          <w:sz w:val="24"/>
          <w:szCs w:val="24"/>
          <w:rtl/>
        </w:rPr>
        <w:t>משקים המפותחים עודכנו כלפי מטה</w:t>
      </w:r>
      <w:r w:rsidR="0062006E" w:rsidRPr="007B4DA1">
        <w:rPr>
          <w:rFonts w:ascii="David" w:eastAsia="Calibri" w:hAnsi="David" w:cs="David"/>
          <w:sz w:val="24"/>
          <w:szCs w:val="24"/>
          <w:rtl/>
        </w:rPr>
        <w:t>, בעיקר לשנת 2023</w:t>
      </w:r>
      <w:r w:rsidR="002F29C7" w:rsidRPr="007B4DA1">
        <w:rPr>
          <w:rFonts w:ascii="David" w:eastAsia="Calibri" w:hAnsi="David" w:cs="David"/>
          <w:sz w:val="24"/>
          <w:szCs w:val="24"/>
          <w:rtl/>
        </w:rPr>
        <w:t>.</w:t>
      </w:r>
      <w:r w:rsidR="002B6066" w:rsidRPr="007B4DA1">
        <w:rPr>
          <w:rFonts w:ascii="David" w:eastAsia="Calibri" w:hAnsi="David" w:cs="David"/>
          <w:sz w:val="24"/>
          <w:szCs w:val="24"/>
          <w:rtl/>
        </w:rPr>
        <w:t xml:space="preserve"> </w:t>
      </w:r>
      <w:r w:rsidRPr="007B4DA1">
        <w:rPr>
          <w:rFonts w:ascii="David" w:eastAsia="Calibri" w:hAnsi="David" w:cs="David"/>
          <w:sz w:val="24"/>
          <w:szCs w:val="24"/>
          <w:rtl/>
        </w:rPr>
        <w:t xml:space="preserve">בהתאם לכך אנו מניחים כי הצמיחה </w:t>
      </w:r>
      <w:r w:rsidRPr="007B4DA1">
        <w:rPr>
          <w:rFonts w:ascii="David" w:hAnsi="David" w:cs="David"/>
          <w:sz w:val="24"/>
          <w:szCs w:val="24"/>
          <w:rtl/>
        </w:rPr>
        <w:t xml:space="preserve">במשקים </w:t>
      </w:r>
      <w:r w:rsidR="00D00FF6" w:rsidRPr="007B4DA1">
        <w:rPr>
          <w:rFonts w:ascii="David" w:hAnsi="David" w:cs="David"/>
          <w:sz w:val="24"/>
          <w:szCs w:val="24"/>
          <w:rtl/>
        </w:rPr>
        <w:t>המפותחים</w:t>
      </w:r>
      <w:r w:rsidR="00D00FF6" w:rsidRPr="007B4DA1">
        <w:rPr>
          <w:rFonts w:ascii="David" w:eastAsia="Calibri" w:hAnsi="David" w:cs="David"/>
          <w:sz w:val="24"/>
          <w:szCs w:val="24"/>
          <w:rtl/>
        </w:rPr>
        <w:t xml:space="preserve"> </w:t>
      </w:r>
      <w:r w:rsidRPr="007B4DA1">
        <w:rPr>
          <w:rFonts w:ascii="David" w:eastAsia="Calibri" w:hAnsi="David" w:cs="David"/>
          <w:sz w:val="24"/>
          <w:szCs w:val="24"/>
          <w:rtl/>
        </w:rPr>
        <w:t>תסתכם ב-</w:t>
      </w:r>
      <w:r w:rsidR="004052CC" w:rsidRPr="007B4DA1">
        <w:rPr>
          <w:rFonts w:ascii="David" w:eastAsia="Calibri" w:hAnsi="David" w:cs="David"/>
          <w:sz w:val="24"/>
          <w:szCs w:val="24"/>
          <w:rtl/>
        </w:rPr>
        <w:t>0.1</w:t>
      </w:r>
      <w:r w:rsidR="00A148A1" w:rsidRPr="007B4DA1">
        <w:rPr>
          <w:rFonts w:ascii="David" w:eastAsia="Calibri" w:hAnsi="David" w:cs="David"/>
          <w:sz w:val="24"/>
          <w:szCs w:val="24"/>
          <w:rtl/>
        </w:rPr>
        <w:t>%</w:t>
      </w:r>
      <w:r w:rsidRPr="007B4DA1">
        <w:rPr>
          <w:rFonts w:ascii="David" w:eastAsia="Calibri" w:hAnsi="David" w:cs="David"/>
          <w:sz w:val="24"/>
          <w:szCs w:val="24"/>
          <w:rtl/>
        </w:rPr>
        <w:t xml:space="preserve"> </w:t>
      </w:r>
      <w:r w:rsidR="00573622" w:rsidRPr="007B4DA1">
        <w:rPr>
          <w:rFonts w:ascii="David" w:eastAsia="Calibri" w:hAnsi="David" w:cs="David"/>
          <w:sz w:val="24"/>
          <w:szCs w:val="24"/>
          <w:rtl/>
        </w:rPr>
        <w:t xml:space="preserve">בשנת </w:t>
      </w:r>
      <w:r w:rsidR="00B8762E" w:rsidRPr="007B4DA1">
        <w:rPr>
          <w:rFonts w:ascii="David" w:eastAsia="Calibri" w:hAnsi="David" w:cs="David"/>
          <w:sz w:val="24"/>
          <w:szCs w:val="24"/>
          <w:rtl/>
        </w:rPr>
        <w:t>2023</w:t>
      </w:r>
      <w:r w:rsidR="00573622" w:rsidRPr="007B4DA1">
        <w:rPr>
          <w:rFonts w:ascii="David" w:eastAsia="Calibri" w:hAnsi="David" w:cs="David"/>
          <w:sz w:val="24"/>
          <w:szCs w:val="24"/>
          <w:rtl/>
        </w:rPr>
        <w:t xml:space="preserve"> </w:t>
      </w:r>
      <w:r w:rsidR="00B8762E" w:rsidRPr="007B4DA1">
        <w:rPr>
          <w:rFonts w:ascii="David" w:eastAsia="Calibri" w:hAnsi="David" w:cs="David"/>
          <w:sz w:val="24"/>
          <w:szCs w:val="24"/>
          <w:rtl/>
        </w:rPr>
        <w:t>(בהשוואה ל-</w:t>
      </w:r>
      <w:r w:rsidR="004052CC" w:rsidRPr="007B4DA1">
        <w:rPr>
          <w:rFonts w:ascii="David" w:eastAsia="Calibri" w:hAnsi="David" w:cs="David"/>
          <w:sz w:val="24"/>
          <w:szCs w:val="24"/>
          <w:rtl/>
        </w:rPr>
        <w:t>0</w:t>
      </w:r>
      <w:r w:rsidR="00B8762E" w:rsidRPr="007B4DA1">
        <w:rPr>
          <w:rFonts w:ascii="David" w:eastAsia="Calibri" w:hAnsi="David" w:cs="David"/>
          <w:sz w:val="24"/>
          <w:szCs w:val="24"/>
          <w:rtl/>
        </w:rPr>
        <w:t xml:space="preserve">.4% בתחזית הקודמת מאוקטובר) </w:t>
      </w:r>
      <w:r w:rsidRPr="007B4DA1">
        <w:rPr>
          <w:rFonts w:ascii="David" w:eastAsia="Calibri" w:hAnsi="David" w:cs="David"/>
          <w:sz w:val="24"/>
          <w:szCs w:val="24"/>
          <w:rtl/>
        </w:rPr>
        <w:t>וב-</w:t>
      </w:r>
      <w:r w:rsidR="004052CC" w:rsidRPr="007B4DA1">
        <w:rPr>
          <w:rFonts w:ascii="David" w:eastAsia="Calibri" w:hAnsi="David" w:cs="David"/>
          <w:sz w:val="24"/>
          <w:szCs w:val="24"/>
          <w:rtl/>
        </w:rPr>
        <w:t>1</w:t>
      </w:r>
      <w:r w:rsidR="0083181A" w:rsidRPr="007B4DA1">
        <w:rPr>
          <w:rFonts w:ascii="David" w:eastAsia="Calibri" w:hAnsi="David" w:cs="David"/>
          <w:sz w:val="24"/>
          <w:szCs w:val="24"/>
          <w:rtl/>
        </w:rPr>
        <w:t>.4%</w:t>
      </w:r>
      <w:r w:rsidRPr="007B4DA1">
        <w:rPr>
          <w:rFonts w:ascii="David" w:eastAsia="Calibri" w:hAnsi="David" w:cs="David"/>
          <w:sz w:val="24"/>
          <w:szCs w:val="24"/>
          <w:rtl/>
        </w:rPr>
        <w:t xml:space="preserve"> </w:t>
      </w:r>
      <w:r w:rsidR="00573622" w:rsidRPr="007B4DA1">
        <w:rPr>
          <w:rFonts w:ascii="David" w:eastAsia="Calibri" w:hAnsi="David" w:cs="David"/>
          <w:sz w:val="24"/>
          <w:szCs w:val="24"/>
          <w:rtl/>
        </w:rPr>
        <w:t>בשנת 202</w:t>
      </w:r>
      <w:r w:rsidR="00B8762E" w:rsidRPr="007B4DA1">
        <w:rPr>
          <w:rFonts w:ascii="David" w:eastAsia="Calibri" w:hAnsi="David" w:cs="David"/>
          <w:sz w:val="24"/>
          <w:szCs w:val="24"/>
          <w:rtl/>
        </w:rPr>
        <w:t>4</w:t>
      </w:r>
      <w:r w:rsidR="0042647D" w:rsidRPr="007B4DA1">
        <w:rPr>
          <w:rFonts w:ascii="David" w:eastAsia="Calibri" w:hAnsi="David" w:cs="David"/>
          <w:sz w:val="24"/>
          <w:szCs w:val="24"/>
          <w:rtl/>
        </w:rPr>
        <w:t>.</w:t>
      </w:r>
      <w:r w:rsidR="002B6066" w:rsidRPr="007B4DA1">
        <w:rPr>
          <w:rFonts w:ascii="David" w:eastAsia="Calibri" w:hAnsi="David" w:cs="David"/>
          <w:sz w:val="24"/>
          <w:szCs w:val="24"/>
          <w:rtl/>
        </w:rPr>
        <w:t xml:space="preserve"> </w:t>
      </w:r>
      <w:r w:rsidR="00BA0EFA" w:rsidRPr="007B4DA1">
        <w:rPr>
          <w:rFonts w:ascii="David" w:eastAsia="Calibri" w:hAnsi="David" w:cs="David"/>
          <w:sz w:val="24"/>
          <w:szCs w:val="24"/>
          <w:rtl/>
        </w:rPr>
        <w:t>הצמיחה בסחר העולמי התעדכנה כלפי מעלה לרמה של 3.0% בשנת 2023 (לעומת 2.5% בתחזית הקודמת) ול-3.8% ב-2024 על רקע מגמת השחרור בעיכובים בשרשראות ההספקה והירידה במחירי ההובלה</w:t>
      </w:r>
      <w:r w:rsidR="002B6066" w:rsidRPr="007B4DA1">
        <w:rPr>
          <w:rFonts w:ascii="David" w:eastAsia="Calibri" w:hAnsi="David" w:cs="David"/>
          <w:sz w:val="24"/>
          <w:szCs w:val="24"/>
          <w:rtl/>
        </w:rPr>
        <w:t>.</w:t>
      </w:r>
      <w:r w:rsidR="0042647D" w:rsidRPr="007B4DA1">
        <w:rPr>
          <w:rFonts w:ascii="David" w:eastAsia="Calibri" w:hAnsi="David" w:cs="David"/>
          <w:sz w:val="24"/>
          <w:szCs w:val="24"/>
          <w:rtl/>
        </w:rPr>
        <w:t xml:space="preserve"> </w:t>
      </w:r>
      <w:r w:rsidR="002B6066" w:rsidRPr="007B4DA1">
        <w:rPr>
          <w:rFonts w:ascii="David" w:eastAsia="Calibri" w:hAnsi="David" w:cs="David"/>
          <w:sz w:val="24"/>
          <w:szCs w:val="24"/>
          <w:rtl/>
        </w:rPr>
        <w:t xml:space="preserve">תחזיות האינפלציה </w:t>
      </w:r>
      <w:r w:rsidRPr="007B4DA1">
        <w:rPr>
          <w:rFonts w:ascii="David" w:eastAsia="Calibri" w:hAnsi="David" w:cs="David"/>
          <w:sz w:val="24"/>
          <w:szCs w:val="24"/>
          <w:rtl/>
        </w:rPr>
        <w:t xml:space="preserve">במשקים המפותחים </w:t>
      </w:r>
      <w:r w:rsidR="002B6066" w:rsidRPr="007B4DA1">
        <w:rPr>
          <w:rFonts w:ascii="David" w:eastAsia="Calibri" w:hAnsi="David" w:cs="David"/>
          <w:sz w:val="24"/>
          <w:szCs w:val="24"/>
          <w:rtl/>
        </w:rPr>
        <w:t xml:space="preserve">עודכנו </w:t>
      </w:r>
      <w:r w:rsidR="00BA0EFA" w:rsidRPr="007B4DA1">
        <w:rPr>
          <w:rFonts w:ascii="David" w:eastAsia="Calibri" w:hAnsi="David" w:cs="David"/>
          <w:sz w:val="24"/>
          <w:szCs w:val="24"/>
          <w:rtl/>
        </w:rPr>
        <w:t xml:space="preserve">מעט </w:t>
      </w:r>
      <w:r w:rsidR="002B6066" w:rsidRPr="007B4DA1">
        <w:rPr>
          <w:rFonts w:ascii="David" w:eastAsia="Calibri" w:hAnsi="David" w:cs="David"/>
          <w:sz w:val="24"/>
          <w:szCs w:val="24"/>
          <w:rtl/>
        </w:rPr>
        <w:t>כלפי מעלה ו</w:t>
      </w:r>
      <w:r w:rsidRPr="007B4DA1">
        <w:rPr>
          <w:rFonts w:ascii="David" w:eastAsia="Calibri" w:hAnsi="David" w:cs="David"/>
          <w:sz w:val="24"/>
          <w:szCs w:val="24"/>
          <w:rtl/>
        </w:rPr>
        <w:t xml:space="preserve">אנו מניחים כי </w:t>
      </w:r>
      <w:r w:rsidR="002B6066" w:rsidRPr="007B4DA1">
        <w:rPr>
          <w:rFonts w:ascii="David" w:eastAsia="Calibri" w:hAnsi="David" w:cs="David"/>
          <w:sz w:val="24"/>
          <w:szCs w:val="24"/>
          <w:rtl/>
        </w:rPr>
        <w:t xml:space="preserve">האינפלציה במשקים אלו תעמוד </w:t>
      </w:r>
      <w:r w:rsidRPr="007B4DA1">
        <w:rPr>
          <w:rFonts w:ascii="David" w:eastAsia="Calibri" w:hAnsi="David" w:cs="David"/>
          <w:sz w:val="24"/>
          <w:szCs w:val="24"/>
          <w:rtl/>
        </w:rPr>
        <w:t xml:space="preserve">על </w:t>
      </w:r>
      <w:r w:rsidR="00994B2C" w:rsidRPr="007B4DA1">
        <w:rPr>
          <w:rFonts w:ascii="David" w:eastAsia="Calibri" w:hAnsi="David" w:cs="David"/>
          <w:sz w:val="24"/>
          <w:szCs w:val="24"/>
          <w:rtl/>
        </w:rPr>
        <w:t>3.</w:t>
      </w:r>
      <w:r w:rsidR="00996A2C" w:rsidRPr="007B4DA1">
        <w:rPr>
          <w:rFonts w:ascii="David" w:eastAsia="Calibri" w:hAnsi="David" w:cs="David"/>
          <w:sz w:val="24"/>
          <w:szCs w:val="24"/>
          <w:rtl/>
        </w:rPr>
        <w:t>3</w:t>
      </w:r>
      <w:r w:rsidR="00994B2C" w:rsidRPr="007B4DA1">
        <w:rPr>
          <w:rFonts w:ascii="David" w:eastAsia="Calibri" w:hAnsi="David" w:cs="David"/>
          <w:sz w:val="24"/>
          <w:szCs w:val="24"/>
          <w:rtl/>
        </w:rPr>
        <w:t>% ב-2023 (בהשוואה ל-2.9% בתחזית הקודמת)</w:t>
      </w:r>
      <w:r w:rsidRPr="007B4DA1">
        <w:rPr>
          <w:rFonts w:ascii="David" w:eastAsia="Calibri" w:hAnsi="David" w:cs="David"/>
          <w:sz w:val="24"/>
          <w:szCs w:val="24"/>
          <w:rtl/>
        </w:rPr>
        <w:t xml:space="preserve"> ועל 2.</w:t>
      </w:r>
      <w:r w:rsidR="00996A2C" w:rsidRPr="007B4DA1">
        <w:rPr>
          <w:rFonts w:ascii="David" w:eastAsia="Calibri" w:hAnsi="David" w:cs="David"/>
          <w:sz w:val="24"/>
          <w:szCs w:val="24"/>
          <w:rtl/>
        </w:rPr>
        <w:t>6</w:t>
      </w:r>
      <w:r w:rsidRPr="007B4DA1">
        <w:rPr>
          <w:rFonts w:ascii="David" w:eastAsia="Calibri" w:hAnsi="David" w:cs="David"/>
          <w:sz w:val="24"/>
          <w:szCs w:val="24"/>
          <w:rtl/>
        </w:rPr>
        <w:t>% ב-202</w:t>
      </w:r>
      <w:r w:rsidR="00994B2C" w:rsidRPr="007B4DA1">
        <w:rPr>
          <w:rFonts w:ascii="David" w:eastAsia="Calibri" w:hAnsi="David" w:cs="David"/>
          <w:sz w:val="24"/>
          <w:szCs w:val="24"/>
          <w:rtl/>
        </w:rPr>
        <w:t>4</w:t>
      </w:r>
      <w:r w:rsidRPr="007B4DA1">
        <w:rPr>
          <w:rFonts w:ascii="David" w:eastAsia="Calibri" w:hAnsi="David" w:cs="David"/>
          <w:sz w:val="24"/>
          <w:szCs w:val="24"/>
          <w:rtl/>
        </w:rPr>
        <w:t>. העלייה בתחזית האינפלציה לוותה גם בעדכון</w:t>
      </w:r>
      <w:r w:rsidR="005D00A1" w:rsidRPr="007B4DA1">
        <w:rPr>
          <w:rFonts w:ascii="David" w:eastAsia="Calibri" w:hAnsi="David" w:cs="David"/>
          <w:sz w:val="24"/>
          <w:szCs w:val="24"/>
          <w:rtl/>
        </w:rPr>
        <w:t xml:space="preserve"> כלפי מעלה</w:t>
      </w:r>
      <w:r w:rsidRPr="007B4DA1">
        <w:rPr>
          <w:rFonts w:ascii="David" w:eastAsia="Calibri" w:hAnsi="David" w:cs="David"/>
          <w:sz w:val="24"/>
          <w:szCs w:val="24"/>
          <w:rtl/>
        </w:rPr>
        <w:t xml:space="preserve"> של התחזית לריביות בעולם, כך שבסוף 202</w:t>
      </w:r>
      <w:r w:rsidR="00994B2C" w:rsidRPr="007B4DA1">
        <w:rPr>
          <w:rFonts w:ascii="David" w:eastAsia="Calibri" w:hAnsi="David" w:cs="David"/>
          <w:sz w:val="24"/>
          <w:szCs w:val="24"/>
          <w:rtl/>
        </w:rPr>
        <w:t>3</w:t>
      </w:r>
      <w:r w:rsidRPr="007B4DA1">
        <w:rPr>
          <w:rFonts w:ascii="David" w:eastAsia="Calibri" w:hAnsi="David" w:cs="David"/>
          <w:sz w:val="24"/>
          <w:szCs w:val="24"/>
          <w:rtl/>
        </w:rPr>
        <w:t xml:space="preserve"> הריבית הממוצעת </w:t>
      </w:r>
      <w:r w:rsidR="00D00FF6" w:rsidRPr="007B4DA1">
        <w:rPr>
          <w:rFonts w:ascii="David" w:eastAsia="Calibri" w:hAnsi="David" w:cs="David"/>
          <w:sz w:val="24"/>
          <w:szCs w:val="24"/>
          <w:rtl/>
        </w:rPr>
        <w:t>ב</w:t>
      </w:r>
      <w:r w:rsidRPr="007B4DA1">
        <w:rPr>
          <w:rFonts w:ascii="David" w:eastAsia="Calibri" w:hAnsi="David" w:cs="David"/>
          <w:sz w:val="24"/>
          <w:szCs w:val="24"/>
          <w:rtl/>
        </w:rPr>
        <w:t xml:space="preserve">משקים </w:t>
      </w:r>
      <w:r w:rsidRPr="007B4DA1">
        <w:rPr>
          <w:rFonts w:ascii="David" w:hAnsi="David" w:cs="David"/>
          <w:sz w:val="24"/>
          <w:szCs w:val="24"/>
          <w:rtl/>
        </w:rPr>
        <w:t>המפותחים</w:t>
      </w:r>
      <w:r w:rsidRPr="007B4DA1">
        <w:rPr>
          <w:rFonts w:ascii="David" w:eastAsia="Calibri" w:hAnsi="David" w:cs="David"/>
          <w:sz w:val="24"/>
          <w:szCs w:val="24"/>
          <w:rtl/>
        </w:rPr>
        <w:t xml:space="preserve"> צפויה </w:t>
      </w:r>
      <w:r w:rsidR="00D00FF6" w:rsidRPr="007B4DA1">
        <w:rPr>
          <w:rFonts w:ascii="David" w:eastAsia="Calibri" w:hAnsi="David" w:cs="David"/>
          <w:sz w:val="24"/>
          <w:szCs w:val="24"/>
          <w:rtl/>
        </w:rPr>
        <w:t>לעלות ו</w:t>
      </w:r>
      <w:r w:rsidRPr="007B4DA1">
        <w:rPr>
          <w:rFonts w:ascii="David" w:eastAsia="Calibri" w:hAnsi="David" w:cs="David"/>
          <w:sz w:val="24"/>
          <w:szCs w:val="24"/>
          <w:rtl/>
        </w:rPr>
        <w:t xml:space="preserve">לעמוד על </w:t>
      </w:r>
      <w:r w:rsidR="00E6536D" w:rsidRPr="007B4DA1">
        <w:rPr>
          <w:rFonts w:ascii="David" w:eastAsia="Calibri" w:hAnsi="David" w:cs="David"/>
          <w:sz w:val="24"/>
          <w:szCs w:val="24"/>
          <w:rtl/>
        </w:rPr>
        <w:t>כ-3.</w:t>
      </w:r>
      <w:r w:rsidR="00996A2C" w:rsidRPr="007B4DA1">
        <w:rPr>
          <w:rFonts w:ascii="David" w:eastAsia="Calibri" w:hAnsi="David" w:cs="David"/>
          <w:sz w:val="24"/>
          <w:szCs w:val="24"/>
          <w:rtl/>
        </w:rPr>
        <w:t>8</w:t>
      </w:r>
      <w:r w:rsidR="002B6066" w:rsidRPr="007B4DA1">
        <w:rPr>
          <w:rFonts w:ascii="David" w:eastAsia="Calibri" w:hAnsi="David" w:cs="David"/>
          <w:sz w:val="24"/>
          <w:szCs w:val="24"/>
          <w:rtl/>
        </w:rPr>
        <w:t>%</w:t>
      </w:r>
      <w:r w:rsidRPr="007B4DA1">
        <w:rPr>
          <w:rFonts w:ascii="David" w:eastAsia="Calibri" w:hAnsi="David" w:cs="David"/>
          <w:sz w:val="24"/>
          <w:szCs w:val="24"/>
          <w:rtl/>
        </w:rPr>
        <w:t xml:space="preserve"> </w:t>
      </w:r>
      <w:r w:rsidR="00994B2C" w:rsidRPr="007B4DA1">
        <w:rPr>
          <w:rFonts w:ascii="David" w:eastAsia="Calibri" w:hAnsi="David" w:cs="David"/>
          <w:sz w:val="24"/>
          <w:szCs w:val="24"/>
          <w:rtl/>
        </w:rPr>
        <w:t xml:space="preserve">(לעומת 2.4% </w:t>
      </w:r>
      <w:r w:rsidR="00994B2C" w:rsidRPr="007B4DA1">
        <w:rPr>
          <w:rFonts w:ascii="David" w:eastAsia="Calibri" w:hAnsi="David" w:cs="David"/>
          <w:sz w:val="24"/>
          <w:szCs w:val="24"/>
          <w:rtl/>
        </w:rPr>
        <w:lastRenderedPageBreak/>
        <w:t xml:space="preserve">בתחזית הקודמת) </w:t>
      </w:r>
      <w:r w:rsidR="004052CC" w:rsidRPr="007B4DA1">
        <w:rPr>
          <w:rFonts w:ascii="David" w:eastAsia="Calibri" w:hAnsi="David" w:cs="David"/>
          <w:sz w:val="24"/>
          <w:szCs w:val="24"/>
          <w:rtl/>
        </w:rPr>
        <w:t xml:space="preserve">אך לרדת בהמשך לרמה של </w:t>
      </w:r>
      <w:r w:rsidR="00996A2C" w:rsidRPr="007B4DA1">
        <w:rPr>
          <w:rFonts w:ascii="David" w:eastAsia="Calibri" w:hAnsi="David" w:cs="David"/>
          <w:sz w:val="24"/>
          <w:szCs w:val="24"/>
          <w:rtl/>
        </w:rPr>
        <w:t>2.9</w:t>
      </w:r>
      <w:r w:rsidR="004052CC" w:rsidRPr="007B4DA1">
        <w:rPr>
          <w:rFonts w:ascii="David" w:eastAsia="Calibri" w:hAnsi="David" w:cs="David"/>
          <w:sz w:val="24"/>
          <w:szCs w:val="24"/>
          <w:rtl/>
        </w:rPr>
        <w:t>%</w:t>
      </w:r>
      <w:r w:rsidR="00A27E9B" w:rsidRPr="007B4DA1">
        <w:rPr>
          <w:rFonts w:ascii="David" w:eastAsia="Calibri" w:hAnsi="David" w:cs="David"/>
          <w:sz w:val="24"/>
          <w:szCs w:val="24"/>
          <w:rtl/>
        </w:rPr>
        <w:t xml:space="preserve"> בסוף</w:t>
      </w:r>
      <w:r w:rsidR="00E6536D" w:rsidRPr="007B4DA1">
        <w:rPr>
          <w:rFonts w:ascii="David" w:eastAsia="Calibri" w:hAnsi="David" w:cs="David"/>
          <w:sz w:val="24"/>
          <w:szCs w:val="24"/>
          <w:rtl/>
        </w:rPr>
        <w:t xml:space="preserve"> 202</w:t>
      </w:r>
      <w:r w:rsidR="00994B2C" w:rsidRPr="007B4DA1">
        <w:rPr>
          <w:rFonts w:ascii="David" w:eastAsia="Calibri" w:hAnsi="David" w:cs="David"/>
          <w:sz w:val="24"/>
          <w:szCs w:val="24"/>
          <w:rtl/>
        </w:rPr>
        <w:t>4</w:t>
      </w:r>
      <w:r w:rsidRPr="007B4DA1">
        <w:rPr>
          <w:rFonts w:ascii="David" w:eastAsia="Calibri" w:hAnsi="David" w:cs="David"/>
          <w:sz w:val="24"/>
          <w:szCs w:val="24"/>
          <w:rtl/>
        </w:rPr>
        <w:t xml:space="preserve">. </w:t>
      </w:r>
      <w:r w:rsidR="005D00A1" w:rsidRPr="007B4DA1">
        <w:rPr>
          <w:rFonts w:ascii="David" w:eastAsia="Calibri" w:hAnsi="David" w:cs="David"/>
          <w:sz w:val="24"/>
          <w:szCs w:val="24"/>
          <w:rtl/>
        </w:rPr>
        <w:t xml:space="preserve">מנגד, </w:t>
      </w:r>
      <w:r w:rsidR="002B6066" w:rsidRPr="007B4DA1">
        <w:rPr>
          <w:rFonts w:ascii="David" w:eastAsia="Calibri" w:hAnsi="David" w:cs="David"/>
          <w:sz w:val="24"/>
          <w:szCs w:val="24"/>
          <w:rtl/>
        </w:rPr>
        <w:t xml:space="preserve">מחירה של </w:t>
      </w:r>
      <w:r w:rsidRPr="007B4DA1">
        <w:rPr>
          <w:rFonts w:ascii="David" w:eastAsia="Calibri" w:hAnsi="David" w:cs="David"/>
          <w:sz w:val="24"/>
          <w:szCs w:val="24"/>
          <w:rtl/>
        </w:rPr>
        <w:t xml:space="preserve">חבית נפט מסוג "ברנט" </w:t>
      </w:r>
      <w:r w:rsidR="002B6066" w:rsidRPr="007B4DA1">
        <w:rPr>
          <w:rFonts w:ascii="David" w:eastAsia="Calibri" w:hAnsi="David" w:cs="David"/>
          <w:sz w:val="24"/>
          <w:szCs w:val="24"/>
          <w:rtl/>
        </w:rPr>
        <w:t>ירד לרמה של כ-</w:t>
      </w:r>
      <w:r w:rsidR="00A27E9B" w:rsidRPr="007B4DA1">
        <w:rPr>
          <w:rFonts w:ascii="David" w:eastAsia="Calibri" w:hAnsi="David" w:cs="David"/>
          <w:sz w:val="24"/>
          <w:szCs w:val="24"/>
          <w:rtl/>
        </w:rPr>
        <w:t>83</w:t>
      </w:r>
      <w:r w:rsidR="002B6066" w:rsidRPr="007B4DA1">
        <w:rPr>
          <w:rFonts w:ascii="David" w:eastAsia="Calibri" w:hAnsi="David" w:cs="David"/>
          <w:sz w:val="24"/>
          <w:szCs w:val="24"/>
          <w:rtl/>
        </w:rPr>
        <w:t xml:space="preserve">$ </w:t>
      </w:r>
      <w:r w:rsidR="0021472D" w:rsidRPr="007B4DA1">
        <w:rPr>
          <w:rFonts w:ascii="David" w:eastAsia="Calibri" w:hAnsi="David" w:cs="David"/>
          <w:sz w:val="24"/>
          <w:szCs w:val="24"/>
          <w:rtl/>
        </w:rPr>
        <w:t xml:space="preserve">בסוף </w:t>
      </w:r>
      <w:r w:rsidR="00994B2C" w:rsidRPr="007B4DA1">
        <w:rPr>
          <w:rFonts w:ascii="David" w:eastAsia="Calibri" w:hAnsi="David" w:cs="David"/>
          <w:sz w:val="24"/>
          <w:szCs w:val="24"/>
          <w:rtl/>
        </w:rPr>
        <w:t>דצמבר</w:t>
      </w:r>
      <w:r w:rsidR="0021472D" w:rsidRPr="007B4DA1">
        <w:rPr>
          <w:rFonts w:ascii="David" w:eastAsia="Calibri" w:hAnsi="David" w:cs="David"/>
          <w:sz w:val="24"/>
          <w:szCs w:val="24"/>
          <w:rtl/>
        </w:rPr>
        <w:t xml:space="preserve"> </w:t>
      </w:r>
      <w:r w:rsidR="002B6066" w:rsidRPr="007B4DA1">
        <w:rPr>
          <w:rFonts w:ascii="David" w:eastAsia="Calibri" w:hAnsi="David" w:cs="David"/>
          <w:sz w:val="24"/>
          <w:szCs w:val="24"/>
          <w:rtl/>
        </w:rPr>
        <w:t xml:space="preserve">(לעומת </w:t>
      </w:r>
      <w:r w:rsidR="00994B2C" w:rsidRPr="007B4DA1">
        <w:rPr>
          <w:rFonts w:ascii="David" w:eastAsia="Calibri" w:hAnsi="David" w:cs="David"/>
          <w:sz w:val="24"/>
          <w:szCs w:val="24"/>
          <w:rtl/>
        </w:rPr>
        <w:t>8</w:t>
      </w:r>
      <w:r w:rsidR="00BA0EFA" w:rsidRPr="007B4DA1">
        <w:rPr>
          <w:rFonts w:ascii="David" w:eastAsia="Calibri" w:hAnsi="David" w:cs="David"/>
          <w:sz w:val="24"/>
          <w:szCs w:val="24"/>
          <w:rtl/>
        </w:rPr>
        <w:t>6</w:t>
      </w:r>
      <w:r w:rsidRPr="007B4DA1">
        <w:rPr>
          <w:rFonts w:ascii="David" w:eastAsia="Calibri" w:hAnsi="David" w:cs="David"/>
          <w:sz w:val="24"/>
          <w:szCs w:val="24"/>
          <w:rtl/>
        </w:rPr>
        <w:t xml:space="preserve">$ </w:t>
      </w:r>
      <w:r w:rsidRPr="007B4DA1">
        <w:rPr>
          <w:rFonts w:ascii="David" w:hAnsi="David" w:cs="David"/>
          <w:sz w:val="24"/>
          <w:szCs w:val="24"/>
          <w:rtl/>
        </w:rPr>
        <w:t>בעת עריכת התחזית הקודמת</w:t>
      </w:r>
      <w:r w:rsidR="00D00FF6" w:rsidRPr="007B4DA1">
        <w:rPr>
          <w:rFonts w:ascii="David" w:hAnsi="David" w:cs="David"/>
          <w:sz w:val="24"/>
          <w:szCs w:val="24"/>
          <w:rtl/>
        </w:rPr>
        <w:t xml:space="preserve"> באוקטובר</w:t>
      </w:r>
      <w:r w:rsidR="002B6066" w:rsidRPr="007B4DA1">
        <w:rPr>
          <w:rFonts w:ascii="David" w:hAnsi="David" w:cs="David"/>
          <w:sz w:val="24"/>
          <w:szCs w:val="24"/>
          <w:rtl/>
        </w:rPr>
        <w:t>)</w:t>
      </w:r>
      <w:r w:rsidRPr="007B4DA1">
        <w:rPr>
          <w:rFonts w:ascii="David" w:hAnsi="David" w:cs="David"/>
          <w:sz w:val="24"/>
          <w:szCs w:val="24"/>
          <w:rtl/>
        </w:rPr>
        <w:t>.</w:t>
      </w:r>
    </w:p>
    <w:p w:rsidR="00BB518C" w:rsidRPr="007B4DA1" w:rsidRDefault="00BB518C" w:rsidP="00BB518C">
      <w:pPr>
        <w:keepNext/>
        <w:keepLines/>
        <w:numPr>
          <w:ilvl w:val="0"/>
          <w:numId w:val="1"/>
        </w:numPr>
        <w:tabs>
          <w:tab w:val="left" w:pos="680"/>
        </w:tabs>
        <w:spacing w:before="240" w:after="120" w:line="360" w:lineRule="auto"/>
        <w:ind w:left="23" w:firstLine="0"/>
        <w:jc w:val="both"/>
        <w:outlineLvl w:val="1"/>
        <w:rPr>
          <w:rFonts w:ascii="David" w:hAnsi="David" w:cs="David"/>
          <w:b/>
          <w:bCs/>
          <w:sz w:val="24"/>
          <w:szCs w:val="24"/>
          <w:rtl/>
        </w:rPr>
      </w:pPr>
      <w:r w:rsidRPr="007B4DA1">
        <w:rPr>
          <w:rFonts w:ascii="David" w:hAnsi="David" w:cs="David"/>
          <w:b/>
          <w:bCs/>
          <w:sz w:val="24"/>
          <w:szCs w:val="24"/>
          <w:rtl/>
        </w:rPr>
        <w:t>הפעילות הריאלית בישראל</w:t>
      </w:r>
    </w:p>
    <w:p w:rsidR="00CF3DA6" w:rsidRPr="007B4DA1" w:rsidRDefault="00BB518C" w:rsidP="00D00FF6">
      <w:pPr>
        <w:spacing w:before="120" w:after="120" w:line="360" w:lineRule="auto"/>
        <w:ind w:left="35" w:hanging="12"/>
        <w:jc w:val="both"/>
        <w:rPr>
          <w:rFonts w:ascii="David" w:eastAsia="Calibri" w:hAnsi="David" w:cs="David"/>
          <w:sz w:val="24"/>
          <w:szCs w:val="24"/>
          <w:rtl/>
        </w:rPr>
      </w:pPr>
      <w:r w:rsidRPr="007B4DA1">
        <w:rPr>
          <w:rFonts w:ascii="David" w:eastAsia="Calibri" w:hAnsi="David" w:cs="David"/>
          <w:b/>
          <w:bCs/>
          <w:sz w:val="24"/>
          <w:szCs w:val="24"/>
          <w:rtl/>
        </w:rPr>
        <w:t xml:space="preserve">התוצר צפוי לצמוח בשיעור של </w:t>
      </w:r>
      <w:r w:rsidR="00C34F9E" w:rsidRPr="007B4DA1">
        <w:rPr>
          <w:rFonts w:ascii="David" w:eastAsia="Calibri" w:hAnsi="David" w:cs="David"/>
          <w:b/>
          <w:bCs/>
          <w:sz w:val="24"/>
          <w:szCs w:val="24"/>
          <w:rtl/>
        </w:rPr>
        <w:t>2.8</w:t>
      </w:r>
      <w:r w:rsidRPr="007B4DA1">
        <w:rPr>
          <w:rFonts w:ascii="David" w:eastAsia="Calibri" w:hAnsi="David" w:cs="David"/>
          <w:b/>
          <w:bCs/>
          <w:sz w:val="24"/>
          <w:szCs w:val="24"/>
          <w:rtl/>
        </w:rPr>
        <w:t>% בשנת</w:t>
      </w:r>
      <w:r w:rsidR="00C34F9E" w:rsidRPr="007B4DA1">
        <w:rPr>
          <w:rFonts w:ascii="David" w:eastAsia="Calibri" w:hAnsi="David" w:cs="David"/>
          <w:b/>
          <w:bCs/>
          <w:sz w:val="24"/>
          <w:szCs w:val="24"/>
          <w:rtl/>
        </w:rPr>
        <w:t xml:space="preserve"> 2023 ובשיעור של 3.</w:t>
      </w:r>
      <w:r w:rsidR="00996A2C" w:rsidRPr="007B4DA1">
        <w:rPr>
          <w:rFonts w:ascii="David" w:eastAsia="Calibri" w:hAnsi="David" w:cs="David"/>
          <w:b/>
          <w:bCs/>
          <w:sz w:val="24"/>
          <w:szCs w:val="24"/>
          <w:rtl/>
        </w:rPr>
        <w:t>5</w:t>
      </w:r>
      <w:r w:rsidR="00C34F9E" w:rsidRPr="007B4DA1">
        <w:rPr>
          <w:rFonts w:ascii="David" w:eastAsia="Calibri" w:hAnsi="David" w:cs="David"/>
          <w:b/>
          <w:bCs/>
          <w:sz w:val="24"/>
          <w:szCs w:val="24"/>
          <w:rtl/>
        </w:rPr>
        <w:t>% ב-2024</w:t>
      </w:r>
      <w:r w:rsidRPr="007B4DA1">
        <w:rPr>
          <w:rFonts w:ascii="David" w:eastAsia="Calibri" w:hAnsi="David" w:cs="David"/>
          <w:b/>
          <w:bCs/>
          <w:sz w:val="24"/>
          <w:szCs w:val="24"/>
          <w:rtl/>
        </w:rPr>
        <w:t xml:space="preserve"> </w:t>
      </w:r>
      <w:r w:rsidRPr="007B4DA1">
        <w:rPr>
          <w:rFonts w:ascii="David" w:eastAsia="Calibri" w:hAnsi="David" w:cs="David"/>
          <w:sz w:val="24"/>
          <w:szCs w:val="24"/>
          <w:rtl/>
        </w:rPr>
        <w:t>(</w:t>
      </w:r>
      <w:r w:rsidRPr="007B4DA1">
        <w:rPr>
          <w:rFonts w:ascii="David" w:eastAsia="Calibri" w:hAnsi="David" w:cs="David"/>
          <w:sz w:val="24"/>
          <w:szCs w:val="24"/>
          <w:rtl/>
        </w:rPr>
        <w:fldChar w:fldCharType="begin"/>
      </w:r>
      <w:r w:rsidRPr="007B4DA1">
        <w:rPr>
          <w:rFonts w:ascii="David" w:eastAsia="Calibri" w:hAnsi="David" w:cs="David"/>
          <w:sz w:val="24"/>
          <w:szCs w:val="24"/>
          <w:rtl/>
        </w:rPr>
        <w:instrText xml:space="preserve"> </w:instrText>
      </w:r>
      <w:r w:rsidRPr="007B4DA1">
        <w:rPr>
          <w:rFonts w:ascii="David" w:eastAsia="Calibri" w:hAnsi="David" w:cs="David"/>
          <w:sz w:val="24"/>
          <w:szCs w:val="24"/>
        </w:rPr>
        <w:instrText>REF</w:instrText>
      </w:r>
      <w:r w:rsidRPr="007B4DA1">
        <w:rPr>
          <w:rFonts w:ascii="David" w:eastAsia="Calibri" w:hAnsi="David" w:cs="David"/>
          <w:sz w:val="24"/>
          <w:szCs w:val="24"/>
          <w:rtl/>
        </w:rPr>
        <w:instrText xml:space="preserve"> _</w:instrText>
      </w:r>
      <w:r w:rsidRPr="007B4DA1">
        <w:rPr>
          <w:rFonts w:ascii="David" w:eastAsia="Calibri" w:hAnsi="David" w:cs="David"/>
          <w:sz w:val="24"/>
          <w:szCs w:val="24"/>
        </w:rPr>
        <w:instrText>Ref503088307 \h</w:instrText>
      </w:r>
      <w:r w:rsidRPr="007B4DA1">
        <w:rPr>
          <w:rFonts w:ascii="David" w:eastAsia="Calibri" w:hAnsi="David" w:cs="David"/>
          <w:sz w:val="24"/>
          <w:szCs w:val="24"/>
          <w:rtl/>
        </w:rPr>
        <w:instrText xml:space="preserve">  \* </w:instrText>
      </w:r>
      <w:r w:rsidRPr="007B4DA1">
        <w:rPr>
          <w:rFonts w:ascii="David" w:eastAsia="Calibri" w:hAnsi="David" w:cs="David"/>
          <w:sz w:val="24"/>
          <w:szCs w:val="24"/>
        </w:rPr>
        <w:instrText>MERGEFORMAT</w:instrText>
      </w:r>
      <w:r w:rsidRPr="007B4DA1">
        <w:rPr>
          <w:rFonts w:ascii="David" w:eastAsia="Calibri" w:hAnsi="David" w:cs="David"/>
          <w:sz w:val="24"/>
          <w:szCs w:val="24"/>
          <w:rtl/>
        </w:rPr>
        <w:instrText xml:space="preserve"> </w:instrText>
      </w:r>
      <w:r w:rsidRPr="007B4DA1">
        <w:rPr>
          <w:rFonts w:ascii="David" w:eastAsia="Calibri" w:hAnsi="David" w:cs="David"/>
          <w:sz w:val="24"/>
          <w:szCs w:val="24"/>
          <w:rtl/>
        </w:rPr>
      </w:r>
      <w:r w:rsidRPr="007B4DA1">
        <w:rPr>
          <w:rFonts w:ascii="David" w:eastAsia="Calibri" w:hAnsi="David" w:cs="David"/>
          <w:sz w:val="24"/>
          <w:szCs w:val="24"/>
          <w:rtl/>
        </w:rPr>
        <w:fldChar w:fldCharType="separate"/>
      </w:r>
      <w:r w:rsidR="00FD6208" w:rsidRPr="007B4DA1">
        <w:rPr>
          <w:rFonts w:ascii="David" w:eastAsia="Calibri" w:hAnsi="David" w:cs="David"/>
          <w:sz w:val="24"/>
          <w:szCs w:val="24"/>
          <w:rtl/>
        </w:rPr>
        <w:t xml:space="preserve">לוח </w:t>
      </w:r>
      <w:r w:rsidR="00FD6208" w:rsidRPr="007B4DA1">
        <w:rPr>
          <w:rFonts w:ascii="David" w:eastAsia="Calibri" w:hAnsi="David" w:cs="David"/>
          <w:noProof/>
          <w:sz w:val="24"/>
          <w:szCs w:val="24"/>
          <w:rtl/>
        </w:rPr>
        <w:t>1</w:t>
      </w:r>
      <w:r w:rsidRPr="007B4DA1">
        <w:rPr>
          <w:rFonts w:ascii="David" w:eastAsia="Calibri" w:hAnsi="David" w:cs="David"/>
          <w:sz w:val="24"/>
          <w:szCs w:val="24"/>
          <w:rtl/>
        </w:rPr>
        <w:fldChar w:fldCharType="end"/>
      </w:r>
      <w:r w:rsidRPr="007B4DA1">
        <w:rPr>
          <w:rFonts w:ascii="David" w:eastAsia="Calibri" w:hAnsi="David" w:cs="David"/>
          <w:sz w:val="24"/>
          <w:szCs w:val="24"/>
          <w:rtl/>
        </w:rPr>
        <w:t xml:space="preserve">). </w:t>
      </w:r>
      <w:r w:rsidR="008826F8" w:rsidRPr="007B4DA1">
        <w:rPr>
          <w:rFonts w:ascii="David" w:eastAsia="Calibri" w:hAnsi="David" w:cs="David"/>
          <w:sz w:val="24"/>
          <w:szCs w:val="24"/>
          <w:rtl/>
        </w:rPr>
        <w:t xml:space="preserve">נתוני החשבונאות הלאומית </w:t>
      </w:r>
      <w:r w:rsidR="00C94178" w:rsidRPr="007B4DA1">
        <w:rPr>
          <w:rFonts w:ascii="David" w:eastAsia="Calibri" w:hAnsi="David" w:cs="David"/>
          <w:sz w:val="24"/>
          <w:szCs w:val="24"/>
          <w:rtl/>
        </w:rPr>
        <w:t xml:space="preserve">(רבעון השלישי של 2022) </w:t>
      </w:r>
      <w:r w:rsidR="008826F8" w:rsidRPr="007B4DA1">
        <w:rPr>
          <w:rFonts w:ascii="David" w:eastAsia="Calibri" w:hAnsi="David" w:cs="David"/>
          <w:sz w:val="24"/>
          <w:szCs w:val="24"/>
          <w:rtl/>
        </w:rPr>
        <w:t>שהתפרסמו מאז התחזית הקודמת</w:t>
      </w:r>
      <w:r w:rsidR="00C94178" w:rsidRPr="007B4DA1">
        <w:rPr>
          <w:rFonts w:ascii="David" w:eastAsia="Calibri" w:hAnsi="David" w:cs="David"/>
          <w:sz w:val="24"/>
          <w:szCs w:val="24"/>
          <w:rtl/>
        </w:rPr>
        <w:t>,</w:t>
      </w:r>
      <w:r w:rsidR="008826F8" w:rsidRPr="007B4DA1">
        <w:rPr>
          <w:rFonts w:ascii="David" w:eastAsia="Calibri" w:hAnsi="David" w:cs="David"/>
          <w:color w:val="FF0000"/>
          <w:sz w:val="24"/>
          <w:szCs w:val="24"/>
          <w:rtl/>
        </w:rPr>
        <w:t xml:space="preserve"> </w:t>
      </w:r>
      <w:r w:rsidR="008826F8" w:rsidRPr="007B4DA1">
        <w:rPr>
          <w:rFonts w:ascii="David" w:eastAsia="Calibri" w:hAnsi="David" w:cs="David"/>
          <w:sz w:val="24"/>
          <w:szCs w:val="24"/>
          <w:rtl/>
        </w:rPr>
        <w:t xml:space="preserve">היו גבוהים מעט ביחס לצפוי. לכן, רמת התוצר במשק ברבעון השלישי של 2022 ממשיכה להיות גבוהה מקו המגמה טרום משבר הקורונה. </w:t>
      </w:r>
      <w:r w:rsidR="00C94178" w:rsidRPr="007B4DA1">
        <w:rPr>
          <w:rFonts w:ascii="David" w:eastAsia="Calibri" w:hAnsi="David" w:cs="David"/>
          <w:sz w:val="24"/>
          <w:szCs w:val="24"/>
          <w:rtl/>
        </w:rPr>
        <w:t xml:space="preserve">עם זאת, בהמשך </w:t>
      </w:r>
      <w:r w:rsidR="008826F8" w:rsidRPr="007B4DA1">
        <w:rPr>
          <w:rFonts w:ascii="David" w:eastAsia="Calibri" w:hAnsi="David" w:cs="David"/>
          <w:sz w:val="24"/>
          <w:szCs w:val="24"/>
          <w:rtl/>
        </w:rPr>
        <w:t xml:space="preserve">רמת התוצר צפויה </w:t>
      </w:r>
      <w:r w:rsidR="00D00FF6" w:rsidRPr="007B4DA1">
        <w:rPr>
          <w:rFonts w:ascii="David" w:eastAsia="Calibri" w:hAnsi="David" w:cs="David"/>
          <w:sz w:val="24"/>
          <w:szCs w:val="24"/>
          <w:rtl/>
        </w:rPr>
        <w:t xml:space="preserve">לרדת מעט </w:t>
      </w:r>
      <w:r w:rsidR="008826F8" w:rsidRPr="007B4DA1">
        <w:rPr>
          <w:rFonts w:ascii="David" w:eastAsia="Calibri" w:hAnsi="David" w:cs="David"/>
          <w:sz w:val="24"/>
          <w:szCs w:val="24"/>
          <w:rtl/>
        </w:rPr>
        <w:t xml:space="preserve">אל מתחת למגמה. </w:t>
      </w:r>
      <w:r w:rsidR="00C94178" w:rsidRPr="007B4DA1">
        <w:rPr>
          <w:rFonts w:ascii="David" w:eastAsia="Calibri" w:hAnsi="David" w:cs="David"/>
          <w:sz w:val="24"/>
          <w:szCs w:val="24"/>
          <w:rtl/>
        </w:rPr>
        <w:t>ה</w:t>
      </w:r>
      <w:r w:rsidR="008826F8" w:rsidRPr="007B4DA1">
        <w:rPr>
          <w:rFonts w:ascii="David" w:eastAsia="Calibri" w:hAnsi="David" w:cs="David"/>
          <w:sz w:val="24"/>
          <w:szCs w:val="24"/>
          <w:rtl/>
        </w:rPr>
        <w:t xml:space="preserve">האטה </w:t>
      </w:r>
      <w:r w:rsidR="00C94178" w:rsidRPr="007B4DA1">
        <w:rPr>
          <w:rFonts w:ascii="David" w:eastAsia="Calibri" w:hAnsi="David" w:cs="David"/>
          <w:sz w:val="24"/>
          <w:szCs w:val="24"/>
          <w:rtl/>
        </w:rPr>
        <w:t>הצפויה</w:t>
      </w:r>
      <w:r w:rsidR="008826F8" w:rsidRPr="007B4DA1">
        <w:rPr>
          <w:rFonts w:ascii="David" w:eastAsia="Calibri" w:hAnsi="David" w:cs="David"/>
          <w:sz w:val="24"/>
          <w:szCs w:val="24"/>
          <w:rtl/>
        </w:rPr>
        <w:t xml:space="preserve"> בצמיחה נובעת מהצפי להתמתנות בצמיחת הסחר העולמי </w:t>
      </w:r>
      <w:r w:rsidR="00C94178" w:rsidRPr="007B4DA1">
        <w:rPr>
          <w:rFonts w:ascii="David" w:eastAsia="Calibri" w:hAnsi="David" w:cs="David"/>
          <w:sz w:val="24"/>
          <w:szCs w:val="24"/>
          <w:rtl/>
        </w:rPr>
        <w:t xml:space="preserve">(ולכן על היצוא הישראלי) </w:t>
      </w:r>
      <w:r w:rsidR="008826F8" w:rsidRPr="007B4DA1">
        <w:rPr>
          <w:rFonts w:ascii="David" w:eastAsia="Calibri" w:hAnsi="David" w:cs="David"/>
          <w:sz w:val="24"/>
          <w:szCs w:val="24"/>
          <w:rtl/>
        </w:rPr>
        <w:t xml:space="preserve">וכן מעליית הריבית הריאלית בישראל בטווח התחזית. </w:t>
      </w:r>
      <w:r w:rsidR="00C94178" w:rsidRPr="007B4DA1">
        <w:rPr>
          <w:rFonts w:ascii="David" w:eastAsia="Calibri" w:hAnsi="David" w:cs="David"/>
          <w:sz w:val="24"/>
          <w:szCs w:val="24"/>
          <w:rtl/>
        </w:rPr>
        <w:t>ההערכה בנוגע</w:t>
      </w:r>
      <w:r w:rsidR="00CF3DA6" w:rsidRPr="007B4DA1">
        <w:rPr>
          <w:rFonts w:ascii="David" w:eastAsia="Calibri" w:hAnsi="David" w:cs="David"/>
          <w:sz w:val="24"/>
          <w:szCs w:val="24"/>
          <w:rtl/>
        </w:rPr>
        <w:t xml:space="preserve"> </w:t>
      </w:r>
      <w:r w:rsidR="00C94178" w:rsidRPr="007B4DA1">
        <w:rPr>
          <w:rFonts w:ascii="David" w:eastAsia="Calibri" w:hAnsi="David" w:cs="David"/>
          <w:sz w:val="24"/>
          <w:szCs w:val="24"/>
          <w:rtl/>
        </w:rPr>
        <w:t>ל</w:t>
      </w:r>
      <w:r w:rsidR="00CF3DA6" w:rsidRPr="007B4DA1">
        <w:rPr>
          <w:rFonts w:ascii="David" w:eastAsia="Calibri" w:hAnsi="David" w:cs="David"/>
          <w:sz w:val="24"/>
          <w:szCs w:val="24"/>
          <w:rtl/>
        </w:rPr>
        <w:t xml:space="preserve">צמיחה </w:t>
      </w:r>
      <w:r w:rsidR="00C94178" w:rsidRPr="007B4DA1">
        <w:rPr>
          <w:rFonts w:ascii="David" w:eastAsia="Calibri" w:hAnsi="David" w:cs="David"/>
          <w:sz w:val="24"/>
          <w:szCs w:val="24"/>
          <w:rtl/>
        </w:rPr>
        <w:t>שהייתה ב</w:t>
      </w:r>
      <w:r w:rsidR="00CF3DA6" w:rsidRPr="007B4DA1">
        <w:rPr>
          <w:rFonts w:ascii="David" w:eastAsia="Calibri" w:hAnsi="David" w:cs="David"/>
          <w:sz w:val="24"/>
          <w:szCs w:val="24"/>
          <w:rtl/>
        </w:rPr>
        <w:t>שנת 2022 עודכנה</w:t>
      </w:r>
      <w:r w:rsidR="00C34F9E" w:rsidRPr="007B4DA1">
        <w:rPr>
          <w:rFonts w:ascii="David" w:eastAsia="Calibri" w:hAnsi="David" w:cs="David"/>
          <w:sz w:val="24"/>
          <w:szCs w:val="24"/>
          <w:rtl/>
        </w:rPr>
        <w:t xml:space="preserve"> מעט</w:t>
      </w:r>
      <w:r w:rsidR="00CF3DA6" w:rsidRPr="007B4DA1">
        <w:rPr>
          <w:rFonts w:ascii="David" w:eastAsia="Calibri" w:hAnsi="David" w:cs="David"/>
          <w:sz w:val="24"/>
          <w:szCs w:val="24"/>
          <w:rtl/>
        </w:rPr>
        <w:t xml:space="preserve"> כלפי מעלה </w:t>
      </w:r>
      <w:r w:rsidR="00C34F9E" w:rsidRPr="007B4DA1">
        <w:rPr>
          <w:rFonts w:ascii="David" w:eastAsia="Calibri" w:hAnsi="David" w:cs="David"/>
          <w:sz w:val="24"/>
          <w:szCs w:val="24"/>
          <w:rtl/>
        </w:rPr>
        <w:t>בעקבות השפעת נתוני הקצה</w:t>
      </w:r>
      <w:r w:rsidR="008826F8" w:rsidRPr="007B4DA1">
        <w:rPr>
          <w:rFonts w:ascii="David" w:eastAsia="Calibri" w:hAnsi="David" w:cs="David"/>
          <w:sz w:val="24"/>
          <w:szCs w:val="24"/>
          <w:rtl/>
        </w:rPr>
        <w:t xml:space="preserve"> של הרבעון השלישי. </w:t>
      </w:r>
    </w:p>
    <w:p w:rsidR="00886200" w:rsidRPr="007B4DA1" w:rsidRDefault="006F14DE" w:rsidP="00D00FF6">
      <w:pPr>
        <w:spacing w:before="120" w:after="120" w:line="360" w:lineRule="auto"/>
        <w:ind w:left="35" w:hanging="12"/>
        <w:jc w:val="both"/>
        <w:rPr>
          <w:rFonts w:ascii="David" w:eastAsia="Calibri" w:hAnsi="David" w:cs="David"/>
          <w:sz w:val="24"/>
          <w:szCs w:val="24"/>
          <w:rtl/>
        </w:rPr>
      </w:pPr>
      <w:r w:rsidRPr="007B4DA1">
        <w:rPr>
          <w:rFonts w:ascii="David" w:eastAsia="Calibri" w:hAnsi="David" w:cs="David"/>
          <w:sz w:val="24"/>
          <w:szCs w:val="24"/>
          <w:rtl/>
        </w:rPr>
        <w:t>בנקודת המוצא של התחזית שוק העבודה הדוק</w:t>
      </w:r>
      <w:r w:rsidR="00C94178" w:rsidRPr="007B4DA1">
        <w:rPr>
          <w:rFonts w:ascii="David" w:eastAsia="Calibri" w:hAnsi="David" w:cs="David"/>
          <w:sz w:val="24"/>
          <w:szCs w:val="24"/>
          <w:rtl/>
        </w:rPr>
        <w:t xml:space="preserve">, </w:t>
      </w:r>
      <w:r w:rsidRPr="007B4DA1">
        <w:rPr>
          <w:rFonts w:ascii="David" w:eastAsia="Calibri" w:hAnsi="David" w:cs="David"/>
          <w:sz w:val="24"/>
          <w:szCs w:val="24"/>
          <w:rtl/>
        </w:rPr>
        <w:t xml:space="preserve">שיעור </w:t>
      </w:r>
      <w:r w:rsidR="00C94178" w:rsidRPr="007B4DA1">
        <w:rPr>
          <w:rFonts w:ascii="David" w:eastAsia="Calibri" w:hAnsi="David" w:cs="David"/>
          <w:sz w:val="24"/>
          <w:szCs w:val="24"/>
          <w:rtl/>
        </w:rPr>
        <w:t>ה</w:t>
      </w:r>
      <w:r w:rsidRPr="007B4DA1">
        <w:rPr>
          <w:rFonts w:ascii="David" w:eastAsia="Calibri" w:hAnsi="David" w:cs="David"/>
          <w:sz w:val="24"/>
          <w:szCs w:val="24"/>
          <w:rtl/>
        </w:rPr>
        <w:t xml:space="preserve">תעסוקה </w:t>
      </w:r>
      <w:r w:rsidR="00553972" w:rsidRPr="007B4DA1">
        <w:rPr>
          <w:rFonts w:ascii="David" w:eastAsia="Calibri" w:hAnsi="David" w:cs="David"/>
          <w:sz w:val="24"/>
          <w:szCs w:val="24"/>
          <w:rtl/>
        </w:rPr>
        <w:t>בגילאי העבודה העיקריים</w:t>
      </w:r>
      <w:r w:rsidRPr="007B4DA1">
        <w:rPr>
          <w:rFonts w:ascii="David" w:eastAsia="Calibri" w:hAnsi="David" w:cs="David"/>
          <w:sz w:val="24"/>
          <w:szCs w:val="24"/>
          <w:rtl/>
        </w:rPr>
        <w:t xml:space="preserve"> </w:t>
      </w:r>
      <w:r w:rsidR="00886200" w:rsidRPr="007B4DA1">
        <w:rPr>
          <w:rFonts w:ascii="David" w:eastAsia="Calibri" w:hAnsi="David" w:cs="David"/>
          <w:sz w:val="24"/>
          <w:szCs w:val="24"/>
          <w:rtl/>
        </w:rPr>
        <w:t>גבוה</w:t>
      </w:r>
      <w:r w:rsidRPr="007B4DA1">
        <w:rPr>
          <w:rFonts w:ascii="David" w:eastAsia="Calibri" w:hAnsi="David" w:cs="David"/>
          <w:sz w:val="24"/>
          <w:szCs w:val="24"/>
          <w:rtl/>
        </w:rPr>
        <w:t xml:space="preserve"> </w:t>
      </w:r>
      <w:r w:rsidR="00886200" w:rsidRPr="007B4DA1">
        <w:rPr>
          <w:rFonts w:ascii="David" w:eastAsia="Calibri" w:hAnsi="David" w:cs="David"/>
          <w:sz w:val="24"/>
          <w:szCs w:val="24"/>
          <w:rtl/>
        </w:rPr>
        <w:t>מ</w:t>
      </w:r>
      <w:r w:rsidRPr="007B4DA1">
        <w:rPr>
          <w:rFonts w:ascii="David" w:eastAsia="Calibri" w:hAnsi="David" w:cs="David"/>
          <w:sz w:val="24"/>
          <w:szCs w:val="24"/>
          <w:rtl/>
        </w:rPr>
        <w:t xml:space="preserve">זה ששרר ערב משבר הקורונה </w:t>
      </w:r>
      <w:r w:rsidR="00886200" w:rsidRPr="007B4DA1">
        <w:rPr>
          <w:rFonts w:ascii="David" w:eastAsia="Calibri" w:hAnsi="David" w:cs="David"/>
          <w:sz w:val="24"/>
          <w:szCs w:val="24"/>
          <w:rtl/>
        </w:rPr>
        <w:t>ו</w:t>
      </w:r>
      <w:r w:rsidRPr="007B4DA1">
        <w:rPr>
          <w:rFonts w:ascii="David" w:eastAsia="Calibri" w:hAnsi="David" w:cs="David"/>
          <w:sz w:val="24"/>
          <w:szCs w:val="24"/>
          <w:rtl/>
        </w:rPr>
        <w:t xml:space="preserve">שיעור אבטלה </w:t>
      </w:r>
      <w:r w:rsidR="005771C7" w:rsidRPr="007B4DA1">
        <w:rPr>
          <w:rFonts w:ascii="David" w:eastAsia="Calibri" w:hAnsi="David" w:cs="David"/>
          <w:sz w:val="24"/>
          <w:szCs w:val="24"/>
          <w:rtl/>
        </w:rPr>
        <w:t xml:space="preserve">גבוה </w:t>
      </w:r>
      <w:r w:rsidR="00C94178" w:rsidRPr="007B4DA1">
        <w:rPr>
          <w:rFonts w:ascii="David" w:eastAsia="Calibri" w:hAnsi="David" w:cs="David"/>
          <w:sz w:val="24"/>
          <w:szCs w:val="24"/>
          <w:rtl/>
        </w:rPr>
        <w:t>ב</w:t>
      </w:r>
      <w:r w:rsidR="005771C7" w:rsidRPr="007B4DA1">
        <w:rPr>
          <w:rFonts w:ascii="David" w:eastAsia="Calibri" w:hAnsi="David" w:cs="David"/>
          <w:sz w:val="24"/>
          <w:szCs w:val="24"/>
          <w:rtl/>
        </w:rPr>
        <w:t>מעט</w:t>
      </w:r>
      <w:r w:rsidR="00886200" w:rsidRPr="007B4DA1">
        <w:rPr>
          <w:rFonts w:ascii="David" w:eastAsia="Calibri" w:hAnsi="David" w:cs="David"/>
          <w:sz w:val="24"/>
          <w:szCs w:val="24"/>
          <w:rtl/>
        </w:rPr>
        <w:t xml:space="preserve"> מזה ששרר באותה תקופה. בטווח התחזית אנו מעריכים כי שוק העבודה יוותר הדוק אך יחזור בהדרגה לרמות שאפיינו אותו טרם משבר הקורונה. בפרט, </w:t>
      </w:r>
      <w:r w:rsidR="00223474" w:rsidRPr="007B4DA1">
        <w:rPr>
          <w:rFonts w:ascii="David" w:eastAsia="Calibri" w:hAnsi="David" w:cs="David"/>
          <w:sz w:val="24"/>
          <w:szCs w:val="24"/>
          <w:rtl/>
        </w:rPr>
        <w:t>אנו צופים</w:t>
      </w:r>
      <w:r w:rsidR="00553972" w:rsidRPr="007B4DA1">
        <w:rPr>
          <w:rFonts w:ascii="David" w:eastAsia="Calibri" w:hAnsi="David" w:cs="David"/>
          <w:sz w:val="24"/>
          <w:szCs w:val="24"/>
          <w:rtl/>
        </w:rPr>
        <w:t xml:space="preserve"> כי שיעור התעסוקה בגילאי העבודה העיקריים </w:t>
      </w:r>
      <w:r w:rsidR="00ED68E4" w:rsidRPr="007B4DA1">
        <w:rPr>
          <w:rFonts w:ascii="David" w:eastAsia="Calibri" w:hAnsi="David" w:cs="David"/>
          <w:sz w:val="24"/>
          <w:szCs w:val="24"/>
          <w:rtl/>
        </w:rPr>
        <w:t>ירד</w:t>
      </w:r>
      <w:r w:rsidR="00553972" w:rsidRPr="007B4DA1">
        <w:rPr>
          <w:rFonts w:ascii="David" w:eastAsia="Calibri" w:hAnsi="David" w:cs="David"/>
          <w:sz w:val="24"/>
          <w:szCs w:val="24"/>
          <w:rtl/>
        </w:rPr>
        <w:t xml:space="preserve"> ל-77.</w:t>
      </w:r>
      <w:r w:rsidR="005771C7" w:rsidRPr="007B4DA1">
        <w:rPr>
          <w:rFonts w:ascii="David" w:eastAsia="Calibri" w:hAnsi="David" w:cs="David"/>
          <w:sz w:val="24"/>
          <w:szCs w:val="24"/>
          <w:rtl/>
        </w:rPr>
        <w:t>4</w:t>
      </w:r>
      <w:r w:rsidR="00553972" w:rsidRPr="007B4DA1">
        <w:rPr>
          <w:rFonts w:ascii="David" w:eastAsia="Calibri" w:hAnsi="David" w:cs="David"/>
          <w:sz w:val="24"/>
          <w:szCs w:val="24"/>
          <w:rtl/>
        </w:rPr>
        <w:t>% בממוצע בשנת 202</w:t>
      </w:r>
      <w:r w:rsidR="005771C7" w:rsidRPr="007B4DA1">
        <w:rPr>
          <w:rFonts w:ascii="David" w:eastAsia="Calibri" w:hAnsi="David" w:cs="David"/>
          <w:sz w:val="24"/>
          <w:szCs w:val="24"/>
          <w:rtl/>
        </w:rPr>
        <w:t>4</w:t>
      </w:r>
      <w:r w:rsidR="00553972" w:rsidRPr="007B4DA1">
        <w:rPr>
          <w:rFonts w:ascii="David" w:eastAsia="Calibri" w:hAnsi="David" w:cs="David"/>
          <w:sz w:val="24"/>
          <w:szCs w:val="24"/>
          <w:rtl/>
        </w:rPr>
        <w:t xml:space="preserve"> ושיעור האבטלה </w:t>
      </w:r>
      <w:r w:rsidR="00223474" w:rsidRPr="007B4DA1">
        <w:rPr>
          <w:rFonts w:ascii="David" w:eastAsia="Calibri" w:hAnsi="David" w:cs="David"/>
          <w:sz w:val="24"/>
          <w:szCs w:val="24"/>
          <w:rtl/>
        </w:rPr>
        <w:t>י</w:t>
      </w:r>
      <w:r w:rsidR="00ED68E4" w:rsidRPr="007B4DA1">
        <w:rPr>
          <w:rFonts w:ascii="David" w:eastAsia="Calibri" w:hAnsi="David" w:cs="David"/>
          <w:sz w:val="24"/>
          <w:szCs w:val="24"/>
          <w:rtl/>
        </w:rPr>
        <w:t>עלה</w:t>
      </w:r>
      <w:r w:rsidR="00553972" w:rsidRPr="007B4DA1">
        <w:rPr>
          <w:rFonts w:ascii="David" w:eastAsia="Calibri" w:hAnsi="David" w:cs="David"/>
          <w:sz w:val="24"/>
          <w:szCs w:val="24"/>
          <w:rtl/>
        </w:rPr>
        <w:t xml:space="preserve"> ל-</w:t>
      </w:r>
      <w:r w:rsidR="005771C7" w:rsidRPr="007B4DA1">
        <w:rPr>
          <w:rFonts w:ascii="David" w:eastAsia="Calibri" w:hAnsi="David" w:cs="David"/>
          <w:sz w:val="24"/>
          <w:szCs w:val="24"/>
          <w:rtl/>
        </w:rPr>
        <w:t>4.0</w:t>
      </w:r>
      <w:r w:rsidR="00886200" w:rsidRPr="007B4DA1">
        <w:rPr>
          <w:rFonts w:ascii="David" w:eastAsia="Calibri" w:hAnsi="David" w:cs="David"/>
          <w:sz w:val="24"/>
          <w:szCs w:val="24"/>
          <w:rtl/>
        </w:rPr>
        <w:t>%</w:t>
      </w:r>
      <w:r w:rsidR="00553972" w:rsidRPr="007B4DA1">
        <w:rPr>
          <w:rFonts w:ascii="David" w:eastAsia="Calibri" w:hAnsi="David" w:cs="David"/>
          <w:sz w:val="24"/>
          <w:szCs w:val="24"/>
          <w:rtl/>
        </w:rPr>
        <w:t xml:space="preserve"> בממוצע באותה שנה</w:t>
      </w:r>
      <w:r w:rsidR="00886200" w:rsidRPr="007B4DA1">
        <w:rPr>
          <w:rFonts w:ascii="David" w:eastAsia="Calibri" w:hAnsi="David" w:cs="David"/>
          <w:sz w:val="24"/>
          <w:szCs w:val="24"/>
          <w:rtl/>
        </w:rPr>
        <w:t xml:space="preserve">. </w:t>
      </w:r>
    </w:p>
    <w:p w:rsidR="00573622" w:rsidRPr="007B4DA1" w:rsidRDefault="00BB518C" w:rsidP="00D00FF6">
      <w:pPr>
        <w:spacing w:before="120" w:after="120" w:line="360" w:lineRule="auto"/>
        <w:ind w:left="35" w:hanging="12"/>
        <w:jc w:val="both"/>
        <w:rPr>
          <w:rFonts w:ascii="David" w:eastAsia="Calibri" w:hAnsi="David" w:cs="David"/>
          <w:sz w:val="24"/>
          <w:szCs w:val="24"/>
          <w:rtl/>
        </w:rPr>
      </w:pPr>
      <w:r w:rsidRPr="007B4DA1">
        <w:rPr>
          <w:rFonts w:ascii="David" w:eastAsia="Calibri" w:hAnsi="David" w:cs="David"/>
          <w:sz w:val="24"/>
          <w:szCs w:val="24"/>
          <w:rtl/>
        </w:rPr>
        <w:t>באשר לתקציב המדינה</w:t>
      </w:r>
      <w:r w:rsidR="008936C0" w:rsidRPr="007B4DA1">
        <w:rPr>
          <w:rFonts w:ascii="David" w:eastAsia="Calibri" w:hAnsi="David" w:cs="David"/>
          <w:sz w:val="24"/>
          <w:szCs w:val="24"/>
          <w:rtl/>
        </w:rPr>
        <w:t xml:space="preserve">, </w:t>
      </w:r>
      <w:r w:rsidR="00E4522D" w:rsidRPr="007B4DA1">
        <w:rPr>
          <w:rFonts w:ascii="David" w:eastAsia="Calibri" w:hAnsi="David" w:cs="David"/>
          <w:sz w:val="24"/>
          <w:szCs w:val="24"/>
          <w:rtl/>
        </w:rPr>
        <w:t>אנו מעריכים כי הגירעון בתקופת התחזית יהיה נמוך מתקרת הגירעון הקבועה בחוק. בצד ההכנסות, אנו מעריכים כי נטל המס ב</w:t>
      </w:r>
      <w:r w:rsidR="00DD5483" w:rsidRPr="007B4DA1">
        <w:rPr>
          <w:rFonts w:ascii="David" w:eastAsia="Calibri" w:hAnsi="David" w:cs="David"/>
          <w:sz w:val="24"/>
          <w:szCs w:val="24"/>
          <w:rtl/>
        </w:rPr>
        <w:t>שנים 2023-24</w:t>
      </w:r>
      <w:r w:rsidR="00E4522D" w:rsidRPr="007B4DA1">
        <w:rPr>
          <w:rFonts w:ascii="David" w:eastAsia="Calibri" w:hAnsi="David" w:cs="David"/>
          <w:sz w:val="24"/>
          <w:szCs w:val="24"/>
          <w:rtl/>
        </w:rPr>
        <w:t xml:space="preserve"> יקטן ביחס ל-2022 ויהיה דומה לזה של 2021. </w:t>
      </w:r>
      <w:r w:rsidR="00E46173" w:rsidRPr="007B4DA1">
        <w:rPr>
          <w:rFonts w:ascii="David" w:hAnsi="David" w:cs="David"/>
          <w:sz w:val="24"/>
          <w:szCs w:val="24"/>
          <w:rtl/>
        </w:rPr>
        <w:t>בצד ההוצאות, אנו מעריכים כי התכניות הממשלתיות שיגזרו מההסכמים הקואליציוניים והסכמי השכר שיחתמו במהלך 2023 יגדילו את ההוצאה הציבורית בחדות בתקופת התחזית.</w:t>
      </w:r>
      <w:r w:rsidR="00E46173" w:rsidRPr="007B4DA1">
        <w:rPr>
          <w:rFonts w:ascii="David" w:eastAsia="Calibri" w:hAnsi="David" w:cs="David"/>
          <w:sz w:val="24"/>
          <w:szCs w:val="24"/>
          <w:rtl/>
        </w:rPr>
        <w:t xml:space="preserve"> </w:t>
      </w:r>
      <w:r w:rsidR="00E4522D" w:rsidRPr="007B4DA1">
        <w:rPr>
          <w:rFonts w:ascii="David" w:eastAsia="Calibri" w:hAnsi="David" w:cs="David"/>
          <w:sz w:val="24"/>
          <w:szCs w:val="24"/>
          <w:rtl/>
        </w:rPr>
        <w:t>יחד עם זאת, הנחנו התנהלות עם תקציב המשכי עד אישור התקציב</w:t>
      </w:r>
      <w:r w:rsidR="00E46173" w:rsidRPr="007B4DA1">
        <w:rPr>
          <w:rFonts w:ascii="David" w:eastAsia="Calibri" w:hAnsi="David" w:cs="David"/>
          <w:sz w:val="24"/>
          <w:szCs w:val="24"/>
          <w:rtl/>
        </w:rPr>
        <w:t xml:space="preserve"> אשר תייצר </w:t>
      </w:r>
      <w:r w:rsidR="00E4522D" w:rsidRPr="007B4DA1">
        <w:rPr>
          <w:rFonts w:ascii="David" w:eastAsia="Calibri" w:hAnsi="David" w:cs="David"/>
          <w:sz w:val="24"/>
          <w:szCs w:val="24"/>
          <w:rtl/>
        </w:rPr>
        <w:t xml:space="preserve">ריסון פיסקלי בשליש הראשון של 2023. </w:t>
      </w:r>
      <w:r w:rsidR="004458EC" w:rsidRPr="007B4DA1">
        <w:rPr>
          <w:rFonts w:ascii="David" w:eastAsia="Calibri" w:hAnsi="David" w:cs="David"/>
          <w:sz w:val="24"/>
          <w:szCs w:val="24"/>
          <w:rtl/>
        </w:rPr>
        <w:t>תחת הערכות אלו</w:t>
      </w:r>
      <w:r w:rsidR="00DD5483" w:rsidRPr="007B4DA1">
        <w:rPr>
          <w:rFonts w:ascii="David" w:eastAsia="Calibri" w:hAnsi="David" w:cs="David"/>
          <w:sz w:val="24"/>
          <w:szCs w:val="24"/>
          <w:rtl/>
        </w:rPr>
        <w:t>,</w:t>
      </w:r>
      <w:r w:rsidR="004458EC" w:rsidRPr="007B4DA1">
        <w:rPr>
          <w:rFonts w:ascii="David" w:eastAsia="Calibri" w:hAnsi="David" w:cs="David"/>
          <w:sz w:val="24"/>
          <w:szCs w:val="24"/>
          <w:rtl/>
        </w:rPr>
        <w:t xml:space="preserve"> </w:t>
      </w:r>
      <w:r w:rsidR="00DD5483" w:rsidRPr="007B4DA1">
        <w:rPr>
          <w:rFonts w:ascii="David" w:eastAsia="Calibri" w:hAnsi="David" w:cs="David"/>
          <w:sz w:val="24"/>
          <w:szCs w:val="24"/>
          <w:rtl/>
        </w:rPr>
        <w:t>הגירעונות</w:t>
      </w:r>
      <w:r w:rsidR="004458EC" w:rsidRPr="007B4DA1">
        <w:rPr>
          <w:rFonts w:ascii="David" w:eastAsia="Calibri" w:hAnsi="David" w:cs="David"/>
          <w:sz w:val="24"/>
          <w:szCs w:val="24"/>
          <w:rtl/>
        </w:rPr>
        <w:t xml:space="preserve"> ב</w:t>
      </w:r>
      <w:r w:rsidR="00DD5483" w:rsidRPr="007B4DA1">
        <w:rPr>
          <w:rFonts w:ascii="David" w:eastAsia="Calibri" w:hAnsi="David" w:cs="David"/>
          <w:sz w:val="24"/>
          <w:szCs w:val="24"/>
          <w:rtl/>
        </w:rPr>
        <w:t>שנים 2023 ו-2024</w:t>
      </w:r>
      <w:r w:rsidR="004458EC" w:rsidRPr="007B4DA1">
        <w:rPr>
          <w:rFonts w:ascii="David" w:eastAsia="Calibri" w:hAnsi="David" w:cs="David"/>
          <w:sz w:val="24"/>
          <w:szCs w:val="24"/>
          <w:rtl/>
        </w:rPr>
        <w:t xml:space="preserve"> יסתכ</w:t>
      </w:r>
      <w:r w:rsidR="00DD5483" w:rsidRPr="007B4DA1">
        <w:rPr>
          <w:rFonts w:ascii="David" w:eastAsia="Calibri" w:hAnsi="David" w:cs="David"/>
          <w:sz w:val="24"/>
          <w:szCs w:val="24"/>
          <w:rtl/>
        </w:rPr>
        <w:t>מו</w:t>
      </w:r>
      <w:r w:rsidR="004458EC" w:rsidRPr="007B4DA1">
        <w:rPr>
          <w:rFonts w:ascii="David" w:eastAsia="Calibri" w:hAnsi="David" w:cs="David"/>
          <w:sz w:val="24"/>
          <w:szCs w:val="24"/>
          <w:rtl/>
        </w:rPr>
        <w:t xml:space="preserve"> </w:t>
      </w:r>
      <w:r w:rsidR="00544C70" w:rsidRPr="007B4DA1">
        <w:rPr>
          <w:rFonts w:ascii="David" w:eastAsia="Calibri" w:hAnsi="David" w:cs="David"/>
          <w:sz w:val="24"/>
          <w:szCs w:val="24"/>
          <w:rtl/>
        </w:rPr>
        <w:t xml:space="preserve">לכל הפחות </w:t>
      </w:r>
      <w:r w:rsidR="004458EC" w:rsidRPr="007B4DA1">
        <w:rPr>
          <w:rFonts w:ascii="David" w:eastAsia="Calibri" w:hAnsi="David" w:cs="David"/>
          <w:sz w:val="24"/>
          <w:szCs w:val="24"/>
          <w:rtl/>
        </w:rPr>
        <w:t>ב</w:t>
      </w:r>
      <w:r w:rsidR="00DD5483" w:rsidRPr="007B4DA1">
        <w:rPr>
          <w:rFonts w:ascii="David" w:eastAsia="Calibri" w:hAnsi="David" w:cs="David"/>
          <w:sz w:val="24"/>
          <w:szCs w:val="24"/>
          <w:rtl/>
        </w:rPr>
        <w:t>-</w:t>
      </w:r>
      <w:r w:rsidR="00517BCE" w:rsidRPr="007B4DA1">
        <w:rPr>
          <w:rFonts w:ascii="David" w:eastAsia="Calibri" w:hAnsi="David" w:cs="David"/>
          <w:sz w:val="24"/>
          <w:szCs w:val="24"/>
          <w:rtl/>
        </w:rPr>
        <w:t>1.</w:t>
      </w:r>
      <w:r w:rsidR="00E46173" w:rsidRPr="007B4DA1">
        <w:rPr>
          <w:rFonts w:ascii="David" w:eastAsia="Calibri" w:hAnsi="David" w:cs="David"/>
          <w:sz w:val="24"/>
          <w:szCs w:val="24"/>
          <w:rtl/>
        </w:rPr>
        <w:t>8</w:t>
      </w:r>
      <w:r w:rsidR="004458EC" w:rsidRPr="007B4DA1">
        <w:rPr>
          <w:rFonts w:ascii="David" w:eastAsia="Calibri" w:hAnsi="David" w:cs="David"/>
          <w:sz w:val="24"/>
          <w:szCs w:val="24"/>
          <w:rtl/>
        </w:rPr>
        <w:t>% ו</w:t>
      </w:r>
      <w:r w:rsidR="00DD5483" w:rsidRPr="007B4DA1">
        <w:rPr>
          <w:rFonts w:ascii="David" w:eastAsia="Calibri" w:hAnsi="David" w:cs="David"/>
          <w:sz w:val="24"/>
          <w:szCs w:val="24"/>
          <w:rtl/>
        </w:rPr>
        <w:t>ב</w:t>
      </w:r>
      <w:r w:rsidR="004458EC" w:rsidRPr="007B4DA1">
        <w:rPr>
          <w:rFonts w:ascii="David" w:eastAsia="Calibri" w:hAnsi="David" w:cs="David"/>
          <w:sz w:val="24"/>
          <w:szCs w:val="24"/>
          <w:rtl/>
        </w:rPr>
        <w:t>-</w:t>
      </w:r>
      <w:r w:rsidR="00517BCE" w:rsidRPr="007B4DA1">
        <w:rPr>
          <w:rFonts w:ascii="David" w:eastAsia="Calibri" w:hAnsi="David" w:cs="David"/>
          <w:sz w:val="24"/>
          <w:szCs w:val="24"/>
          <w:rtl/>
        </w:rPr>
        <w:t>2.1</w:t>
      </w:r>
      <w:r w:rsidR="004458EC" w:rsidRPr="007B4DA1">
        <w:rPr>
          <w:rFonts w:ascii="David" w:eastAsia="Calibri" w:hAnsi="David" w:cs="David"/>
          <w:sz w:val="24"/>
          <w:szCs w:val="24"/>
          <w:rtl/>
        </w:rPr>
        <w:t>% תוצר</w:t>
      </w:r>
      <w:r w:rsidR="00DD5483" w:rsidRPr="007B4DA1">
        <w:rPr>
          <w:rFonts w:ascii="David" w:eastAsia="Calibri" w:hAnsi="David" w:cs="David"/>
          <w:sz w:val="24"/>
          <w:szCs w:val="24"/>
          <w:rtl/>
        </w:rPr>
        <w:t>.</w:t>
      </w:r>
      <w:r w:rsidR="004458EC" w:rsidRPr="007B4DA1">
        <w:rPr>
          <w:rFonts w:ascii="David" w:eastAsia="Calibri" w:hAnsi="David" w:cs="David"/>
          <w:sz w:val="24"/>
          <w:szCs w:val="24"/>
          <w:rtl/>
        </w:rPr>
        <w:t xml:space="preserve"> החוב יתייצב על 62% תוצר ב-2023 </w:t>
      </w:r>
      <w:r w:rsidR="00517BCE" w:rsidRPr="007B4DA1">
        <w:rPr>
          <w:rFonts w:ascii="David" w:eastAsia="Calibri" w:hAnsi="David" w:cs="David"/>
          <w:sz w:val="24"/>
          <w:szCs w:val="24"/>
          <w:rtl/>
        </w:rPr>
        <w:t>ו</w:t>
      </w:r>
      <w:r w:rsidR="004458EC" w:rsidRPr="007B4DA1">
        <w:rPr>
          <w:rFonts w:ascii="David" w:eastAsia="Calibri" w:hAnsi="David" w:cs="David"/>
          <w:sz w:val="24"/>
          <w:szCs w:val="24"/>
          <w:rtl/>
        </w:rPr>
        <w:t>ירד ל-</w:t>
      </w:r>
      <w:r w:rsidR="00517BCE" w:rsidRPr="007B4DA1">
        <w:rPr>
          <w:rFonts w:ascii="David" w:eastAsia="Calibri" w:hAnsi="David" w:cs="David"/>
          <w:sz w:val="24"/>
          <w:szCs w:val="24"/>
          <w:rtl/>
        </w:rPr>
        <w:t>61</w:t>
      </w:r>
      <w:r w:rsidR="004458EC" w:rsidRPr="007B4DA1">
        <w:rPr>
          <w:rFonts w:ascii="David" w:eastAsia="Calibri" w:hAnsi="David" w:cs="David"/>
          <w:sz w:val="24"/>
          <w:szCs w:val="24"/>
          <w:rtl/>
        </w:rPr>
        <w:t xml:space="preserve">% תוצר ב-2024. </w:t>
      </w:r>
      <w:bookmarkStart w:id="0" w:name="_Ref503088307"/>
      <w:r w:rsidR="00D00FF6" w:rsidRPr="007B4DA1">
        <w:rPr>
          <w:rFonts w:ascii="David" w:eastAsia="Calibri" w:hAnsi="David" w:cs="David"/>
          <w:sz w:val="24"/>
          <w:szCs w:val="24"/>
          <w:rtl/>
        </w:rPr>
        <w:t>עם זאת, התחזית מתבססת על הנחה שההוצאה התקציבית תגדל רק בחלק מהעלות המוערכת של ההסכמים הקואליציוניים וכי תוספות השכר בהסכמים הצפויים במגזר הציבורי יהיו מתונות. ככל שההרחבה הפיסקלית תהיה גדולה יותר, האינפלציה, יחס החוב לתוצר והתשואות בשוק ההון צפויים להיות גבוהים יותר מאלו שמוצגים בתחזית.</w:t>
      </w:r>
    </w:p>
    <w:p w:rsidR="00573622" w:rsidRPr="007B4DA1" w:rsidRDefault="00573622">
      <w:pPr>
        <w:bidi w:val="0"/>
        <w:rPr>
          <w:rFonts w:ascii="David" w:eastAsia="Calibri" w:hAnsi="David" w:cs="David"/>
          <w:sz w:val="24"/>
          <w:szCs w:val="24"/>
          <w:rtl/>
        </w:rPr>
      </w:pPr>
      <w:r w:rsidRPr="007B4DA1">
        <w:rPr>
          <w:rFonts w:ascii="David" w:eastAsia="Calibri" w:hAnsi="David" w:cs="David"/>
          <w:sz w:val="24"/>
          <w:szCs w:val="24"/>
          <w:rtl/>
        </w:rPr>
        <w:br w:type="page"/>
      </w:r>
    </w:p>
    <w:p w:rsidR="00BB518C" w:rsidRPr="007B4DA1" w:rsidRDefault="00BB518C" w:rsidP="00FD6208">
      <w:pPr>
        <w:spacing w:before="120" w:after="0" w:line="360" w:lineRule="auto"/>
        <w:ind w:left="35" w:hanging="12"/>
        <w:jc w:val="center"/>
        <w:rPr>
          <w:rFonts w:ascii="David" w:eastAsia="Calibri" w:hAnsi="David" w:cs="David"/>
          <w:b/>
          <w:bCs/>
          <w:color w:val="4F81BD"/>
          <w:sz w:val="24"/>
          <w:szCs w:val="24"/>
          <w:rtl/>
        </w:rPr>
      </w:pPr>
      <w:r w:rsidRPr="007B4DA1">
        <w:rPr>
          <w:rFonts w:ascii="David" w:eastAsia="Calibri" w:hAnsi="David" w:cs="David"/>
          <w:b/>
          <w:bCs/>
          <w:color w:val="4F81BD"/>
          <w:sz w:val="24"/>
          <w:szCs w:val="24"/>
          <w:rtl/>
        </w:rPr>
        <w:lastRenderedPageBreak/>
        <w:t xml:space="preserve">לוח </w:t>
      </w:r>
      <w:r w:rsidRPr="007B4DA1">
        <w:rPr>
          <w:rFonts w:ascii="David" w:eastAsia="Calibri" w:hAnsi="David" w:cs="David"/>
          <w:b/>
          <w:bCs/>
          <w:color w:val="4F81BD"/>
          <w:sz w:val="24"/>
          <w:szCs w:val="24"/>
          <w:rtl/>
        </w:rPr>
        <w:fldChar w:fldCharType="begin"/>
      </w:r>
      <w:r w:rsidRPr="007B4DA1">
        <w:rPr>
          <w:rFonts w:ascii="David" w:eastAsia="Calibri" w:hAnsi="David" w:cs="David"/>
          <w:b/>
          <w:bCs/>
          <w:color w:val="4F81BD"/>
          <w:sz w:val="24"/>
          <w:szCs w:val="24"/>
          <w:rtl/>
        </w:rPr>
        <w:instrText xml:space="preserve"> </w:instrText>
      </w:r>
      <w:r w:rsidRPr="007B4DA1">
        <w:rPr>
          <w:rFonts w:ascii="David" w:eastAsia="Calibri" w:hAnsi="David" w:cs="David"/>
          <w:b/>
          <w:bCs/>
          <w:color w:val="4F81BD"/>
          <w:sz w:val="24"/>
          <w:szCs w:val="24"/>
        </w:rPr>
        <w:instrText>SEQ</w:instrText>
      </w:r>
      <w:r w:rsidRPr="007B4DA1">
        <w:rPr>
          <w:rFonts w:ascii="David" w:eastAsia="Calibri" w:hAnsi="David" w:cs="David"/>
          <w:b/>
          <w:bCs/>
          <w:color w:val="4F81BD"/>
          <w:sz w:val="24"/>
          <w:szCs w:val="24"/>
          <w:rtl/>
        </w:rPr>
        <w:instrText xml:space="preserve"> לוח \* </w:instrText>
      </w:r>
      <w:r w:rsidRPr="007B4DA1">
        <w:rPr>
          <w:rFonts w:ascii="David" w:eastAsia="Calibri" w:hAnsi="David" w:cs="David"/>
          <w:b/>
          <w:bCs/>
          <w:color w:val="4F81BD"/>
          <w:sz w:val="24"/>
          <w:szCs w:val="24"/>
        </w:rPr>
        <w:instrText>ARABIC</w:instrText>
      </w:r>
      <w:r w:rsidRPr="007B4DA1">
        <w:rPr>
          <w:rFonts w:ascii="David" w:eastAsia="Calibri" w:hAnsi="David" w:cs="David"/>
          <w:b/>
          <w:bCs/>
          <w:color w:val="4F81BD"/>
          <w:sz w:val="24"/>
          <w:szCs w:val="24"/>
          <w:rtl/>
        </w:rPr>
        <w:instrText xml:space="preserve"> </w:instrText>
      </w:r>
      <w:r w:rsidRPr="007B4DA1">
        <w:rPr>
          <w:rFonts w:ascii="David" w:eastAsia="Calibri" w:hAnsi="David" w:cs="David"/>
          <w:b/>
          <w:bCs/>
          <w:color w:val="4F81BD"/>
          <w:sz w:val="24"/>
          <w:szCs w:val="24"/>
          <w:rtl/>
        </w:rPr>
        <w:fldChar w:fldCharType="separate"/>
      </w:r>
      <w:r w:rsidR="00FD6208" w:rsidRPr="007B4DA1">
        <w:rPr>
          <w:rFonts w:ascii="David" w:eastAsia="Calibri" w:hAnsi="David" w:cs="David"/>
          <w:b/>
          <w:bCs/>
          <w:noProof/>
          <w:color w:val="4F81BD"/>
          <w:sz w:val="24"/>
          <w:szCs w:val="24"/>
          <w:rtl/>
        </w:rPr>
        <w:t>1</w:t>
      </w:r>
      <w:r w:rsidRPr="007B4DA1">
        <w:rPr>
          <w:rFonts w:ascii="David" w:eastAsia="Calibri" w:hAnsi="David" w:cs="David"/>
          <w:b/>
          <w:bCs/>
          <w:color w:val="4F81BD"/>
          <w:sz w:val="24"/>
          <w:szCs w:val="24"/>
          <w:rtl/>
        </w:rPr>
        <w:fldChar w:fldCharType="end"/>
      </w:r>
      <w:bookmarkEnd w:id="0"/>
    </w:p>
    <w:p w:rsidR="00BB518C" w:rsidRPr="007B4DA1" w:rsidRDefault="00BB518C" w:rsidP="00B775BE">
      <w:pPr>
        <w:keepNext/>
        <w:keepLines/>
        <w:spacing w:before="120" w:after="200" w:line="360" w:lineRule="auto"/>
        <w:ind w:left="113"/>
        <w:contextualSpacing/>
        <w:jc w:val="center"/>
        <w:rPr>
          <w:rFonts w:ascii="David" w:eastAsia="Calibri" w:hAnsi="David" w:cs="David"/>
          <w:b/>
          <w:bCs/>
          <w:color w:val="4F81BD"/>
          <w:sz w:val="24"/>
          <w:szCs w:val="24"/>
          <w:rtl/>
        </w:rPr>
      </w:pPr>
      <w:r w:rsidRPr="007B4DA1">
        <w:rPr>
          <w:rFonts w:ascii="David" w:eastAsia="Calibri" w:hAnsi="David" w:cs="David"/>
          <w:b/>
          <w:bCs/>
          <w:color w:val="4F81BD"/>
          <w:sz w:val="24"/>
          <w:szCs w:val="24"/>
          <w:rtl/>
        </w:rPr>
        <w:t>תחזית חטיבת המחקר ל-2022—202</w:t>
      </w:r>
      <w:r w:rsidR="00B775BE" w:rsidRPr="007B4DA1">
        <w:rPr>
          <w:rFonts w:ascii="David" w:eastAsia="Calibri" w:hAnsi="David" w:cs="David"/>
          <w:b/>
          <w:bCs/>
          <w:color w:val="4F81BD"/>
          <w:sz w:val="24"/>
          <w:szCs w:val="24"/>
          <w:rtl/>
        </w:rPr>
        <w:t>4</w:t>
      </w:r>
    </w:p>
    <w:p w:rsidR="00BB518C" w:rsidRPr="007B4DA1" w:rsidRDefault="00BB518C" w:rsidP="00FD6208">
      <w:pPr>
        <w:spacing w:before="120" w:after="120" w:line="360" w:lineRule="auto"/>
        <w:ind w:left="35" w:hanging="12"/>
        <w:jc w:val="center"/>
        <w:rPr>
          <w:rFonts w:ascii="David" w:eastAsia="Calibri" w:hAnsi="David" w:cs="David"/>
          <w:color w:val="4F81BD"/>
          <w:sz w:val="24"/>
          <w:szCs w:val="24"/>
          <w:rtl/>
        </w:rPr>
      </w:pPr>
      <w:r w:rsidRPr="007B4DA1">
        <w:rPr>
          <w:rFonts w:ascii="David" w:eastAsia="Calibri" w:hAnsi="David" w:cs="David"/>
          <w:color w:val="4F81BD"/>
          <w:sz w:val="24"/>
          <w:szCs w:val="24"/>
          <w:rtl/>
        </w:rPr>
        <w:t>(שיעורי השינוי באחוזים</w:t>
      </w:r>
      <w:r w:rsidRPr="007B4DA1">
        <w:rPr>
          <w:rFonts w:ascii="David" w:eastAsia="Calibri" w:hAnsi="David" w:cs="David"/>
          <w:color w:val="4F81BD"/>
          <w:sz w:val="24"/>
          <w:szCs w:val="24"/>
          <w:vertAlign w:val="superscript"/>
          <w:rtl/>
        </w:rPr>
        <w:t>1</w:t>
      </w:r>
      <w:r w:rsidRPr="007B4DA1">
        <w:rPr>
          <w:rFonts w:ascii="David" w:eastAsia="Calibri" w:hAnsi="David" w:cs="David"/>
          <w:color w:val="4F81BD"/>
          <w:sz w:val="24"/>
          <w:szCs w:val="24"/>
          <w:rtl/>
        </w:rPr>
        <w:t>, אלא אם צוין אחרת)</w:t>
      </w:r>
    </w:p>
    <w:p w:rsidR="00D265DA" w:rsidRPr="007B4DA1" w:rsidRDefault="00D265DA" w:rsidP="00FD6208">
      <w:pPr>
        <w:spacing w:before="120" w:after="120" w:line="360" w:lineRule="auto"/>
        <w:ind w:left="35" w:hanging="12"/>
        <w:jc w:val="center"/>
        <w:rPr>
          <w:rFonts w:ascii="David" w:eastAsia="Calibri" w:hAnsi="David" w:cs="David"/>
          <w:color w:val="4F81BD"/>
          <w:sz w:val="24"/>
          <w:szCs w:val="24"/>
          <w:rtl/>
        </w:rPr>
      </w:pPr>
    </w:p>
    <w:tbl>
      <w:tblPr>
        <w:bidiVisual/>
        <w:tblW w:w="8057" w:type="dxa"/>
        <w:tblCellMar>
          <w:left w:w="0" w:type="dxa"/>
          <w:right w:w="0" w:type="dxa"/>
        </w:tblCellMar>
        <w:tblLook w:val="04A0" w:firstRow="1" w:lastRow="0" w:firstColumn="1" w:lastColumn="0" w:noHBand="0" w:noVBand="1"/>
      </w:tblPr>
      <w:tblGrid>
        <w:gridCol w:w="3622"/>
        <w:gridCol w:w="721"/>
        <w:gridCol w:w="94"/>
        <w:gridCol w:w="708"/>
        <w:gridCol w:w="787"/>
        <w:gridCol w:w="151"/>
        <w:gridCol w:w="720"/>
        <w:gridCol w:w="787"/>
        <w:gridCol w:w="16"/>
        <w:gridCol w:w="700"/>
      </w:tblGrid>
      <w:tr w:rsidR="00ED7744" w:rsidRPr="007B4DA1" w:rsidTr="00D265DA">
        <w:trPr>
          <w:trHeight w:val="300"/>
        </w:trPr>
        <w:tc>
          <w:tcPr>
            <w:tcW w:w="3625" w:type="dxa"/>
            <w:tcBorders>
              <w:top w:val="nil"/>
              <w:left w:val="nil"/>
              <w:bottom w:val="nil"/>
              <w:right w:val="nil"/>
            </w:tcBorders>
            <w:shd w:val="clear" w:color="auto" w:fill="auto"/>
            <w:noWrap/>
            <w:vAlign w:val="bottom"/>
            <w:hideMark/>
          </w:tcPr>
          <w:p w:rsidR="00ED7744" w:rsidRPr="007B4DA1" w:rsidRDefault="00ED7744" w:rsidP="00BB518C">
            <w:pPr>
              <w:bidi w:val="0"/>
              <w:spacing w:after="0" w:line="240" w:lineRule="auto"/>
              <w:rPr>
                <w:rFonts w:ascii="David" w:eastAsia="Times New Roman" w:hAnsi="David" w:cs="David"/>
                <w:sz w:val="24"/>
                <w:szCs w:val="24"/>
              </w:rPr>
            </w:pPr>
          </w:p>
        </w:tc>
        <w:tc>
          <w:tcPr>
            <w:tcW w:w="709" w:type="dxa"/>
            <w:tcBorders>
              <w:top w:val="single" w:sz="8" w:space="0" w:color="auto"/>
              <w:left w:val="nil"/>
              <w:bottom w:val="nil"/>
              <w:right w:val="nil"/>
            </w:tcBorders>
            <w:shd w:val="clear" w:color="000000" w:fill="FFFFFF"/>
            <w:noWrap/>
            <w:vAlign w:val="center"/>
            <w:hideMark/>
          </w:tcPr>
          <w:p w:rsidR="00ED7744" w:rsidRPr="007B4DA1" w:rsidRDefault="00ED7744" w:rsidP="002F110F">
            <w:pPr>
              <w:bidi w:val="0"/>
              <w:spacing w:after="0" w:line="240" w:lineRule="auto"/>
              <w:jc w:val="center"/>
              <w:rPr>
                <w:rFonts w:ascii="David" w:eastAsia="Times New Roman" w:hAnsi="David" w:cs="David"/>
                <w:b/>
                <w:bCs/>
                <w:color w:val="000000"/>
                <w:sz w:val="24"/>
                <w:szCs w:val="24"/>
              </w:rPr>
            </w:pPr>
            <w:r w:rsidRPr="007B4DA1">
              <w:rPr>
                <w:rFonts w:ascii="David" w:eastAsia="Calibri" w:hAnsi="David" w:cs="David"/>
                <w:b/>
                <w:bCs/>
                <w:color w:val="000000"/>
                <w:sz w:val="24"/>
                <w:szCs w:val="24"/>
                <w:rtl/>
              </w:rPr>
              <w:t>2021</w:t>
            </w:r>
          </w:p>
        </w:tc>
        <w:tc>
          <w:tcPr>
            <w:tcW w:w="79" w:type="dxa"/>
            <w:tcBorders>
              <w:top w:val="nil"/>
              <w:left w:val="nil"/>
              <w:bottom w:val="nil"/>
              <w:right w:val="nil"/>
            </w:tcBorders>
            <w:shd w:val="clear" w:color="000000" w:fill="FFFFFF"/>
            <w:noWrap/>
            <w:vAlign w:val="center"/>
            <w:hideMark/>
          </w:tcPr>
          <w:p w:rsidR="00ED7744" w:rsidRPr="007B4DA1" w:rsidRDefault="00ED7744" w:rsidP="002F110F">
            <w:pPr>
              <w:bidi w:val="0"/>
              <w:spacing w:after="0" w:line="240" w:lineRule="auto"/>
              <w:jc w:val="center"/>
              <w:rPr>
                <w:rFonts w:ascii="David" w:eastAsia="Times New Roman" w:hAnsi="David" w:cs="David"/>
                <w:b/>
                <w:bCs/>
                <w:color w:val="000000"/>
                <w:sz w:val="24"/>
                <w:szCs w:val="24"/>
              </w:rPr>
            </w:pPr>
          </w:p>
        </w:tc>
        <w:tc>
          <w:tcPr>
            <w:tcW w:w="1411" w:type="dxa"/>
            <w:gridSpan w:val="2"/>
            <w:tcBorders>
              <w:top w:val="single" w:sz="8" w:space="0" w:color="auto"/>
              <w:left w:val="nil"/>
              <w:bottom w:val="nil"/>
              <w:right w:val="nil"/>
            </w:tcBorders>
            <w:shd w:val="clear" w:color="000000" w:fill="FFFFFF"/>
            <w:noWrap/>
            <w:vAlign w:val="center"/>
            <w:hideMark/>
          </w:tcPr>
          <w:p w:rsidR="00ED7744" w:rsidRPr="007B4DA1" w:rsidRDefault="00ED7744" w:rsidP="002F110F">
            <w:pPr>
              <w:bidi w:val="0"/>
              <w:spacing w:after="0" w:line="240" w:lineRule="auto"/>
              <w:jc w:val="center"/>
              <w:rPr>
                <w:rFonts w:ascii="David" w:eastAsia="Times New Roman" w:hAnsi="David" w:cs="David"/>
                <w:b/>
                <w:bCs/>
                <w:color w:val="000000"/>
                <w:sz w:val="24"/>
                <w:szCs w:val="24"/>
              </w:rPr>
            </w:pPr>
            <w:r w:rsidRPr="007B4DA1">
              <w:rPr>
                <w:rFonts w:ascii="David" w:eastAsia="Calibri" w:hAnsi="David" w:cs="David"/>
                <w:b/>
                <w:bCs/>
                <w:color w:val="000000"/>
                <w:sz w:val="24"/>
                <w:szCs w:val="24"/>
                <w:rtl/>
              </w:rPr>
              <w:t>2022</w:t>
            </w:r>
          </w:p>
        </w:tc>
        <w:tc>
          <w:tcPr>
            <w:tcW w:w="136" w:type="dxa"/>
            <w:tcBorders>
              <w:top w:val="nil"/>
              <w:left w:val="nil"/>
              <w:bottom w:val="nil"/>
              <w:right w:val="nil"/>
            </w:tcBorders>
            <w:shd w:val="clear" w:color="000000" w:fill="FFFFFF"/>
            <w:noWrap/>
            <w:vAlign w:val="center"/>
            <w:hideMark/>
          </w:tcPr>
          <w:p w:rsidR="00ED7744" w:rsidRPr="007B4DA1" w:rsidRDefault="00ED7744" w:rsidP="002F110F">
            <w:pPr>
              <w:bidi w:val="0"/>
              <w:spacing w:after="0" w:line="240" w:lineRule="auto"/>
              <w:jc w:val="center"/>
              <w:rPr>
                <w:rFonts w:ascii="David" w:eastAsia="Times New Roman" w:hAnsi="David" w:cs="David"/>
                <w:b/>
                <w:bCs/>
                <w:color w:val="000000"/>
                <w:sz w:val="24"/>
                <w:szCs w:val="24"/>
              </w:rPr>
            </w:pPr>
          </w:p>
        </w:tc>
        <w:tc>
          <w:tcPr>
            <w:tcW w:w="1392" w:type="dxa"/>
            <w:gridSpan w:val="2"/>
            <w:tcBorders>
              <w:top w:val="single" w:sz="8" w:space="0" w:color="auto"/>
              <w:left w:val="nil"/>
              <w:bottom w:val="nil"/>
              <w:right w:val="nil"/>
            </w:tcBorders>
            <w:shd w:val="clear" w:color="000000" w:fill="FFFFFF"/>
            <w:noWrap/>
            <w:vAlign w:val="center"/>
            <w:hideMark/>
          </w:tcPr>
          <w:p w:rsidR="00ED7744" w:rsidRPr="007B4DA1" w:rsidRDefault="00ED7744" w:rsidP="002F110F">
            <w:pPr>
              <w:bidi w:val="0"/>
              <w:spacing w:after="0" w:line="240" w:lineRule="auto"/>
              <w:jc w:val="center"/>
              <w:rPr>
                <w:rFonts w:ascii="David" w:eastAsia="Times New Roman" w:hAnsi="David" w:cs="David"/>
                <w:b/>
                <w:bCs/>
                <w:color w:val="000000"/>
                <w:sz w:val="24"/>
                <w:szCs w:val="24"/>
              </w:rPr>
            </w:pPr>
            <w:r w:rsidRPr="007B4DA1">
              <w:rPr>
                <w:rFonts w:ascii="David" w:eastAsia="Calibri" w:hAnsi="David" w:cs="David"/>
                <w:b/>
                <w:bCs/>
                <w:color w:val="000000"/>
                <w:sz w:val="24"/>
                <w:szCs w:val="24"/>
                <w:rtl/>
              </w:rPr>
              <w:t>2023</w:t>
            </w:r>
          </w:p>
        </w:tc>
        <w:tc>
          <w:tcPr>
            <w:tcW w:w="62" w:type="dxa"/>
            <w:tcBorders>
              <w:top w:val="nil"/>
              <w:left w:val="nil"/>
              <w:right w:val="nil"/>
            </w:tcBorders>
            <w:shd w:val="clear" w:color="000000" w:fill="FFFFFF"/>
          </w:tcPr>
          <w:p w:rsidR="00ED7744" w:rsidRPr="007B4DA1" w:rsidRDefault="00ED7744" w:rsidP="002F110F">
            <w:pPr>
              <w:bidi w:val="0"/>
              <w:spacing w:after="0" w:line="240" w:lineRule="auto"/>
              <w:jc w:val="center"/>
              <w:rPr>
                <w:rFonts w:ascii="David" w:eastAsia="Times New Roman" w:hAnsi="David" w:cs="David"/>
                <w:b/>
                <w:bCs/>
                <w:sz w:val="24"/>
                <w:szCs w:val="24"/>
              </w:rPr>
            </w:pPr>
          </w:p>
        </w:tc>
        <w:tc>
          <w:tcPr>
            <w:tcW w:w="643" w:type="dxa"/>
            <w:tcBorders>
              <w:top w:val="single" w:sz="2" w:space="0" w:color="auto"/>
              <w:left w:val="nil"/>
              <w:right w:val="nil"/>
            </w:tcBorders>
            <w:shd w:val="clear" w:color="000000" w:fill="FFFFFF"/>
            <w:vAlign w:val="center"/>
          </w:tcPr>
          <w:p w:rsidR="00ED7744" w:rsidRPr="007B4DA1" w:rsidRDefault="00ED7744" w:rsidP="00ED7744">
            <w:pPr>
              <w:bidi w:val="0"/>
              <w:spacing w:after="0" w:line="240" w:lineRule="auto"/>
              <w:jc w:val="center"/>
              <w:rPr>
                <w:rFonts w:ascii="David" w:eastAsia="Calibri" w:hAnsi="David" w:cs="David"/>
                <w:b/>
                <w:bCs/>
                <w:color w:val="000000"/>
                <w:sz w:val="24"/>
                <w:szCs w:val="24"/>
              </w:rPr>
            </w:pPr>
            <w:r w:rsidRPr="007B4DA1">
              <w:rPr>
                <w:rFonts w:ascii="David" w:eastAsia="Calibri" w:hAnsi="David" w:cs="David"/>
                <w:b/>
                <w:bCs/>
                <w:color w:val="000000"/>
                <w:sz w:val="24"/>
                <w:szCs w:val="24"/>
              </w:rPr>
              <w:t>2024</w:t>
            </w:r>
          </w:p>
        </w:tc>
      </w:tr>
      <w:tr w:rsidR="00ED7744" w:rsidRPr="007B4DA1" w:rsidTr="00D265DA">
        <w:trPr>
          <w:trHeight w:val="413"/>
        </w:trPr>
        <w:tc>
          <w:tcPr>
            <w:tcW w:w="3625" w:type="dxa"/>
            <w:tcBorders>
              <w:top w:val="nil"/>
              <w:left w:val="nil"/>
              <w:bottom w:val="single" w:sz="8" w:space="0" w:color="auto"/>
              <w:right w:val="nil"/>
            </w:tcBorders>
            <w:shd w:val="clear" w:color="auto" w:fill="auto"/>
            <w:noWrap/>
            <w:vAlign w:val="center"/>
            <w:hideMark/>
          </w:tcPr>
          <w:p w:rsidR="00ED7744" w:rsidRPr="007B4DA1" w:rsidRDefault="00ED7744" w:rsidP="00BB518C">
            <w:pPr>
              <w:bidi w:val="0"/>
              <w:spacing w:after="0" w:line="240" w:lineRule="auto"/>
              <w:jc w:val="both"/>
              <w:rPr>
                <w:rFonts w:ascii="David" w:eastAsia="Times New Roman" w:hAnsi="David" w:cs="David"/>
                <w:color w:val="000000"/>
                <w:sz w:val="24"/>
                <w:szCs w:val="24"/>
              </w:rPr>
            </w:pPr>
            <w:r w:rsidRPr="007B4DA1">
              <w:rPr>
                <w:rFonts w:ascii="David" w:eastAsia="Calibri" w:hAnsi="David" w:cs="David"/>
                <w:color w:val="000000"/>
                <w:sz w:val="24"/>
                <w:szCs w:val="24"/>
              </w:rPr>
              <w:t> </w:t>
            </w:r>
          </w:p>
        </w:tc>
        <w:tc>
          <w:tcPr>
            <w:tcW w:w="709" w:type="dxa"/>
            <w:tcBorders>
              <w:top w:val="nil"/>
              <w:left w:val="nil"/>
              <w:bottom w:val="single" w:sz="8" w:space="0" w:color="auto"/>
              <w:right w:val="nil"/>
            </w:tcBorders>
            <w:shd w:val="clear" w:color="000000" w:fill="D9D9D9"/>
            <w:vAlign w:val="center"/>
            <w:hideMark/>
          </w:tcPr>
          <w:p w:rsidR="00ED7744" w:rsidRPr="007B4DA1" w:rsidRDefault="00ED7744" w:rsidP="002F110F">
            <w:pPr>
              <w:spacing w:after="0" w:line="240" w:lineRule="auto"/>
              <w:jc w:val="center"/>
              <w:rPr>
                <w:rFonts w:ascii="David" w:eastAsia="Times New Roman" w:hAnsi="David" w:cs="David"/>
                <w:color w:val="000000"/>
                <w:sz w:val="24"/>
                <w:szCs w:val="24"/>
              </w:rPr>
            </w:pPr>
            <w:r w:rsidRPr="007B4DA1">
              <w:rPr>
                <w:rFonts w:ascii="David" w:eastAsia="Calibri" w:hAnsi="David" w:cs="David"/>
                <w:color w:val="000000"/>
                <w:sz w:val="24"/>
                <w:szCs w:val="24"/>
                <w:rtl/>
              </w:rPr>
              <w:t>בפועל</w:t>
            </w:r>
          </w:p>
        </w:tc>
        <w:tc>
          <w:tcPr>
            <w:tcW w:w="79" w:type="dxa"/>
            <w:tcBorders>
              <w:top w:val="nil"/>
              <w:left w:val="nil"/>
              <w:bottom w:val="nil"/>
              <w:right w:val="nil"/>
            </w:tcBorders>
            <w:shd w:val="clear" w:color="auto" w:fill="auto"/>
            <w:vAlign w:val="center"/>
            <w:hideMark/>
          </w:tcPr>
          <w:p w:rsidR="00ED7744" w:rsidRPr="007B4DA1" w:rsidRDefault="00ED7744" w:rsidP="002F110F">
            <w:pPr>
              <w:spacing w:after="0" w:line="240" w:lineRule="auto"/>
              <w:jc w:val="center"/>
              <w:rPr>
                <w:rFonts w:ascii="David" w:eastAsia="Times New Roman" w:hAnsi="David" w:cs="David"/>
                <w:color w:val="000000"/>
                <w:sz w:val="24"/>
                <w:szCs w:val="24"/>
                <w:rtl/>
              </w:rPr>
            </w:pPr>
          </w:p>
        </w:tc>
        <w:tc>
          <w:tcPr>
            <w:tcW w:w="696" w:type="dxa"/>
            <w:tcBorders>
              <w:top w:val="nil"/>
              <w:left w:val="nil"/>
              <w:bottom w:val="single" w:sz="8" w:space="0" w:color="auto"/>
              <w:right w:val="nil"/>
            </w:tcBorders>
            <w:shd w:val="clear" w:color="auto" w:fill="auto"/>
            <w:vAlign w:val="center"/>
            <w:hideMark/>
          </w:tcPr>
          <w:p w:rsidR="00ED7744" w:rsidRPr="007B4DA1" w:rsidRDefault="00ED7744" w:rsidP="002F110F">
            <w:pPr>
              <w:spacing w:after="0" w:line="240" w:lineRule="auto"/>
              <w:jc w:val="center"/>
              <w:rPr>
                <w:rFonts w:ascii="David" w:eastAsia="Times New Roman" w:hAnsi="David" w:cs="David"/>
                <w:color w:val="000000"/>
                <w:sz w:val="24"/>
                <w:szCs w:val="24"/>
              </w:rPr>
            </w:pPr>
            <w:r w:rsidRPr="007B4DA1">
              <w:rPr>
                <w:rFonts w:ascii="David" w:eastAsia="Calibri" w:hAnsi="David" w:cs="David"/>
                <w:color w:val="000000"/>
                <w:sz w:val="24"/>
                <w:szCs w:val="24"/>
                <w:rtl/>
              </w:rPr>
              <w:t>התחזית ל-2022</w:t>
            </w:r>
          </w:p>
        </w:tc>
        <w:tc>
          <w:tcPr>
            <w:tcW w:w="715" w:type="dxa"/>
            <w:tcBorders>
              <w:top w:val="nil"/>
              <w:left w:val="nil"/>
              <w:bottom w:val="single" w:sz="8" w:space="0" w:color="auto"/>
              <w:right w:val="nil"/>
            </w:tcBorders>
            <w:shd w:val="clear" w:color="auto" w:fill="auto"/>
            <w:vAlign w:val="center"/>
            <w:hideMark/>
          </w:tcPr>
          <w:p w:rsidR="00ED7744" w:rsidRPr="007B4DA1" w:rsidRDefault="00ED7744" w:rsidP="000F7C42">
            <w:pPr>
              <w:spacing w:after="0" w:line="240" w:lineRule="auto"/>
              <w:jc w:val="center"/>
              <w:rPr>
                <w:rFonts w:ascii="David" w:eastAsia="Times New Roman" w:hAnsi="David" w:cs="David"/>
                <w:color w:val="4F81BD"/>
                <w:sz w:val="24"/>
                <w:szCs w:val="24"/>
                <w:rtl/>
              </w:rPr>
            </w:pPr>
            <w:r w:rsidRPr="007B4DA1">
              <w:rPr>
                <w:rFonts w:ascii="David" w:eastAsia="Calibri" w:hAnsi="David" w:cs="David"/>
                <w:color w:val="4F81BD"/>
                <w:sz w:val="24"/>
                <w:szCs w:val="24"/>
                <w:rtl/>
              </w:rPr>
              <w:t xml:space="preserve">השינוי מתחזית </w:t>
            </w:r>
            <w:r w:rsidR="000F7C42" w:rsidRPr="007B4DA1">
              <w:rPr>
                <w:rFonts w:ascii="David" w:eastAsia="Calibri" w:hAnsi="David" w:cs="David"/>
                <w:color w:val="4F81BD"/>
                <w:sz w:val="24"/>
                <w:szCs w:val="24"/>
                <w:rtl/>
              </w:rPr>
              <w:t>אוקטובר</w:t>
            </w:r>
          </w:p>
        </w:tc>
        <w:tc>
          <w:tcPr>
            <w:tcW w:w="136" w:type="dxa"/>
            <w:tcBorders>
              <w:top w:val="nil"/>
              <w:left w:val="nil"/>
              <w:bottom w:val="nil"/>
              <w:right w:val="nil"/>
            </w:tcBorders>
            <w:shd w:val="clear" w:color="auto" w:fill="auto"/>
            <w:vAlign w:val="center"/>
            <w:hideMark/>
          </w:tcPr>
          <w:p w:rsidR="00ED7744" w:rsidRPr="007B4DA1" w:rsidRDefault="00ED7744" w:rsidP="002F110F">
            <w:pPr>
              <w:spacing w:after="0" w:line="240" w:lineRule="auto"/>
              <w:jc w:val="center"/>
              <w:rPr>
                <w:rFonts w:ascii="David" w:eastAsia="Times New Roman" w:hAnsi="David" w:cs="David"/>
                <w:color w:val="4F81BD"/>
                <w:sz w:val="24"/>
                <w:szCs w:val="24"/>
                <w:rtl/>
              </w:rPr>
            </w:pPr>
          </w:p>
        </w:tc>
        <w:tc>
          <w:tcPr>
            <w:tcW w:w="708" w:type="dxa"/>
            <w:tcBorders>
              <w:top w:val="nil"/>
              <w:left w:val="nil"/>
              <w:bottom w:val="single" w:sz="8" w:space="0" w:color="auto"/>
              <w:right w:val="nil"/>
            </w:tcBorders>
            <w:shd w:val="clear" w:color="auto" w:fill="auto"/>
            <w:vAlign w:val="center"/>
            <w:hideMark/>
          </w:tcPr>
          <w:p w:rsidR="00ED7744" w:rsidRPr="007B4DA1" w:rsidRDefault="00ED7744" w:rsidP="002F110F">
            <w:pPr>
              <w:spacing w:after="0" w:line="240" w:lineRule="auto"/>
              <w:jc w:val="center"/>
              <w:rPr>
                <w:rFonts w:ascii="David" w:eastAsia="Times New Roman" w:hAnsi="David" w:cs="David"/>
                <w:color w:val="000000"/>
                <w:sz w:val="24"/>
                <w:szCs w:val="24"/>
              </w:rPr>
            </w:pPr>
            <w:r w:rsidRPr="007B4DA1">
              <w:rPr>
                <w:rFonts w:ascii="David" w:eastAsia="Calibri" w:hAnsi="David" w:cs="David"/>
                <w:color w:val="000000"/>
                <w:sz w:val="24"/>
                <w:szCs w:val="24"/>
                <w:rtl/>
              </w:rPr>
              <w:t>התחזית ל-2023</w:t>
            </w:r>
          </w:p>
        </w:tc>
        <w:tc>
          <w:tcPr>
            <w:tcW w:w="684" w:type="dxa"/>
            <w:tcBorders>
              <w:top w:val="nil"/>
              <w:left w:val="nil"/>
              <w:bottom w:val="single" w:sz="8" w:space="0" w:color="auto"/>
              <w:right w:val="nil"/>
            </w:tcBorders>
            <w:shd w:val="clear" w:color="auto" w:fill="auto"/>
            <w:vAlign w:val="center"/>
            <w:hideMark/>
          </w:tcPr>
          <w:p w:rsidR="00ED7744" w:rsidRPr="007B4DA1" w:rsidRDefault="00ED7744" w:rsidP="000F7C42">
            <w:pPr>
              <w:spacing w:after="0" w:line="240" w:lineRule="auto"/>
              <w:jc w:val="center"/>
              <w:rPr>
                <w:rFonts w:ascii="David" w:eastAsia="Times New Roman" w:hAnsi="David" w:cs="David"/>
                <w:color w:val="4F81BD"/>
                <w:sz w:val="24"/>
                <w:szCs w:val="24"/>
              </w:rPr>
            </w:pPr>
            <w:r w:rsidRPr="007B4DA1">
              <w:rPr>
                <w:rFonts w:ascii="David" w:eastAsia="Calibri" w:hAnsi="David" w:cs="David"/>
                <w:color w:val="4F81BD"/>
                <w:sz w:val="24"/>
                <w:szCs w:val="24"/>
                <w:rtl/>
              </w:rPr>
              <w:t xml:space="preserve">השינוי מתחזית </w:t>
            </w:r>
            <w:r w:rsidR="000F7C42" w:rsidRPr="007B4DA1">
              <w:rPr>
                <w:rFonts w:ascii="David" w:eastAsia="Calibri" w:hAnsi="David" w:cs="David"/>
                <w:color w:val="4F81BD"/>
                <w:sz w:val="24"/>
                <w:szCs w:val="24"/>
                <w:rtl/>
              </w:rPr>
              <w:t>אוקטובר</w:t>
            </w:r>
          </w:p>
        </w:tc>
        <w:tc>
          <w:tcPr>
            <w:tcW w:w="62" w:type="dxa"/>
            <w:tcBorders>
              <w:top w:val="nil"/>
              <w:left w:val="nil"/>
              <w:right w:val="nil"/>
            </w:tcBorders>
          </w:tcPr>
          <w:p w:rsidR="00ED7744" w:rsidRPr="007B4DA1" w:rsidRDefault="00ED7744" w:rsidP="00ED7744">
            <w:pPr>
              <w:spacing w:after="0" w:line="240" w:lineRule="auto"/>
              <w:jc w:val="center"/>
              <w:rPr>
                <w:rFonts w:ascii="David" w:eastAsia="Times New Roman" w:hAnsi="David" w:cs="David"/>
                <w:sz w:val="24"/>
                <w:szCs w:val="24"/>
                <w:rtl/>
              </w:rPr>
            </w:pPr>
          </w:p>
        </w:tc>
        <w:tc>
          <w:tcPr>
            <w:tcW w:w="643" w:type="dxa"/>
            <w:tcBorders>
              <w:top w:val="nil"/>
              <w:left w:val="nil"/>
              <w:bottom w:val="single" w:sz="2" w:space="0" w:color="auto"/>
              <w:right w:val="nil"/>
            </w:tcBorders>
          </w:tcPr>
          <w:p w:rsidR="00ED7744" w:rsidRPr="007B4DA1" w:rsidRDefault="00ED7744" w:rsidP="002F110F">
            <w:pPr>
              <w:spacing w:after="0" w:line="240" w:lineRule="auto"/>
              <w:jc w:val="center"/>
              <w:rPr>
                <w:rFonts w:ascii="David" w:eastAsia="Times New Roman" w:hAnsi="David" w:cs="David"/>
                <w:sz w:val="24"/>
                <w:szCs w:val="24"/>
                <w:rtl/>
              </w:rPr>
            </w:pPr>
            <w:r w:rsidRPr="007B4DA1">
              <w:rPr>
                <w:rFonts w:ascii="David" w:eastAsia="Calibri" w:hAnsi="David" w:cs="David"/>
                <w:color w:val="000000"/>
                <w:sz w:val="24"/>
                <w:szCs w:val="24"/>
                <w:rtl/>
              </w:rPr>
              <w:t>התחזית ל-2024</w:t>
            </w:r>
          </w:p>
        </w:tc>
      </w:tr>
      <w:tr w:rsidR="00D265DA" w:rsidRPr="007B4DA1" w:rsidTr="00D265DA">
        <w:trPr>
          <w:trHeight w:val="279"/>
        </w:trPr>
        <w:tc>
          <w:tcPr>
            <w:tcW w:w="3625" w:type="dxa"/>
            <w:tcBorders>
              <w:top w:val="nil"/>
              <w:left w:val="nil"/>
              <w:bottom w:val="nil"/>
              <w:right w:val="nil"/>
            </w:tcBorders>
            <w:shd w:val="clear" w:color="auto" w:fill="auto"/>
            <w:vAlign w:val="center"/>
          </w:tcPr>
          <w:p w:rsidR="00D265DA" w:rsidRPr="007B4DA1" w:rsidRDefault="00D265DA" w:rsidP="00D265DA">
            <w:pPr>
              <w:spacing w:after="0" w:line="240" w:lineRule="auto"/>
              <w:jc w:val="both"/>
              <w:rPr>
                <w:rFonts w:ascii="David" w:hAnsi="David" w:cs="David"/>
                <w:color w:val="000000"/>
                <w:sz w:val="24"/>
                <w:szCs w:val="24"/>
                <w:rtl/>
              </w:rPr>
            </w:pPr>
            <w:r w:rsidRPr="007B4DA1">
              <w:rPr>
                <w:rFonts w:ascii="David" w:eastAsia="Calibri" w:hAnsi="David" w:cs="David"/>
                <w:color w:val="000000"/>
                <w:sz w:val="24"/>
                <w:szCs w:val="24"/>
                <w:rtl/>
              </w:rPr>
              <w:t>תוצר מקומי גולמי</w:t>
            </w:r>
          </w:p>
        </w:tc>
        <w:tc>
          <w:tcPr>
            <w:tcW w:w="709" w:type="dxa"/>
            <w:tcBorders>
              <w:top w:val="single" w:sz="8" w:space="0" w:color="000000"/>
              <w:left w:val="nil"/>
              <w:bottom w:val="nil"/>
              <w:right w:val="nil"/>
            </w:tcBorders>
            <w:shd w:val="clear" w:color="auto" w:fill="D9D9D9"/>
            <w:noWrap/>
            <w:vAlign w:val="center"/>
          </w:tcPr>
          <w:p w:rsidR="00D265DA" w:rsidRPr="007B4DA1" w:rsidRDefault="00D265DA" w:rsidP="00D265DA">
            <w:pPr>
              <w:pStyle w:val="NormalWeb"/>
              <w:bidi/>
              <w:spacing w:before="0" w:beforeAutospacing="0" w:after="0" w:afterAutospacing="0"/>
              <w:jc w:val="center"/>
              <w:textAlignment w:val="bottom"/>
              <w:rPr>
                <w:rFonts w:ascii="David" w:hAnsi="David" w:cs="David"/>
              </w:rPr>
            </w:pPr>
            <w:r w:rsidRPr="007B4DA1">
              <w:rPr>
                <w:rFonts w:ascii="David" w:hAnsi="David" w:cs="David"/>
                <w:color w:val="000000" w:themeColor="text1"/>
                <w:kern w:val="24"/>
                <w:rtl/>
              </w:rPr>
              <w:t>8.6</w:t>
            </w:r>
          </w:p>
        </w:tc>
        <w:tc>
          <w:tcPr>
            <w:tcW w:w="79" w:type="dxa"/>
            <w:tcBorders>
              <w:top w:val="nil"/>
              <w:left w:val="nil"/>
              <w:bottom w:val="nil"/>
              <w:right w:val="nil"/>
            </w:tcBorders>
            <w:shd w:val="clear" w:color="auto" w:fill="auto"/>
            <w:noWrap/>
            <w:vAlign w:val="center"/>
          </w:tcPr>
          <w:p w:rsidR="00D265DA" w:rsidRPr="007B4DA1" w:rsidRDefault="00D265DA" w:rsidP="00D265DA">
            <w:pPr>
              <w:pStyle w:val="NormalWeb"/>
              <w:bidi/>
              <w:spacing w:before="0" w:beforeAutospacing="0" w:after="0" w:afterAutospacing="0" w:line="256" w:lineRule="auto"/>
              <w:jc w:val="center"/>
              <w:rPr>
                <w:rFonts w:ascii="David" w:hAnsi="David" w:cs="David"/>
                <w:rtl/>
              </w:rPr>
            </w:pPr>
          </w:p>
        </w:tc>
        <w:tc>
          <w:tcPr>
            <w:tcW w:w="696" w:type="dxa"/>
            <w:tcBorders>
              <w:top w:val="single" w:sz="8" w:space="0" w:color="000000"/>
              <w:left w:val="nil"/>
              <w:bottom w:val="nil"/>
              <w:right w:val="nil"/>
            </w:tcBorders>
            <w:shd w:val="clear" w:color="auto" w:fill="auto"/>
            <w:noWrap/>
            <w:vAlign w:val="center"/>
          </w:tcPr>
          <w:p w:rsidR="00D265DA" w:rsidRPr="007B4DA1" w:rsidRDefault="00D265DA" w:rsidP="00D265DA">
            <w:pPr>
              <w:pStyle w:val="NormalWeb"/>
              <w:bidi/>
              <w:spacing w:before="0" w:beforeAutospacing="0" w:after="0" w:afterAutospacing="0"/>
              <w:jc w:val="center"/>
              <w:textAlignment w:val="bottom"/>
              <w:rPr>
                <w:rFonts w:ascii="David" w:hAnsi="David" w:cs="David"/>
                <w:rtl/>
              </w:rPr>
            </w:pPr>
            <w:r w:rsidRPr="007B4DA1">
              <w:rPr>
                <w:rFonts w:ascii="David" w:hAnsi="David" w:cs="David"/>
                <w:b/>
                <w:bCs/>
                <w:color w:val="000000" w:themeColor="text1"/>
                <w:kern w:val="24"/>
                <w:rtl/>
              </w:rPr>
              <w:t>6.3</w:t>
            </w:r>
          </w:p>
        </w:tc>
        <w:tc>
          <w:tcPr>
            <w:tcW w:w="715" w:type="dxa"/>
            <w:tcBorders>
              <w:top w:val="single" w:sz="8" w:space="0" w:color="000000"/>
              <w:left w:val="nil"/>
              <w:bottom w:val="nil"/>
              <w:right w:val="nil"/>
            </w:tcBorders>
            <w:shd w:val="clear" w:color="auto" w:fill="auto"/>
            <w:noWrap/>
            <w:vAlign w:val="center"/>
          </w:tcPr>
          <w:p w:rsidR="00D265DA" w:rsidRPr="007B4DA1" w:rsidRDefault="00D265DA" w:rsidP="00D265DA">
            <w:pPr>
              <w:pStyle w:val="NormalWeb"/>
              <w:bidi/>
              <w:spacing w:before="0" w:beforeAutospacing="0" w:after="0" w:afterAutospacing="0" w:line="256" w:lineRule="auto"/>
              <w:jc w:val="center"/>
              <w:rPr>
                <w:rFonts w:ascii="David" w:hAnsi="David" w:cs="David"/>
                <w:rtl/>
              </w:rPr>
            </w:pPr>
            <w:r w:rsidRPr="007B4DA1">
              <w:rPr>
                <w:rFonts w:ascii="David" w:eastAsia="Calibri" w:hAnsi="David" w:cs="David"/>
                <w:color w:val="4F81BD"/>
                <w:kern w:val="24"/>
              </w:rPr>
              <w:t>0.3</w:t>
            </w:r>
          </w:p>
        </w:tc>
        <w:tc>
          <w:tcPr>
            <w:tcW w:w="136" w:type="dxa"/>
            <w:tcBorders>
              <w:top w:val="nil"/>
              <w:left w:val="nil"/>
              <w:bottom w:val="nil"/>
              <w:right w:val="nil"/>
            </w:tcBorders>
            <w:shd w:val="clear" w:color="auto" w:fill="auto"/>
            <w:noWrap/>
            <w:vAlign w:val="center"/>
          </w:tcPr>
          <w:p w:rsidR="00D265DA" w:rsidRPr="007B4DA1" w:rsidRDefault="00D265DA" w:rsidP="00D265DA">
            <w:pPr>
              <w:pStyle w:val="NormalWeb"/>
              <w:bidi/>
              <w:spacing w:before="0" w:beforeAutospacing="0" w:after="0" w:afterAutospacing="0" w:line="256" w:lineRule="auto"/>
              <w:jc w:val="center"/>
              <w:rPr>
                <w:rFonts w:ascii="David" w:hAnsi="David" w:cs="David"/>
                <w:rtl/>
              </w:rPr>
            </w:pPr>
          </w:p>
        </w:tc>
        <w:tc>
          <w:tcPr>
            <w:tcW w:w="708" w:type="dxa"/>
            <w:tcBorders>
              <w:top w:val="single" w:sz="8" w:space="0" w:color="000000"/>
              <w:left w:val="single" w:sz="8" w:space="0" w:color="FFFFFF"/>
              <w:bottom w:val="nil"/>
              <w:right w:val="nil"/>
            </w:tcBorders>
            <w:shd w:val="clear" w:color="auto" w:fill="auto"/>
            <w:vAlign w:val="center"/>
          </w:tcPr>
          <w:p w:rsidR="00D265DA" w:rsidRPr="007B4DA1" w:rsidRDefault="00D265DA" w:rsidP="00D265DA">
            <w:pPr>
              <w:pStyle w:val="NormalWeb"/>
              <w:bidi/>
              <w:spacing w:before="0" w:beforeAutospacing="0" w:after="0" w:afterAutospacing="0"/>
              <w:jc w:val="center"/>
              <w:textAlignment w:val="bottom"/>
              <w:rPr>
                <w:rFonts w:ascii="David" w:hAnsi="David" w:cs="David"/>
                <w:rtl/>
              </w:rPr>
            </w:pPr>
            <w:r w:rsidRPr="007B4DA1">
              <w:rPr>
                <w:rFonts w:ascii="David" w:hAnsi="David" w:cs="David"/>
                <w:b/>
                <w:bCs/>
                <w:color w:val="000000" w:themeColor="text1"/>
                <w:kern w:val="24"/>
                <w:rtl/>
              </w:rPr>
              <w:t>2.8</w:t>
            </w:r>
          </w:p>
        </w:tc>
        <w:tc>
          <w:tcPr>
            <w:tcW w:w="684" w:type="dxa"/>
            <w:tcBorders>
              <w:top w:val="single" w:sz="8" w:space="0" w:color="000000"/>
              <w:left w:val="nil"/>
              <w:bottom w:val="nil"/>
              <w:right w:val="single" w:sz="8" w:space="0" w:color="FFFFFF"/>
            </w:tcBorders>
            <w:shd w:val="clear" w:color="auto" w:fill="auto"/>
            <w:vAlign w:val="center"/>
          </w:tcPr>
          <w:p w:rsidR="00D265DA" w:rsidRPr="007B4DA1" w:rsidRDefault="00D265DA" w:rsidP="00D265DA">
            <w:pPr>
              <w:pStyle w:val="NormalWeb"/>
              <w:bidi/>
              <w:spacing w:before="0" w:beforeAutospacing="0" w:after="0" w:afterAutospacing="0" w:line="256" w:lineRule="auto"/>
              <w:jc w:val="center"/>
              <w:rPr>
                <w:rFonts w:ascii="David" w:hAnsi="David" w:cs="David"/>
                <w:rtl/>
              </w:rPr>
            </w:pPr>
            <w:r w:rsidRPr="007B4DA1">
              <w:rPr>
                <w:rFonts w:ascii="David" w:eastAsia="Calibri" w:hAnsi="David" w:cs="David"/>
                <w:color w:val="4F81BD"/>
                <w:kern w:val="24"/>
              </w:rPr>
              <w:t>-0.2</w:t>
            </w:r>
          </w:p>
        </w:tc>
        <w:tc>
          <w:tcPr>
            <w:tcW w:w="62" w:type="dxa"/>
            <w:tcBorders>
              <w:top w:val="nil"/>
              <w:left w:val="nil"/>
              <w:bottom w:val="nil"/>
              <w:right w:val="nil"/>
            </w:tcBorders>
            <w:shd w:val="clear" w:color="auto" w:fill="auto"/>
            <w:vAlign w:val="center"/>
          </w:tcPr>
          <w:p w:rsidR="00D265DA" w:rsidRPr="007B4DA1" w:rsidRDefault="00D265DA" w:rsidP="00D265DA">
            <w:pPr>
              <w:pStyle w:val="NormalWeb"/>
              <w:bidi/>
              <w:spacing w:before="0" w:beforeAutospacing="0" w:after="0" w:afterAutospacing="0" w:line="256" w:lineRule="auto"/>
              <w:jc w:val="center"/>
              <w:rPr>
                <w:rFonts w:ascii="David" w:hAnsi="David" w:cs="David"/>
                <w:rtl/>
              </w:rPr>
            </w:pPr>
          </w:p>
        </w:tc>
        <w:tc>
          <w:tcPr>
            <w:tcW w:w="643" w:type="dxa"/>
            <w:tcBorders>
              <w:top w:val="single" w:sz="8" w:space="0" w:color="000000"/>
              <w:left w:val="nil"/>
              <w:bottom w:val="nil"/>
              <w:right w:val="nil"/>
            </w:tcBorders>
            <w:shd w:val="clear" w:color="auto" w:fill="auto"/>
            <w:vAlign w:val="center"/>
          </w:tcPr>
          <w:p w:rsidR="00D265DA" w:rsidRPr="007B4DA1" w:rsidRDefault="00D265DA" w:rsidP="00D265DA">
            <w:pPr>
              <w:pStyle w:val="NormalWeb"/>
              <w:bidi/>
              <w:spacing w:before="0" w:beforeAutospacing="0" w:after="0" w:afterAutospacing="0"/>
              <w:jc w:val="center"/>
              <w:textAlignment w:val="bottom"/>
              <w:rPr>
                <w:rFonts w:ascii="David" w:hAnsi="David" w:cs="David"/>
                <w:rtl/>
              </w:rPr>
            </w:pPr>
            <w:r w:rsidRPr="007B4DA1">
              <w:rPr>
                <w:rFonts w:ascii="David" w:hAnsi="David" w:cs="David"/>
                <w:b/>
                <w:bCs/>
                <w:color w:val="000000" w:themeColor="text1"/>
                <w:kern w:val="24"/>
                <w:rtl/>
              </w:rPr>
              <w:t>3.5</w:t>
            </w:r>
          </w:p>
        </w:tc>
      </w:tr>
      <w:tr w:rsidR="00D265DA" w:rsidRPr="007B4DA1" w:rsidTr="00D265DA">
        <w:trPr>
          <w:trHeight w:val="285"/>
        </w:trPr>
        <w:tc>
          <w:tcPr>
            <w:tcW w:w="3625" w:type="dxa"/>
            <w:tcBorders>
              <w:top w:val="nil"/>
              <w:left w:val="nil"/>
              <w:bottom w:val="nil"/>
              <w:right w:val="nil"/>
            </w:tcBorders>
            <w:shd w:val="clear" w:color="auto" w:fill="auto"/>
            <w:vAlign w:val="center"/>
            <w:hideMark/>
          </w:tcPr>
          <w:p w:rsidR="00D265DA" w:rsidRPr="007B4DA1" w:rsidRDefault="00D265DA" w:rsidP="00D265DA">
            <w:pPr>
              <w:spacing w:after="0" w:line="240" w:lineRule="auto"/>
              <w:jc w:val="both"/>
              <w:rPr>
                <w:rFonts w:ascii="David" w:eastAsia="Times New Roman" w:hAnsi="David" w:cs="David"/>
                <w:color w:val="000000"/>
                <w:sz w:val="24"/>
                <w:szCs w:val="24"/>
                <w:rtl/>
              </w:rPr>
            </w:pPr>
            <w:r w:rsidRPr="007B4DA1">
              <w:rPr>
                <w:rFonts w:ascii="David" w:eastAsia="Calibri" w:hAnsi="David" w:cs="David"/>
                <w:color w:val="000000"/>
                <w:sz w:val="24"/>
                <w:szCs w:val="24"/>
                <w:rtl/>
              </w:rPr>
              <w:t>צריכה פרטית</w:t>
            </w:r>
          </w:p>
        </w:tc>
        <w:tc>
          <w:tcPr>
            <w:tcW w:w="709" w:type="dxa"/>
            <w:tcBorders>
              <w:top w:val="nil"/>
              <w:left w:val="nil"/>
              <w:bottom w:val="nil"/>
              <w:right w:val="nil"/>
            </w:tcBorders>
            <w:shd w:val="clear" w:color="auto" w:fill="D9D9D9"/>
            <w:noWrap/>
            <w:vAlign w:val="center"/>
            <w:hideMark/>
          </w:tcPr>
          <w:p w:rsidR="00D265DA" w:rsidRPr="007B4DA1" w:rsidRDefault="00D265DA" w:rsidP="00D265DA">
            <w:pPr>
              <w:pStyle w:val="NormalWeb"/>
              <w:bidi/>
              <w:spacing w:before="0" w:beforeAutospacing="0" w:after="0" w:afterAutospacing="0"/>
              <w:jc w:val="center"/>
              <w:textAlignment w:val="bottom"/>
              <w:rPr>
                <w:rFonts w:ascii="David" w:hAnsi="David" w:cs="David"/>
                <w:rtl/>
              </w:rPr>
            </w:pPr>
            <w:r w:rsidRPr="007B4DA1">
              <w:rPr>
                <w:rFonts w:ascii="David" w:hAnsi="David" w:cs="David"/>
                <w:color w:val="000000" w:themeColor="text1"/>
                <w:kern w:val="24"/>
                <w:rtl/>
              </w:rPr>
              <w:t>11.1</w:t>
            </w:r>
          </w:p>
        </w:tc>
        <w:tc>
          <w:tcPr>
            <w:tcW w:w="79" w:type="dxa"/>
            <w:tcBorders>
              <w:top w:val="nil"/>
              <w:left w:val="nil"/>
              <w:bottom w:val="nil"/>
              <w:right w:val="nil"/>
            </w:tcBorders>
            <w:shd w:val="clear" w:color="auto" w:fill="auto"/>
            <w:noWrap/>
            <w:vAlign w:val="center"/>
            <w:hideMark/>
          </w:tcPr>
          <w:p w:rsidR="00D265DA" w:rsidRPr="007B4DA1" w:rsidRDefault="00D265DA" w:rsidP="00D265DA">
            <w:pPr>
              <w:jc w:val="center"/>
              <w:rPr>
                <w:rFonts w:ascii="David" w:hAnsi="David" w:cs="David"/>
                <w:sz w:val="24"/>
                <w:szCs w:val="24"/>
                <w:rtl/>
              </w:rPr>
            </w:pPr>
          </w:p>
        </w:tc>
        <w:tc>
          <w:tcPr>
            <w:tcW w:w="696" w:type="dxa"/>
            <w:tcBorders>
              <w:top w:val="nil"/>
              <w:left w:val="nil"/>
              <w:bottom w:val="nil"/>
              <w:right w:val="nil"/>
            </w:tcBorders>
            <w:shd w:val="clear" w:color="auto" w:fill="auto"/>
            <w:noWrap/>
            <w:vAlign w:val="center"/>
            <w:hideMark/>
          </w:tcPr>
          <w:p w:rsidR="00D265DA" w:rsidRPr="007B4DA1" w:rsidRDefault="00D265DA" w:rsidP="00D265DA">
            <w:pPr>
              <w:pStyle w:val="NormalWeb"/>
              <w:bidi/>
              <w:spacing w:before="0" w:beforeAutospacing="0" w:after="0" w:afterAutospacing="0"/>
              <w:jc w:val="center"/>
              <w:textAlignment w:val="bottom"/>
              <w:rPr>
                <w:rFonts w:ascii="David" w:hAnsi="David" w:cs="David"/>
              </w:rPr>
            </w:pPr>
            <w:r w:rsidRPr="007B4DA1">
              <w:rPr>
                <w:rFonts w:ascii="David" w:hAnsi="David" w:cs="David"/>
                <w:b/>
                <w:bCs/>
                <w:color w:val="000000" w:themeColor="text1"/>
                <w:kern w:val="24"/>
                <w:rtl/>
              </w:rPr>
              <w:t>7.0</w:t>
            </w:r>
          </w:p>
        </w:tc>
        <w:tc>
          <w:tcPr>
            <w:tcW w:w="715" w:type="dxa"/>
            <w:tcBorders>
              <w:top w:val="nil"/>
              <w:left w:val="nil"/>
              <w:bottom w:val="nil"/>
              <w:right w:val="nil"/>
            </w:tcBorders>
            <w:shd w:val="clear" w:color="auto" w:fill="auto"/>
            <w:noWrap/>
            <w:vAlign w:val="center"/>
            <w:hideMark/>
          </w:tcPr>
          <w:p w:rsidR="00D265DA" w:rsidRPr="007B4DA1" w:rsidRDefault="00D265DA" w:rsidP="00D265DA">
            <w:pPr>
              <w:pStyle w:val="NormalWeb"/>
              <w:bidi/>
              <w:spacing w:before="0" w:beforeAutospacing="0" w:after="0" w:afterAutospacing="0" w:line="256" w:lineRule="auto"/>
              <w:jc w:val="center"/>
              <w:rPr>
                <w:rFonts w:ascii="David" w:hAnsi="David" w:cs="David"/>
                <w:rtl/>
              </w:rPr>
            </w:pPr>
            <w:r w:rsidRPr="007B4DA1">
              <w:rPr>
                <w:rFonts w:ascii="David" w:eastAsia="Calibri" w:hAnsi="David" w:cs="David"/>
                <w:color w:val="4F81BD"/>
                <w:kern w:val="24"/>
              </w:rPr>
              <w:t>-1.0</w:t>
            </w:r>
          </w:p>
        </w:tc>
        <w:tc>
          <w:tcPr>
            <w:tcW w:w="136" w:type="dxa"/>
            <w:tcBorders>
              <w:top w:val="nil"/>
              <w:left w:val="nil"/>
              <w:bottom w:val="nil"/>
              <w:right w:val="nil"/>
            </w:tcBorders>
            <w:shd w:val="clear" w:color="auto" w:fill="auto"/>
            <w:noWrap/>
            <w:vAlign w:val="center"/>
            <w:hideMark/>
          </w:tcPr>
          <w:p w:rsidR="00D265DA" w:rsidRPr="007B4DA1" w:rsidRDefault="00D265DA" w:rsidP="00D265DA">
            <w:pPr>
              <w:jc w:val="center"/>
              <w:rPr>
                <w:rFonts w:ascii="David" w:hAnsi="David" w:cs="David"/>
                <w:sz w:val="24"/>
                <w:szCs w:val="24"/>
                <w:rtl/>
              </w:rPr>
            </w:pPr>
          </w:p>
        </w:tc>
        <w:tc>
          <w:tcPr>
            <w:tcW w:w="708" w:type="dxa"/>
            <w:tcBorders>
              <w:top w:val="nil"/>
              <w:left w:val="single" w:sz="8" w:space="0" w:color="FFFFFF"/>
              <w:bottom w:val="nil"/>
              <w:right w:val="nil"/>
            </w:tcBorders>
            <w:shd w:val="clear" w:color="auto" w:fill="auto"/>
            <w:vAlign w:val="center"/>
            <w:hideMark/>
          </w:tcPr>
          <w:p w:rsidR="00D265DA" w:rsidRPr="007B4DA1" w:rsidRDefault="00D265DA" w:rsidP="00D265DA">
            <w:pPr>
              <w:pStyle w:val="NormalWeb"/>
              <w:bidi/>
              <w:spacing w:before="0" w:beforeAutospacing="0" w:after="0" w:afterAutospacing="0"/>
              <w:jc w:val="center"/>
              <w:textAlignment w:val="bottom"/>
              <w:rPr>
                <w:rFonts w:ascii="David" w:hAnsi="David" w:cs="David"/>
              </w:rPr>
            </w:pPr>
            <w:r w:rsidRPr="007B4DA1">
              <w:rPr>
                <w:rFonts w:ascii="David" w:hAnsi="David" w:cs="David"/>
                <w:b/>
                <w:bCs/>
                <w:color w:val="000000" w:themeColor="text1"/>
                <w:kern w:val="24"/>
                <w:rtl/>
              </w:rPr>
              <w:t>4.0</w:t>
            </w:r>
          </w:p>
        </w:tc>
        <w:tc>
          <w:tcPr>
            <w:tcW w:w="684" w:type="dxa"/>
            <w:tcBorders>
              <w:top w:val="nil"/>
              <w:left w:val="nil"/>
              <w:bottom w:val="nil"/>
              <w:right w:val="single" w:sz="8" w:space="0" w:color="FFFFFF"/>
            </w:tcBorders>
            <w:shd w:val="clear" w:color="auto" w:fill="auto"/>
            <w:vAlign w:val="center"/>
            <w:hideMark/>
          </w:tcPr>
          <w:p w:rsidR="00D265DA" w:rsidRPr="007B4DA1" w:rsidRDefault="00D265DA" w:rsidP="00D265DA">
            <w:pPr>
              <w:pStyle w:val="NormalWeb"/>
              <w:bidi/>
              <w:spacing w:before="0" w:beforeAutospacing="0" w:after="0" w:afterAutospacing="0" w:line="256" w:lineRule="auto"/>
              <w:jc w:val="center"/>
              <w:rPr>
                <w:rFonts w:ascii="David" w:hAnsi="David" w:cs="David"/>
                <w:rtl/>
              </w:rPr>
            </w:pPr>
            <w:r w:rsidRPr="007B4DA1">
              <w:rPr>
                <w:rFonts w:ascii="David" w:eastAsia="Calibri" w:hAnsi="David" w:cs="David"/>
                <w:color w:val="4F81BD"/>
                <w:kern w:val="24"/>
                <w:rtl/>
              </w:rPr>
              <w:t>0.5</w:t>
            </w:r>
          </w:p>
        </w:tc>
        <w:tc>
          <w:tcPr>
            <w:tcW w:w="62" w:type="dxa"/>
            <w:tcBorders>
              <w:top w:val="nil"/>
              <w:left w:val="nil"/>
              <w:bottom w:val="nil"/>
              <w:right w:val="nil"/>
            </w:tcBorders>
            <w:shd w:val="clear" w:color="auto" w:fill="auto"/>
            <w:vAlign w:val="center"/>
          </w:tcPr>
          <w:p w:rsidR="00D265DA" w:rsidRPr="007B4DA1" w:rsidRDefault="00D265DA" w:rsidP="00D265DA">
            <w:pPr>
              <w:pStyle w:val="NormalWeb"/>
              <w:bidi/>
              <w:spacing w:before="0" w:beforeAutospacing="0" w:after="0" w:afterAutospacing="0" w:line="256" w:lineRule="auto"/>
              <w:jc w:val="center"/>
              <w:rPr>
                <w:rFonts w:ascii="David" w:hAnsi="David" w:cs="David"/>
                <w:rtl/>
              </w:rPr>
            </w:pPr>
          </w:p>
        </w:tc>
        <w:tc>
          <w:tcPr>
            <w:tcW w:w="643" w:type="dxa"/>
            <w:tcBorders>
              <w:top w:val="nil"/>
              <w:left w:val="nil"/>
              <w:bottom w:val="nil"/>
              <w:right w:val="nil"/>
            </w:tcBorders>
            <w:shd w:val="clear" w:color="auto" w:fill="auto"/>
            <w:vAlign w:val="center"/>
          </w:tcPr>
          <w:p w:rsidR="00D265DA" w:rsidRPr="007B4DA1" w:rsidRDefault="00D265DA" w:rsidP="00D265DA">
            <w:pPr>
              <w:pStyle w:val="NormalWeb"/>
              <w:bidi/>
              <w:spacing w:before="0" w:beforeAutospacing="0" w:after="0" w:afterAutospacing="0"/>
              <w:jc w:val="center"/>
              <w:textAlignment w:val="bottom"/>
              <w:rPr>
                <w:rFonts w:ascii="David" w:hAnsi="David" w:cs="David"/>
                <w:rtl/>
              </w:rPr>
            </w:pPr>
            <w:r w:rsidRPr="007B4DA1">
              <w:rPr>
                <w:rFonts w:ascii="David" w:hAnsi="David" w:cs="David"/>
                <w:b/>
                <w:bCs/>
                <w:color w:val="000000" w:themeColor="text1"/>
                <w:kern w:val="24"/>
                <w:rtl/>
              </w:rPr>
              <w:t>4.5</w:t>
            </w:r>
          </w:p>
        </w:tc>
      </w:tr>
      <w:tr w:rsidR="00D265DA" w:rsidRPr="007B4DA1" w:rsidTr="00D265DA">
        <w:trPr>
          <w:trHeight w:val="285"/>
        </w:trPr>
        <w:tc>
          <w:tcPr>
            <w:tcW w:w="3625" w:type="dxa"/>
            <w:tcBorders>
              <w:top w:val="nil"/>
              <w:left w:val="nil"/>
              <w:bottom w:val="nil"/>
              <w:right w:val="nil"/>
            </w:tcBorders>
            <w:shd w:val="clear" w:color="auto" w:fill="auto"/>
            <w:vAlign w:val="center"/>
            <w:hideMark/>
          </w:tcPr>
          <w:p w:rsidR="00D265DA" w:rsidRPr="007B4DA1" w:rsidRDefault="00D265DA" w:rsidP="00D265DA">
            <w:pPr>
              <w:spacing w:after="0" w:line="240" w:lineRule="auto"/>
              <w:jc w:val="both"/>
              <w:rPr>
                <w:rFonts w:ascii="David" w:eastAsia="Times New Roman" w:hAnsi="David" w:cs="David"/>
                <w:color w:val="000000"/>
                <w:sz w:val="24"/>
                <w:szCs w:val="24"/>
              </w:rPr>
            </w:pPr>
            <w:r w:rsidRPr="007B4DA1">
              <w:rPr>
                <w:rFonts w:ascii="David" w:eastAsia="Calibri" w:hAnsi="David" w:cs="David"/>
                <w:color w:val="000000"/>
                <w:sz w:val="24"/>
                <w:szCs w:val="24"/>
                <w:rtl/>
              </w:rPr>
              <w:t xml:space="preserve">השקעה בנכסים קבועים (ללא </w:t>
            </w:r>
            <w:proofErr w:type="spellStart"/>
            <w:r w:rsidRPr="007B4DA1">
              <w:rPr>
                <w:rFonts w:ascii="David" w:eastAsia="Calibri" w:hAnsi="David" w:cs="David"/>
                <w:color w:val="000000"/>
                <w:sz w:val="24"/>
                <w:szCs w:val="24"/>
                <w:rtl/>
              </w:rPr>
              <w:t>אוניות</w:t>
            </w:r>
            <w:proofErr w:type="spellEnd"/>
            <w:r w:rsidRPr="007B4DA1">
              <w:rPr>
                <w:rFonts w:ascii="David" w:eastAsia="Calibri" w:hAnsi="David" w:cs="David"/>
                <w:color w:val="000000"/>
                <w:sz w:val="24"/>
                <w:szCs w:val="24"/>
                <w:rtl/>
              </w:rPr>
              <w:t xml:space="preserve"> ומטוסים)</w:t>
            </w:r>
          </w:p>
        </w:tc>
        <w:tc>
          <w:tcPr>
            <w:tcW w:w="709" w:type="dxa"/>
            <w:tcBorders>
              <w:top w:val="nil"/>
              <w:left w:val="nil"/>
              <w:bottom w:val="nil"/>
              <w:right w:val="nil"/>
            </w:tcBorders>
            <w:shd w:val="clear" w:color="auto" w:fill="D9D9D9"/>
            <w:noWrap/>
            <w:vAlign w:val="center"/>
            <w:hideMark/>
          </w:tcPr>
          <w:p w:rsidR="00D265DA" w:rsidRPr="007B4DA1" w:rsidRDefault="00D265DA" w:rsidP="00D265DA">
            <w:pPr>
              <w:pStyle w:val="NormalWeb"/>
              <w:bidi/>
              <w:spacing w:before="0" w:beforeAutospacing="0" w:after="0" w:afterAutospacing="0"/>
              <w:jc w:val="center"/>
              <w:textAlignment w:val="bottom"/>
              <w:rPr>
                <w:rFonts w:ascii="David" w:hAnsi="David" w:cs="David"/>
                <w:rtl/>
              </w:rPr>
            </w:pPr>
            <w:r w:rsidRPr="007B4DA1">
              <w:rPr>
                <w:rFonts w:ascii="David" w:hAnsi="David" w:cs="David"/>
                <w:color w:val="000000" w:themeColor="text1"/>
                <w:kern w:val="24"/>
                <w:rtl/>
              </w:rPr>
              <w:t>12.2</w:t>
            </w:r>
          </w:p>
        </w:tc>
        <w:tc>
          <w:tcPr>
            <w:tcW w:w="79" w:type="dxa"/>
            <w:tcBorders>
              <w:top w:val="nil"/>
              <w:left w:val="nil"/>
              <w:bottom w:val="nil"/>
              <w:right w:val="nil"/>
            </w:tcBorders>
            <w:shd w:val="clear" w:color="auto" w:fill="auto"/>
            <w:noWrap/>
            <w:vAlign w:val="center"/>
            <w:hideMark/>
          </w:tcPr>
          <w:p w:rsidR="00D265DA" w:rsidRPr="007B4DA1" w:rsidRDefault="00D265DA" w:rsidP="00D265DA">
            <w:pPr>
              <w:jc w:val="center"/>
              <w:rPr>
                <w:rFonts w:ascii="David" w:hAnsi="David" w:cs="David"/>
                <w:sz w:val="24"/>
                <w:szCs w:val="24"/>
                <w:rtl/>
              </w:rPr>
            </w:pPr>
          </w:p>
        </w:tc>
        <w:tc>
          <w:tcPr>
            <w:tcW w:w="696" w:type="dxa"/>
            <w:tcBorders>
              <w:top w:val="nil"/>
              <w:left w:val="nil"/>
              <w:bottom w:val="nil"/>
              <w:right w:val="nil"/>
            </w:tcBorders>
            <w:shd w:val="clear" w:color="auto" w:fill="auto"/>
            <w:noWrap/>
            <w:vAlign w:val="center"/>
            <w:hideMark/>
          </w:tcPr>
          <w:p w:rsidR="00D265DA" w:rsidRPr="007B4DA1" w:rsidRDefault="00D265DA" w:rsidP="00D265DA">
            <w:pPr>
              <w:pStyle w:val="NormalWeb"/>
              <w:bidi/>
              <w:spacing w:before="0" w:beforeAutospacing="0" w:after="0" w:afterAutospacing="0"/>
              <w:jc w:val="center"/>
              <w:textAlignment w:val="bottom"/>
              <w:rPr>
                <w:rFonts w:ascii="David" w:hAnsi="David" w:cs="David"/>
              </w:rPr>
            </w:pPr>
            <w:r w:rsidRPr="007B4DA1">
              <w:rPr>
                <w:rFonts w:ascii="David" w:hAnsi="David" w:cs="David"/>
                <w:b/>
                <w:bCs/>
                <w:color w:val="000000" w:themeColor="text1"/>
                <w:kern w:val="24"/>
                <w:rtl/>
              </w:rPr>
              <w:t>9.0</w:t>
            </w:r>
          </w:p>
        </w:tc>
        <w:tc>
          <w:tcPr>
            <w:tcW w:w="715" w:type="dxa"/>
            <w:tcBorders>
              <w:top w:val="nil"/>
              <w:left w:val="nil"/>
              <w:bottom w:val="nil"/>
              <w:right w:val="nil"/>
            </w:tcBorders>
            <w:shd w:val="clear" w:color="auto" w:fill="auto"/>
            <w:noWrap/>
            <w:vAlign w:val="center"/>
            <w:hideMark/>
          </w:tcPr>
          <w:p w:rsidR="00D265DA" w:rsidRPr="007B4DA1" w:rsidRDefault="00D265DA" w:rsidP="00D265DA">
            <w:pPr>
              <w:pStyle w:val="NormalWeb"/>
              <w:bidi/>
              <w:spacing w:before="0" w:beforeAutospacing="0" w:after="0" w:afterAutospacing="0" w:line="256" w:lineRule="auto"/>
              <w:jc w:val="center"/>
              <w:rPr>
                <w:rFonts w:ascii="David" w:hAnsi="David" w:cs="David"/>
                <w:rtl/>
              </w:rPr>
            </w:pPr>
            <w:r w:rsidRPr="007B4DA1">
              <w:rPr>
                <w:rFonts w:ascii="David" w:hAnsi="David" w:cs="David"/>
                <w:color w:val="4F81BD"/>
                <w:kern w:val="24"/>
              </w:rPr>
              <w:t>1.0</w:t>
            </w:r>
          </w:p>
        </w:tc>
        <w:tc>
          <w:tcPr>
            <w:tcW w:w="136" w:type="dxa"/>
            <w:tcBorders>
              <w:top w:val="nil"/>
              <w:left w:val="nil"/>
              <w:bottom w:val="nil"/>
              <w:right w:val="nil"/>
            </w:tcBorders>
            <w:shd w:val="clear" w:color="auto" w:fill="auto"/>
            <w:noWrap/>
            <w:vAlign w:val="center"/>
            <w:hideMark/>
          </w:tcPr>
          <w:p w:rsidR="00D265DA" w:rsidRPr="007B4DA1" w:rsidRDefault="00D265DA" w:rsidP="00D265DA">
            <w:pPr>
              <w:jc w:val="center"/>
              <w:rPr>
                <w:rFonts w:ascii="David" w:hAnsi="David" w:cs="David"/>
                <w:sz w:val="24"/>
                <w:szCs w:val="24"/>
                <w:rtl/>
              </w:rPr>
            </w:pPr>
          </w:p>
        </w:tc>
        <w:tc>
          <w:tcPr>
            <w:tcW w:w="708" w:type="dxa"/>
            <w:tcBorders>
              <w:top w:val="nil"/>
              <w:left w:val="single" w:sz="8" w:space="0" w:color="FFFFFF"/>
              <w:bottom w:val="nil"/>
              <w:right w:val="nil"/>
            </w:tcBorders>
            <w:shd w:val="clear" w:color="auto" w:fill="auto"/>
            <w:vAlign w:val="center"/>
            <w:hideMark/>
          </w:tcPr>
          <w:p w:rsidR="00D265DA" w:rsidRPr="007B4DA1" w:rsidRDefault="00D265DA" w:rsidP="00D265DA">
            <w:pPr>
              <w:pStyle w:val="NormalWeb"/>
              <w:bidi/>
              <w:spacing w:before="0" w:beforeAutospacing="0" w:after="0" w:afterAutospacing="0"/>
              <w:jc w:val="center"/>
              <w:textAlignment w:val="bottom"/>
              <w:rPr>
                <w:rFonts w:ascii="David" w:hAnsi="David" w:cs="David"/>
              </w:rPr>
            </w:pPr>
            <w:r w:rsidRPr="007B4DA1">
              <w:rPr>
                <w:rFonts w:ascii="David" w:hAnsi="David" w:cs="David"/>
                <w:b/>
                <w:bCs/>
                <w:color w:val="000000" w:themeColor="text1"/>
                <w:kern w:val="24"/>
                <w:rtl/>
              </w:rPr>
              <w:t>3.0</w:t>
            </w:r>
          </w:p>
        </w:tc>
        <w:tc>
          <w:tcPr>
            <w:tcW w:w="684" w:type="dxa"/>
            <w:tcBorders>
              <w:top w:val="nil"/>
              <w:left w:val="nil"/>
              <w:bottom w:val="nil"/>
              <w:right w:val="single" w:sz="8" w:space="0" w:color="FFFFFF"/>
            </w:tcBorders>
            <w:shd w:val="clear" w:color="auto" w:fill="auto"/>
            <w:vAlign w:val="center"/>
            <w:hideMark/>
          </w:tcPr>
          <w:p w:rsidR="00D265DA" w:rsidRPr="007B4DA1" w:rsidRDefault="00D265DA" w:rsidP="00D265DA">
            <w:pPr>
              <w:pStyle w:val="NormalWeb"/>
              <w:bidi/>
              <w:spacing w:before="0" w:beforeAutospacing="0" w:after="0" w:afterAutospacing="0" w:line="256" w:lineRule="auto"/>
              <w:jc w:val="center"/>
              <w:rPr>
                <w:rFonts w:ascii="David" w:hAnsi="David" w:cs="David"/>
                <w:rtl/>
              </w:rPr>
            </w:pPr>
            <w:r w:rsidRPr="007B4DA1">
              <w:rPr>
                <w:rFonts w:ascii="David" w:hAnsi="David" w:cs="David"/>
                <w:color w:val="4F81BD"/>
                <w:kern w:val="24"/>
                <w:rtl/>
              </w:rPr>
              <w:t>0.0</w:t>
            </w:r>
          </w:p>
        </w:tc>
        <w:tc>
          <w:tcPr>
            <w:tcW w:w="62" w:type="dxa"/>
            <w:tcBorders>
              <w:top w:val="nil"/>
              <w:left w:val="nil"/>
              <w:bottom w:val="nil"/>
              <w:right w:val="nil"/>
            </w:tcBorders>
            <w:shd w:val="clear" w:color="auto" w:fill="auto"/>
            <w:vAlign w:val="center"/>
          </w:tcPr>
          <w:p w:rsidR="00D265DA" w:rsidRPr="007B4DA1" w:rsidRDefault="00D265DA" w:rsidP="00D265DA">
            <w:pPr>
              <w:pStyle w:val="NormalWeb"/>
              <w:bidi/>
              <w:spacing w:before="0" w:beforeAutospacing="0" w:after="0" w:afterAutospacing="0" w:line="256" w:lineRule="auto"/>
              <w:jc w:val="center"/>
              <w:rPr>
                <w:rFonts w:ascii="David" w:hAnsi="David" w:cs="David"/>
                <w:rtl/>
              </w:rPr>
            </w:pPr>
          </w:p>
        </w:tc>
        <w:tc>
          <w:tcPr>
            <w:tcW w:w="643" w:type="dxa"/>
            <w:tcBorders>
              <w:top w:val="nil"/>
              <w:left w:val="nil"/>
              <w:bottom w:val="nil"/>
              <w:right w:val="nil"/>
            </w:tcBorders>
            <w:shd w:val="clear" w:color="auto" w:fill="auto"/>
            <w:vAlign w:val="center"/>
          </w:tcPr>
          <w:p w:rsidR="00D265DA" w:rsidRPr="007B4DA1" w:rsidRDefault="00D265DA" w:rsidP="00D265DA">
            <w:pPr>
              <w:pStyle w:val="NormalWeb"/>
              <w:bidi/>
              <w:spacing w:before="0" w:beforeAutospacing="0" w:after="0" w:afterAutospacing="0"/>
              <w:jc w:val="center"/>
              <w:textAlignment w:val="bottom"/>
              <w:rPr>
                <w:rFonts w:ascii="David" w:hAnsi="David" w:cs="David"/>
                <w:rtl/>
              </w:rPr>
            </w:pPr>
            <w:r w:rsidRPr="007B4DA1">
              <w:rPr>
                <w:rFonts w:ascii="David" w:hAnsi="David" w:cs="David"/>
                <w:b/>
                <w:bCs/>
                <w:color w:val="000000" w:themeColor="text1"/>
                <w:kern w:val="24"/>
                <w:rtl/>
              </w:rPr>
              <w:t>4.0</w:t>
            </w:r>
          </w:p>
        </w:tc>
      </w:tr>
      <w:tr w:rsidR="00D265DA" w:rsidRPr="007B4DA1" w:rsidTr="00D265DA">
        <w:trPr>
          <w:trHeight w:val="285"/>
        </w:trPr>
        <w:tc>
          <w:tcPr>
            <w:tcW w:w="3625" w:type="dxa"/>
            <w:tcBorders>
              <w:top w:val="nil"/>
              <w:left w:val="nil"/>
              <w:bottom w:val="nil"/>
              <w:right w:val="nil"/>
            </w:tcBorders>
            <w:shd w:val="clear" w:color="auto" w:fill="auto"/>
            <w:vAlign w:val="center"/>
            <w:hideMark/>
          </w:tcPr>
          <w:p w:rsidR="00D265DA" w:rsidRPr="007B4DA1" w:rsidRDefault="00D265DA" w:rsidP="00D265DA">
            <w:pPr>
              <w:spacing w:after="0" w:line="240" w:lineRule="auto"/>
              <w:jc w:val="both"/>
              <w:rPr>
                <w:rFonts w:ascii="David" w:eastAsia="Times New Roman" w:hAnsi="David" w:cs="David"/>
                <w:color w:val="000000"/>
                <w:sz w:val="24"/>
                <w:szCs w:val="24"/>
              </w:rPr>
            </w:pPr>
            <w:r w:rsidRPr="007B4DA1">
              <w:rPr>
                <w:rFonts w:ascii="David" w:eastAsia="Calibri" w:hAnsi="David" w:cs="David"/>
                <w:color w:val="000000"/>
                <w:sz w:val="24"/>
                <w:szCs w:val="24"/>
                <w:rtl/>
              </w:rPr>
              <w:t>צריכה ציבורית (ללא יבוא ביטחוני)</w:t>
            </w:r>
          </w:p>
        </w:tc>
        <w:tc>
          <w:tcPr>
            <w:tcW w:w="709" w:type="dxa"/>
            <w:tcBorders>
              <w:top w:val="nil"/>
              <w:left w:val="nil"/>
              <w:bottom w:val="nil"/>
              <w:right w:val="nil"/>
            </w:tcBorders>
            <w:shd w:val="clear" w:color="auto" w:fill="D9D9D9"/>
            <w:noWrap/>
            <w:vAlign w:val="center"/>
            <w:hideMark/>
          </w:tcPr>
          <w:p w:rsidR="00D265DA" w:rsidRPr="007B4DA1" w:rsidRDefault="00D265DA" w:rsidP="00D265DA">
            <w:pPr>
              <w:pStyle w:val="NormalWeb"/>
              <w:bidi/>
              <w:spacing w:before="0" w:beforeAutospacing="0" w:after="0" w:afterAutospacing="0"/>
              <w:jc w:val="center"/>
              <w:textAlignment w:val="bottom"/>
              <w:rPr>
                <w:rFonts w:ascii="David" w:hAnsi="David" w:cs="David"/>
                <w:rtl/>
              </w:rPr>
            </w:pPr>
            <w:r w:rsidRPr="007B4DA1">
              <w:rPr>
                <w:rFonts w:ascii="David" w:hAnsi="David" w:cs="David"/>
                <w:color w:val="000000" w:themeColor="text1"/>
                <w:kern w:val="24"/>
                <w:rtl/>
              </w:rPr>
              <w:t>3.7</w:t>
            </w:r>
          </w:p>
        </w:tc>
        <w:tc>
          <w:tcPr>
            <w:tcW w:w="79" w:type="dxa"/>
            <w:tcBorders>
              <w:top w:val="nil"/>
              <w:left w:val="nil"/>
              <w:bottom w:val="nil"/>
              <w:right w:val="nil"/>
            </w:tcBorders>
            <w:shd w:val="clear" w:color="auto" w:fill="auto"/>
            <w:noWrap/>
            <w:vAlign w:val="center"/>
            <w:hideMark/>
          </w:tcPr>
          <w:p w:rsidR="00D265DA" w:rsidRPr="007B4DA1" w:rsidRDefault="00D265DA" w:rsidP="00D265DA">
            <w:pPr>
              <w:jc w:val="center"/>
              <w:rPr>
                <w:rFonts w:ascii="David" w:hAnsi="David" w:cs="David"/>
                <w:sz w:val="24"/>
                <w:szCs w:val="24"/>
                <w:rtl/>
              </w:rPr>
            </w:pPr>
          </w:p>
        </w:tc>
        <w:tc>
          <w:tcPr>
            <w:tcW w:w="696" w:type="dxa"/>
            <w:tcBorders>
              <w:top w:val="nil"/>
              <w:left w:val="nil"/>
              <w:bottom w:val="nil"/>
              <w:right w:val="nil"/>
            </w:tcBorders>
            <w:shd w:val="clear" w:color="auto" w:fill="auto"/>
            <w:noWrap/>
            <w:vAlign w:val="center"/>
            <w:hideMark/>
          </w:tcPr>
          <w:p w:rsidR="00D265DA" w:rsidRPr="007B4DA1" w:rsidRDefault="00D265DA" w:rsidP="00D265DA">
            <w:pPr>
              <w:pStyle w:val="NormalWeb"/>
              <w:bidi/>
              <w:spacing w:before="0" w:beforeAutospacing="0" w:after="0" w:afterAutospacing="0"/>
              <w:jc w:val="center"/>
              <w:textAlignment w:val="bottom"/>
              <w:rPr>
                <w:rFonts w:ascii="David" w:hAnsi="David" w:cs="David"/>
              </w:rPr>
            </w:pPr>
            <w:r w:rsidRPr="007B4DA1">
              <w:rPr>
                <w:rFonts w:ascii="David" w:hAnsi="David" w:cs="David"/>
                <w:b/>
                <w:bCs/>
                <w:color w:val="000000" w:themeColor="text1"/>
                <w:kern w:val="24"/>
                <w:rtl/>
              </w:rPr>
              <w:t>1.0</w:t>
            </w:r>
          </w:p>
        </w:tc>
        <w:tc>
          <w:tcPr>
            <w:tcW w:w="715" w:type="dxa"/>
            <w:tcBorders>
              <w:top w:val="nil"/>
              <w:left w:val="nil"/>
              <w:bottom w:val="nil"/>
              <w:right w:val="nil"/>
            </w:tcBorders>
            <w:shd w:val="clear" w:color="auto" w:fill="auto"/>
            <w:noWrap/>
            <w:vAlign w:val="center"/>
            <w:hideMark/>
          </w:tcPr>
          <w:p w:rsidR="00D265DA" w:rsidRPr="007B4DA1" w:rsidRDefault="00D265DA" w:rsidP="00D265DA">
            <w:pPr>
              <w:pStyle w:val="NormalWeb"/>
              <w:bidi/>
              <w:spacing w:before="0" w:beforeAutospacing="0" w:after="0" w:afterAutospacing="0" w:line="256" w:lineRule="auto"/>
              <w:jc w:val="center"/>
              <w:rPr>
                <w:rFonts w:ascii="David" w:hAnsi="David" w:cs="David"/>
                <w:rtl/>
              </w:rPr>
            </w:pPr>
            <w:r w:rsidRPr="007B4DA1">
              <w:rPr>
                <w:rFonts w:ascii="David" w:eastAsia="Calibri" w:hAnsi="David" w:cs="David"/>
                <w:color w:val="4F81BD"/>
                <w:kern w:val="24"/>
                <w:rtl/>
              </w:rPr>
              <w:t>3.0-</w:t>
            </w:r>
          </w:p>
        </w:tc>
        <w:tc>
          <w:tcPr>
            <w:tcW w:w="136" w:type="dxa"/>
            <w:tcBorders>
              <w:top w:val="nil"/>
              <w:left w:val="nil"/>
              <w:bottom w:val="nil"/>
              <w:right w:val="nil"/>
            </w:tcBorders>
            <w:shd w:val="clear" w:color="auto" w:fill="auto"/>
            <w:noWrap/>
            <w:vAlign w:val="center"/>
            <w:hideMark/>
          </w:tcPr>
          <w:p w:rsidR="00D265DA" w:rsidRPr="007B4DA1" w:rsidRDefault="00D265DA" w:rsidP="00D265DA">
            <w:pPr>
              <w:jc w:val="center"/>
              <w:rPr>
                <w:rFonts w:ascii="David" w:hAnsi="David" w:cs="David"/>
                <w:sz w:val="24"/>
                <w:szCs w:val="24"/>
                <w:rtl/>
              </w:rPr>
            </w:pPr>
          </w:p>
        </w:tc>
        <w:tc>
          <w:tcPr>
            <w:tcW w:w="708" w:type="dxa"/>
            <w:tcBorders>
              <w:top w:val="nil"/>
              <w:left w:val="single" w:sz="8" w:space="0" w:color="FFFFFF"/>
              <w:bottom w:val="nil"/>
              <w:right w:val="nil"/>
            </w:tcBorders>
            <w:shd w:val="clear" w:color="auto" w:fill="auto"/>
            <w:vAlign w:val="center"/>
            <w:hideMark/>
          </w:tcPr>
          <w:p w:rsidR="00D265DA" w:rsidRPr="007B4DA1" w:rsidRDefault="00D265DA" w:rsidP="00D265DA">
            <w:pPr>
              <w:pStyle w:val="NormalWeb"/>
              <w:bidi/>
              <w:spacing w:before="0" w:beforeAutospacing="0" w:after="0" w:afterAutospacing="0"/>
              <w:jc w:val="center"/>
              <w:textAlignment w:val="bottom"/>
              <w:rPr>
                <w:rFonts w:ascii="David" w:hAnsi="David" w:cs="David"/>
              </w:rPr>
            </w:pPr>
            <w:r w:rsidRPr="007B4DA1">
              <w:rPr>
                <w:rFonts w:ascii="David" w:hAnsi="David" w:cs="David"/>
                <w:b/>
                <w:bCs/>
                <w:color w:val="000000" w:themeColor="text1"/>
                <w:kern w:val="24"/>
                <w:rtl/>
              </w:rPr>
              <w:t>3.5</w:t>
            </w:r>
          </w:p>
        </w:tc>
        <w:tc>
          <w:tcPr>
            <w:tcW w:w="684" w:type="dxa"/>
            <w:tcBorders>
              <w:top w:val="nil"/>
              <w:left w:val="nil"/>
              <w:bottom w:val="nil"/>
              <w:right w:val="single" w:sz="8" w:space="0" w:color="FFFFFF"/>
            </w:tcBorders>
            <w:shd w:val="clear" w:color="auto" w:fill="auto"/>
            <w:vAlign w:val="center"/>
            <w:hideMark/>
          </w:tcPr>
          <w:p w:rsidR="00D265DA" w:rsidRPr="007B4DA1" w:rsidRDefault="00D265DA" w:rsidP="00D265DA">
            <w:pPr>
              <w:pStyle w:val="NormalWeb"/>
              <w:bidi/>
              <w:spacing w:before="0" w:beforeAutospacing="0" w:after="0" w:afterAutospacing="0" w:line="256" w:lineRule="auto"/>
              <w:jc w:val="center"/>
              <w:rPr>
                <w:rFonts w:ascii="David" w:hAnsi="David" w:cs="David"/>
                <w:rtl/>
              </w:rPr>
            </w:pPr>
            <w:r w:rsidRPr="007B4DA1">
              <w:rPr>
                <w:rFonts w:ascii="David" w:hAnsi="David" w:cs="David"/>
                <w:color w:val="4F81BD"/>
                <w:kern w:val="24"/>
              </w:rPr>
              <w:t>-0.5</w:t>
            </w:r>
          </w:p>
        </w:tc>
        <w:tc>
          <w:tcPr>
            <w:tcW w:w="62" w:type="dxa"/>
            <w:tcBorders>
              <w:top w:val="nil"/>
              <w:left w:val="nil"/>
              <w:bottom w:val="nil"/>
              <w:right w:val="nil"/>
            </w:tcBorders>
            <w:shd w:val="clear" w:color="auto" w:fill="auto"/>
            <w:vAlign w:val="center"/>
          </w:tcPr>
          <w:p w:rsidR="00D265DA" w:rsidRPr="007B4DA1" w:rsidRDefault="00D265DA" w:rsidP="00D265DA">
            <w:pPr>
              <w:pStyle w:val="NormalWeb"/>
              <w:bidi/>
              <w:spacing w:before="0" w:beforeAutospacing="0" w:after="0" w:afterAutospacing="0" w:line="256" w:lineRule="auto"/>
              <w:jc w:val="center"/>
              <w:rPr>
                <w:rFonts w:ascii="David" w:hAnsi="David" w:cs="David"/>
                <w:rtl/>
              </w:rPr>
            </w:pPr>
          </w:p>
        </w:tc>
        <w:tc>
          <w:tcPr>
            <w:tcW w:w="643" w:type="dxa"/>
            <w:tcBorders>
              <w:top w:val="nil"/>
              <w:left w:val="nil"/>
              <w:bottom w:val="nil"/>
              <w:right w:val="nil"/>
            </w:tcBorders>
            <w:shd w:val="clear" w:color="auto" w:fill="auto"/>
            <w:vAlign w:val="center"/>
          </w:tcPr>
          <w:p w:rsidR="00D265DA" w:rsidRPr="007B4DA1" w:rsidRDefault="00D265DA" w:rsidP="00D265DA">
            <w:pPr>
              <w:pStyle w:val="NormalWeb"/>
              <w:bidi/>
              <w:spacing w:before="0" w:beforeAutospacing="0" w:after="0" w:afterAutospacing="0"/>
              <w:jc w:val="center"/>
              <w:textAlignment w:val="bottom"/>
              <w:rPr>
                <w:rFonts w:ascii="David" w:hAnsi="David" w:cs="David"/>
                <w:rtl/>
              </w:rPr>
            </w:pPr>
            <w:r w:rsidRPr="007B4DA1">
              <w:rPr>
                <w:rFonts w:ascii="David" w:hAnsi="David" w:cs="David"/>
                <w:b/>
                <w:bCs/>
                <w:color w:val="000000" w:themeColor="text1"/>
                <w:kern w:val="24"/>
                <w:rtl/>
              </w:rPr>
              <w:t>3.0</w:t>
            </w:r>
          </w:p>
        </w:tc>
      </w:tr>
      <w:tr w:rsidR="00D265DA" w:rsidRPr="007B4DA1" w:rsidTr="00D265DA">
        <w:trPr>
          <w:trHeight w:val="285"/>
        </w:trPr>
        <w:tc>
          <w:tcPr>
            <w:tcW w:w="3625" w:type="dxa"/>
            <w:tcBorders>
              <w:top w:val="nil"/>
              <w:left w:val="nil"/>
              <w:bottom w:val="nil"/>
              <w:right w:val="nil"/>
            </w:tcBorders>
            <w:shd w:val="clear" w:color="auto" w:fill="auto"/>
            <w:vAlign w:val="center"/>
            <w:hideMark/>
          </w:tcPr>
          <w:p w:rsidR="00D265DA" w:rsidRPr="007B4DA1" w:rsidRDefault="00D265DA" w:rsidP="00D265DA">
            <w:pPr>
              <w:spacing w:after="0" w:line="240" w:lineRule="auto"/>
              <w:jc w:val="both"/>
              <w:rPr>
                <w:rFonts w:ascii="David" w:eastAsia="Times New Roman" w:hAnsi="David" w:cs="David"/>
                <w:color w:val="000000"/>
                <w:sz w:val="24"/>
                <w:szCs w:val="24"/>
              </w:rPr>
            </w:pPr>
            <w:r w:rsidRPr="007B4DA1">
              <w:rPr>
                <w:rFonts w:ascii="David" w:eastAsia="Calibri" w:hAnsi="David" w:cs="David"/>
                <w:color w:val="000000"/>
                <w:sz w:val="24"/>
                <w:szCs w:val="24"/>
                <w:rtl/>
              </w:rPr>
              <w:t>יצוא (ללא יהלומים והזנק)</w:t>
            </w:r>
          </w:p>
        </w:tc>
        <w:tc>
          <w:tcPr>
            <w:tcW w:w="709" w:type="dxa"/>
            <w:tcBorders>
              <w:top w:val="nil"/>
              <w:left w:val="nil"/>
              <w:bottom w:val="nil"/>
              <w:right w:val="nil"/>
            </w:tcBorders>
            <w:shd w:val="clear" w:color="auto" w:fill="D9D9D9"/>
            <w:noWrap/>
            <w:vAlign w:val="center"/>
            <w:hideMark/>
          </w:tcPr>
          <w:p w:rsidR="00D265DA" w:rsidRPr="007B4DA1" w:rsidRDefault="00D265DA" w:rsidP="00D265DA">
            <w:pPr>
              <w:pStyle w:val="NormalWeb"/>
              <w:bidi/>
              <w:spacing w:before="0" w:beforeAutospacing="0" w:after="0" w:afterAutospacing="0"/>
              <w:jc w:val="center"/>
              <w:textAlignment w:val="bottom"/>
              <w:rPr>
                <w:rFonts w:ascii="David" w:hAnsi="David" w:cs="David"/>
                <w:rtl/>
              </w:rPr>
            </w:pPr>
            <w:r w:rsidRPr="007B4DA1">
              <w:rPr>
                <w:rFonts w:ascii="David" w:hAnsi="David" w:cs="David"/>
                <w:color w:val="000000" w:themeColor="text1"/>
                <w:kern w:val="24"/>
                <w:rtl/>
              </w:rPr>
              <w:t>11.8</w:t>
            </w:r>
          </w:p>
        </w:tc>
        <w:tc>
          <w:tcPr>
            <w:tcW w:w="79" w:type="dxa"/>
            <w:tcBorders>
              <w:top w:val="nil"/>
              <w:left w:val="nil"/>
              <w:bottom w:val="nil"/>
              <w:right w:val="nil"/>
            </w:tcBorders>
            <w:shd w:val="clear" w:color="auto" w:fill="auto"/>
            <w:noWrap/>
            <w:vAlign w:val="center"/>
            <w:hideMark/>
          </w:tcPr>
          <w:p w:rsidR="00D265DA" w:rsidRPr="007B4DA1" w:rsidRDefault="00D265DA" w:rsidP="00D265DA">
            <w:pPr>
              <w:jc w:val="center"/>
              <w:rPr>
                <w:rFonts w:ascii="David" w:hAnsi="David" w:cs="David"/>
                <w:sz w:val="24"/>
                <w:szCs w:val="24"/>
                <w:rtl/>
              </w:rPr>
            </w:pPr>
          </w:p>
        </w:tc>
        <w:tc>
          <w:tcPr>
            <w:tcW w:w="696" w:type="dxa"/>
            <w:tcBorders>
              <w:top w:val="nil"/>
              <w:left w:val="nil"/>
              <w:bottom w:val="nil"/>
              <w:right w:val="nil"/>
            </w:tcBorders>
            <w:shd w:val="clear" w:color="auto" w:fill="auto"/>
            <w:noWrap/>
            <w:vAlign w:val="center"/>
            <w:hideMark/>
          </w:tcPr>
          <w:p w:rsidR="00D265DA" w:rsidRPr="007B4DA1" w:rsidRDefault="00D265DA" w:rsidP="00D265DA">
            <w:pPr>
              <w:pStyle w:val="NormalWeb"/>
              <w:bidi/>
              <w:spacing w:before="0" w:beforeAutospacing="0" w:after="0" w:afterAutospacing="0"/>
              <w:jc w:val="center"/>
              <w:textAlignment w:val="bottom"/>
              <w:rPr>
                <w:rFonts w:ascii="David" w:hAnsi="David" w:cs="David"/>
              </w:rPr>
            </w:pPr>
            <w:r w:rsidRPr="007B4DA1">
              <w:rPr>
                <w:rFonts w:ascii="David" w:hAnsi="David" w:cs="David"/>
                <w:b/>
                <w:bCs/>
                <w:color w:val="000000" w:themeColor="text1"/>
                <w:kern w:val="24"/>
                <w:rtl/>
              </w:rPr>
              <w:t>10.5</w:t>
            </w:r>
          </w:p>
        </w:tc>
        <w:tc>
          <w:tcPr>
            <w:tcW w:w="715" w:type="dxa"/>
            <w:tcBorders>
              <w:top w:val="nil"/>
              <w:left w:val="nil"/>
              <w:bottom w:val="nil"/>
              <w:right w:val="nil"/>
            </w:tcBorders>
            <w:shd w:val="clear" w:color="auto" w:fill="auto"/>
            <w:noWrap/>
            <w:vAlign w:val="center"/>
            <w:hideMark/>
          </w:tcPr>
          <w:p w:rsidR="00D265DA" w:rsidRPr="007B4DA1" w:rsidRDefault="00D265DA" w:rsidP="00D265DA">
            <w:pPr>
              <w:pStyle w:val="NormalWeb"/>
              <w:bidi/>
              <w:spacing w:before="0" w:beforeAutospacing="0" w:after="0" w:afterAutospacing="0" w:line="256" w:lineRule="auto"/>
              <w:jc w:val="center"/>
              <w:rPr>
                <w:rFonts w:ascii="David" w:hAnsi="David" w:cs="David"/>
                <w:rtl/>
              </w:rPr>
            </w:pPr>
            <w:r w:rsidRPr="007B4DA1">
              <w:rPr>
                <w:rFonts w:ascii="David" w:hAnsi="David" w:cs="David"/>
                <w:color w:val="4F81BD"/>
                <w:kern w:val="24"/>
                <w:rtl/>
              </w:rPr>
              <w:t>2.5</w:t>
            </w:r>
          </w:p>
        </w:tc>
        <w:tc>
          <w:tcPr>
            <w:tcW w:w="136" w:type="dxa"/>
            <w:tcBorders>
              <w:top w:val="nil"/>
              <w:left w:val="nil"/>
              <w:bottom w:val="nil"/>
              <w:right w:val="nil"/>
            </w:tcBorders>
            <w:shd w:val="clear" w:color="auto" w:fill="auto"/>
            <w:noWrap/>
            <w:vAlign w:val="center"/>
            <w:hideMark/>
          </w:tcPr>
          <w:p w:rsidR="00D265DA" w:rsidRPr="007B4DA1" w:rsidRDefault="00D265DA" w:rsidP="00D265DA">
            <w:pPr>
              <w:jc w:val="center"/>
              <w:rPr>
                <w:rFonts w:ascii="David" w:hAnsi="David" w:cs="David"/>
                <w:sz w:val="24"/>
                <w:szCs w:val="24"/>
                <w:rtl/>
              </w:rPr>
            </w:pPr>
          </w:p>
        </w:tc>
        <w:tc>
          <w:tcPr>
            <w:tcW w:w="708" w:type="dxa"/>
            <w:tcBorders>
              <w:top w:val="nil"/>
              <w:left w:val="single" w:sz="8" w:space="0" w:color="FFFFFF"/>
              <w:bottom w:val="nil"/>
              <w:right w:val="nil"/>
            </w:tcBorders>
            <w:shd w:val="clear" w:color="auto" w:fill="auto"/>
            <w:vAlign w:val="center"/>
            <w:hideMark/>
          </w:tcPr>
          <w:p w:rsidR="00D265DA" w:rsidRPr="007B4DA1" w:rsidRDefault="00D265DA" w:rsidP="00D265DA">
            <w:pPr>
              <w:pStyle w:val="NormalWeb"/>
              <w:bidi/>
              <w:spacing w:before="0" w:beforeAutospacing="0" w:after="0" w:afterAutospacing="0"/>
              <w:jc w:val="center"/>
              <w:textAlignment w:val="bottom"/>
              <w:rPr>
                <w:rFonts w:ascii="David" w:hAnsi="David" w:cs="David"/>
              </w:rPr>
            </w:pPr>
            <w:r w:rsidRPr="007B4DA1">
              <w:rPr>
                <w:rFonts w:ascii="David" w:hAnsi="David" w:cs="David"/>
                <w:b/>
                <w:bCs/>
                <w:color w:val="000000" w:themeColor="text1"/>
                <w:kern w:val="24"/>
              </w:rPr>
              <w:t>2.0</w:t>
            </w:r>
          </w:p>
        </w:tc>
        <w:tc>
          <w:tcPr>
            <w:tcW w:w="684" w:type="dxa"/>
            <w:tcBorders>
              <w:top w:val="nil"/>
              <w:left w:val="nil"/>
              <w:bottom w:val="nil"/>
              <w:right w:val="single" w:sz="8" w:space="0" w:color="FFFFFF"/>
            </w:tcBorders>
            <w:shd w:val="clear" w:color="auto" w:fill="auto"/>
            <w:vAlign w:val="center"/>
            <w:hideMark/>
          </w:tcPr>
          <w:p w:rsidR="00D265DA" w:rsidRPr="007B4DA1" w:rsidRDefault="00D265DA" w:rsidP="00D265DA">
            <w:pPr>
              <w:pStyle w:val="NormalWeb"/>
              <w:bidi/>
              <w:spacing w:before="0" w:beforeAutospacing="0" w:after="0" w:afterAutospacing="0" w:line="256" w:lineRule="auto"/>
              <w:jc w:val="center"/>
              <w:rPr>
                <w:rFonts w:ascii="David" w:hAnsi="David" w:cs="David"/>
                <w:rtl/>
              </w:rPr>
            </w:pPr>
            <w:r w:rsidRPr="007B4DA1">
              <w:rPr>
                <w:rFonts w:ascii="David" w:hAnsi="David" w:cs="David"/>
                <w:color w:val="4F81BD"/>
                <w:kern w:val="24"/>
              </w:rPr>
              <w:t>-0.5</w:t>
            </w:r>
          </w:p>
        </w:tc>
        <w:tc>
          <w:tcPr>
            <w:tcW w:w="62" w:type="dxa"/>
            <w:tcBorders>
              <w:top w:val="nil"/>
              <w:left w:val="nil"/>
              <w:bottom w:val="nil"/>
              <w:right w:val="nil"/>
            </w:tcBorders>
            <w:shd w:val="clear" w:color="auto" w:fill="auto"/>
            <w:vAlign w:val="center"/>
          </w:tcPr>
          <w:p w:rsidR="00D265DA" w:rsidRPr="007B4DA1" w:rsidRDefault="00D265DA" w:rsidP="00D265DA">
            <w:pPr>
              <w:pStyle w:val="NormalWeb"/>
              <w:bidi/>
              <w:spacing w:before="0" w:beforeAutospacing="0" w:after="0" w:afterAutospacing="0" w:line="256" w:lineRule="auto"/>
              <w:jc w:val="center"/>
              <w:rPr>
                <w:rFonts w:ascii="David" w:hAnsi="David" w:cs="David"/>
                <w:rtl/>
              </w:rPr>
            </w:pPr>
          </w:p>
        </w:tc>
        <w:tc>
          <w:tcPr>
            <w:tcW w:w="643" w:type="dxa"/>
            <w:tcBorders>
              <w:top w:val="nil"/>
              <w:left w:val="nil"/>
              <w:bottom w:val="nil"/>
              <w:right w:val="nil"/>
            </w:tcBorders>
            <w:shd w:val="clear" w:color="auto" w:fill="auto"/>
            <w:vAlign w:val="center"/>
          </w:tcPr>
          <w:p w:rsidR="00D265DA" w:rsidRPr="007B4DA1" w:rsidRDefault="00D265DA" w:rsidP="00D265DA">
            <w:pPr>
              <w:pStyle w:val="NormalWeb"/>
              <w:bidi/>
              <w:spacing w:before="0" w:beforeAutospacing="0" w:after="0" w:afterAutospacing="0"/>
              <w:jc w:val="center"/>
              <w:textAlignment w:val="bottom"/>
              <w:rPr>
                <w:rFonts w:ascii="David" w:hAnsi="David" w:cs="David"/>
                <w:rtl/>
              </w:rPr>
            </w:pPr>
            <w:r w:rsidRPr="007B4DA1">
              <w:rPr>
                <w:rFonts w:ascii="David" w:hAnsi="David" w:cs="David"/>
                <w:b/>
                <w:bCs/>
                <w:color w:val="000000" w:themeColor="text1"/>
                <w:kern w:val="24"/>
                <w:rtl/>
              </w:rPr>
              <w:t>2.5</w:t>
            </w:r>
          </w:p>
        </w:tc>
      </w:tr>
      <w:tr w:rsidR="00D265DA" w:rsidRPr="007B4DA1" w:rsidTr="00D265DA">
        <w:trPr>
          <w:trHeight w:val="285"/>
        </w:trPr>
        <w:tc>
          <w:tcPr>
            <w:tcW w:w="3625" w:type="dxa"/>
            <w:tcBorders>
              <w:top w:val="nil"/>
              <w:left w:val="nil"/>
              <w:bottom w:val="single" w:sz="4" w:space="0" w:color="auto"/>
              <w:right w:val="nil"/>
            </w:tcBorders>
            <w:shd w:val="clear" w:color="auto" w:fill="auto"/>
            <w:vAlign w:val="center"/>
            <w:hideMark/>
          </w:tcPr>
          <w:p w:rsidR="00D265DA" w:rsidRPr="007B4DA1" w:rsidRDefault="00D265DA" w:rsidP="00D265DA">
            <w:pPr>
              <w:spacing w:after="0" w:line="240" w:lineRule="auto"/>
              <w:jc w:val="both"/>
              <w:rPr>
                <w:rFonts w:ascii="David" w:eastAsia="Times New Roman" w:hAnsi="David" w:cs="David"/>
                <w:color w:val="000000"/>
                <w:sz w:val="24"/>
                <w:szCs w:val="24"/>
              </w:rPr>
            </w:pPr>
            <w:r w:rsidRPr="007B4DA1">
              <w:rPr>
                <w:rFonts w:ascii="David" w:eastAsia="Calibri" w:hAnsi="David" w:cs="David"/>
                <w:color w:val="000000"/>
                <w:sz w:val="24"/>
                <w:szCs w:val="24"/>
                <w:rtl/>
              </w:rPr>
              <w:t xml:space="preserve">יבוא אזרחי (ללא יהלומים, </w:t>
            </w:r>
            <w:proofErr w:type="spellStart"/>
            <w:r w:rsidRPr="007B4DA1">
              <w:rPr>
                <w:rFonts w:ascii="David" w:eastAsia="Calibri" w:hAnsi="David" w:cs="David"/>
                <w:color w:val="000000"/>
                <w:sz w:val="24"/>
                <w:szCs w:val="24"/>
                <w:rtl/>
              </w:rPr>
              <w:t>אוניות</w:t>
            </w:r>
            <w:proofErr w:type="spellEnd"/>
            <w:r w:rsidRPr="007B4DA1">
              <w:rPr>
                <w:rFonts w:ascii="David" w:eastAsia="Calibri" w:hAnsi="David" w:cs="David"/>
                <w:color w:val="000000"/>
                <w:sz w:val="24"/>
                <w:szCs w:val="24"/>
                <w:rtl/>
              </w:rPr>
              <w:t xml:space="preserve"> ומטוסים)</w:t>
            </w:r>
          </w:p>
        </w:tc>
        <w:tc>
          <w:tcPr>
            <w:tcW w:w="709" w:type="dxa"/>
            <w:tcBorders>
              <w:top w:val="nil"/>
              <w:left w:val="nil"/>
              <w:bottom w:val="single" w:sz="8" w:space="0" w:color="000000"/>
              <w:right w:val="nil"/>
            </w:tcBorders>
            <w:shd w:val="clear" w:color="auto" w:fill="D9D9D9"/>
            <w:noWrap/>
            <w:vAlign w:val="center"/>
            <w:hideMark/>
          </w:tcPr>
          <w:p w:rsidR="00D265DA" w:rsidRPr="007B4DA1" w:rsidRDefault="00D265DA" w:rsidP="00D265DA">
            <w:pPr>
              <w:pStyle w:val="NormalWeb"/>
              <w:bidi/>
              <w:spacing w:before="0" w:beforeAutospacing="0" w:after="0" w:afterAutospacing="0"/>
              <w:jc w:val="center"/>
              <w:textAlignment w:val="bottom"/>
              <w:rPr>
                <w:rFonts w:ascii="David" w:hAnsi="David" w:cs="David"/>
                <w:rtl/>
              </w:rPr>
            </w:pPr>
            <w:r w:rsidRPr="007B4DA1">
              <w:rPr>
                <w:rFonts w:ascii="David" w:hAnsi="David" w:cs="David"/>
                <w:color w:val="000000" w:themeColor="text1"/>
                <w:kern w:val="24"/>
                <w:rtl/>
              </w:rPr>
              <w:t>18.2</w:t>
            </w:r>
          </w:p>
        </w:tc>
        <w:tc>
          <w:tcPr>
            <w:tcW w:w="79" w:type="dxa"/>
            <w:tcBorders>
              <w:top w:val="nil"/>
              <w:left w:val="nil"/>
              <w:bottom w:val="nil"/>
              <w:right w:val="nil"/>
            </w:tcBorders>
            <w:shd w:val="clear" w:color="auto" w:fill="auto"/>
            <w:noWrap/>
            <w:vAlign w:val="center"/>
            <w:hideMark/>
          </w:tcPr>
          <w:p w:rsidR="00D265DA" w:rsidRPr="007B4DA1" w:rsidRDefault="00D265DA" w:rsidP="00D265DA">
            <w:pPr>
              <w:jc w:val="center"/>
              <w:rPr>
                <w:rFonts w:ascii="David" w:hAnsi="David" w:cs="David"/>
                <w:sz w:val="24"/>
                <w:szCs w:val="24"/>
                <w:rtl/>
              </w:rPr>
            </w:pPr>
          </w:p>
        </w:tc>
        <w:tc>
          <w:tcPr>
            <w:tcW w:w="696" w:type="dxa"/>
            <w:tcBorders>
              <w:top w:val="nil"/>
              <w:left w:val="nil"/>
              <w:bottom w:val="single" w:sz="8" w:space="0" w:color="000000"/>
              <w:right w:val="nil"/>
            </w:tcBorders>
            <w:shd w:val="clear" w:color="auto" w:fill="auto"/>
            <w:noWrap/>
            <w:vAlign w:val="center"/>
            <w:hideMark/>
          </w:tcPr>
          <w:p w:rsidR="00D265DA" w:rsidRPr="007B4DA1" w:rsidRDefault="00D265DA" w:rsidP="00D265DA">
            <w:pPr>
              <w:pStyle w:val="NormalWeb"/>
              <w:bidi/>
              <w:spacing w:before="0" w:beforeAutospacing="0" w:after="0" w:afterAutospacing="0"/>
              <w:jc w:val="center"/>
              <w:textAlignment w:val="bottom"/>
              <w:rPr>
                <w:rFonts w:ascii="David" w:hAnsi="David" w:cs="David"/>
              </w:rPr>
            </w:pPr>
            <w:r w:rsidRPr="007B4DA1">
              <w:rPr>
                <w:rFonts w:ascii="David" w:hAnsi="David" w:cs="David"/>
                <w:b/>
                <w:bCs/>
                <w:color w:val="000000" w:themeColor="text1"/>
                <w:kern w:val="24"/>
                <w:rtl/>
              </w:rPr>
              <w:t>11.5</w:t>
            </w:r>
          </w:p>
        </w:tc>
        <w:tc>
          <w:tcPr>
            <w:tcW w:w="715" w:type="dxa"/>
            <w:tcBorders>
              <w:top w:val="nil"/>
              <w:left w:val="nil"/>
              <w:bottom w:val="single" w:sz="8" w:space="0" w:color="000000"/>
              <w:right w:val="nil"/>
            </w:tcBorders>
            <w:shd w:val="clear" w:color="auto" w:fill="auto"/>
            <w:noWrap/>
            <w:vAlign w:val="center"/>
            <w:hideMark/>
          </w:tcPr>
          <w:p w:rsidR="00D265DA" w:rsidRPr="007B4DA1" w:rsidRDefault="00D265DA" w:rsidP="00D265DA">
            <w:pPr>
              <w:pStyle w:val="NormalWeb"/>
              <w:bidi/>
              <w:spacing w:before="0" w:beforeAutospacing="0" w:after="0" w:afterAutospacing="0" w:line="256" w:lineRule="auto"/>
              <w:jc w:val="center"/>
              <w:rPr>
                <w:rFonts w:ascii="David" w:hAnsi="David" w:cs="David"/>
                <w:rtl/>
              </w:rPr>
            </w:pPr>
            <w:r w:rsidRPr="007B4DA1">
              <w:rPr>
                <w:rFonts w:ascii="David" w:hAnsi="David" w:cs="David"/>
                <w:color w:val="4F81BD"/>
                <w:kern w:val="24"/>
                <w:rtl/>
              </w:rPr>
              <w:t>1.0-</w:t>
            </w:r>
          </w:p>
        </w:tc>
        <w:tc>
          <w:tcPr>
            <w:tcW w:w="136" w:type="dxa"/>
            <w:tcBorders>
              <w:top w:val="nil"/>
              <w:left w:val="nil"/>
              <w:bottom w:val="nil"/>
              <w:right w:val="nil"/>
            </w:tcBorders>
            <w:shd w:val="clear" w:color="auto" w:fill="auto"/>
            <w:noWrap/>
            <w:vAlign w:val="center"/>
            <w:hideMark/>
          </w:tcPr>
          <w:p w:rsidR="00D265DA" w:rsidRPr="007B4DA1" w:rsidRDefault="00D265DA" w:rsidP="00D265DA">
            <w:pPr>
              <w:jc w:val="center"/>
              <w:rPr>
                <w:rFonts w:ascii="David" w:hAnsi="David" w:cs="David"/>
                <w:sz w:val="24"/>
                <w:szCs w:val="24"/>
                <w:rtl/>
              </w:rPr>
            </w:pPr>
          </w:p>
        </w:tc>
        <w:tc>
          <w:tcPr>
            <w:tcW w:w="708" w:type="dxa"/>
            <w:tcBorders>
              <w:top w:val="nil"/>
              <w:left w:val="nil"/>
              <w:bottom w:val="single" w:sz="8" w:space="0" w:color="000000"/>
              <w:right w:val="nil"/>
            </w:tcBorders>
            <w:shd w:val="clear" w:color="auto" w:fill="auto"/>
            <w:noWrap/>
            <w:vAlign w:val="center"/>
            <w:hideMark/>
          </w:tcPr>
          <w:p w:rsidR="00D265DA" w:rsidRPr="007B4DA1" w:rsidRDefault="00D265DA" w:rsidP="00D265DA">
            <w:pPr>
              <w:pStyle w:val="NormalWeb"/>
              <w:bidi/>
              <w:spacing w:before="0" w:beforeAutospacing="0" w:after="0" w:afterAutospacing="0"/>
              <w:jc w:val="center"/>
              <w:textAlignment w:val="bottom"/>
              <w:rPr>
                <w:rFonts w:ascii="David" w:hAnsi="David" w:cs="David"/>
              </w:rPr>
            </w:pPr>
            <w:r w:rsidRPr="007B4DA1">
              <w:rPr>
                <w:rFonts w:ascii="David" w:hAnsi="David" w:cs="David"/>
                <w:b/>
                <w:bCs/>
                <w:color w:val="000000" w:themeColor="text1"/>
                <w:kern w:val="24"/>
              </w:rPr>
              <w:t>4.0</w:t>
            </w:r>
          </w:p>
        </w:tc>
        <w:tc>
          <w:tcPr>
            <w:tcW w:w="684" w:type="dxa"/>
            <w:tcBorders>
              <w:top w:val="nil"/>
              <w:left w:val="nil"/>
              <w:bottom w:val="single" w:sz="8" w:space="0" w:color="000000"/>
              <w:right w:val="nil"/>
            </w:tcBorders>
            <w:shd w:val="clear" w:color="auto" w:fill="auto"/>
            <w:noWrap/>
            <w:vAlign w:val="center"/>
            <w:hideMark/>
          </w:tcPr>
          <w:p w:rsidR="00D265DA" w:rsidRPr="007B4DA1" w:rsidRDefault="00D265DA" w:rsidP="00D265DA">
            <w:pPr>
              <w:pStyle w:val="NormalWeb"/>
              <w:bidi/>
              <w:spacing w:before="0" w:beforeAutospacing="0" w:after="0" w:afterAutospacing="0" w:line="256" w:lineRule="auto"/>
              <w:jc w:val="center"/>
              <w:rPr>
                <w:rFonts w:ascii="David" w:hAnsi="David" w:cs="David"/>
                <w:rtl/>
              </w:rPr>
            </w:pPr>
            <w:r w:rsidRPr="007B4DA1">
              <w:rPr>
                <w:rFonts w:ascii="David" w:hAnsi="David" w:cs="David"/>
                <w:color w:val="4F81BD"/>
                <w:kern w:val="24"/>
                <w:rtl/>
              </w:rPr>
              <w:t>0.5</w:t>
            </w:r>
          </w:p>
        </w:tc>
        <w:tc>
          <w:tcPr>
            <w:tcW w:w="62" w:type="dxa"/>
            <w:tcBorders>
              <w:top w:val="nil"/>
              <w:left w:val="nil"/>
              <w:bottom w:val="nil"/>
              <w:right w:val="nil"/>
            </w:tcBorders>
            <w:shd w:val="clear" w:color="auto" w:fill="auto"/>
            <w:vAlign w:val="center"/>
          </w:tcPr>
          <w:p w:rsidR="00D265DA" w:rsidRPr="007B4DA1" w:rsidRDefault="00D265DA" w:rsidP="00D265DA">
            <w:pPr>
              <w:pStyle w:val="NormalWeb"/>
              <w:bidi/>
              <w:spacing w:before="0" w:beforeAutospacing="0" w:after="0" w:afterAutospacing="0" w:line="256" w:lineRule="auto"/>
              <w:jc w:val="center"/>
              <w:rPr>
                <w:rFonts w:ascii="David" w:hAnsi="David" w:cs="David"/>
                <w:rtl/>
              </w:rPr>
            </w:pPr>
          </w:p>
        </w:tc>
        <w:tc>
          <w:tcPr>
            <w:tcW w:w="643" w:type="dxa"/>
            <w:tcBorders>
              <w:top w:val="nil"/>
              <w:left w:val="nil"/>
              <w:bottom w:val="single" w:sz="8" w:space="0" w:color="000000"/>
              <w:right w:val="nil"/>
            </w:tcBorders>
            <w:shd w:val="clear" w:color="auto" w:fill="auto"/>
            <w:vAlign w:val="center"/>
          </w:tcPr>
          <w:p w:rsidR="00D265DA" w:rsidRPr="007B4DA1" w:rsidRDefault="00D265DA" w:rsidP="00D265DA">
            <w:pPr>
              <w:pStyle w:val="NormalWeb"/>
              <w:bidi/>
              <w:spacing w:before="0" w:beforeAutospacing="0" w:after="0" w:afterAutospacing="0"/>
              <w:jc w:val="center"/>
              <w:textAlignment w:val="bottom"/>
              <w:rPr>
                <w:rFonts w:ascii="David" w:hAnsi="David" w:cs="David"/>
                <w:rtl/>
              </w:rPr>
            </w:pPr>
            <w:r w:rsidRPr="007B4DA1">
              <w:rPr>
                <w:rFonts w:ascii="David" w:hAnsi="David" w:cs="David"/>
                <w:b/>
                <w:bCs/>
                <w:color w:val="000000" w:themeColor="text1"/>
                <w:kern w:val="24"/>
                <w:rtl/>
              </w:rPr>
              <w:t>5.5</w:t>
            </w:r>
          </w:p>
        </w:tc>
      </w:tr>
      <w:tr w:rsidR="00D265DA" w:rsidRPr="007B4DA1" w:rsidTr="00D265DA">
        <w:trPr>
          <w:trHeight w:val="285"/>
        </w:trPr>
        <w:tc>
          <w:tcPr>
            <w:tcW w:w="3625" w:type="dxa"/>
            <w:tcBorders>
              <w:top w:val="nil"/>
              <w:left w:val="nil"/>
              <w:bottom w:val="double" w:sz="6" w:space="0" w:color="auto"/>
              <w:right w:val="nil"/>
            </w:tcBorders>
            <w:shd w:val="clear" w:color="auto" w:fill="auto"/>
            <w:vAlign w:val="center"/>
            <w:hideMark/>
          </w:tcPr>
          <w:p w:rsidR="00D265DA" w:rsidRPr="007B4DA1" w:rsidRDefault="00D265DA" w:rsidP="00D265DA">
            <w:pPr>
              <w:spacing w:after="0" w:line="240" w:lineRule="auto"/>
              <w:jc w:val="both"/>
              <w:rPr>
                <w:rFonts w:ascii="David" w:eastAsia="Times New Roman" w:hAnsi="David" w:cs="David"/>
                <w:color w:val="000000"/>
                <w:sz w:val="24"/>
                <w:szCs w:val="24"/>
              </w:rPr>
            </w:pPr>
            <w:r w:rsidRPr="007B4DA1">
              <w:rPr>
                <w:rFonts w:ascii="David" w:eastAsia="Calibri" w:hAnsi="David" w:cs="David"/>
                <w:color w:val="000000"/>
                <w:sz w:val="24"/>
                <w:szCs w:val="24"/>
                <w:rtl/>
              </w:rPr>
              <w:t>סטיית התוצר ממגמת טרום המשבר (אחוזים)</w:t>
            </w:r>
          </w:p>
        </w:tc>
        <w:tc>
          <w:tcPr>
            <w:tcW w:w="709" w:type="dxa"/>
            <w:tcBorders>
              <w:top w:val="single" w:sz="8" w:space="0" w:color="000000"/>
              <w:left w:val="nil"/>
              <w:bottom w:val="double" w:sz="6" w:space="0" w:color="000000"/>
              <w:right w:val="nil"/>
            </w:tcBorders>
            <w:shd w:val="clear" w:color="auto" w:fill="D9D9D9"/>
            <w:noWrap/>
            <w:vAlign w:val="center"/>
            <w:hideMark/>
          </w:tcPr>
          <w:p w:rsidR="00D265DA" w:rsidRPr="007B4DA1" w:rsidRDefault="00D265DA" w:rsidP="00D265DA">
            <w:pPr>
              <w:pStyle w:val="NormalWeb"/>
              <w:bidi/>
              <w:spacing w:before="0" w:beforeAutospacing="0" w:after="0" w:afterAutospacing="0" w:line="256" w:lineRule="auto"/>
              <w:jc w:val="center"/>
              <w:rPr>
                <w:rFonts w:ascii="David" w:hAnsi="David" w:cs="David"/>
                <w:rtl/>
              </w:rPr>
            </w:pPr>
            <w:r w:rsidRPr="007B4DA1">
              <w:rPr>
                <w:rFonts w:ascii="David" w:hAnsi="David" w:cs="David"/>
                <w:color w:val="000000"/>
                <w:kern w:val="24"/>
                <w:rtl/>
              </w:rPr>
              <w:t>1.4-</w:t>
            </w:r>
          </w:p>
        </w:tc>
        <w:tc>
          <w:tcPr>
            <w:tcW w:w="79" w:type="dxa"/>
            <w:tcBorders>
              <w:top w:val="nil"/>
              <w:left w:val="nil"/>
              <w:bottom w:val="nil"/>
              <w:right w:val="nil"/>
            </w:tcBorders>
            <w:shd w:val="clear" w:color="auto" w:fill="auto"/>
            <w:noWrap/>
            <w:vAlign w:val="center"/>
            <w:hideMark/>
          </w:tcPr>
          <w:p w:rsidR="00D265DA" w:rsidRPr="007B4DA1" w:rsidRDefault="00D265DA" w:rsidP="00D265DA">
            <w:pPr>
              <w:jc w:val="center"/>
              <w:rPr>
                <w:rFonts w:ascii="David" w:hAnsi="David" w:cs="David"/>
                <w:sz w:val="24"/>
                <w:szCs w:val="24"/>
                <w:rtl/>
              </w:rPr>
            </w:pPr>
          </w:p>
        </w:tc>
        <w:tc>
          <w:tcPr>
            <w:tcW w:w="696" w:type="dxa"/>
            <w:tcBorders>
              <w:top w:val="single" w:sz="8" w:space="0" w:color="000000"/>
              <w:left w:val="nil"/>
              <w:bottom w:val="double" w:sz="6" w:space="0" w:color="000000"/>
              <w:right w:val="nil"/>
            </w:tcBorders>
            <w:shd w:val="clear" w:color="auto" w:fill="auto"/>
            <w:noWrap/>
            <w:vAlign w:val="center"/>
            <w:hideMark/>
          </w:tcPr>
          <w:p w:rsidR="00D265DA" w:rsidRPr="007B4DA1" w:rsidRDefault="00D265DA" w:rsidP="00D265DA">
            <w:pPr>
              <w:pStyle w:val="NormalWeb"/>
              <w:bidi/>
              <w:spacing w:before="0" w:beforeAutospacing="0" w:after="0" w:afterAutospacing="0" w:line="256" w:lineRule="auto"/>
              <w:jc w:val="center"/>
              <w:rPr>
                <w:rFonts w:ascii="David" w:hAnsi="David" w:cs="David"/>
              </w:rPr>
            </w:pPr>
            <w:r w:rsidRPr="007B4DA1">
              <w:rPr>
                <w:rFonts w:ascii="David" w:hAnsi="David" w:cs="David"/>
                <w:b/>
                <w:bCs/>
                <w:color w:val="000000"/>
                <w:kern w:val="24"/>
              </w:rPr>
              <w:t>0.7</w:t>
            </w:r>
          </w:p>
        </w:tc>
        <w:tc>
          <w:tcPr>
            <w:tcW w:w="715" w:type="dxa"/>
            <w:tcBorders>
              <w:top w:val="single" w:sz="8" w:space="0" w:color="000000"/>
              <w:left w:val="nil"/>
              <w:bottom w:val="double" w:sz="6" w:space="0" w:color="000000"/>
              <w:right w:val="nil"/>
            </w:tcBorders>
            <w:shd w:val="clear" w:color="auto" w:fill="auto"/>
            <w:noWrap/>
            <w:vAlign w:val="center"/>
            <w:hideMark/>
          </w:tcPr>
          <w:p w:rsidR="00D265DA" w:rsidRPr="007B4DA1" w:rsidRDefault="00D265DA" w:rsidP="00D265DA">
            <w:pPr>
              <w:pStyle w:val="NormalWeb"/>
              <w:bidi/>
              <w:spacing w:before="0" w:beforeAutospacing="0" w:after="0" w:afterAutospacing="0" w:line="256" w:lineRule="auto"/>
              <w:jc w:val="center"/>
              <w:rPr>
                <w:rFonts w:ascii="David" w:hAnsi="David" w:cs="David"/>
                <w:rtl/>
              </w:rPr>
            </w:pPr>
            <w:r w:rsidRPr="007B4DA1">
              <w:rPr>
                <w:rFonts w:ascii="David" w:hAnsi="David" w:cs="David"/>
                <w:color w:val="4F81BD"/>
                <w:kern w:val="24"/>
              </w:rPr>
              <w:t>0.2</w:t>
            </w:r>
          </w:p>
        </w:tc>
        <w:tc>
          <w:tcPr>
            <w:tcW w:w="136" w:type="dxa"/>
            <w:tcBorders>
              <w:top w:val="nil"/>
              <w:left w:val="nil"/>
              <w:bottom w:val="nil"/>
              <w:right w:val="nil"/>
            </w:tcBorders>
            <w:shd w:val="clear" w:color="auto" w:fill="auto"/>
            <w:noWrap/>
            <w:vAlign w:val="center"/>
            <w:hideMark/>
          </w:tcPr>
          <w:p w:rsidR="00D265DA" w:rsidRPr="007B4DA1" w:rsidRDefault="00D265DA" w:rsidP="00D265DA">
            <w:pPr>
              <w:jc w:val="center"/>
              <w:rPr>
                <w:rFonts w:ascii="David" w:hAnsi="David" w:cs="David"/>
                <w:sz w:val="24"/>
                <w:szCs w:val="24"/>
                <w:rtl/>
              </w:rPr>
            </w:pPr>
          </w:p>
        </w:tc>
        <w:tc>
          <w:tcPr>
            <w:tcW w:w="708" w:type="dxa"/>
            <w:tcBorders>
              <w:top w:val="single" w:sz="8" w:space="0" w:color="000000"/>
              <w:left w:val="single" w:sz="8" w:space="0" w:color="FFFFFF"/>
              <w:bottom w:val="double" w:sz="6" w:space="0" w:color="000000"/>
              <w:right w:val="nil"/>
            </w:tcBorders>
            <w:shd w:val="clear" w:color="auto" w:fill="auto"/>
            <w:vAlign w:val="center"/>
            <w:hideMark/>
          </w:tcPr>
          <w:p w:rsidR="00D265DA" w:rsidRPr="007B4DA1" w:rsidRDefault="00D265DA" w:rsidP="00AF12C9">
            <w:pPr>
              <w:pStyle w:val="NormalWeb"/>
              <w:bidi/>
              <w:spacing w:before="0" w:beforeAutospacing="0" w:after="0" w:afterAutospacing="0" w:line="256" w:lineRule="auto"/>
              <w:jc w:val="center"/>
              <w:rPr>
                <w:rFonts w:ascii="David" w:hAnsi="David" w:cs="David"/>
              </w:rPr>
            </w:pPr>
            <w:r w:rsidRPr="007B4DA1">
              <w:rPr>
                <w:rFonts w:ascii="David" w:hAnsi="David" w:cs="David"/>
                <w:b/>
                <w:bCs/>
                <w:color w:val="000000" w:themeColor="text1"/>
                <w:kern w:val="24"/>
                <w:rtl/>
              </w:rPr>
              <w:t>0.</w:t>
            </w:r>
            <w:r w:rsidR="00AF12C9" w:rsidRPr="007B4DA1">
              <w:rPr>
                <w:rFonts w:ascii="David" w:hAnsi="David" w:cs="David"/>
                <w:b/>
                <w:bCs/>
                <w:color w:val="000000" w:themeColor="text1"/>
                <w:kern w:val="24"/>
                <w:rtl/>
              </w:rPr>
              <w:t>5</w:t>
            </w:r>
            <w:r w:rsidRPr="007B4DA1">
              <w:rPr>
                <w:rFonts w:ascii="David" w:hAnsi="David" w:cs="David"/>
                <w:b/>
                <w:bCs/>
                <w:color w:val="000000" w:themeColor="text1"/>
                <w:kern w:val="24"/>
                <w:rtl/>
              </w:rPr>
              <w:t>-</w:t>
            </w:r>
          </w:p>
        </w:tc>
        <w:tc>
          <w:tcPr>
            <w:tcW w:w="684" w:type="dxa"/>
            <w:tcBorders>
              <w:top w:val="single" w:sz="8" w:space="0" w:color="000000"/>
              <w:left w:val="nil"/>
              <w:bottom w:val="double" w:sz="6" w:space="0" w:color="000000"/>
              <w:right w:val="single" w:sz="8" w:space="0" w:color="FFFFFF"/>
            </w:tcBorders>
            <w:shd w:val="clear" w:color="auto" w:fill="auto"/>
            <w:vAlign w:val="center"/>
            <w:hideMark/>
          </w:tcPr>
          <w:p w:rsidR="00D265DA" w:rsidRPr="007B4DA1" w:rsidRDefault="00D265DA" w:rsidP="00AF12C9">
            <w:pPr>
              <w:pStyle w:val="NormalWeb"/>
              <w:bidi/>
              <w:spacing w:before="0" w:beforeAutospacing="0" w:after="0" w:afterAutospacing="0" w:line="256" w:lineRule="auto"/>
              <w:jc w:val="center"/>
              <w:rPr>
                <w:rFonts w:ascii="David" w:hAnsi="David" w:cs="David"/>
                <w:rtl/>
              </w:rPr>
            </w:pPr>
            <w:r w:rsidRPr="007B4DA1">
              <w:rPr>
                <w:rFonts w:ascii="David" w:hAnsi="David" w:cs="David"/>
                <w:color w:val="4F81BD"/>
                <w:kern w:val="24"/>
              </w:rPr>
              <w:t>0.</w:t>
            </w:r>
            <w:r w:rsidR="00AF12C9" w:rsidRPr="007B4DA1">
              <w:rPr>
                <w:rFonts w:ascii="David" w:hAnsi="David" w:cs="David"/>
                <w:color w:val="4F81BD"/>
                <w:kern w:val="24"/>
              </w:rPr>
              <w:t>0</w:t>
            </w:r>
          </w:p>
        </w:tc>
        <w:tc>
          <w:tcPr>
            <w:tcW w:w="62" w:type="dxa"/>
            <w:tcBorders>
              <w:top w:val="nil"/>
              <w:left w:val="nil"/>
              <w:bottom w:val="nil"/>
              <w:right w:val="nil"/>
            </w:tcBorders>
            <w:shd w:val="clear" w:color="auto" w:fill="auto"/>
            <w:vAlign w:val="center"/>
          </w:tcPr>
          <w:p w:rsidR="00D265DA" w:rsidRPr="007B4DA1" w:rsidRDefault="00D265DA" w:rsidP="00D265DA">
            <w:pPr>
              <w:pStyle w:val="NormalWeb"/>
              <w:bidi/>
              <w:spacing w:before="0" w:beforeAutospacing="0" w:after="0" w:afterAutospacing="0" w:line="256" w:lineRule="auto"/>
              <w:jc w:val="center"/>
              <w:rPr>
                <w:rFonts w:ascii="David" w:hAnsi="David" w:cs="David"/>
                <w:rtl/>
              </w:rPr>
            </w:pPr>
          </w:p>
        </w:tc>
        <w:tc>
          <w:tcPr>
            <w:tcW w:w="643" w:type="dxa"/>
            <w:tcBorders>
              <w:top w:val="single" w:sz="8" w:space="0" w:color="000000"/>
              <w:left w:val="nil"/>
              <w:bottom w:val="double" w:sz="4" w:space="0" w:color="000000"/>
              <w:right w:val="nil"/>
            </w:tcBorders>
            <w:shd w:val="clear" w:color="auto" w:fill="auto"/>
            <w:vAlign w:val="center"/>
          </w:tcPr>
          <w:p w:rsidR="00D265DA" w:rsidRPr="007B4DA1" w:rsidRDefault="00D265DA" w:rsidP="00D265DA">
            <w:pPr>
              <w:pStyle w:val="NormalWeb"/>
              <w:bidi/>
              <w:spacing w:before="0" w:beforeAutospacing="0" w:after="0" w:afterAutospacing="0" w:line="256" w:lineRule="auto"/>
              <w:jc w:val="center"/>
              <w:rPr>
                <w:rFonts w:ascii="David" w:hAnsi="David" w:cs="David"/>
                <w:rtl/>
              </w:rPr>
            </w:pPr>
            <w:r w:rsidRPr="007B4DA1">
              <w:rPr>
                <w:rFonts w:ascii="David" w:hAnsi="David" w:cs="David"/>
                <w:b/>
                <w:bCs/>
                <w:color w:val="000000" w:themeColor="text1"/>
                <w:kern w:val="24"/>
                <w:rtl/>
              </w:rPr>
              <w:t>0.9-</w:t>
            </w:r>
          </w:p>
        </w:tc>
      </w:tr>
      <w:tr w:rsidR="00D265DA" w:rsidRPr="007B4DA1" w:rsidTr="00D265DA">
        <w:trPr>
          <w:trHeight w:val="285"/>
        </w:trPr>
        <w:tc>
          <w:tcPr>
            <w:tcW w:w="3625" w:type="dxa"/>
            <w:tcBorders>
              <w:top w:val="nil"/>
              <w:left w:val="nil"/>
              <w:bottom w:val="nil"/>
              <w:right w:val="nil"/>
            </w:tcBorders>
            <w:shd w:val="clear" w:color="auto" w:fill="auto"/>
            <w:vAlign w:val="center"/>
          </w:tcPr>
          <w:p w:rsidR="00D265DA" w:rsidRPr="007B4DA1" w:rsidRDefault="00D265DA" w:rsidP="00D265DA">
            <w:pPr>
              <w:spacing w:after="0" w:line="240" w:lineRule="auto"/>
              <w:jc w:val="both"/>
              <w:rPr>
                <w:rFonts w:ascii="David" w:eastAsia="Calibri" w:hAnsi="David" w:cs="David"/>
                <w:color w:val="000000"/>
                <w:sz w:val="24"/>
                <w:szCs w:val="24"/>
                <w:rtl/>
              </w:rPr>
            </w:pPr>
            <w:r w:rsidRPr="007B4DA1">
              <w:rPr>
                <w:rFonts w:ascii="David" w:eastAsia="Times New Roman" w:hAnsi="David" w:cs="David"/>
                <w:color w:val="000000"/>
                <w:sz w:val="24"/>
                <w:szCs w:val="24"/>
                <w:rtl/>
              </w:rPr>
              <w:t>שיעור אבטלה – ממוצע שנתי (גילאי 25-64)</w:t>
            </w:r>
          </w:p>
        </w:tc>
        <w:tc>
          <w:tcPr>
            <w:tcW w:w="709" w:type="dxa"/>
            <w:tcBorders>
              <w:top w:val="double" w:sz="6" w:space="0" w:color="000000"/>
              <w:left w:val="nil"/>
              <w:bottom w:val="nil"/>
              <w:right w:val="nil"/>
            </w:tcBorders>
            <w:shd w:val="clear" w:color="auto" w:fill="D9D9D9"/>
            <w:noWrap/>
            <w:vAlign w:val="center"/>
          </w:tcPr>
          <w:p w:rsidR="00D265DA" w:rsidRPr="007B4DA1" w:rsidRDefault="00D265DA" w:rsidP="00D265DA">
            <w:pPr>
              <w:pStyle w:val="NormalWeb"/>
              <w:bidi/>
              <w:spacing w:before="0" w:beforeAutospacing="0" w:after="0" w:afterAutospacing="0" w:line="256" w:lineRule="auto"/>
              <w:jc w:val="center"/>
              <w:rPr>
                <w:rFonts w:ascii="David" w:hAnsi="David" w:cs="David"/>
                <w:rtl/>
              </w:rPr>
            </w:pPr>
            <w:r w:rsidRPr="007B4DA1">
              <w:rPr>
                <w:rFonts w:ascii="David" w:hAnsi="David" w:cs="David"/>
                <w:color w:val="000000"/>
                <w:kern w:val="24"/>
                <w:rtl/>
              </w:rPr>
              <w:t>4.6</w:t>
            </w:r>
          </w:p>
        </w:tc>
        <w:tc>
          <w:tcPr>
            <w:tcW w:w="79" w:type="dxa"/>
            <w:tcBorders>
              <w:top w:val="nil"/>
              <w:left w:val="nil"/>
              <w:bottom w:val="nil"/>
              <w:right w:val="nil"/>
            </w:tcBorders>
            <w:shd w:val="clear" w:color="auto" w:fill="auto"/>
            <w:noWrap/>
            <w:vAlign w:val="center"/>
          </w:tcPr>
          <w:p w:rsidR="00D265DA" w:rsidRPr="007B4DA1" w:rsidRDefault="00D265DA" w:rsidP="00D265DA">
            <w:pPr>
              <w:pStyle w:val="NormalWeb"/>
              <w:bidi/>
              <w:spacing w:before="0" w:beforeAutospacing="0" w:after="0" w:afterAutospacing="0" w:line="256" w:lineRule="auto"/>
              <w:jc w:val="center"/>
              <w:rPr>
                <w:rFonts w:ascii="David" w:hAnsi="David" w:cs="David"/>
                <w:rtl/>
              </w:rPr>
            </w:pPr>
          </w:p>
        </w:tc>
        <w:tc>
          <w:tcPr>
            <w:tcW w:w="696" w:type="dxa"/>
            <w:tcBorders>
              <w:top w:val="double" w:sz="6" w:space="0" w:color="000000"/>
              <w:left w:val="nil"/>
              <w:bottom w:val="nil"/>
              <w:right w:val="nil"/>
            </w:tcBorders>
            <w:shd w:val="clear" w:color="auto" w:fill="auto"/>
            <w:noWrap/>
            <w:vAlign w:val="center"/>
          </w:tcPr>
          <w:p w:rsidR="00D265DA" w:rsidRPr="007B4DA1" w:rsidRDefault="00D265DA" w:rsidP="00D265DA">
            <w:pPr>
              <w:pStyle w:val="NormalWeb"/>
              <w:bidi/>
              <w:spacing w:before="0" w:beforeAutospacing="0" w:after="0" w:afterAutospacing="0" w:line="256" w:lineRule="auto"/>
              <w:jc w:val="center"/>
              <w:rPr>
                <w:rFonts w:ascii="David" w:hAnsi="David" w:cs="David"/>
                <w:rtl/>
              </w:rPr>
            </w:pPr>
            <w:r w:rsidRPr="007B4DA1">
              <w:rPr>
                <w:rFonts w:ascii="David" w:hAnsi="David" w:cs="David"/>
                <w:b/>
                <w:bCs/>
                <w:color w:val="000000"/>
                <w:kern w:val="24"/>
                <w:rtl/>
              </w:rPr>
              <w:t>3.2</w:t>
            </w:r>
          </w:p>
        </w:tc>
        <w:tc>
          <w:tcPr>
            <w:tcW w:w="715" w:type="dxa"/>
            <w:tcBorders>
              <w:top w:val="double" w:sz="6" w:space="0" w:color="000000"/>
              <w:left w:val="nil"/>
              <w:bottom w:val="nil"/>
              <w:right w:val="nil"/>
            </w:tcBorders>
            <w:shd w:val="clear" w:color="auto" w:fill="auto"/>
            <w:noWrap/>
            <w:vAlign w:val="center"/>
          </w:tcPr>
          <w:p w:rsidR="00D265DA" w:rsidRPr="007B4DA1" w:rsidRDefault="00D265DA" w:rsidP="00D265DA">
            <w:pPr>
              <w:pStyle w:val="NormalWeb"/>
              <w:bidi/>
              <w:spacing w:before="0" w:beforeAutospacing="0" w:after="0" w:afterAutospacing="0" w:line="256" w:lineRule="auto"/>
              <w:jc w:val="center"/>
              <w:rPr>
                <w:rFonts w:ascii="David" w:hAnsi="David" w:cs="David"/>
                <w:rtl/>
              </w:rPr>
            </w:pPr>
            <w:r w:rsidRPr="007B4DA1">
              <w:rPr>
                <w:rFonts w:ascii="David" w:hAnsi="David" w:cs="David"/>
                <w:color w:val="4F81BD"/>
                <w:kern w:val="24"/>
              </w:rPr>
              <w:t>0.1</w:t>
            </w:r>
          </w:p>
        </w:tc>
        <w:tc>
          <w:tcPr>
            <w:tcW w:w="136" w:type="dxa"/>
            <w:tcBorders>
              <w:top w:val="nil"/>
              <w:left w:val="nil"/>
              <w:bottom w:val="nil"/>
              <w:right w:val="nil"/>
            </w:tcBorders>
            <w:shd w:val="clear" w:color="auto" w:fill="auto"/>
            <w:noWrap/>
            <w:vAlign w:val="center"/>
          </w:tcPr>
          <w:p w:rsidR="00D265DA" w:rsidRPr="007B4DA1" w:rsidRDefault="00D265DA" w:rsidP="00D265DA">
            <w:pPr>
              <w:pStyle w:val="NormalWeb"/>
              <w:bidi/>
              <w:spacing w:before="0" w:beforeAutospacing="0" w:after="0" w:afterAutospacing="0" w:line="256" w:lineRule="auto"/>
              <w:jc w:val="center"/>
              <w:rPr>
                <w:rFonts w:ascii="David" w:hAnsi="David" w:cs="David"/>
                <w:rtl/>
              </w:rPr>
            </w:pPr>
          </w:p>
        </w:tc>
        <w:tc>
          <w:tcPr>
            <w:tcW w:w="708" w:type="dxa"/>
            <w:tcBorders>
              <w:top w:val="double" w:sz="6" w:space="0" w:color="000000"/>
              <w:left w:val="single" w:sz="8" w:space="0" w:color="FFFFFF"/>
              <w:bottom w:val="nil"/>
              <w:right w:val="nil"/>
            </w:tcBorders>
            <w:shd w:val="clear" w:color="auto" w:fill="auto"/>
            <w:vAlign w:val="center"/>
          </w:tcPr>
          <w:p w:rsidR="00D265DA" w:rsidRPr="007B4DA1" w:rsidRDefault="00D265DA" w:rsidP="00D265DA">
            <w:pPr>
              <w:pStyle w:val="NormalWeb"/>
              <w:bidi/>
              <w:spacing w:before="0" w:beforeAutospacing="0" w:after="0" w:afterAutospacing="0" w:line="256" w:lineRule="auto"/>
              <w:jc w:val="center"/>
              <w:rPr>
                <w:rFonts w:ascii="David" w:hAnsi="David" w:cs="David"/>
                <w:rtl/>
              </w:rPr>
            </w:pPr>
            <w:r w:rsidRPr="007B4DA1">
              <w:rPr>
                <w:rFonts w:ascii="David" w:hAnsi="David" w:cs="David"/>
                <w:b/>
                <w:bCs/>
                <w:color w:val="000000"/>
                <w:kern w:val="24"/>
                <w:rtl/>
              </w:rPr>
              <w:t>4.0</w:t>
            </w:r>
          </w:p>
        </w:tc>
        <w:tc>
          <w:tcPr>
            <w:tcW w:w="684" w:type="dxa"/>
            <w:tcBorders>
              <w:top w:val="double" w:sz="6" w:space="0" w:color="000000"/>
              <w:left w:val="nil"/>
              <w:bottom w:val="nil"/>
              <w:right w:val="single" w:sz="8" w:space="0" w:color="FFFFFF"/>
            </w:tcBorders>
            <w:shd w:val="clear" w:color="auto" w:fill="auto"/>
            <w:vAlign w:val="center"/>
          </w:tcPr>
          <w:p w:rsidR="00D265DA" w:rsidRPr="007B4DA1" w:rsidRDefault="00D265DA" w:rsidP="00D265DA">
            <w:pPr>
              <w:pStyle w:val="NormalWeb"/>
              <w:bidi/>
              <w:spacing w:before="0" w:beforeAutospacing="0" w:after="0" w:afterAutospacing="0" w:line="256" w:lineRule="auto"/>
              <w:jc w:val="center"/>
              <w:rPr>
                <w:rFonts w:ascii="David" w:hAnsi="David" w:cs="David"/>
                <w:rtl/>
              </w:rPr>
            </w:pPr>
            <w:r w:rsidRPr="007B4DA1">
              <w:rPr>
                <w:rFonts w:ascii="David" w:hAnsi="David" w:cs="David"/>
                <w:color w:val="4F81BD"/>
                <w:kern w:val="24"/>
                <w:rtl/>
              </w:rPr>
              <w:t>0.5</w:t>
            </w:r>
          </w:p>
        </w:tc>
        <w:tc>
          <w:tcPr>
            <w:tcW w:w="62" w:type="dxa"/>
            <w:tcBorders>
              <w:top w:val="nil"/>
              <w:left w:val="nil"/>
              <w:bottom w:val="nil"/>
              <w:right w:val="nil"/>
            </w:tcBorders>
            <w:shd w:val="clear" w:color="auto" w:fill="auto"/>
            <w:vAlign w:val="center"/>
          </w:tcPr>
          <w:p w:rsidR="00D265DA" w:rsidRPr="007B4DA1" w:rsidRDefault="00D265DA" w:rsidP="00D265DA">
            <w:pPr>
              <w:pStyle w:val="NormalWeb"/>
              <w:bidi/>
              <w:spacing w:before="0" w:beforeAutospacing="0" w:after="0" w:afterAutospacing="0" w:line="256" w:lineRule="auto"/>
              <w:jc w:val="center"/>
              <w:rPr>
                <w:rFonts w:ascii="David" w:hAnsi="David" w:cs="David"/>
                <w:rtl/>
              </w:rPr>
            </w:pPr>
          </w:p>
        </w:tc>
        <w:tc>
          <w:tcPr>
            <w:tcW w:w="643" w:type="dxa"/>
            <w:tcBorders>
              <w:top w:val="double" w:sz="4" w:space="0" w:color="000000"/>
              <w:left w:val="nil"/>
              <w:bottom w:val="nil"/>
              <w:right w:val="nil"/>
            </w:tcBorders>
            <w:shd w:val="clear" w:color="auto" w:fill="auto"/>
            <w:vAlign w:val="center"/>
          </w:tcPr>
          <w:p w:rsidR="00D265DA" w:rsidRPr="007B4DA1" w:rsidRDefault="00D265DA" w:rsidP="00D265DA">
            <w:pPr>
              <w:pStyle w:val="NormalWeb"/>
              <w:bidi/>
              <w:spacing w:before="0" w:beforeAutospacing="0" w:after="0" w:afterAutospacing="0" w:line="256" w:lineRule="auto"/>
              <w:jc w:val="center"/>
              <w:rPr>
                <w:rFonts w:ascii="David" w:hAnsi="David" w:cs="David"/>
                <w:rtl/>
              </w:rPr>
            </w:pPr>
            <w:r w:rsidRPr="007B4DA1">
              <w:rPr>
                <w:rFonts w:ascii="David" w:hAnsi="David" w:cs="David"/>
                <w:b/>
                <w:bCs/>
                <w:color w:val="000000" w:themeColor="text1"/>
                <w:kern w:val="24"/>
                <w:rtl/>
              </w:rPr>
              <w:t>4.0</w:t>
            </w:r>
          </w:p>
        </w:tc>
      </w:tr>
      <w:tr w:rsidR="00D265DA" w:rsidRPr="007B4DA1" w:rsidTr="00D265DA">
        <w:trPr>
          <w:trHeight w:val="285"/>
        </w:trPr>
        <w:tc>
          <w:tcPr>
            <w:tcW w:w="3625" w:type="dxa"/>
            <w:tcBorders>
              <w:top w:val="nil"/>
              <w:left w:val="nil"/>
              <w:bottom w:val="double" w:sz="6" w:space="0" w:color="auto"/>
              <w:right w:val="nil"/>
            </w:tcBorders>
            <w:shd w:val="clear" w:color="auto" w:fill="auto"/>
            <w:vAlign w:val="center"/>
          </w:tcPr>
          <w:p w:rsidR="00D265DA" w:rsidRPr="007B4DA1" w:rsidRDefault="00D265DA" w:rsidP="00D265DA">
            <w:pPr>
              <w:spacing w:after="0" w:line="240" w:lineRule="auto"/>
              <w:jc w:val="both"/>
              <w:rPr>
                <w:rFonts w:ascii="David" w:eastAsia="Times New Roman" w:hAnsi="David" w:cs="David"/>
                <w:b/>
                <w:bCs/>
                <w:color w:val="000000"/>
                <w:sz w:val="24"/>
                <w:szCs w:val="24"/>
              </w:rPr>
            </w:pPr>
            <w:r w:rsidRPr="007B4DA1">
              <w:rPr>
                <w:rFonts w:ascii="David" w:eastAsia="Calibri" w:hAnsi="David" w:cs="David"/>
                <w:color w:val="000000"/>
                <w:sz w:val="24"/>
                <w:szCs w:val="24"/>
                <w:rtl/>
              </w:rPr>
              <w:t>שיעור תעסוקה  – ממוצע שנתי</w:t>
            </w:r>
            <w:r w:rsidRPr="007B4DA1">
              <w:rPr>
                <w:rFonts w:ascii="David" w:eastAsia="Times New Roman" w:hAnsi="David" w:cs="David"/>
                <w:b/>
                <w:bCs/>
                <w:color w:val="000000"/>
                <w:sz w:val="24"/>
                <w:szCs w:val="24"/>
                <w:rtl/>
              </w:rPr>
              <w:t xml:space="preserve"> </w:t>
            </w:r>
            <w:r w:rsidRPr="007B4DA1">
              <w:rPr>
                <w:rFonts w:ascii="David" w:eastAsia="Times New Roman" w:hAnsi="David" w:cs="David"/>
                <w:color w:val="000000"/>
                <w:sz w:val="24"/>
                <w:szCs w:val="24"/>
                <w:rtl/>
              </w:rPr>
              <w:t>(גילאי 25-64</w:t>
            </w:r>
            <w:r w:rsidRPr="007B4DA1">
              <w:rPr>
                <w:rFonts w:ascii="David" w:eastAsia="Times New Roman" w:hAnsi="David" w:cs="David"/>
                <w:b/>
                <w:bCs/>
                <w:color w:val="000000"/>
                <w:sz w:val="24"/>
                <w:szCs w:val="24"/>
                <w:rtl/>
              </w:rPr>
              <w:t>)</w:t>
            </w:r>
          </w:p>
        </w:tc>
        <w:tc>
          <w:tcPr>
            <w:tcW w:w="709" w:type="dxa"/>
            <w:tcBorders>
              <w:top w:val="nil"/>
              <w:left w:val="nil"/>
              <w:bottom w:val="double" w:sz="6" w:space="0" w:color="000000"/>
              <w:right w:val="nil"/>
            </w:tcBorders>
            <w:shd w:val="clear" w:color="auto" w:fill="D9D9D9"/>
            <w:noWrap/>
            <w:vAlign w:val="center"/>
          </w:tcPr>
          <w:p w:rsidR="00D265DA" w:rsidRPr="007B4DA1" w:rsidRDefault="00D265DA" w:rsidP="00D265DA">
            <w:pPr>
              <w:pStyle w:val="NormalWeb"/>
              <w:bidi/>
              <w:spacing w:before="0" w:beforeAutospacing="0" w:after="0" w:afterAutospacing="0" w:line="256" w:lineRule="auto"/>
              <w:jc w:val="center"/>
              <w:rPr>
                <w:rFonts w:ascii="David" w:hAnsi="David" w:cs="David"/>
                <w:rtl/>
              </w:rPr>
            </w:pPr>
            <w:r w:rsidRPr="007B4DA1">
              <w:rPr>
                <w:rFonts w:ascii="David" w:hAnsi="David" w:cs="David"/>
                <w:color w:val="000000"/>
                <w:kern w:val="24"/>
                <w:rtl/>
              </w:rPr>
              <w:t>75.7</w:t>
            </w:r>
          </w:p>
        </w:tc>
        <w:tc>
          <w:tcPr>
            <w:tcW w:w="79" w:type="dxa"/>
            <w:tcBorders>
              <w:top w:val="nil"/>
              <w:left w:val="nil"/>
              <w:bottom w:val="nil"/>
              <w:right w:val="nil"/>
            </w:tcBorders>
            <w:shd w:val="clear" w:color="auto" w:fill="auto"/>
            <w:noWrap/>
            <w:vAlign w:val="center"/>
          </w:tcPr>
          <w:p w:rsidR="00D265DA" w:rsidRPr="007B4DA1" w:rsidRDefault="00D265DA" w:rsidP="00D265DA">
            <w:pPr>
              <w:pStyle w:val="NormalWeb"/>
              <w:bidi/>
              <w:spacing w:before="0" w:beforeAutospacing="0" w:after="0" w:afterAutospacing="0" w:line="256" w:lineRule="auto"/>
              <w:jc w:val="center"/>
              <w:rPr>
                <w:rFonts w:ascii="David" w:hAnsi="David" w:cs="David"/>
                <w:rtl/>
              </w:rPr>
            </w:pPr>
          </w:p>
        </w:tc>
        <w:tc>
          <w:tcPr>
            <w:tcW w:w="696" w:type="dxa"/>
            <w:tcBorders>
              <w:top w:val="nil"/>
              <w:left w:val="nil"/>
              <w:bottom w:val="double" w:sz="6" w:space="0" w:color="000000"/>
              <w:right w:val="nil"/>
            </w:tcBorders>
            <w:shd w:val="clear" w:color="auto" w:fill="auto"/>
            <w:noWrap/>
            <w:vAlign w:val="center"/>
          </w:tcPr>
          <w:p w:rsidR="00D265DA" w:rsidRPr="007B4DA1" w:rsidRDefault="00D265DA" w:rsidP="00D265DA">
            <w:pPr>
              <w:pStyle w:val="NormalWeb"/>
              <w:bidi/>
              <w:spacing w:before="0" w:beforeAutospacing="0" w:after="0" w:afterAutospacing="0" w:line="256" w:lineRule="auto"/>
              <w:jc w:val="center"/>
              <w:rPr>
                <w:rFonts w:ascii="David" w:hAnsi="David" w:cs="David"/>
                <w:rtl/>
              </w:rPr>
            </w:pPr>
            <w:r w:rsidRPr="007B4DA1">
              <w:rPr>
                <w:rFonts w:ascii="David" w:hAnsi="David" w:cs="David"/>
                <w:b/>
                <w:bCs/>
                <w:color w:val="000000"/>
                <w:kern w:val="24"/>
                <w:rtl/>
              </w:rPr>
              <w:t>78.6</w:t>
            </w:r>
          </w:p>
        </w:tc>
        <w:tc>
          <w:tcPr>
            <w:tcW w:w="715" w:type="dxa"/>
            <w:tcBorders>
              <w:top w:val="nil"/>
              <w:left w:val="nil"/>
              <w:bottom w:val="double" w:sz="6" w:space="0" w:color="000000"/>
              <w:right w:val="nil"/>
            </w:tcBorders>
            <w:shd w:val="clear" w:color="auto" w:fill="auto"/>
            <w:noWrap/>
            <w:vAlign w:val="center"/>
          </w:tcPr>
          <w:p w:rsidR="00D265DA" w:rsidRPr="007B4DA1" w:rsidRDefault="00D265DA" w:rsidP="00D265DA">
            <w:pPr>
              <w:pStyle w:val="NormalWeb"/>
              <w:bidi/>
              <w:spacing w:before="0" w:beforeAutospacing="0" w:after="0" w:afterAutospacing="0" w:line="256" w:lineRule="auto"/>
              <w:jc w:val="center"/>
              <w:rPr>
                <w:rFonts w:ascii="David" w:hAnsi="David" w:cs="David"/>
                <w:rtl/>
              </w:rPr>
            </w:pPr>
            <w:r w:rsidRPr="007B4DA1">
              <w:rPr>
                <w:rFonts w:ascii="David" w:hAnsi="David" w:cs="David"/>
                <w:color w:val="4F81BD"/>
                <w:kern w:val="24"/>
              </w:rPr>
              <w:t>-0.1</w:t>
            </w:r>
          </w:p>
        </w:tc>
        <w:tc>
          <w:tcPr>
            <w:tcW w:w="136" w:type="dxa"/>
            <w:tcBorders>
              <w:top w:val="nil"/>
              <w:left w:val="nil"/>
              <w:bottom w:val="nil"/>
              <w:right w:val="nil"/>
            </w:tcBorders>
            <w:shd w:val="clear" w:color="auto" w:fill="auto"/>
            <w:noWrap/>
            <w:vAlign w:val="center"/>
          </w:tcPr>
          <w:p w:rsidR="00D265DA" w:rsidRPr="007B4DA1" w:rsidRDefault="00D265DA" w:rsidP="00D265DA">
            <w:pPr>
              <w:pStyle w:val="NormalWeb"/>
              <w:bidi/>
              <w:spacing w:before="0" w:beforeAutospacing="0" w:after="0" w:afterAutospacing="0" w:line="256" w:lineRule="auto"/>
              <w:jc w:val="center"/>
              <w:rPr>
                <w:rFonts w:ascii="David" w:hAnsi="David" w:cs="David"/>
                <w:rtl/>
              </w:rPr>
            </w:pPr>
          </w:p>
        </w:tc>
        <w:tc>
          <w:tcPr>
            <w:tcW w:w="708" w:type="dxa"/>
            <w:tcBorders>
              <w:top w:val="nil"/>
              <w:left w:val="single" w:sz="8" w:space="0" w:color="FFFFFF"/>
              <w:bottom w:val="double" w:sz="6" w:space="0" w:color="000000"/>
              <w:right w:val="nil"/>
            </w:tcBorders>
            <w:shd w:val="clear" w:color="auto" w:fill="auto"/>
            <w:vAlign w:val="center"/>
          </w:tcPr>
          <w:p w:rsidR="00D265DA" w:rsidRPr="007B4DA1" w:rsidRDefault="00D265DA" w:rsidP="00D265DA">
            <w:pPr>
              <w:pStyle w:val="NormalWeb"/>
              <w:bidi/>
              <w:spacing w:before="0" w:beforeAutospacing="0" w:after="0" w:afterAutospacing="0" w:line="256" w:lineRule="auto"/>
              <w:jc w:val="center"/>
              <w:rPr>
                <w:rFonts w:ascii="David" w:hAnsi="David" w:cs="David"/>
                <w:rtl/>
              </w:rPr>
            </w:pPr>
            <w:r w:rsidRPr="007B4DA1">
              <w:rPr>
                <w:rFonts w:ascii="David" w:hAnsi="David" w:cs="David"/>
                <w:b/>
                <w:bCs/>
                <w:color w:val="000000"/>
                <w:kern w:val="24"/>
              </w:rPr>
              <w:t>77.5</w:t>
            </w:r>
          </w:p>
        </w:tc>
        <w:tc>
          <w:tcPr>
            <w:tcW w:w="684" w:type="dxa"/>
            <w:tcBorders>
              <w:top w:val="nil"/>
              <w:left w:val="nil"/>
              <w:bottom w:val="double" w:sz="6" w:space="0" w:color="000000"/>
              <w:right w:val="single" w:sz="8" w:space="0" w:color="FFFFFF"/>
            </w:tcBorders>
            <w:shd w:val="clear" w:color="auto" w:fill="auto"/>
            <w:vAlign w:val="center"/>
          </w:tcPr>
          <w:p w:rsidR="00D265DA" w:rsidRPr="007B4DA1" w:rsidRDefault="00D265DA" w:rsidP="00D265DA">
            <w:pPr>
              <w:pStyle w:val="NormalWeb"/>
              <w:bidi/>
              <w:spacing w:before="0" w:beforeAutospacing="0" w:after="0" w:afterAutospacing="0" w:line="256" w:lineRule="auto"/>
              <w:jc w:val="center"/>
              <w:rPr>
                <w:rFonts w:ascii="David" w:hAnsi="David" w:cs="David"/>
                <w:rtl/>
              </w:rPr>
            </w:pPr>
            <w:r w:rsidRPr="007B4DA1">
              <w:rPr>
                <w:rFonts w:ascii="David" w:eastAsia="Calibri" w:hAnsi="David" w:cs="David"/>
                <w:color w:val="4F81BD"/>
                <w:kern w:val="24"/>
              </w:rPr>
              <w:t>-0.4</w:t>
            </w:r>
          </w:p>
        </w:tc>
        <w:tc>
          <w:tcPr>
            <w:tcW w:w="62" w:type="dxa"/>
            <w:tcBorders>
              <w:top w:val="nil"/>
              <w:left w:val="nil"/>
              <w:bottom w:val="nil"/>
              <w:right w:val="nil"/>
            </w:tcBorders>
            <w:shd w:val="clear" w:color="auto" w:fill="auto"/>
            <w:vAlign w:val="center"/>
          </w:tcPr>
          <w:p w:rsidR="00D265DA" w:rsidRPr="007B4DA1" w:rsidRDefault="00D265DA" w:rsidP="00D265DA">
            <w:pPr>
              <w:pStyle w:val="NormalWeb"/>
              <w:bidi/>
              <w:spacing w:before="0" w:beforeAutospacing="0" w:after="0" w:afterAutospacing="0" w:line="256" w:lineRule="auto"/>
              <w:jc w:val="center"/>
              <w:rPr>
                <w:rFonts w:ascii="David" w:hAnsi="David" w:cs="David"/>
                <w:rtl/>
              </w:rPr>
            </w:pPr>
          </w:p>
        </w:tc>
        <w:tc>
          <w:tcPr>
            <w:tcW w:w="643" w:type="dxa"/>
            <w:tcBorders>
              <w:top w:val="nil"/>
              <w:left w:val="nil"/>
              <w:bottom w:val="double" w:sz="4" w:space="0" w:color="000000"/>
              <w:right w:val="nil"/>
            </w:tcBorders>
            <w:shd w:val="clear" w:color="auto" w:fill="auto"/>
            <w:vAlign w:val="center"/>
          </w:tcPr>
          <w:p w:rsidR="00D265DA" w:rsidRPr="007B4DA1" w:rsidRDefault="00D265DA" w:rsidP="00D265DA">
            <w:pPr>
              <w:pStyle w:val="NormalWeb"/>
              <w:bidi/>
              <w:spacing w:before="0" w:beforeAutospacing="0" w:after="0" w:afterAutospacing="0" w:line="256" w:lineRule="auto"/>
              <w:jc w:val="center"/>
              <w:rPr>
                <w:rFonts w:ascii="David" w:hAnsi="David" w:cs="David"/>
                <w:rtl/>
              </w:rPr>
            </w:pPr>
            <w:r w:rsidRPr="007B4DA1">
              <w:rPr>
                <w:rFonts w:ascii="David" w:hAnsi="David" w:cs="David"/>
                <w:b/>
                <w:bCs/>
                <w:color w:val="000000" w:themeColor="text1"/>
                <w:kern w:val="24"/>
                <w:rtl/>
              </w:rPr>
              <w:t>77.4</w:t>
            </w:r>
          </w:p>
        </w:tc>
      </w:tr>
      <w:tr w:rsidR="00D265DA" w:rsidRPr="007B4DA1" w:rsidTr="00D265DA">
        <w:trPr>
          <w:trHeight w:val="285"/>
        </w:trPr>
        <w:tc>
          <w:tcPr>
            <w:tcW w:w="3625" w:type="dxa"/>
            <w:tcBorders>
              <w:top w:val="nil"/>
              <w:left w:val="nil"/>
              <w:bottom w:val="nil"/>
              <w:right w:val="nil"/>
            </w:tcBorders>
            <w:shd w:val="clear" w:color="auto" w:fill="auto"/>
            <w:vAlign w:val="center"/>
            <w:hideMark/>
          </w:tcPr>
          <w:p w:rsidR="00D265DA" w:rsidRPr="007B4DA1" w:rsidRDefault="00D265DA" w:rsidP="00D265DA">
            <w:pPr>
              <w:spacing w:after="0" w:line="240" w:lineRule="auto"/>
              <w:jc w:val="both"/>
              <w:rPr>
                <w:rFonts w:ascii="David" w:eastAsia="Times New Roman" w:hAnsi="David" w:cs="David"/>
                <w:color w:val="000000"/>
                <w:sz w:val="24"/>
                <w:szCs w:val="24"/>
              </w:rPr>
            </w:pPr>
            <w:r w:rsidRPr="007B4DA1">
              <w:rPr>
                <w:rFonts w:ascii="David" w:eastAsia="Calibri" w:hAnsi="David" w:cs="David"/>
                <w:color w:val="000000"/>
                <w:sz w:val="24"/>
                <w:szCs w:val="24"/>
                <w:rtl/>
              </w:rPr>
              <w:t>גירעון הממשלה (אחוזי תוצר)</w:t>
            </w:r>
          </w:p>
        </w:tc>
        <w:tc>
          <w:tcPr>
            <w:tcW w:w="709" w:type="dxa"/>
            <w:tcBorders>
              <w:top w:val="double" w:sz="6" w:space="0" w:color="000000"/>
              <w:left w:val="nil"/>
              <w:bottom w:val="nil"/>
              <w:right w:val="nil"/>
            </w:tcBorders>
            <w:shd w:val="clear" w:color="auto" w:fill="D9D9D9"/>
            <w:noWrap/>
            <w:vAlign w:val="center"/>
          </w:tcPr>
          <w:p w:rsidR="00D265DA" w:rsidRPr="007B4DA1" w:rsidRDefault="00D265DA" w:rsidP="00D265DA">
            <w:pPr>
              <w:pStyle w:val="NormalWeb"/>
              <w:bidi/>
              <w:spacing w:before="0" w:beforeAutospacing="0" w:after="0" w:afterAutospacing="0" w:line="256" w:lineRule="auto"/>
              <w:jc w:val="center"/>
              <w:rPr>
                <w:rFonts w:ascii="David" w:hAnsi="David" w:cs="David"/>
                <w:rtl/>
              </w:rPr>
            </w:pPr>
            <w:r w:rsidRPr="007B4DA1">
              <w:rPr>
                <w:rFonts w:ascii="David" w:hAnsi="David" w:cs="David"/>
                <w:color w:val="000000"/>
                <w:kern w:val="24"/>
                <w:rtl/>
              </w:rPr>
              <w:t>4.4</w:t>
            </w:r>
          </w:p>
        </w:tc>
        <w:tc>
          <w:tcPr>
            <w:tcW w:w="79" w:type="dxa"/>
            <w:tcBorders>
              <w:top w:val="nil"/>
              <w:left w:val="nil"/>
              <w:bottom w:val="nil"/>
              <w:right w:val="nil"/>
            </w:tcBorders>
            <w:shd w:val="clear" w:color="auto" w:fill="auto"/>
            <w:noWrap/>
            <w:vAlign w:val="center"/>
          </w:tcPr>
          <w:p w:rsidR="00D265DA" w:rsidRPr="007B4DA1" w:rsidRDefault="00D265DA" w:rsidP="00D265DA">
            <w:pPr>
              <w:pStyle w:val="NormalWeb"/>
              <w:bidi/>
              <w:spacing w:before="0" w:beforeAutospacing="0" w:after="0" w:afterAutospacing="0" w:line="256" w:lineRule="auto"/>
              <w:jc w:val="center"/>
              <w:rPr>
                <w:rFonts w:ascii="David" w:hAnsi="David" w:cs="David"/>
                <w:rtl/>
              </w:rPr>
            </w:pPr>
          </w:p>
        </w:tc>
        <w:tc>
          <w:tcPr>
            <w:tcW w:w="696" w:type="dxa"/>
            <w:tcBorders>
              <w:top w:val="double" w:sz="6" w:space="0" w:color="000000"/>
              <w:left w:val="nil"/>
              <w:bottom w:val="nil"/>
              <w:right w:val="nil"/>
            </w:tcBorders>
            <w:shd w:val="clear" w:color="auto" w:fill="auto"/>
            <w:noWrap/>
            <w:vAlign w:val="center"/>
          </w:tcPr>
          <w:p w:rsidR="00D265DA" w:rsidRPr="007B4DA1" w:rsidRDefault="00D265DA" w:rsidP="00D265DA">
            <w:pPr>
              <w:pStyle w:val="NormalWeb"/>
              <w:bidi/>
              <w:spacing w:before="0" w:beforeAutospacing="0" w:after="0" w:afterAutospacing="0" w:line="256" w:lineRule="auto"/>
              <w:jc w:val="center"/>
              <w:rPr>
                <w:rFonts w:ascii="David" w:hAnsi="David" w:cs="David"/>
                <w:rtl/>
              </w:rPr>
            </w:pPr>
            <w:r w:rsidRPr="007B4DA1">
              <w:rPr>
                <w:rFonts w:ascii="David" w:hAnsi="David" w:cs="David"/>
                <w:b/>
                <w:bCs/>
                <w:color w:val="000000"/>
                <w:kern w:val="24"/>
              </w:rPr>
              <w:t>-0.3</w:t>
            </w:r>
          </w:p>
        </w:tc>
        <w:tc>
          <w:tcPr>
            <w:tcW w:w="715" w:type="dxa"/>
            <w:tcBorders>
              <w:top w:val="double" w:sz="6" w:space="0" w:color="000000"/>
              <w:left w:val="nil"/>
              <w:bottom w:val="nil"/>
              <w:right w:val="nil"/>
            </w:tcBorders>
            <w:shd w:val="clear" w:color="auto" w:fill="auto"/>
            <w:noWrap/>
            <w:vAlign w:val="center"/>
          </w:tcPr>
          <w:p w:rsidR="00D265DA" w:rsidRPr="007B4DA1" w:rsidRDefault="00D265DA" w:rsidP="00D265DA">
            <w:pPr>
              <w:pStyle w:val="NormalWeb"/>
              <w:bidi/>
              <w:spacing w:before="0" w:beforeAutospacing="0" w:after="0" w:afterAutospacing="0" w:line="256" w:lineRule="auto"/>
              <w:jc w:val="center"/>
              <w:rPr>
                <w:rFonts w:ascii="David" w:hAnsi="David" w:cs="David"/>
                <w:rtl/>
              </w:rPr>
            </w:pPr>
            <w:r w:rsidRPr="007B4DA1">
              <w:rPr>
                <w:rFonts w:ascii="David" w:hAnsi="David" w:cs="David"/>
                <w:color w:val="4F81BD"/>
                <w:kern w:val="24"/>
              </w:rPr>
              <w:t>-0.6</w:t>
            </w:r>
          </w:p>
        </w:tc>
        <w:tc>
          <w:tcPr>
            <w:tcW w:w="136" w:type="dxa"/>
            <w:tcBorders>
              <w:top w:val="nil"/>
              <w:left w:val="nil"/>
              <w:bottom w:val="nil"/>
              <w:right w:val="nil"/>
            </w:tcBorders>
            <w:shd w:val="clear" w:color="auto" w:fill="auto"/>
            <w:noWrap/>
            <w:vAlign w:val="center"/>
          </w:tcPr>
          <w:p w:rsidR="00D265DA" w:rsidRPr="007B4DA1" w:rsidRDefault="00D265DA" w:rsidP="00D265DA">
            <w:pPr>
              <w:pStyle w:val="NormalWeb"/>
              <w:bidi/>
              <w:spacing w:before="0" w:beforeAutospacing="0" w:after="0" w:afterAutospacing="0" w:line="256" w:lineRule="auto"/>
              <w:jc w:val="center"/>
              <w:rPr>
                <w:rFonts w:ascii="David" w:hAnsi="David" w:cs="David"/>
                <w:rtl/>
              </w:rPr>
            </w:pPr>
          </w:p>
        </w:tc>
        <w:tc>
          <w:tcPr>
            <w:tcW w:w="708" w:type="dxa"/>
            <w:tcBorders>
              <w:top w:val="double" w:sz="6" w:space="0" w:color="000000"/>
              <w:left w:val="single" w:sz="8" w:space="0" w:color="FFFFFF"/>
              <w:bottom w:val="nil"/>
              <w:right w:val="nil"/>
            </w:tcBorders>
            <w:shd w:val="clear" w:color="auto" w:fill="auto"/>
            <w:vAlign w:val="center"/>
          </w:tcPr>
          <w:p w:rsidR="00D265DA" w:rsidRPr="007B4DA1" w:rsidRDefault="00D265DA" w:rsidP="00E46173">
            <w:pPr>
              <w:pStyle w:val="NormalWeb"/>
              <w:bidi/>
              <w:spacing w:before="0" w:beforeAutospacing="0" w:after="0" w:afterAutospacing="0" w:line="256" w:lineRule="auto"/>
              <w:jc w:val="center"/>
              <w:rPr>
                <w:rFonts w:ascii="David" w:hAnsi="David" w:cs="David"/>
                <w:rtl/>
              </w:rPr>
            </w:pPr>
            <w:r w:rsidRPr="007B4DA1">
              <w:rPr>
                <w:rFonts w:ascii="David" w:hAnsi="David" w:cs="David"/>
                <w:b/>
                <w:bCs/>
                <w:color w:val="000000"/>
                <w:kern w:val="24"/>
              </w:rPr>
              <w:t>1.</w:t>
            </w:r>
            <w:r w:rsidR="00E46173" w:rsidRPr="007B4DA1">
              <w:rPr>
                <w:rFonts w:ascii="David" w:hAnsi="David" w:cs="David"/>
                <w:b/>
                <w:bCs/>
                <w:color w:val="000000"/>
                <w:kern w:val="24"/>
              </w:rPr>
              <w:t>8</w:t>
            </w:r>
          </w:p>
        </w:tc>
        <w:tc>
          <w:tcPr>
            <w:tcW w:w="684" w:type="dxa"/>
            <w:tcBorders>
              <w:top w:val="double" w:sz="6" w:space="0" w:color="000000"/>
              <w:left w:val="nil"/>
              <w:bottom w:val="nil"/>
              <w:right w:val="single" w:sz="8" w:space="0" w:color="FFFFFF"/>
            </w:tcBorders>
            <w:shd w:val="clear" w:color="auto" w:fill="auto"/>
            <w:vAlign w:val="center"/>
          </w:tcPr>
          <w:p w:rsidR="00D265DA" w:rsidRPr="007B4DA1" w:rsidRDefault="00D265DA" w:rsidP="00E46173">
            <w:pPr>
              <w:pStyle w:val="NormalWeb"/>
              <w:bidi/>
              <w:spacing w:before="0" w:beforeAutospacing="0" w:after="0" w:afterAutospacing="0" w:line="256" w:lineRule="auto"/>
              <w:jc w:val="center"/>
              <w:rPr>
                <w:rFonts w:ascii="David" w:hAnsi="David" w:cs="David"/>
                <w:rtl/>
              </w:rPr>
            </w:pPr>
            <w:r w:rsidRPr="007B4DA1">
              <w:rPr>
                <w:rFonts w:ascii="David" w:hAnsi="David" w:cs="David"/>
                <w:color w:val="4F81BD"/>
                <w:kern w:val="24"/>
              </w:rPr>
              <w:t>0.</w:t>
            </w:r>
            <w:r w:rsidR="00E46173" w:rsidRPr="007B4DA1">
              <w:rPr>
                <w:rFonts w:ascii="David" w:hAnsi="David" w:cs="David"/>
                <w:color w:val="4F81BD"/>
                <w:kern w:val="24"/>
              </w:rPr>
              <w:t>8</w:t>
            </w:r>
          </w:p>
        </w:tc>
        <w:tc>
          <w:tcPr>
            <w:tcW w:w="62" w:type="dxa"/>
            <w:tcBorders>
              <w:top w:val="nil"/>
              <w:left w:val="nil"/>
              <w:bottom w:val="nil"/>
              <w:right w:val="nil"/>
            </w:tcBorders>
            <w:shd w:val="clear" w:color="auto" w:fill="auto"/>
            <w:vAlign w:val="center"/>
          </w:tcPr>
          <w:p w:rsidR="00D265DA" w:rsidRPr="007B4DA1" w:rsidRDefault="00D265DA" w:rsidP="00D265DA">
            <w:pPr>
              <w:pStyle w:val="NormalWeb"/>
              <w:bidi/>
              <w:spacing w:before="0" w:beforeAutospacing="0" w:after="0" w:afterAutospacing="0" w:line="256" w:lineRule="auto"/>
              <w:jc w:val="center"/>
              <w:rPr>
                <w:rFonts w:ascii="David" w:hAnsi="David" w:cs="David"/>
                <w:rtl/>
              </w:rPr>
            </w:pPr>
          </w:p>
        </w:tc>
        <w:tc>
          <w:tcPr>
            <w:tcW w:w="643" w:type="dxa"/>
            <w:tcBorders>
              <w:top w:val="double" w:sz="4" w:space="0" w:color="000000"/>
              <w:left w:val="nil"/>
              <w:bottom w:val="nil"/>
              <w:right w:val="nil"/>
            </w:tcBorders>
            <w:shd w:val="clear" w:color="auto" w:fill="auto"/>
            <w:vAlign w:val="center"/>
          </w:tcPr>
          <w:p w:rsidR="00D265DA" w:rsidRPr="007B4DA1" w:rsidRDefault="00D265DA" w:rsidP="00D265DA">
            <w:pPr>
              <w:pStyle w:val="NormalWeb"/>
              <w:bidi/>
              <w:spacing w:before="0" w:beforeAutospacing="0" w:after="0" w:afterAutospacing="0" w:line="256" w:lineRule="auto"/>
              <w:jc w:val="center"/>
              <w:rPr>
                <w:rFonts w:ascii="David" w:hAnsi="David" w:cs="David"/>
                <w:rtl/>
              </w:rPr>
            </w:pPr>
            <w:r w:rsidRPr="007B4DA1">
              <w:rPr>
                <w:rFonts w:ascii="David" w:hAnsi="David" w:cs="David"/>
                <w:b/>
                <w:bCs/>
                <w:color w:val="000000" w:themeColor="text1"/>
                <w:kern w:val="24"/>
              </w:rPr>
              <w:t>2.1</w:t>
            </w:r>
          </w:p>
        </w:tc>
      </w:tr>
      <w:tr w:rsidR="00D265DA" w:rsidRPr="007B4DA1" w:rsidTr="00D265DA">
        <w:trPr>
          <w:trHeight w:val="285"/>
        </w:trPr>
        <w:tc>
          <w:tcPr>
            <w:tcW w:w="3625" w:type="dxa"/>
            <w:tcBorders>
              <w:top w:val="nil"/>
              <w:left w:val="nil"/>
              <w:bottom w:val="double" w:sz="6" w:space="0" w:color="auto"/>
              <w:right w:val="nil"/>
            </w:tcBorders>
            <w:shd w:val="clear" w:color="auto" w:fill="auto"/>
            <w:vAlign w:val="center"/>
            <w:hideMark/>
          </w:tcPr>
          <w:p w:rsidR="00D265DA" w:rsidRPr="007B4DA1" w:rsidRDefault="00D265DA" w:rsidP="00D265DA">
            <w:pPr>
              <w:spacing w:after="0" w:line="240" w:lineRule="auto"/>
              <w:jc w:val="both"/>
              <w:rPr>
                <w:rFonts w:ascii="David" w:eastAsia="Times New Roman" w:hAnsi="David" w:cs="David"/>
                <w:color w:val="000000"/>
                <w:sz w:val="24"/>
                <w:szCs w:val="24"/>
              </w:rPr>
            </w:pPr>
            <w:r w:rsidRPr="007B4DA1">
              <w:rPr>
                <w:rFonts w:ascii="David" w:eastAsia="Calibri" w:hAnsi="David" w:cs="David"/>
                <w:color w:val="000000"/>
                <w:sz w:val="24"/>
                <w:szCs w:val="24"/>
                <w:rtl/>
              </w:rPr>
              <w:t>יחס חוב לתוצר</w:t>
            </w:r>
          </w:p>
        </w:tc>
        <w:tc>
          <w:tcPr>
            <w:tcW w:w="709" w:type="dxa"/>
            <w:tcBorders>
              <w:top w:val="nil"/>
              <w:left w:val="nil"/>
              <w:bottom w:val="double" w:sz="6" w:space="0" w:color="000000"/>
              <w:right w:val="nil"/>
            </w:tcBorders>
            <w:shd w:val="clear" w:color="auto" w:fill="D9D9D9"/>
            <w:noWrap/>
            <w:vAlign w:val="center"/>
          </w:tcPr>
          <w:p w:rsidR="00D265DA" w:rsidRPr="007B4DA1" w:rsidRDefault="00D265DA" w:rsidP="00D265DA">
            <w:pPr>
              <w:pStyle w:val="NormalWeb"/>
              <w:bidi/>
              <w:spacing w:before="0" w:beforeAutospacing="0" w:after="0" w:afterAutospacing="0" w:line="256" w:lineRule="auto"/>
              <w:jc w:val="center"/>
              <w:rPr>
                <w:rFonts w:ascii="David" w:hAnsi="David" w:cs="David"/>
                <w:rtl/>
              </w:rPr>
            </w:pPr>
            <w:r w:rsidRPr="007B4DA1">
              <w:rPr>
                <w:rFonts w:ascii="David" w:hAnsi="David" w:cs="David"/>
                <w:color w:val="000000"/>
                <w:kern w:val="24"/>
                <w:rtl/>
              </w:rPr>
              <w:t>68</w:t>
            </w:r>
          </w:p>
        </w:tc>
        <w:tc>
          <w:tcPr>
            <w:tcW w:w="79" w:type="dxa"/>
            <w:tcBorders>
              <w:top w:val="nil"/>
              <w:left w:val="nil"/>
              <w:bottom w:val="nil"/>
              <w:right w:val="nil"/>
            </w:tcBorders>
            <w:shd w:val="clear" w:color="auto" w:fill="auto"/>
            <w:noWrap/>
            <w:vAlign w:val="center"/>
          </w:tcPr>
          <w:p w:rsidR="00D265DA" w:rsidRPr="007B4DA1" w:rsidRDefault="00D265DA" w:rsidP="00D265DA">
            <w:pPr>
              <w:pStyle w:val="NormalWeb"/>
              <w:bidi/>
              <w:spacing w:before="0" w:beforeAutospacing="0" w:after="0" w:afterAutospacing="0" w:line="256" w:lineRule="auto"/>
              <w:jc w:val="center"/>
              <w:rPr>
                <w:rFonts w:ascii="David" w:hAnsi="David" w:cs="David"/>
                <w:rtl/>
              </w:rPr>
            </w:pPr>
          </w:p>
        </w:tc>
        <w:tc>
          <w:tcPr>
            <w:tcW w:w="696" w:type="dxa"/>
            <w:tcBorders>
              <w:top w:val="nil"/>
              <w:left w:val="nil"/>
              <w:bottom w:val="double" w:sz="6" w:space="0" w:color="000000"/>
              <w:right w:val="nil"/>
            </w:tcBorders>
            <w:shd w:val="clear" w:color="auto" w:fill="auto"/>
            <w:noWrap/>
            <w:vAlign w:val="center"/>
          </w:tcPr>
          <w:p w:rsidR="00D265DA" w:rsidRPr="007B4DA1" w:rsidRDefault="00D265DA" w:rsidP="00D265DA">
            <w:pPr>
              <w:pStyle w:val="NormalWeb"/>
              <w:bidi/>
              <w:spacing w:before="0" w:beforeAutospacing="0" w:after="0" w:afterAutospacing="0" w:line="256" w:lineRule="auto"/>
              <w:jc w:val="center"/>
              <w:rPr>
                <w:rFonts w:ascii="David" w:hAnsi="David" w:cs="David"/>
                <w:rtl/>
              </w:rPr>
            </w:pPr>
            <w:r w:rsidRPr="007B4DA1">
              <w:rPr>
                <w:rFonts w:ascii="David" w:hAnsi="David" w:cs="David"/>
                <w:b/>
                <w:bCs/>
                <w:color w:val="000000"/>
                <w:kern w:val="24"/>
              </w:rPr>
              <w:t>62</w:t>
            </w:r>
          </w:p>
        </w:tc>
        <w:tc>
          <w:tcPr>
            <w:tcW w:w="715" w:type="dxa"/>
            <w:tcBorders>
              <w:top w:val="nil"/>
              <w:left w:val="nil"/>
              <w:bottom w:val="double" w:sz="6" w:space="0" w:color="000000"/>
              <w:right w:val="nil"/>
            </w:tcBorders>
            <w:shd w:val="clear" w:color="auto" w:fill="auto"/>
            <w:noWrap/>
            <w:vAlign w:val="center"/>
          </w:tcPr>
          <w:p w:rsidR="00D265DA" w:rsidRPr="007B4DA1" w:rsidRDefault="00D265DA" w:rsidP="00D265DA">
            <w:pPr>
              <w:pStyle w:val="NormalWeb"/>
              <w:bidi/>
              <w:spacing w:before="0" w:beforeAutospacing="0" w:after="0" w:afterAutospacing="0" w:line="256" w:lineRule="auto"/>
              <w:jc w:val="center"/>
              <w:rPr>
                <w:rFonts w:ascii="David" w:hAnsi="David" w:cs="David"/>
                <w:rtl/>
              </w:rPr>
            </w:pPr>
            <w:r w:rsidRPr="007B4DA1">
              <w:rPr>
                <w:rFonts w:ascii="David" w:eastAsia="Calibri" w:hAnsi="David" w:cs="David"/>
                <w:color w:val="4F81BD"/>
                <w:kern w:val="24"/>
              </w:rPr>
              <w:t>-3.0</w:t>
            </w:r>
          </w:p>
        </w:tc>
        <w:tc>
          <w:tcPr>
            <w:tcW w:w="136" w:type="dxa"/>
            <w:tcBorders>
              <w:top w:val="nil"/>
              <w:left w:val="nil"/>
              <w:bottom w:val="nil"/>
              <w:right w:val="nil"/>
            </w:tcBorders>
            <w:shd w:val="clear" w:color="auto" w:fill="auto"/>
            <w:noWrap/>
            <w:vAlign w:val="center"/>
          </w:tcPr>
          <w:p w:rsidR="00D265DA" w:rsidRPr="007B4DA1" w:rsidRDefault="00D265DA" w:rsidP="00D265DA">
            <w:pPr>
              <w:pStyle w:val="NormalWeb"/>
              <w:bidi/>
              <w:spacing w:before="0" w:beforeAutospacing="0" w:after="0" w:afterAutospacing="0" w:line="256" w:lineRule="auto"/>
              <w:jc w:val="center"/>
              <w:rPr>
                <w:rFonts w:ascii="David" w:hAnsi="David" w:cs="David"/>
                <w:rtl/>
              </w:rPr>
            </w:pPr>
          </w:p>
        </w:tc>
        <w:tc>
          <w:tcPr>
            <w:tcW w:w="708" w:type="dxa"/>
            <w:tcBorders>
              <w:top w:val="nil"/>
              <w:left w:val="nil"/>
              <w:bottom w:val="double" w:sz="6" w:space="0" w:color="000000"/>
              <w:right w:val="nil"/>
            </w:tcBorders>
            <w:shd w:val="clear" w:color="auto" w:fill="auto"/>
            <w:vAlign w:val="center"/>
          </w:tcPr>
          <w:p w:rsidR="00D265DA" w:rsidRPr="007B4DA1" w:rsidRDefault="00D265DA" w:rsidP="00D265DA">
            <w:pPr>
              <w:pStyle w:val="NormalWeb"/>
              <w:bidi/>
              <w:spacing w:before="0" w:beforeAutospacing="0" w:after="0" w:afterAutospacing="0" w:line="256" w:lineRule="auto"/>
              <w:jc w:val="center"/>
              <w:rPr>
                <w:rFonts w:ascii="David" w:hAnsi="David" w:cs="David"/>
                <w:rtl/>
              </w:rPr>
            </w:pPr>
            <w:r w:rsidRPr="007B4DA1">
              <w:rPr>
                <w:rFonts w:ascii="David" w:hAnsi="David" w:cs="David"/>
                <w:b/>
                <w:bCs/>
                <w:color w:val="000000"/>
                <w:kern w:val="24"/>
              </w:rPr>
              <w:t>62</w:t>
            </w:r>
          </w:p>
        </w:tc>
        <w:tc>
          <w:tcPr>
            <w:tcW w:w="684" w:type="dxa"/>
            <w:tcBorders>
              <w:top w:val="nil"/>
              <w:left w:val="nil"/>
              <w:bottom w:val="double" w:sz="6" w:space="0" w:color="000000"/>
              <w:right w:val="nil"/>
            </w:tcBorders>
            <w:shd w:val="clear" w:color="auto" w:fill="auto"/>
            <w:vAlign w:val="center"/>
          </w:tcPr>
          <w:p w:rsidR="00D265DA" w:rsidRPr="007B4DA1" w:rsidRDefault="00D265DA" w:rsidP="00D265DA">
            <w:pPr>
              <w:pStyle w:val="NormalWeb"/>
              <w:bidi/>
              <w:spacing w:before="0" w:beforeAutospacing="0" w:after="0" w:afterAutospacing="0" w:line="256" w:lineRule="auto"/>
              <w:jc w:val="center"/>
              <w:rPr>
                <w:rFonts w:ascii="David" w:hAnsi="David" w:cs="David"/>
                <w:rtl/>
              </w:rPr>
            </w:pPr>
            <w:r w:rsidRPr="007B4DA1">
              <w:rPr>
                <w:rFonts w:ascii="David" w:hAnsi="David" w:cs="David"/>
                <w:color w:val="4F81BD"/>
                <w:kern w:val="24"/>
              </w:rPr>
              <w:t>-1.0</w:t>
            </w:r>
          </w:p>
        </w:tc>
        <w:tc>
          <w:tcPr>
            <w:tcW w:w="62" w:type="dxa"/>
            <w:tcBorders>
              <w:top w:val="nil"/>
              <w:left w:val="nil"/>
              <w:bottom w:val="nil"/>
              <w:right w:val="nil"/>
            </w:tcBorders>
            <w:shd w:val="clear" w:color="auto" w:fill="auto"/>
            <w:vAlign w:val="center"/>
          </w:tcPr>
          <w:p w:rsidR="00D265DA" w:rsidRPr="007B4DA1" w:rsidRDefault="00D265DA" w:rsidP="00D265DA">
            <w:pPr>
              <w:pStyle w:val="NormalWeb"/>
              <w:bidi/>
              <w:spacing w:before="0" w:beforeAutospacing="0" w:after="0" w:afterAutospacing="0" w:line="256" w:lineRule="auto"/>
              <w:jc w:val="center"/>
              <w:rPr>
                <w:rFonts w:ascii="David" w:hAnsi="David" w:cs="David"/>
                <w:rtl/>
              </w:rPr>
            </w:pPr>
          </w:p>
        </w:tc>
        <w:tc>
          <w:tcPr>
            <w:tcW w:w="643" w:type="dxa"/>
            <w:tcBorders>
              <w:top w:val="nil"/>
              <w:left w:val="nil"/>
              <w:bottom w:val="double" w:sz="4" w:space="0" w:color="000000"/>
              <w:right w:val="nil"/>
            </w:tcBorders>
            <w:shd w:val="clear" w:color="auto" w:fill="auto"/>
            <w:vAlign w:val="center"/>
          </w:tcPr>
          <w:p w:rsidR="00D265DA" w:rsidRPr="007B4DA1" w:rsidRDefault="00D265DA" w:rsidP="00D265DA">
            <w:pPr>
              <w:pStyle w:val="NormalWeb"/>
              <w:bidi/>
              <w:spacing w:before="0" w:beforeAutospacing="0" w:after="0" w:afterAutospacing="0" w:line="256" w:lineRule="auto"/>
              <w:jc w:val="center"/>
              <w:rPr>
                <w:rFonts w:ascii="David" w:hAnsi="David" w:cs="David"/>
                <w:rtl/>
              </w:rPr>
            </w:pPr>
            <w:r w:rsidRPr="007B4DA1">
              <w:rPr>
                <w:rFonts w:ascii="David" w:hAnsi="David" w:cs="David"/>
                <w:b/>
                <w:bCs/>
                <w:color w:val="000000" w:themeColor="text1"/>
                <w:kern w:val="24"/>
              </w:rPr>
              <w:t>61</w:t>
            </w:r>
          </w:p>
        </w:tc>
      </w:tr>
      <w:tr w:rsidR="00D265DA" w:rsidRPr="007B4DA1" w:rsidTr="00D265DA">
        <w:trPr>
          <w:trHeight w:val="285"/>
        </w:trPr>
        <w:tc>
          <w:tcPr>
            <w:tcW w:w="3625" w:type="dxa"/>
            <w:tcBorders>
              <w:top w:val="nil"/>
              <w:left w:val="nil"/>
              <w:bottom w:val="single" w:sz="8" w:space="0" w:color="auto"/>
              <w:right w:val="nil"/>
            </w:tcBorders>
            <w:shd w:val="clear" w:color="auto" w:fill="auto"/>
            <w:vAlign w:val="center"/>
            <w:hideMark/>
          </w:tcPr>
          <w:p w:rsidR="00D265DA" w:rsidRPr="007B4DA1" w:rsidRDefault="00D265DA" w:rsidP="00D265DA">
            <w:pPr>
              <w:spacing w:after="0" w:line="240" w:lineRule="auto"/>
              <w:jc w:val="both"/>
              <w:rPr>
                <w:rFonts w:ascii="David" w:eastAsia="Times New Roman" w:hAnsi="David" w:cs="David"/>
                <w:color w:val="000000"/>
                <w:sz w:val="24"/>
                <w:szCs w:val="24"/>
              </w:rPr>
            </w:pPr>
            <w:r w:rsidRPr="007B4DA1">
              <w:rPr>
                <w:rFonts w:ascii="David" w:eastAsia="Calibri" w:hAnsi="David" w:cs="David"/>
                <w:color w:val="000000"/>
                <w:sz w:val="24"/>
                <w:szCs w:val="24"/>
                <w:rtl/>
              </w:rPr>
              <w:t>אינפלציה</w:t>
            </w:r>
            <w:r w:rsidRPr="007B4DA1">
              <w:rPr>
                <w:rFonts w:ascii="David" w:eastAsia="Calibri" w:hAnsi="David" w:cs="David"/>
                <w:color w:val="000000"/>
                <w:sz w:val="24"/>
                <w:szCs w:val="24"/>
                <w:vertAlign w:val="superscript"/>
                <w:rtl/>
              </w:rPr>
              <w:t>2</w:t>
            </w:r>
          </w:p>
        </w:tc>
        <w:tc>
          <w:tcPr>
            <w:tcW w:w="709" w:type="dxa"/>
            <w:tcBorders>
              <w:top w:val="double" w:sz="6" w:space="0" w:color="000000"/>
              <w:left w:val="nil"/>
              <w:bottom w:val="single" w:sz="8" w:space="0" w:color="000000"/>
              <w:right w:val="nil"/>
            </w:tcBorders>
            <w:shd w:val="clear" w:color="auto" w:fill="D9D9D9"/>
            <w:noWrap/>
            <w:vAlign w:val="center"/>
            <w:hideMark/>
          </w:tcPr>
          <w:p w:rsidR="00D265DA" w:rsidRPr="007B4DA1" w:rsidRDefault="00D265DA" w:rsidP="00D265DA">
            <w:pPr>
              <w:pStyle w:val="NormalWeb"/>
              <w:bidi/>
              <w:spacing w:before="0" w:beforeAutospacing="0" w:after="0" w:afterAutospacing="0" w:line="256" w:lineRule="auto"/>
              <w:jc w:val="center"/>
              <w:rPr>
                <w:rFonts w:ascii="David" w:hAnsi="David" w:cs="David"/>
                <w:rtl/>
              </w:rPr>
            </w:pPr>
            <w:r w:rsidRPr="007B4DA1">
              <w:rPr>
                <w:rFonts w:ascii="David" w:hAnsi="David" w:cs="David"/>
                <w:color w:val="000000"/>
                <w:kern w:val="24"/>
                <w:rtl/>
              </w:rPr>
              <w:t>2.5</w:t>
            </w:r>
          </w:p>
        </w:tc>
        <w:tc>
          <w:tcPr>
            <w:tcW w:w="79" w:type="dxa"/>
            <w:tcBorders>
              <w:top w:val="nil"/>
              <w:left w:val="nil"/>
              <w:bottom w:val="nil"/>
              <w:right w:val="nil"/>
            </w:tcBorders>
            <w:shd w:val="clear" w:color="auto" w:fill="auto"/>
            <w:noWrap/>
            <w:vAlign w:val="center"/>
            <w:hideMark/>
          </w:tcPr>
          <w:p w:rsidR="00D265DA" w:rsidRPr="007B4DA1" w:rsidRDefault="00D265DA" w:rsidP="00D265DA">
            <w:pPr>
              <w:jc w:val="center"/>
              <w:rPr>
                <w:rFonts w:ascii="David" w:hAnsi="David" w:cs="David"/>
                <w:sz w:val="24"/>
                <w:szCs w:val="24"/>
                <w:rtl/>
              </w:rPr>
            </w:pPr>
          </w:p>
        </w:tc>
        <w:tc>
          <w:tcPr>
            <w:tcW w:w="696" w:type="dxa"/>
            <w:tcBorders>
              <w:top w:val="double" w:sz="6" w:space="0" w:color="000000"/>
              <w:left w:val="nil"/>
              <w:bottom w:val="single" w:sz="8" w:space="0" w:color="000000"/>
              <w:right w:val="nil"/>
            </w:tcBorders>
            <w:shd w:val="clear" w:color="auto" w:fill="auto"/>
            <w:noWrap/>
            <w:vAlign w:val="center"/>
            <w:hideMark/>
          </w:tcPr>
          <w:p w:rsidR="00D265DA" w:rsidRPr="007B4DA1" w:rsidRDefault="00D265DA" w:rsidP="00D265DA">
            <w:pPr>
              <w:pStyle w:val="NormalWeb"/>
              <w:bidi/>
              <w:spacing w:before="0" w:beforeAutospacing="0" w:after="0" w:afterAutospacing="0" w:line="256" w:lineRule="auto"/>
              <w:jc w:val="center"/>
              <w:rPr>
                <w:rFonts w:ascii="David" w:hAnsi="David" w:cs="David"/>
              </w:rPr>
            </w:pPr>
            <w:r w:rsidRPr="007B4DA1">
              <w:rPr>
                <w:rFonts w:ascii="David" w:hAnsi="David" w:cs="David"/>
                <w:b/>
                <w:bCs/>
                <w:color w:val="000000"/>
                <w:kern w:val="24"/>
              </w:rPr>
              <w:t>5.2</w:t>
            </w:r>
          </w:p>
        </w:tc>
        <w:tc>
          <w:tcPr>
            <w:tcW w:w="715" w:type="dxa"/>
            <w:tcBorders>
              <w:top w:val="double" w:sz="6" w:space="0" w:color="000000"/>
              <w:left w:val="nil"/>
              <w:bottom w:val="single" w:sz="8" w:space="0" w:color="000000"/>
              <w:right w:val="nil"/>
            </w:tcBorders>
            <w:shd w:val="clear" w:color="auto" w:fill="auto"/>
            <w:noWrap/>
            <w:vAlign w:val="center"/>
            <w:hideMark/>
          </w:tcPr>
          <w:p w:rsidR="00D265DA" w:rsidRPr="007B4DA1" w:rsidRDefault="00D265DA" w:rsidP="00D265DA">
            <w:pPr>
              <w:pStyle w:val="NormalWeb"/>
              <w:bidi/>
              <w:spacing w:before="0" w:beforeAutospacing="0" w:after="0" w:afterAutospacing="0" w:line="256" w:lineRule="auto"/>
              <w:jc w:val="center"/>
              <w:rPr>
                <w:rFonts w:ascii="David" w:hAnsi="David" w:cs="David"/>
                <w:rtl/>
              </w:rPr>
            </w:pPr>
            <w:r w:rsidRPr="007B4DA1">
              <w:rPr>
                <w:rFonts w:ascii="David" w:hAnsi="David" w:cs="David"/>
                <w:color w:val="4F81BD"/>
                <w:kern w:val="24"/>
                <w:rtl/>
              </w:rPr>
              <w:t>0.6</w:t>
            </w:r>
          </w:p>
        </w:tc>
        <w:tc>
          <w:tcPr>
            <w:tcW w:w="136" w:type="dxa"/>
            <w:tcBorders>
              <w:top w:val="nil"/>
              <w:left w:val="nil"/>
              <w:bottom w:val="nil"/>
              <w:right w:val="nil"/>
            </w:tcBorders>
            <w:shd w:val="clear" w:color="auto" w:fill="auto"/>
            <w:noWrap/>
            <w:vAlign w:val="center"/>
            <w:hideMark/>
          </w:tcPr>
          <w:p w:rsidR="00D265DA" w:rsidRPr="007B4DA1" w:rsidRDefault="00D265DA" w:rsidP="00D265DA">
            <w:pPr>
              <w:jc w:val="center"/>
              <w:rPr>
                <w:rFonts w:ascii="David" w:hAnsi="David" w:cs="David"/>
                <w:sz w:val="24"/>
                <w:szCs w:val="24"/>
                <w:rtl/>
              </w:rPr>
            </w:pPr>
          </w:p>
        </w:tc>
        <w:tc>
          <w:tcPr>
            <w:tcW w:w="708" w:type="dxa"/>
            <w:tcBorders>
              <w:top w:val="double" w:sz="6" w:space="0" w:color="000000"/>
              <w:left w:val="single" w:sz="8" w:space="0" w:color="FFFFFF"/>
              <w:bottom w:val="single" w:sz="8" w:space="0" w:color="000000"/>
              <w:right w:val="nil"/>
            </w:tcBorders>
            <w:shd w:val="clear" w:color="auto" w:fill="auto"/>
            <w:vAlign w:val="center"/>
            <w:hideMark/>
          </w:tcPr>
          <w:p w:rsidR="00D265DA" w:rsidRPr="007B4DA1" w:rsidRDefault="00D265DA" w:rsidP="00D265DA">
            <w:pPr>
              <w:pStyle w:val="NormalWeb"/>
              <w:bidi/>
              <w:spacing w:before="0" w:beforeAutospacing="0" w:after="0" w:afterAutospacing="0" w:line="256" w:lineRule="auto"/>
              <w:jc w:val="center"/>
              <w:rPr>
                <w:rFonts w:ascii="David" w:hAnsi="David" w:cs="David"/>
              </w:rPr>
            </w:pPr>
            <w:r w:rsidRPr="007B4DA1">
              <w:rPr>
                <w:rFonts w:ascii="David" w:hAnsi="David" w:cs="David"/>
                <w:b/>
                <w:bCs/>
                <w:color w:val="000000"/>
                <w:kern w:val="24"/>
                <w:rtl/>
              </w:rPr>
              <w:t>3.0</w:t>
            </w:r>
          </w:p>
        </w:tc>
        <w:tc>
          <w:tcPr>
            <w:tcW w:w="684" w:type="dxa"/>
            <w:tcBorders>
              <w:top w:val="double" w:sz="6" w:space="0" w:color="000000"/>
              <w:left w:val="nil"/>
              <w:bottom w:val="single" w:sz="8" w:space="0" w:color="000000"/>
              <w:right w:val="single" w:sz="8" w:space="0" w:color="FFFFFF"/>
            </w:tcBorders>
            <w:shd w:val="clear" w:color="auto" w:fill="auto"/>
            <w:vAlign w:val="center"/>
            <w:hideMark/>
          </w:tcPr>
          <w:p w:rsidR="00D265DA" w:rsidRPr="007B4DA1" w:rsidRDefault="00D265DA" w:rsidP="00D265DA">
            <w:pPr>
              <w:pStyle w:val="NormalWeb"/>
              <w:bidi/>
              <w:spacing w:before="0" w:beforeAutospacing="0" w:after="0" w:afterAutospacing="0" w:line="256" w:lineRule="auto"/>
              <w:jc w:val="center"/>
              <w:rPr>
                <w:rFonts w:ascii="David" w:hAnsi="David" w:cs="David"/>
                <w:rtl/>
              </w:rPr>
            </w:pPr>
            <w:r w:rsidRPr="007B4DA1">
              <w:rPr>
                <w:rFonts w:ascii="David" w:hAnsi="David" w:cs="David"/>
                <w:color w:val="4F81BD"/>
                <w:kern w:val="24"/>
                <w:rtl/>
              </w:rPr>
              <w:t>0.5</w:t>
            </w:r>
          </w:p>
        </w:tc>
        <w:tc>
          <w:tcPr>
            <w:tcW w:w="62" w:type="dxa"/>
            <w:tcBorders>
              <w:top w:val="nil"/>
              <w:left w:val="nil"/>
              <w:bottom w:val="nil"/>
              <w:right w:val="nil"/>
            </w:tcBorders>
            <w:shd w:val="clear" w:color="auto" w:fill="auto"/>
            <w:vAlign w:val="center"/>
          </w:tcPr>
          <w:p w:rsidR="00D265DA" w:rsidRPr="007B4DA1" w:rsidRDefault="00D265DA" w:rsidP="00D265DA">
            <w:pPr>
              <w:pStyle w:val="NormalWeb"/>
              <w:bidi/>
              <w:spacing w:before="0" w:beforeAutospacing="0" w:after="0" w:afterAutospacing="0" w:line="256" w:lineRule="auto"/>
              <w:jc w:val="center"/>
              <w:rPr>
                <w:rFonts w:ascii="David" w:hAnsi="David" w:cs="David"/>
                <w:rtl/>
              </w:rPr>
            </w:pPr>
          </w:p>
        </w:tc>
        <w:tc>
          <w:tcPr>
            <w:tcW w:w="643" w:type="dxa"/>
            <w:tcBorders>
              <w:top w:val="double" w:sz="4" w:space="0" w:color="000000"/>
              <w:left w:val="nil"/>
              <w:bottom w:val="single" w:sz="8" w:space="0" w:color="000000"/>
              <w:right w:val="nil"/>
            </w:tcBorders>
            <w:shd w:val="clear" w:color="auto" w:fill="auto"/>
            <w:vAlign w:val="center"/>
          </w:tcPr>
          <w:p w:rsidR="00D265DA" w:rsidRPr="007B4DA1" w:rsidRDefault="00D265DA" w:rsidP="00D265DA">
            <w:pPr>
              <w:pStyle w:val="NormalWeb"/>
              <w:bidi/>
              <w:spacing w:before="0" w:beforeAutospacing="0" w:after="0" w:afterAutospacing="0" w:line="256" w:lineRule="auto"/>
              <w:jc w:val="center"/>
              <w:rPr>
                <w:rFonts w:ascii="David" w:hAnsi="David" w:cs="David"/>
                <w:rtl/>
              </w:rPr>
            </w:pPr>
            <w:r w:rsidRPr="007B4DA1">
              <w:rPr>
                <w:rFonts w:ascii="David" w:hAnsi="David" w:cs="David"/>
                <w:b/>
                <w:bCs/>
                <w:color w:val="000000" w:themeColor="text1"/>
                <w:kern w:val="24"/>
                <w:rtl/>
              </w:rPr>
              <w:t>2.0</w:t>
            </w:r>
          </w:p>
        </w:tc>
      </w:tr>
    </w:tbl>
    <w:p w:rsidR="00BB518C" w:rsidRPr="007B4DA1" w:rsidRDefault="00BB518C" w:rsidP="00FD6208">
      <w:pPr>
        <w:numPr>
          <w:ilvl w:val="0"/>
          <w:numId w:val="2"/>
        </w:numPr>
        <w:spacing w:before="120" w:after="0" w:line="360" w:lineRule="auto"/>
        <w:ind w:left="509" w:hanging="284"/>
        <w:contextualSpacing/>
        <w:jc w:val="both"/>
        <w:rPr>
          <w:rFonts w:ascii="David" w:eastAsia="Calibri" w:hAnsi="David" w:cs="David"/>
          <w:sz w:val="24"/>
          <w:szCs w:val="24"/>
        </w:rPr>
      </w:pPr>
      <w:r w:rsidRPr="007B4DA1">
        <w:rPr>
          <w:rFonts w:ascii="David" w:eastAsia="Calibri" w:hAnsi="David" w:cs="David"/>
          <w:sz w:val="24"/>
          <w:szCs w:val="24"/>
          <w:rtl/>
        </w:rPr>
        <w:t>בתחזית לרכיבי החשבונאות הלאומית, שיעור השינוי מעוגל לחצי נקודת אחוז.</w:t>
      </w:r>
    </w:p>
    <w:p w:rsidR="00BB518C" w:rsidRPr="007B4DA1" w:rsidRDefault="00BB518C" w:rsidP="00FD6208">
      <w:pPr>
        <w:numPr>
          <w:ilvl w:val="0"/>
          <w:numId w:val="2"/>
        </w:numPr>
        <w:spacing w:before="120" w:after="0" w:line="360" w:lineRule="auto"/>
        <w:ind w:left="509" w:hanging="284"/>
        <w:contextualSpacing/>
        <w:jc w:val="both"/>
        <w:rPr>
          <w:rFonts w:ascii="David" w:eastAsia="Calibri" w:hAnsi="David" w:cs="David"/>
          <w:sz w:val="24"/>
          <w:szCs w:val="24"/>
        </w:rPr>
      </w:pPr>
      <w:r w:rsidRPr="007B4DA1">
        <w:rPr>
          <w:rFonts w:ascii="David" w:eastAsia="Calibri" w:hAnsi="David" w:cs="David"/>
          <w:sz w:val="24"/>
          <w:szCs w:val="24"/>
          <w:rtl/>
        </w:rPr>
        <w:t>הממוצע של מדד המחירים לצרכן ברבעון האחרון בשנה לעומת הממוצע ברבעון האחרון בשנה הקודמת.</w:t>
      </w:r>
    </w:p>
    <w:p w:rsidR="00BB518C" w:rsidRPr="007B4DA1" w:rsidRDefault="00BB518C" w:rsidP="00BB518C">
      <w:pPr>
        <w:keepNext/>
        <w:keepLines/>
        <w:numPr>
          <w:ilvl w:val="0"/>
          <w:numId w:val="1"/>
        </w:numPr>
        <w:tabs>
          <w:tab w:val="num" w:pos="360"/>
          <w:tab w:val="left" w:pos="680"/>
        </w:tabs>
        <w:spacing w:before="240" w:after="120" w:line="360" w:lineRule="auto"/>
        <w:ind w:left="23" w:firstLine="0"/>
        <w:jc w:val="both"/>
        <w:outlineLvl w:val="1"/>
        <w:rPr>
          <w:rFonts w:ascii="David" w:hAnsi="David" w:cs="David"/>
          <w:b/>
          <w:bCs/>
          <w:sz w:val="24"/>
          <w:szCs w:val="24"/>
        </w:rPr>
      </w:pPr>
      <w:r w:rsidRPr="007B4DA1">
        <w:rPr>
          <w:rFonts w:ascii="David" w:hAnsi="David" w:cs="David"/>
          <w:b/>
          <w:bCs/>
          <w:sz w:val="24"/>
          <w:szCs w:val="24"/>
          <w:rtl/>
        </w:rPr>
        <w:t>האינפלציה והריבית</w:t>
      </w:r>
    </w:p>
    <w:p w:rsidR="00D265DA" w:rsidRPr="007B4DA1" w:rsidRDefault="00BB518C" w:rsidP="00D00FF6">
      <w:pPr>
        <w:spacing w:before="120" w:after="240" w:line="360" w:lineRule="auto"/>
        <w:jc w:val="both"/>
        <w:rPr>
          <w:rFonts w:ascii="David" w:hAnsi="David" w:cs="David"/>
          <w:sz w:val="24"/>
          <w:szCs w:val="24"/>
          <w:rtl/>
        </w:rPr>
      </w:pPr>
      <w:r w:rsidRPr="007B4DA1">
        <w:rPr>
          <w:rFonts w:ascii="David" w:hAnsi="David" w:cs="David"/>
          <w:b/>
          <w:bCs/>
          <w:sz w:val="24"/>
          <w:szCs w:val="24"/>
          <w:rtl/>
        </w:rPr>
        <w:t xml:space="preserve">שיעור האינפלציה בארבעת הרבעונים הקרובים </w:t>
      </w:r>
      <w:r w:rsidR="00573622" w:rsidRPr="007B4DA1">
        <w:rPr>
          <w:rFonts w:ascii="David" w:hAnsi="David" w:cs="David"/>
          <w:b/>
          <w:bCs/>
          <w:sz w:val="24"/>
          <w:szCs w:val="24"/>
          <w:rtl/>
        </w:rPr>
        <w:t>המסתיימים ברב</w:t>
      </w:r>
      <w:r w:rsidRPr="007B4DA1">
        <w:rPr>
          <w:rFonts w:ascii="David" w:hAnsi="David" w:cs="David"/>
          <w:b/>
          <w:bCs/>
          <w:sz w:val="24"/>
          <w:szCs w:val="24"/>
          <w:rtl/>
        </w:rPr>
        <w:t>ע</w:t>
      </w:r>
      <w:r w:rsidR="00573622" w:rsidRPr="007B4DA1">
        <w:rPr>
          <w:rFonts w:ascii="David" w:hAnsi="David" w:cs="David"/>
          <w:b/>
          <w:bCs/>
          <w:sz w:val="24"/>
          <w:szCs w:val="24"/>
          <w:rtl/>
        </w:rPr>
        <w:t>ון</w:t>
      </w:r>
      <w:r w:rsidRPr="007B4DA1">
        <w:rPr>
          <w:rFonts w:ascii="David" w:hAnsi="David" w:cs="David"/>
          <w:b/>
          <w:bCs/>
          <w:sz w:val="24"/>
          <w:szCs w:val="24"/>
          <w:rtl/>
        </w:rPr>
        <w:t xml:space="preserve"> </w:t>
      </w:r>
      <w:r w:rsidR="000968B9" w:rsidRPr="007B4DA1">
        <w:rPr>
          <w:rFonts w:ascii="David" w:hAnsi="David" w:cs="David"/>
          <w:b/>
          <w:bCs/>
          <w:sz w:val="24"/>
          <w:szCs w:val="24"/>
          <w:rtl/>
        </w:rPr>
        <w:t>הרביעי</w:t>
      </w:r>
      <w:r w:rsidRPr="007B4DA1">
        <w:rPr>
          <w:rFonts w:ascii="David" w:hAnsi="David" w:cs="David"/>
          <w:b/>
          <w:bCs/>
          <w:sz w:val="24"/>
          <w:szCs w:val="24"/>
          <w:rtl/>
        </w:rPr>
        <w:t xml:space="preserve"> של 2023 צפוי לעמוד על </w:t>
      </w:r>
      <w:r w:rsidR="000968B9" w:rsidRPr="007B4DA1">
        <w:rPr>
          <w:rFonts w:ascii="David" w:hAnsi="David" w:cs="David"/>
          <w:b/>
          <w:bCs/>
          <w:sz w:val="24"/>
          <w:szCs w:val="24"/>
          <w:rtl/>
        </w:rPr>
        <w:t>3.</w:t>
      </w:r>
      <w:r w:rsidR="00D265DA" w:rsidRPr="007B4DA1">
        <w:rPr>
          <w:rFonts w:ascii="David" w:hAnsi="David" w:cs="David"/>
          <w:b/>
          <w:bCs/>
          <w:sz w:val="24"/>
          <w:szCs w:val="24"/>
          <w:rtl/>
        </w:rPr>
        <w:t>0</w:t>
      </w:r>
      <w:r w:rsidRPr="007B4DA1">
        <w:rPr>
          <w:rFonts w:ascii="David" w:hAnsi="David" w:cs="David"/>
          <w:b/>
          <w:bCs/>
          <w:sz w:val="24"/>
          <w:szCs w:val="24"/>
          <w:rtl/>
        </w:rPr>
        <w:t>%</w:t>
      </w:r>
      <w:r w:rsidR="000968B9" w:rsidRPr="007B4DA1">
        <w:rPr>
          <w:rFonts w:ascii="David" w:hAnsi="David" w:cs="David"/>
          <w:b/>
          <w:bCs/>
          <w:sz w:val="24"/>
          <w:szCs w:val="24"/>
          <w:rtl/>
        </w:rPr>
        <w:t xml:space="preserve"> (לעומת 2.5% בתחזית הקודמת)</w:t>
      </w:r>
      <w:r w:rsidRPr="007B4DA1">
        <w:rPr>
          <w:rFonts w:ascii="David" w:hAnsi="David" w:cs="David"/>
          <w:b/>
          <w:bCs/>
          <w:sz w:val="24"/>
          <w:szCs w:val="24"/>
          <w:rtl/>
        </w:rPr>
        <w:t xml:space="preserve">. </w:t>
      </w:r>
      <w:r w:rsidRPr="007B4DA1">
        <w:rPr>
          <w:rFonts w:ascii="David" w:hAnsi="David" w:cs="David"/>
          <w:sz w:val="24"/>
          <w:szCs w:val="24"/>
          <w:rtl/>
        </w:rPr>
        <w:t>ב-202</w:t>
      </w:r>
      <w:r w:rsidR="000968B9" w:rsidRPr="007B4DA1">
        <w:rPr>
          <w:rFonts w:ascii="David" w:hAnsi="David" w:cs="David"/>
          <w:sz w:val="24"/>
          <w:szCs w:val="24"/>
          <w:rtl/>
        </w:rPr>
        <w:t>4</w:t>
      </w:r>
      <w:r w:rsidRPr="007B4DA1">
        <w:rPr>
          <w:rFonts w:ascii="David" w:hAnsi="David" w:cs="David"/>
          <w:sz w:val="24"/>
          <w:szCs w:val="24"/>
          <w:rtl/>
        </w:rPr>
        <w:t xml:space="preserve"> צפוי שיעור האינפלציה לעמוד על </w:t>
      </w:r>
      <w:r w:rsidR="000968B9" w:rsidRPr="007B4DA1">
        <w:rPr>
          <w:rFonts w:ascii="David" w:hAnsi="David" w:cs="David"/>
          <w:sz w:val="24"/>
          <w:szCs w:val="24"/>
          <w:rtl/>
        </w:rPr>
        <w:t>2.</w:t>
      </w:r>
      <w:r w:rsidR="00D265DA" w:rsidRPr="007B4DA1">
        <w:rPr>
          <w:rFonts w:ascii="David" w:hAnsi="David" w:cs="David"/>
          <w:sz w:val="24"/>
          <w:szCs w:val="24"/>
          <w:rtl/>
        </w:rPr>
        <w:t>0</w:t>
      </w:r>
      <w:r w:rsidRPr="007B4DA1">
        <w:rPr>
          <w:rFonts w:ascii="David" w:hAnsi="David" w:cs="David"/>
          <w:sz w:val="24"/>
          <w:szCs w:val="24"/>
          <w:rtl/>
        </w:rPr>
        <w:t>%</w:t>
      </w:r>
      <w:r w:rsidR="001F7E2B" w:rsidRPr="007B4DA1">
        <w:rPr>
          <w:rFonts w:ascii="David" w:hAnsi="David" w:cs="David"/>
          <w:sz w:val="24"/>
          <w:szCs w:val="24"/>
          <w:rtl/>
        </w:rPr>
        <w:t>.</w:t>
      </w:r>
      <w:r w:rsidR="00DD5483" w:rsidRPr="007B4DA1">
        <w:rPr>
          <w:rFonts w:ascii="David" w:hAnsi="David" w:cs="David"/>
          <w:sz w:val="24"/>
          <w:szCs w:val="24"/>
          <w:rtl/>
        </w:rPr>
        <w:t xml:space="preserve"> </w:t>
      </w:r>
      <w:r w:rsidR="000968B9" w:rsidRPr="007B4DA1">
        <w:rPr>
          <w:rFonts w:ascii="David" w:hAnsi="David" w:cs="David"/>
          <w:sz w:val="24"/>
          <w:szCs w:val="24"/>
          <w:rtl/>
        </w:rPr>
        <w:t xml:space="preserve">התמתנות קצב האינפלציה הצפוי </w:t>
      </w:r>
      <w:r w:rsidR="00767519" w:rsidRPr="007B4DA1">
        <w:rPr>
          <w:rFonts w:ascii="David" w:hAnsi="David" w:cs="David"/>
          <w:sz w:val="24"/>
          <w:szCs w:val="24"/>
          <w:rtl/>
        </w:rPr>
        <w:t>בתקופ</w:t>
      </w:r>
      <w:r w:rsidR="000968B9" w:rsidRPr="007B4DA1">
        <w:rPr>
          <w:rFonts w:ascii="David" w:hAnsi="David" w:cs="David"/>
          <w:sz w:val="24"/>
          <w:szCs w:val="24"/>
          <w:rtl/>
        </w:rPr>
        <w:t>ת התחזית מושפעת מהתמתנות הביקושים בהשפעת המדיניות המוניטרית המרסנת בישראל ובעולם</w:t>
      </w:r>
      <w:r w:rsidR="00DD5483" w:rsidRPr="007B4DA1">
        <w:rPr>
          <w:rFonts w:ascii="David" w:hAnsi="David" w:cs="David"/>
          <w:sz w:val="24"/>
          <w:szCs w:val="24"/>
          <w:rtl/>
        </w:rPr>
        <w:t>, אך גם מ</w:t>
      </w:r>
      <w:r w:rsidR="00D265DA" w:rsidRPr="007B4DA1">
        <w:rPr>
          <w:rFonts w:ascii="David" w:hAnsi="David" w:cs="David"/>
          <w:sz w:val="24"/>
          <w:szCs w:val="24"/>
          <w:rtl/>
        </w:rPr>
        <w:t>המשך התמתנות לחצי ההיצע</w:t>
      </w:r>
      <w:r w:rsidR="000968B9" w:rsidRPr="007B4DA1">
        <w:rPr>
          <w:rFonts w:ascii="David" w:hAnsi="David" w:cs="David"/>
          <w:sz w:val="24"/>
          <w:szCs w:val="24"/>
          <w:rtl/>
        </w:rPr>
        <w:t xml:space="preserve">. עדכון </w:t>
      </w:r>
      <w:r w:rsidR="00DD5483" w:rsidRPr="007B4DA1">
        <w:rPr>
          <w:rFonts w:ascii="David" w:hAnsi="David" w:cs="David"/>
          <w:sz w:val="24"/>
          <w:szCs w:val="24"/>
          <w:rtl/>
        </w:rPr>
        <w:t>תחזית</w:t>
      </w:r>
      <w:r w:rsidR="000968B9" w:rsidRPr="007B4DA1">
        <w:rPr>
          <w:rFonts w:ascii="David" w:hAnsi="David" w:cs="David"/>
          <w:sz w:val="24"/>
          <w:szCs w:val="24"/>
          <w:rtl/>
        </w:rPr>
        <w:t xml:space="preserve"> האינפלציה </w:t>
      </w:r>
      <w:r w:rsidR="00DD5483" w:rsidRPr="007B4DA1">
        <w:rPr>
          <w:rFonts w:ascii="David" w:hAnsi="David" w:cs="David"/>
          <w:sz w:val="24"/>
          <w:szCs w:val="24"/>
          <w:rtl/>
        </w:rPr>
        <w:t>ל-</w:t>
      </w:r>
      <w:r w:rsidR="000968B9" w:rsidRPr="007B4DA1">
        <w:rPr>
          <w:rFonts w:ascii="David" w:hAnsi="David" w:cs="David"/>
          <w:sz w:val="24"/>
          <w:szCs w:val="24"/>
          <w:rtl/>
        </w:rPr>
        <w:t xml:space="preserve">2023 כלפי מעלה הושפע </w:t>
      </w:r>
      <w:r w:rsidR="00AF7261" w:rsidRPr="007B4DA1">
        <w:rPr>
          <w:rFonts w:ascii="David" w:hAnsi="David" w:cs="David"/>
          <w:sz w:val="24"/>
          <w:szCs w:val="24"/>
          <w:rtl/>
        </w:rPr>
        <w:t xml:space="preserve">בעיקר </w:t>
      </w:r>
      <w:r w:rsidR="000968B9" w:rsidRPr="007B4DA1">
        <w:rPr>
          <w:rFonts w:ascii="David" w:hAnsi="David" w:cs="David"/>
          <w:sz w:val="24"/>
          <w:szCs w:val="24"/>
          <w:rtl/>
        </w:rPr>
        <w:t>מהפיחות ש</w:t>
      </w:r>
      <w:r w:rsidR="008A0A61" w:rsidRPr="007B4DA1">
        <w:rPr>
          <w:rFonts w:ascii="David" w:hAnsi="David" w:cs="David"/>
          <w:sz w:val="24"/>
          <w:szCs w:val="24"/>
          <w:rtl/>
        </w:rPr>
        <w:t>ל</w:t>
      </w:r>
      <w:r w:rsidR="00AF7261" w:rsidRPr="007B4DA1">
        <w:rPr>
          <w:rFonts w:ascii="David" w:hAnsi="David" w:cs="David"/>
          <w:sz w:val="24"/>
          <w:szCs w:val="24"/>
          <w:rtl/>
        </w:rPr>
        <w:t xml:space="preserve"> </w:t>
      </w:r>
      <w:r w:rsidR="008A0A61" w:rsidRPr="007B4DA1">
        <w:rPr>
          <w:rFonts w:ascii="David" w:hAnsi="David" w:cs="David"/>
          <w:sz w:val="24"/>
          <w:szCs w:val="24"/>
          <w:rtl/>
        </w:rPr>
        <w:t xml:space="preserve">השקל </w:t>
      </w:r>
      <w:r w:rsidR="00AF7261" w:rsidRPr="007B4DA1">
        <w:rPr>
          <w:rFonts w:ascii="David" w:hAnsi="David" w:cs="David"/>
          <w:sz w:val="24"/>
          <w:szCs w:val="24"/>
          <w:rtl/>
        </w:rPr>
        <w:t>ב</w:t>
      </w:r>
      <w:r w:rsidR="008A0A61" w:rsidRPr="007B4DA1">
        <w:rPr>
          <w:rFonts w:ascii="David" w:hAnsi="David" w:cs="David"/>
          <w:sz w:val="24"/>
          <w:szCs w:val="24"/>
          <w:rtl/>
        </w:rPr>
        <w:t xml:space="preserve">מונחי </w:t>
      </w:r>
      <w:r w:rsidR="00AF7261" w:rsidRPr="007B4DA1">
        <w:rPr>
          <w:rFonts w:ascii="David" w:hAnsi="David" w:cs="David"/>
          <w:sz w:val="24"/>
          <w:szCs w:val="24"/>
          <w:rtl/>
        </w:rPr>
        <w:t>שער החליפין</w:t>
      </w:r>
      <w:r w:rsidR="00D265DA" w:rsidRPr="007B4DA1">
        <w:rPr>
          <w:rFonts w:ascii="David" w:hAnsi="David" w:cs="David"/>
          <w:sz w:val="24"/>
          <w:szCs w:val="24"/>
          <w:rtl/>
        </w:rPr>
        <w:t xml:space="preserve"> </w:t>
      </w:r>
      <w:r w:rsidR="00D00FF6" w:rsidRPr="007B4DA1">
        <w:rPr>
          <w:rFonts w:ascii="David" w:hAnsi="David" w:cs="David"/>
          <w:sz w:val="24"/>
          <w:szCs w:val="24"/>
          <w:rtl/>
        </w:rPr>
        <w:t>הנומינלי-</w:t>
      </w:r>
      <w:r w:rsidR="00D265DA" w:rsidRPr="007B4DA1">
        <w:rPr>
          <w:rFonts w:ascii="David" w:hAnsi="David" w:cs="David"/>
          <w:sz w:val="24"/>
          <w:szCs w:val="24"/>
          <w:rtl/>
        </w:rPr>
        <w:t xml:space="preserve">אפקטיבי ומעדכון </w:t>
      </w:r>
      <w:r w:rsidR="00F12558" w:rsidRPr="007B4DA1">
        <w:rPr>
          <w:rFonts w:ascii="David" w:hAnsi="David" w:cs="David"/>
          <w:sz w:val="24"/>
          <w:szCs w:val="24"/>
          <w:rtl/>
        </w:rPr>
        <w:t xml:space="preserve">מעלה של </w:t>
      </w:r>
      <w:r w:rsidR="00C15E8E" w:rsidRPr="007B4DA1">
        <w:rPr>
          <w:rFonts w:ascii="David" w:hAnsi="David" w:cs="David"/>
          <w:sz w:val="24"/>
          <w:szCs w:val="24"/>
          <w:rtl/>
        </w:rPr>
        <w:t xml:space="preserve">ההנחה שלנו לגבי העליות בשכר </w:t>
      </w:r>
      <w:r w:rsidR="00F12558" w:rsidRPr="007B4DA1">
        <w:rPr>
          <w:rFonts w:ascii="David" w:hAnsi="David" w:cs="David"/>
          <w:sz w:val="24"/>
          <w:szCs w:val="24"/>
          <w:rtl/>
        </w:rPr>
        <w:t xml:space="preserve">אשר </w:t>
      </w:r>
      <w:r w:rsidR="00C15E8E" w:rsidRPr="007B4DA1">
        <w:rPr>
          <w:rFonts w:ascii="David" w:hAnsi="David" w:cs="David"/>
          <w:sz w:val="24"/>
          <w:szCs w:val="24"/>
          <w:rtl/>
        </w:rPr>
        <w:t>ייקבעו בהסכמי השכר הצפויים</w:t>
      </w:r>
      <w:r w:rsidR="00AF7261" w:rsidRPr="007B4DA1">
        <w:rPr>
          <w:rFonts w:ascii="David" w:hAnsi="David" w:cs="David"/>
          <w:sz w:val="24"/>
          <w:szCs w:val="24"/>
          <w:rtl/>
        </w:rPr>
        <w:t xml:space="preserve"> במגזר הציבורי. </w:t>
      </w:r>
      <w:r w:rsidR="000968B9" w:rsidRPr="007B4DA1">
        <w:rPr>
          <w:rFonts w:ascii="David" w:hAnsi="David" w:cs="David"/>
          <w:sz w:val="24"/>
          <w:szCs w:val="24"/>
          <w:rtl/>
        </w:rPr>
        <w:t xml:space="preserve"> </w:t>
      </w:r>
      <w:r w:rsidR="00DD5483" w:rsidRPr="007B4DA1">
        <w:rPr>
          <w:rFonts w:ascii="David" w:hAnsi="David" w:cs="David"/>
          <w:sz w:val="24"/>
          <w:szCs w:val="24"/>
          <w:rtl/>
        </w:rPr>
        <w:t>מנגד,</w:t>
      </w:r>
      <w:r w:rsidR="00AF7261" w:rsidRPr="007B4DA1">
        <w:rPr>
          <w:rFonts w:ascii="David" w:hAnsi="David" w:cs="David"/>
          <w:sz w:val="24"/>
          <w:szCs w:val="24"/>
          <w:rtl/>
        </w:rPr>
        <w:t xml:space="preserve"> אנו מעריכים כי הירידה שהתרחשה במחירי הנפט </w:t>
      </w:r>
      <w:r w:rsidR="00D265DA" w:rsidRPr="007B4DA1">
        <w:rPr>
          <w:rFonts w:ascii="David" w:hAnsi="David" w:cs="David"/>
          <w:sz w:val="24"/>
          <w:szCs w:val="24"/>
          <w:rtl/>
        </w:rPr>
        <w:t>מקזזת חלקית את השפעת שע"ח והשכר</w:t>
      </w:r>
      <w:r w:rsidR="00AF7261" w:rsidRPr="007B4DA1">
        <w:rPr>
          <w:rFonts w:ascii="David" w:hAnsi="David" w:cs="David"/>
          <w:sz w:val="24"/>
          <w:szCs w:val="24"/>
          <w:rtl/>
        </w:rPr>
        <w:t xml:space="preserve">. </w:t>
      </w:r>
    </w:p>
    <w:p w:rsidR="001F7E2B" w:rsidRPr="007B4DA1" w:rsidRDefault="00D265DA" w:rsidP="00D265DA">
      <w:pPr>
        <w:spacing w:before="120" w:after="240" w:line="360" w:lineRule="auto"/>
        <w:jc w:val="both"/>
        <w:rPr>
          <w:rFonts w:ascii="David" w:hAnsi="David" w:cs="David"/>
          <w:sz w:val="24"/>
          <w:szCs w:val="24"/>
          <w:rtl/>
        </w:rPr>
      </w:pPr>
      <w:r w:rsidRPr="007B4DA1">
        <w:rPr>
          <w:rFonts w:ascii="David" w:eastAsia="Calibri" w:hAnsi="David" w:cs="David"/>
          <w:b/>
          <w:bCs/>
          <w:sz w:val="24"/>
          <w:szCs w:val="24"/>
          <w:rtl/>
        </w:rPr>
        <w:t>הריבית צפויה לעמוד על 4.0% בממוצע ברבעון הרביעי של 2023</w:t>
      </w:r>
      <w:r w:rsidRPr="007B4DA1">
        <w:rPr>
          <w:rFonts w:ascii="David" w:eastAsia="Calibri" w:hAnsi="David" w:cs="David"/>
          <w:sz w:val="24"/>
          <w:szCs w:val="24"/>
          <w:rtl/>
        </w:rPr>
        <w:t xml:space="preserve"> (לוח 2)</w:t>
      </w:r>
      <w:r w:rsidRPr="007B4DA1">
        <w:rPr>
          <w:rFonts w:ascii="David" w:eastAsia="Calibri" w:hAnsi="David" w:cs="David"/>
          <w:b/>
          <w:bCs/>
          <w:sz w:val="24"/>
          <w:szCs w:val="24"/>
          <w:rtl/>
        </w:rPr>
        <w:t>.</w:t>
      </w:r>
      <w:r w:rsidRPr="007B4DA1">
        <w:rPr>
          <w:rFonts w:ascii="David" w:eastAsia="Calibri" w:hAnsi="David" w:cs="David"/>
          <w:sz w:val="24"/>
          <w:szCs w:val="24"/>
          <w:rtl/>
        </w:rPr>
        <w:t xml:space="preserve"> </w:t>
      </w:r>
      <w:r w:rsidR="00767519" w:rsidRPr="007B4DA1">
        <w:rPr>
          <w:rFonts w:ascii="David" w:hAnsi="David" w:cs="David"/>
          <w:sz w:val="24"/>
          <w:szCs w:val="24"/>
          <w:rtl/>
        </w:rPr>
        <w:t xml:space="preserve">בטווח התחזית, </w:t>
      </w:r>
      <w:r w:rsidR="003651E3" w:rsidRPr="007B4DA1">
        <w:rPr>
          <w:rFonts w:ascii="David" w:hAnsi="David" w:cs="David"/>
          <w:sz w:val="24"/>
          <w:szCs w:val="24"/>
          <w:rtl/>
        </w:rPr>
        <w:t xml:space="preserve">אנו צופים כי ריבית בנק ישראל </w:t>
      </w:r>
      <w:r w:rsidR="00AF7261" w:rsidRPr="007B4DA1">
        <w:rPr>
          <w:rFonts w:ascii="David" w:hAnsi="David" w:cs="David"/>
          <w:sz w:val="24"/>
          <w:szCs w:val="24"/>
          <w:rtl/>
        </w:rPr>
        <w:t>תעלה ב-</w:t>
      </w:r>
      <w:r w:rsidRPr="007B4DA1">
        <w:rPr>
          <w:rFonts w:ascii="David" w:hAnsi="David" w:cs="David"/>
          <w:sz w:val="24"/>
          <w:szCs w:val="24"/>
          <w:rtl/>
        </w:rPr>
        <w:t>0.5 נ</w:t>
      </w:r>
      <w:r w:rsidR="00AF7261" w:rsidRPr="007B4DA1">
        <w:rPr>
          <w:rFonts w:ascii="David" w:hAnsi="David" w:cs="David"/>
          <w:sz w:val="24"/>
          <w:szCs w:val="24"/>
          <w:rtl/>
        </w:rPr>
        <w:t>קודת האחוז מעבר להערכתנו בתחזית מאוקטובר</w:t>
      </w:r>
      <w:r w:rsidR="00DD5483" w:rsidRPr="007B4DA1">
        <w:rPr>
          <w:rFonts w:ascii="David" w:hAnsi="David" w:cs="David"/>
          <w:sz w:val="24"/>
          <w:szCs w:val="24"/>
          <w:rtl/>
        </w:rPr>
        <w:t>,</w:t>
      </w:r>
      <w:r w:rsidR="003651E3" w:rsidRPr="007B4DA1">
        <w:rPr>
          <w:rFonts w:ascii="David" w:hAnsi="David" w:cs="David"/>
          <w:sz w:val="24"/>
          <w:szCs w:val="24"/>
          <w:rtl/>
        </w:rPr>
        <w:t xml:space="preserve"> </w:t>
      </w:r>
      <w:r w:rsidRPr="007B4DA1">
        <w:rPr>
          <w:rFonts w:ascii="David" w:hAnsi="David" w:cs="David"/>
          <w:sz w:val="24"/>
          <w:szCs w:val="24"/>
          <w:rtl/>
        </w:rPr>
        <w:t xml:space="preserve">לרמה של 4% בסוף 2023 </w:t>
      </w:r>
      <w:r w:rsidR="00553972" w:rsidRPr="007B4DA1">
        <w:rPr>
          <w:rFonts w:ascii="David" w:hAnsi="David" w:cs="David"/>
          <w:sz w:val="24"/>
          <w:szCs w:val="24"/>
          <w:rtl/>
        </w:rPr>
        <w:t>ותסייע</w:t>
      </w:r>
      <w:r w:rsidR="000158A4" w:rsidRPr="007B4DA1">
        <w:rPr>
          <w:rFonts w:ascii="David" w:hAnsi="David" w:cs="David"/>
          <w:sz w:val="24"/>
          <w:szCs w:val="24"/>
          <w:rtl/>
        </w:rPr>
        <w:t xml:space="preserve"> </w:t>
      </w:r>
      <w:r w:rsidRPr="007B4DA1">
        <w:rPr>
          <w:rFonts w:ascii="David" w:hAnsi="David" w:cs="David"/>
          <w:sz w:val="24"/>
          <w:szCs w:val="24"/>
          <w:rtl/>
        </w:rPr>
        <w:t>להתכנסות</w:t>
      </w:r>
      <w:r w:rsidR="000158A4" w:rsidRPr="007B4DA1">
        <w:rPr>
          <w:rFonts w:ascii="David" w:hAnsi="David" w:cs="David"/>
          <w:sz w:val="24"/>
          <w:szCs w:val="24"/>
          <w:rtl/>
        </w:rPr>
        <w:t xml:space="preserve"> האינפלציה</w:t>
      </w:r>
      <w:r w:rsidRPr="007B4DA1">
        <w:rPr>
          <w:rFonts w:ascii="David" w:hAnsi="David" w:cs="David"/>
          <w:sz w:val="24"/>
          <w:szCs w:val="24"/>
          <w:rtl/>
        </w:rPr>
        <w:t xml:space="preserve"> אל מרכז היעד</w:t>
      </w:r>
      <w:r w:rsidR="000158A4" w:rsidRPr="007B4DA1">
        <w:rPr>
          <w:rFonts w:ascii="David" w:hAnsi="David" w:cs="David"/>
          <w:sz w:val="24"/>
          <w:szCs w:val="24"/>
          <w:rtl/>
        </w:rPr>
        <w:t>.</w:t>
      </w:r>
      <w:r w:rsidR="00767519" w:rsidRPr="007B4DA1">
        <w:rPr>
          <w:rFonts w:ascii="David" w:hAnsi="David" w:cs="David"/>
          <w:sz w:val="24"/>
          <w:szCs w:val="24"/>
          <w:rtl/>
        </w:rPr>
        <w:t xml:space="preserve"> </w:t>
      </w:r>
      <w:r w:rsidRPr="007B4DA1">
        <w:rPr>
          <w:rFonts w:ascii="David" w:eastAsia="Calibri" w:hAnsi="David" w:cs="David"/>
          <w:sz w:val="24"/>
          <w:szCs w:val="24"/>
          <w:rtl/>
        </w:rPr>
        <w:t xml:space="preserve">הערכה זו מבטאת </w:t>
      </w:r>
      <w:r w:rsidR="0038049A" w:rsidRPr="007B4DA1">
        <w:rPr>
          <w:rFonts w:ascii="David" w:eastAsia="Calibri" w:hAnsi="David" w:cs="David"/>
          <w:sz w:val="24"/>
          <w:szCs w:val="24"/>
          <w:rtl/>
        </w:rPr>
        <w:t xml:space="preserve">העמקה של הריסון המוניטרי תוך </w:t>
      </w:r>
      <w:r w:rsidRPr="007B4DA1">
        <w:rPr>
          <w:rFonts w:ascii="David" w:eastAsia="Calibri" w:hAnsi="David" w:cs="David"/>
          <w:sz w:val="24"/>
          <w:szCs w:val="24"/>
          <w:rtl/>
        </w:rPr>
        <w:t>עלייה של הריבית מרמתה הנוכחית, לאור עדכון קצב האינפלציה הצפוי כלפי מעלה ועל רקע רמת הפעילות הגבוהה</w:t>
      </w:r>
      <w:r w:rsidRPr="007B4DA1">
        <w:rPr>
          <w:rFonts w:ascii="David" w:hAnsi="David" w:cs="David"/>
          <w:sz w:val="24"/>
          <w:szCs w:val="24"/>
          <w:rtl/>
        </w:rPr>
        <w:t>.</w:t>
      </w:r>
    </w:p>
    <w:p w:rsidR="000158A4" w:rsidRPr="007B4DA1" w:rsidRDefault="000158A4" w:rsidP="00D265DA">
      <w:pPr>
        <w:spacing w:before="120" w:after="240" w:line="360" w:lineRule="auto"/>
        <w:jc w:val="both"/>
        <w:rPr>
          <w:rFonts w:ascii="David" w:eastAsia="Calibri" w:hAnsi="David" w:cs="David"/>
          <w:sz w:val="24"/>
          <w:szCs w:val="24"/>
          <w:rtl/>
        </w:rPr>
      </w:pPr>
    </w:p>
    <w:p w:rsidR="00BB518C" w:rsidRPr="007B4DA1" w:rsidRDefault="00BB518C" w:rsidP="00DD5483">
      <w:pPr>
        <w:tabs>
          <w:tab w:val="num" w:pos="720"/>
        </w:tabs>
        <w:spacing w:before="120" w:after="240" w:line="360" w:lineRule="auto"/>
        <w:jc w:val="both"/>
        <w:rPr>
          <w:rFonts w:ascii="David" w:eastAsia="Calibri" w:hAnsi="David" w:cs="David"/>
          <w:sz w:val="24"/>
          <w:szCs w:val="24"/>
          <w:rtl/>
        </w:rPr>
      </w:pPr>
      <w:r w:rsidRPr="007B4DA1">
        <w:rPr>
          <w:rFonts w:ascii="David" w:eastAsia="Calibri" w:hAnsi="David" w:cs="David"/>
          <w:sz w:val="24"/>
          <w:szCs w:val="24"/>
          <w:rtl/>
        </w:rPr>
        <w:t xml:space="preserve">מלוח 2 עולה כי </w:t>
      </w:r>
      <w:r w:rsidR="00BA0EFA" w:rsidRPr="007B4DA1">
        <w:rPr>
          <w:rFonts w:ascii="David" w:eastAsia="Calibri" w:hAnsi="David" w:cs="David"/>
          <w:sz w:val="24"/>
          <w:szCs w:val="24"/>
          <w:rtl/>
        </w:rPr>
        <w:t>תחזית הצוות לאינפלציה גבוהה ביחס לממוצע החזאים</w:t>
      </w:r>
      <w:r w:rsidR="0038049A" w:rsidRPr="007B4DA1">
        <w:rPr>
          <w:rStyle w:val="a5"/>
          <w:rFonts w:ascii="David" w:eastAsia="Calibri" w:hAnsi="David" w:cs="David"/>
          <w:sz w:val="24"/>
          <w:szCs w:val="24"/>
          <w:rtl/>
        </w:rPr>
        <w:footnoteReference w:id="4"/>
      </w:r>
      <w:r w:rsidR="00BA0EFA" w:rsidRPr="007B4DA1">
        <w:rPr>
          <w:rFonts w:ascii="David" w:eastAsia="Calibri" w:hAnsi="David" w:cs="David"/>
          <w:sz w:val="24"/>
          <w:szCs w:val="24"/>
          <w:rtl/>
        </w:rPr>
        <w:t xml:space="preserve"> ולציפיות משוק ההון</w:t>
      </w:r>
      <w:r w:rsidR="00DD5483" w:rsidRPr="007B4DA1">
        <w:rPr>
          <w:rFonts w:ascii="David" w:eastAsia="Calibri" w:hAnsi="David" w:cs="David"/>
          <w:sz w:val="24"/>
          <w:szCs w:val="24"/>
          <w:rtl/>
        </w:rPr>
        <w:t>;</w:t>
      </w:r>
      <w:r w:rsidR="00997416" w:rsidRPr="007B4DA1">
        <w:rPr>
          <w:rFonts w:ascii="David" w:eastAsia="Calibri" w:hAnsi="David" w:cs="David"/>
          <w:sz w:val="24"/>
          <w:szCs w:val="24"/>
          <w:rtl/>
        </w:rPr>
        <w:t xml:space="preserve"> עבור ה</w:t>
      </w:r>
      <w:r w:rsidR="00BA0EFA" w:rsidRPr="007B4DA1">
        <w:rPr>
          <w:rFonts w:ascii="David" w:eastAsia="Calibri" w:hAnsi="David" w:cs="David"/>
          <w:sz w:val="24"/>
          <w:szCs w:val="24"/>
          <w:rtl/>
        </w:rPr>
        <w:t xml:space="preserve">ריבית </w:t>
      </w:r>
      <w:r w:rsidR="00997416" w:rsidRPr="007B4DA1">
        <w:rPr>
          <w:rFonts w:ascii="David" w:eastAsia="Calibri" w:hAnsi="David" w:cs="David"/>
          <w:sz w:val="24"/>
          <w:szCs w:val="24"/>
          <w:rtl/>
        </w:rPr>
        <w:t xml:space="preserve">היא </w:t>
      </w:r>
      <w:r w:rsidR="00BA0EFA" w:rsidRPr="007B4DA1">
        <w:rPr>
          <w:rFonts w:ascii="David" w:eastAsia="Calibri" w:hAnsi="David" w:cs="David"/>
          <w:sz w:val="24"/>
          <w:szCs w:val="24"/>
          <w:rtl/>
        </w:rPr>
        <w:t xml:space="preserve">דומה לתחזית שוק ההון וגבוהה </w:t>
      </w:r>
      <w:r w:rsidR="0038049A" w:rsidRPr="007B4DA1">
        <w:rPr>
          <w:rFonts w:ascii="David" w:eastAsia="Calibri" w:hAnsi="David" w:cs="David"/>
          <w:sz w:val="24"/>
          <w:szCs w:val="24"/>
          <w:rtl/>
        </w:rPr>
        <w:t xml:space="preserve">מעט </w:t>
      </w:r>
      <w:r w:rsidR="00BA0EFA" w:rsidRPr="007B4DA1">
        <w:rPr>
          <w:rFonts w:ascii="David" w:eastAsia="Calibri" w:hAnsi="David" w:cs="David"/>
          <w:sz w:val="24"/>
          <w:szCs w:val="24"/>
          <w:rtl/>
        </w:rPr>
        <w:t>ביחס לממוצע החזאים.</w:t>
      </w:r>
      <w:r w:rsidR="00997416" w:rsidRPr="007B4DA1">
        <w:rPr>
          <w:rFonts w:ascii="David" w:eastAsia="Calibri" w:hAnsi="David" w:cs="David"/>
          <w:sz w:val="24"/>
          <w:szCs w:val="24"/>
          <w:rtl/>
        </w:rPr>
        <w:t xml:space="preserve"> </w:t>
      </w:r>
    </w:p>
    <w:tbl>
      <w:tblPr>
        <w:tblStyle w:val="2"/>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לוח 2"/>
        <w:tblDescription w:val="השוואת התחזיות לאינפלציה ולריבית לשנה הקרובה"/>
      </w:tblPr>
      <w:tblGrid>
        <w:gridCol w:w="1541"/>
        <w:gridCol w:w="2255"/>
        <w:gridCol w:w="2255"/>
        <w:gridCol w:w="2255"/>
      </w:tblGrid>
      <w:tr w:rsidR="00BB518C" w:rsidRPr="007B4DA1" w:rsidTr="004555DB">
        <w:trPr>
          <w:cantSplit/>
          <w:trHeight w:val="283"/>
          <w:tblHeader/>
          <w:jc w:val="center"/>
        </w:trPr>
        <w:tc>
          <w:tcPr>
            <w:tcW w:w="8306" w:type="dxa"/>
            <w:gridSpan w:val="4"/>
            <w:vAlign w:val="center"/>
          </w:tcPr>
          <w:p w:rsidR="00BB518C" w:rsidRPr="007B4DA1" w:rsidRDefault="00BB518C" w:rsidP="00BB518C">
            <w:pPr>
              <w:keepNext/>
              <w:keepLines/>
              <w:spacing w:before="120" w:after="200" w:line="360" w:lineRule="auto"/>
              <w:ind w:left="113"/>
              <w:contextualSpacing/>
              <w:jc w:val="center"/>
              <w:rPr>
                <w:rFonts w:ascii="David" w:eastAsia="Calibri" w:hAnsi="David" w:cs="David"/>
                <w:b/>
                <w:bCs/>
                <w:color w:val="4F81BD"/>
                <w:sz w:val="24"/>
                <w:szCs w:val="24"/>
                <w:rtl/>
              </w:rPr>
            </w:pPr>
            <w:bookmarkStart w:id="1" w:name="_Ref503164928"/>
            <w:r w:rsidRPr="007B4DA1">
              <w:rPr>
                <w:rFonts w:ascii="David" w:eastAsia="Calibri" w:hAnsi="David" w:cs="David"/>
                <w:b/>
                <w:bCs/>
                <w:sz w:val="24"/>
                <w:szCs w:val="24"/>
              </w:rPr>
              <w:br w:type="page"/>
            </w:r>
            <w:r w:rsidRPr="007B4DA1">
              <w:rPr>
                <w:rFonts w:ascii="David" w:eastAsia="Calibri" w:hAnsi="David" w:cs="David"/>
                <w:b/>
                <w:bCs/>
                <w:color w:val="4F81BD"/>
                <w:sz w:val="24"/>
                <w:szCs w:val="24"/>
                <w:rtl/>
              </w:rPr>
              <w:t xml:space="preserve">לוח </w:t>
            </w:r>
            <w:r w:rsidRPr="007B4DA1">
              <w:rPr>
                <w:rFonts w:ascii="David" w:hAnsi="David" w:cs="David"/>
                <w:b/>
                <w:bCs/>
                <w:color w:val="4F81BD"/>
                <w:sz w:val="24"/>
                <w:szCs w:val="24"/>
                <w:rtl/>
              </w:rPr>
              <w:fldChar w:fldCharType="begin"/>
            </w:r>
            <w:r w:rsidRPr="007B4DA1">
              <w:rPr>
                <w:rFonts w:ascii="David" w:eastAsia="Calibri" w:hAnsi="David" w:cs="David"/>
                <w:b/>
                <w:bCs/>
                <w:color w:val="4F81BD"/>
                <w:sz w:val="24"/>
                <w:szCs w:val="24"/>
                <w:rtl/>
              </w:rPr>
              <w:instrText xml:space="preserve"> </w:instrText>
            </w:r>
            <w:r w:rsidRPr="007B4DA1">
              <w:rPr>
                <w:rFonts w:ascii="David" w:eastAsia="Calibri" w:hAnsi="David" w:cs="David"/>
                <w:b/>
                <w:bCs/>
                <w:color w:val="4F81BD"/>
                <w:sz w:val="24"/>
                <w:szCs w:val="24"/>
              </w:rPr>
              <w:instrText>SEQ</w:instrText>
            </w:r>
            <w:r w:rsidRPr="007B4DA1">
              <w:rPr>
                <w:rFonts w:ascii="David" w:eastAsia="Calibri" w:hAnsi="David" w:cs="David"/>
                <w:b/>
                <w:bCs/>
                <w:color w:val="4F81BD"/>
                <w:sz w:val="24"/>
                <w:szCs w:val="24"/>
                <w:rtl/>
              </w:rPr>
              <w:instrText xml:space="preserve"> לוח \* </w:instrText>
            </w:r>
            <w:r w:rsidRPr="007B4DA1">
              <w:rPr>
                <w:rFonts w:ascii="David" w:eastAsia="Calibri" w:hAnsi="David" w:cs="David"/>
                <w:b/>
                <w:bCs/>
                <w:color w:val="4F81BD"/>
                <w:sz w:val="24"/>
                <w:szCs w:val="24"/>
              </w:rPr>
              <w:instrText>ARABIC</w:instrText>
            </w:r>
            <w:r w:rsidRPr="007B4DA1">
              <w:rPr>
                <w:rFonts w:ascii="David" w:eastAsia="Calibri" w:hAnsi="David" w:cs="David"/>
                <w:b/>
                <w:bCs/>
                <w:color w:val="4F81BD"/>
                <w:sz w:val="24"/>
                <w:szCs w:val="24"/>
                <w:rtl/>
              </w:rPr>
              <w:instrText xml:space="preserve"> </w:instrText>
            </w:r>
            <w:r w:rsidRPr="007B4DA1">
              <w:rPr>
                <w:rFonts w:ascii="David" w:hAnsi="David" w:cs="David"/>
                <w:b/>
                <w:bCs/>
                <w:color w:val="4F81BD"/>
                <w:sz w:val="24"/>
                <w:szCs w:val="24"/>
                <w:rtl/>
              </w:rPr>
              <w:fldChar w:fldCharType="separate"/>
            </w:r>
            <w:r w:rsidR="00FD6208" w:rsidRPr="007B4DA1">
              <w:rPr>
                <w:rFonts w:ascii="David" w:eastAsia="Calibri" w:hAnsi="David" w:cs="David"/>
                <w:b/>
                <w:bCs/>
                <w:noProof/>
                <w:color w:val="4F81BD"/>
                <w:sz w:val="24"/>
                <w:szCs w:val="24"/>
                <w:rtl/>
              </w:rPr>
              <w:t>2</w:t>
            </w:r>
            <w:r w:rsidRPr="007B4DA1">
              <w:rPr>
                <w:rFonts w:ascii="David" w:hAnsi="David" w:cs="David"/>
                <w:b/>
                <w:bCs/>
                <w:color w:val="4F81BD"/>
                <w:sz w:val="24"/>
                <w:szCs w:val="24"/>
                <w:rtl/>
              </w:rPr>
              <w:fldChar w:fldCharType="end"/>
            </w:r>
            <w:bookmarkEnd w:id="1"/>
          </w:p>
          <w:p w:rsidR="00BB518C" w:rsidRPr="007B4DA1" w:rsidRDefault="00BB518C" w:rsidP="00BB518C">
            <w:pPr>
              <w:keepNext/>
              <w:keepLines/>
              <w:spacing w:before="120" w:after="200" w:line="360" w:lineRule="auto"/>
              <w:ind w:left="113"/>
              <w:contextualSpacing/>
              <w:jc w:val="center"/>
              <w:rPr>
                <w:rFonts w:ascii="David" w:hAnsi="David" w:cs="David"/>
                <w:color w:val="4F81BD"/>
                <w:sz w:val="24"/>
                <w:szCs w:val="24"/>
                <w:rtl/>
              </w:rPr>
            </w:pPr>
            <w:r w:rsidRPr="007B4DA1">
              <w:rPr>
                <w:rFonts w:ascii="David" w:eastAsia="Calibri" w:hAnsi="David" w:cs="David"/>
                <w:b/>
                <w:bCs/>
                <w:color w:val="4F81BD"/>
                <w:sz w:val="24"/>
                <w:szCs w:val="24"/>
                <w:rtl/>
              </w:rPr>
              <w:t>התחזיות לגבי האינפלציה במהלך השנה הקרובה ולגבי הריבית בעוד שנה</w:t>
            </w:r>
            <w:r w:rsidRPr="007B4DA1">
              <w:rPr>
                <w:rFonts w:ascii="David" w:eastAsia="Calibri" w:hAnsi="David" w:cs="David"/>
                <w:b/>
                <w:bCs/>
                <w:color w:val="4F81BD"/>
                <w:sz w:val="24"/>
                <w:szCs w:val="24"/>
              </w:rPr>
              <w:t xml:space="preserve"> </w:t>
            </w:r>
            <w:r w:rsidRPr="007B4DA1">
              <w:rPr>
                <w:rFonts w:ascii="David" w:eastAsia="Calibri" w:hAnsi="David" w:cs="David"/>
                <w:color w:val="4F81BD"/>
                <w:sz w:val="24"/>
                <w:szCs w:val="24"/>
                <w:rtl/>
              </w:rPr>
              <w:t>(אחוזים)</w:t>
            </w:r>
          </w:p>
        </w:tc>
      </w:tr>
      <w:tr w:rsidR="00BB518C" w:rsidRPr="007B4DA1" w:rsidTr="004555DB">
        <w:trPr>
          <w:cantSplit/>
          <w:trHeight w:val="283"/>
          <w:tblHeader/>
          <w:jc w:val="center"/>
        </w:trPr>
        <w:tc>
          <w:tcPr>
            <w:tcW w:w="0" w:type="auto"/>
            <w:tcBorders>
              <w:bottom w:val="single" w:sz="4" w:space="0" w:color="auto"/>
            </w:tcBorders>
            <w:vAlign w:val="center"/>
          </w:tcPr>
          <w:p w:rsidR="00BB518C" w:rsidRPr="007B4DA1" w:rsidRDefault="00BB518C" w:rsidP="00BB518C">
            <w:pPr>
              <w:keepNext/>
              <w:keepLines/>
              <w:spacing w:before="120" w:after="120" w:line="360" w:lineRule="auto"/>
              <w:ind w:left="113"/>
              <w:jc w:val="center"/>
              <w:rPr>
                <w:rFonts w:ascii="David" w:hAnsi="David" w:cs="David"/>
                <w:sz w:val="24"/>
                <w:szCs w:val="24"/>
                <w:highlight w:val="yellow"/>
                <w:rtl/>
              </w:rPr>
            </w:pPr>
          </w:p>
        </w:tc>
        <w:tc>
          <w:tcPr>
            <w:tcW w:w="1984" w:type="dxa"/>
            <w:tcBorders>
              <w:bottom w:val="single" w:sz="4" w:space="0" w:color="auto"/>
            </w:tcBorders>
            <w:shd w:val="clear" w:color="auto" w:fill="auto"/>
            <w:vAlign w:val="center"/>
          </w:tcPr>
          <w:p w:rsidR="00BB518C" w:rsidRPr="007B4DA1" w:rsidRDefault="00BB518C" w:rsidP="00BB518C">
            <w:pPr>
              <w:keepNext/>
              <w:keepLines/>
              <w:spacing w:before="120" w:after="120" w:line="360" w:lineRule="auto"/>
              <w:ind w:left="113"/>
              <w:jc w:val="center"/>
              <w:rPr>
                <w:rFonts w:ascii="David" w:hAnsi="David" w:cs="David"/>
                <w:sz w:val="24"/>
                <w:szCs w:val="24"/>
                <w:rtl/>
              </w:rPr>
            </w:pPr>
            <w:r w:rsidRPr="007B4DA1">
              <w:rPr>
                <w:rFonts w:ascii="David" w:hAnsi="David" w:cs="David"/>
                <w:sz w:val="24"/>
                <w:szCs w:val="24"/>
                <w:rtl/>
              </w:rPr>
              <w:t>חטיבת המחקר של בנק ישראל</w:t>
            </w:r>
          </w:p>
        </w:tc>
        <w:tc>
          <w:tcPr>
            <w:tcW w:w="1984" w:type="dxa"/>
            <w:tcBorders>
              <w:bottom w:val="single" w:sz="4" w:space="0" w:color="auto"/>
            </w:tcBorders>
            <w:shd w:val="clear" w:color="auto" w:fill="auto"/>
            <w:vAlign w:val="center"/>
          </w:tcPr>
          <w:p w:rsidR="00BB518C" w:rsidRPr="007B4DA1" w:rsidRDefault="00BB518C" w:rsidP="00BB518C">
            <w:pPr>
              <w:keepNext/>
              <w:keepLines/>
              <w:spacing w:before="120" w:after="120" w:line="360" w:lineRule="auto"/>
              <w:ind w:left="113"/>
              <w:jc w:val="center"/>
              <w:rPr>
                <w:rFonts w:ascii="David" w:hAnsi="David" w:cs="David"/>
                <w:sz w:val="24"/>
                <w:szCs w:val="24"/>
                <w:rtl/>
              </w:rPr>
            </w:pPr>
            <w:r w:rsidRPr="007B4DA1">
              <w:rPr>
                <w:rFonts w:ascii="David" w:hAnsi="David" w:cs="David"/>
                <w:sz w:val="24"/>
                <w:szCs w:val="24"/>
                <w:rtl/>
              </w:rPr>
              <w:t>שוק ההון</w:t>
            </w:r>
            <w:r w:rsidRPr="007B4DA1">
              <w:rPr>
                <w:rFonts w:ascii="David" w:hAnsi="David" w:cs="David"/>
                <w:sz w:val="24"/>
                <w:szCs w:val="24"/>
                <w:vertAlign w:val="superscript"/>
                <w:rtl/>
              </w:rPr>
              <w:t>1</w:t>
            </w:r>
          </w:p>
        </w:tc>
        <w:tc>
          <w:tcPr>
            <w:tcW w:w="1984" w:type="dxa"/>
            <w:tcBorders>
              <w:bottom w:val="single" w:sz="4" w:space="0" w:color="auto"/>
            </w:tcBorders>
            <w:shd w:val="clear" w:color="auto" w:fill="auto"/>
            <w:vAlign w:val="center"/>
          </w:tcPr>
          <w:p w:rsidR="00BB518C" w:rsidRPr="007B4DA1" w:rsidRDefault="00BB518C" w:rsidP="00BB518C">
            <w:pPr>
              <w:keepNext/>
              <w:keepLines/>
              <w:spacing w:before="120" w:after="120" w:line="360" w:lineRule="auto"/>
              <w:ind w:left="113"/>
              <w:jc w:val="center"/>
              <w:rPr>
                <w:rFonts w:ascii="David" w:hAnsi="David" w:cs="David"/>
                <w:sz w:val="24"/>
                <w:szCs w:val="24"/>
                <w:vertAlign w:val="superscript"/>
                <w:rtl/>
              </w:rPr>
            </w:pPr>
            <w:r w:rsidRPr="007B4DA1">
              <w:rPr>
                <w:rFonts w:ascii="David" w:hAnsi="David" w:cs="David"/>
                <w:sz w:val="24"/>
                <w:szCs w:val="24"/>
                <w:rtl/>
              </w:rPr>
              <w:t>החזאים הפרטיים</w:t>
            </w:r>
            <w:r w:rsidRPr="007B4DA1">
              <w:rPr>
                <w:rFonts w:ascii="David" w:hAnsi="David" w:cs="David"/>
                <w:sz w:val="24"/>
                <w:szCs w:val="24"/>
                <w:vertAlign w:val="superscript"/>
                <w:rtl/>
              </w:rPr>
              <w:t>2</w:t>
            </w:r>
          </w:p>
          <w:p w:rsidR="00BB518C" w:rsidRPr="007B4DA1" w:rsidRDefault="00BB518C" w:rsidP="00BB518C">
            <w:pPr>
              <w:keepNext/>
              <w:keepLines/>
              <w:spacing w:before="120" w:after="120" w:line="360" w:lineRule="auto"/>
              <w:ind w:left="113"/>
              <w:jc w:val="center"/>
              <w:rPr>
                <w:rFonts w:ascii="David" w:hAnsi="David" w:cs="David"/>
                <w:sz w:val="24"/>
                <w:szCs w:val="24"/>
                <w:rtl/>
              </w:rPr>
            </w:pPr>
            <w:r w:rsidRPr="007B4DA1">
              <w:rPr>
                <w:rFonts w:ascii="David" w:hAnsi="David" w:cs="David"/>
                <w:sz w:val="24"/>
                <w:szCs w:val="24"/>
                <w:rtl/>
              </w:rPr>
              <w:t>(טווח התחזיות)</w:t>
            </w:r>
            <w:r w:rsidRPr="007B4DA1">
              <w:rPr>
                <w:rFonts w:ascii="David" w:hAnsi="David" w:cs="David"/>
                <w:sz w:val="24"/>
                <w:szCs w:val="24"/>
                <w:vertAlign w:val="superscript"/>
                <w:rtl/>
              </w:rPr>
              <w:t xml:space="preserve"> </w:t>
            </w:r>
          </w:p>
        </w:tc>
      </w:tr>
      <w:tr w:rsidR="00BB518C" w:rsidRPr="007B4DA1" w:rsidTr="004555DB">
        <w:trPr>
          <w:cantSplit/>
          <w:trHeight w:val="283"/>
          <w:jc w:val="center"/>
        </w:trPr>
        <w:tc>
          <w:tcPr>
            <w:tcW w:w="0" w:type="auto"/>
            <w:tcBorders>
              <w:top w:val="single" w:sz="4" w:space="0" w:color="auto"/>
              <w:bottom w:val="single" w:sz="4" w:space="0" w:color="auto"/>
            </w:tcBorders>
            <w:vAlign w:val="center"/>
          </w:tcPr>
          <w:p w:rsidR="00BB518C" w:rsidRPr="007B4DA1" w:rsidRDefault="00BB518C" w:rsidP="00BB518C">
            <w:pPr>
              <w:keepNext/>
              <w:keepLines/>
              <w:spacing w:before="120" w:after="120" w:line="360" w:lineRule="auto"/>
              <w:ind w:left="113"/>
              <w:jc w:val="both"/>
              <w:rPr>
                <w:rFonts w:ascii="David" w:hAnsi="David" w:cs="David"/>
                <w:sz w:val="24"/>
                <w:szCs w:val="24"/>
                <w:rtl/>
              </w:rPr>
            </w:pPr>
            <w:r w:rsidRPr="007B4DA1">
              <w:rPr>
                <w:rFonts w:ascii="David" w:hAnsi="David" w:cs="David"/>
                <w:sz w:val="24"/>
                <w:szCs w:val="24"/>
                <w:rtl/>
              </w:rPr>
              <w:t>האינפלציה</w:t>
            </w:r>
            <w:r w:rsidRPr="007B4DA1">
              <w:rPr>
                <w:rFonts w:ascii="David" w:hAnsi="David" w:cs="David"/>
                <w:sz w:val="24"/>
                <w:szCs w:val="24"/>
                <w:vertAlign w:val="superscript"/>
                <w:rtl/>
              </w:rPr>
              <w:t>3</w:t>
            </w:r>
            <w:r w:rsidRPr="007B4DA1">
              <w:rPr>
                <w:rFonts w:ascii="David" w:hAnsi="David" w:cs="David"/>
                <w:sz w:val="24"/>
                <w:szCs w:val="24"/>
                <w:rtl/>
              </w:rPr>
              <w:t xml:space="preserve"> </w:t>
            </w:r>
          </w:p>
        </w:tc>
        <w:tc>
          <w:tcPr>
            <w:tcW w:w="1984" w:type="dxa"/>
            <w:tcBorders>
              <w:top w:val="single" w:sz="4" w:space="0" w:color="auto"/>
              <w:bottom w:val="single" w:sz="4" w:space="0" w:color="auto"/>
            </w:tcBorders>
            <w:shd w:val="clear" w:color="auto" w:fill="auto"/>
            <w:vAlign w:val="center"/>
          </w:tcPr>
          <w:p w:rsidR="00BB518C" w:rsidRPr="007B4DA1" w:rsidRDefault="00997416" w:rsidP="0038049A">
            <w:pPr>
              <w:keepNext/>
              <w:keepLines/>
              <w:spacing w:before="120" w:after="120" w:line="360" w:lineRule="auto"/>
              <w:ind w:left="113"/>
              <w:jc w:val="center"/>
              <w:rPr>
                <w:rFonts w:ascii="David" w:hAnsi="David" w:cs="David"/>
                <w:sz w:val="24"/>
                <w:szCs w:val="24"/>
                <w:rtl/>
              </w:rPr>
            </w:pPr>
            <w:r w:rsidRPr="007B4DA1">
              <w:rPr>
                <w:rFonts w:ascii="David" w:hAnsi="David" w:cs="David"/>
                <w:sz w:val="24"/>
                <w:szCs w:val="24"/>
                <w:rtl/>
              </w:rPr>
              <w:t>3.</w:t>
            </w:r>
            <w:r w:rsidR="0038049A" w:rsidRPr="007B4DA1">
              <w:rPr>
                <w:rFonts w:ascii="David" w:hAnsi="David" w:cs="David"/>
                <w:sz w:val="24"/>
                <w:szCs w:val="24"/>
                <w:rtl/>
              </w:rPr>
              <w:t>0</w:t>
            </w:r>
          </w:p>
        </w:tc>
        <w:tc>
          <w:tcPr>
            <w:tcW w:w="1984" w:type="dxa"/>
            <w:tcBorders>
              <w:top w:val="single" w:sz="4" w:space="0" w:color="auto"/>
              <w:bottom w:val="single" w:sz="4" w:space="0" w:color="auto"/>
            </w:tcBorders>
            <w:shd w:val="clear" w:color="auto" w:fill="auto"/>
            <w:vAlign w:val="center"/>
          </w:tcPr>
          <w:p w:rsidR="00BB518C" w:rsidRPr="007B4DA1" w:rsidRDefault="00997416" w:rsidP="004B384E">
            <w:pPr>
              <w:keepNext/>
              <w:keepLines/>
              <w:spacing w:before="120" w:after="120" w:line="360" w:lineRule="auto"/>
              <w:ind w:left="113"/>
              <w:jc w:val="center"/>
              <w:rPr>
                <w:rFonts w:ascii="David" w:hAnsi="David" w:cs="David"/>
                <w:sz w:val="24"/>
                <w:szCs w:val="24"/>
              </w:rPr>
            </w:pPr>
            <w:r w:rsidRPr="007B4DA1">
              <w:rPr>
                <w:rFonts w:ascii="David" w:hAnsi="David" w:cs="David"/>
                <w:sz w:val="24"/>
                <w:szCs w:val="24"/>
                <w:rtl/>
              </w:rPr>
              <w:t>2.</w:t>
            </w:r>
            <w:r w:rsidR="004B384E" w:rsidRPr="007B4DA1">
              <w:rPr>
                <w:rFonts w:ascii="David" w:hAnsi="David" w:cs="David"/>
                <w:sz w:val="24"/>
                <w:szCs w:val="24"/>
                <w:rtl/>
              </w:rPr>
              <w:t>6</w:t>
            </w:r>
          </w:p>
        </w:tc>
        <w:tc>
          <w:tcPr>
            <w:tcW w:w="1984" w:type="dxa"/>
            <w:tcBorders>
              <w:top w:val="single" w:sz="4" w:space="0" w:color="auto"/>
              <w:bottom w:val="single" w:sz="4" w:space="0" w:color="auto"/>
            </w:tcBorders>
            <w:shd w:val="clear" w:color="auto" w:fill="auto"/>
            <w:vAlign w:val="center"/>
          </w:tcPr>
          <w:p w:rsidR="00BB518C" w:rsidRPr="007B4DA1" w:rsidRDefault="00420C53" w:rsidP="002D105E">
            <w:pPr>
              <w:keepNext/>
              <w:keepLines/>
              <w:spacing w:before="120" w:after="120" w:line="360" w:lineRule="auto"/>
              <w:ind w:left="113"/>
              <w:jc w:val="center"/>
              <w:rPr>
                <w:rFonts w:ascii="David" w:hAnsi="David" w:cs="David"/>
                <w:sz w:val="24"/>
                <w:szCs w:val="24"/>
                <w:rtl/>
              </w:rPr>
            </w:pPr>
            <w:r w:rsidRPr="007B4DA1">
              <w:rPr>
                <w:rFonts w:ascii="David" w:hAnsi="David" w:cs="David"/>
                <w:sz w:val="24"/>
                <w:szCs w:val="24"/>
                <w:rtl/>
              </w:rPr>
              <w:t>2.</w:t>
            </w:r>
            <w:r w:rsidR="00997416" w:rsidRPr="007B4DA1">
              <w:rPr>
                <w:rFonts w:ascii="David" w:hAnsi="David" w:cs="David"/>
                <w:sz w:val="24"/>
                <w:szCs w:val="24"/>
                <w:rtl/>
              </w:rPr>
              <w:t>7</w:t>
            </w:r>
            <w:r w:rsidR="00BB518C" w:rsidRPr="007B4DA1">
              <w:rPr>
                <w:rFonts w:ascii="David" w:hAnsi="David" w:cs="David"/>
                <w:sz w:val="24"/>
                <w:szCs w:val="24"/>
                <w:rtl/>
              </w:rPr>
              <w:t xml:space="preserve"> (</w:t>
            </w:r>
            <w:r w:rsidR="00997416" w:rsidRPr="007B4DA1">
              <w:rPr>
                <w:rFonts w:ascii="David" w:hAnsi="David" w:cs="David"/>
                <w:sz w:val="24"/>
                <w:szCs w:val="24"/>
                <w:rtl/>
              </w:rPr>
              <w:t>2.</w:t>
            </w:r>
            <w:r w:rsidR="002D105E" w:rsidRPr="007B4DA1">
              <w:rPr>
                <w:rFonts w:ascii="David" w:hAnsi="David" w:cs="David"/>
                <w:sz w:val="24"/>
                <w:szCs w:val="24"/>
                <w:rtl/>
              </w:rPr>
              <w:t>2</w:t>
            </w:r>
            <w:r w:rsidR="00C2267B" w:rsidRPr="007B4DA1">
              <w:rPr>
                <w:rFonts w:ascii="David" w:hAnsi="David" w:cs="David"/>
                <w:sz w:val="24"/>
                <w:szCs w:val="24"/>
                <w:rtl/>
              </w:rPr>
              <w:t>—3.</w:t>
            </w:r>
            <w:r w:rsidR="002D105E" w:rsidRPr="007B4DA1">
              <w:rPr>
                <w:rFonts w:ascii="David" w:hAnsi="David" w:cs="David"/>
                <w:sz w:val="24"/>
                <w:szCs w:val="24"/>
                <w:rtl/>
              </w:rPr>
              <w:t>5</w:t>
            </w:r>
            <w:r w:rsidR="00BB518C" w:rsidRPr="007B4DA1">
              <w:rPr>
                <w:rFonts w:ascii="David" w:hAnsi="David" w:cs="David"/>
                <w:sz w:val="24"/>
                <w:szCs w:val="24"/>
                <w:rtl/>
              </w:rPr>
              <w:t>)</w:t>
            </w:r>
          </w:p>
        </w:tc>
      </w:tr>
      <w:tr w:rsidR="00BB518C" w:rsidRPr="007B4DA1" w:rsidTr="004555DB">
        <w:trPr>
          <w:cantSplit/>
          <w:trHeight w:val="283"/>
          <w:jc w:val="center"/>
        </w:trPr>
        <w:tc>
          <w:tcPr>
            <w:tcW w:w="0" w:type="auto"/>
            <w:tcBorders>
              <w:top w:val="single" w:sz="4" w:space="0" w:color="auto"/>
              <w:bottom w:val="single" w:sz="4" w:space="0" w:color="auto"/>
            </w:tcBorders>
            <w:shd w:val="clear" w:color="auto" w:fill="auto"/>
            <w:vAlign w:val="center"/>
          </w:tcPr>
          <w:p w:rsidR="00BB518C" w:rsidRPr="007B4DA1" w:rsidRDefault="00BB518C" w:rsidP="00BB518C">
            <w:pPr>
              <w:keepNext/>
              <w:keepLines/>
              <w:spacing w:before="120" w:after="120" w:line="360" w:lineRule="auto"/>
              <w:ind w:left="113"/>
              <w:jc w:val="both"/>
              <w:rPr>
                <w:rFonts w:ascii="David" w:hAnsi="David" w:cs="David"/>
                <w:sz w:val="24"/>
                <w:szCs w:val="24"/>
                <w:vertAlign w:val="superscript"/>
                <w:rtl/>
              </w:rPr>
            </w:pPr>
            <w:r w:rsidRPr="007B4DA1">
              <w:rPr>
                <w:rFonts w:ascii="David" w:hAnsi="David" w:cs="David"/>
                <w:sz w:val="24"/>
                <w:szCs w:val="24"/>
                <w:rtl/>
              </w:rPr>
              <w:t>הריבית</w:t>
            </w:r>
            <w:r w:rsidRPr="007B4DA1">
              <w:rPr>
                <w:rFonts w:ascii="David" w:hAnsi="David" w:cs="David"/>
                <w:sz w:val="24"/>
                <w:szCs w:val="24"/>
                <w:vertAlign w:val="superscript"/>
                <w:rtl/>
              </w:rPr>
              <w:t>4</w:t>
            </w:r>
          </w:p>
        </w:tc>
        <w:tc>
          <w:tcPr>
            <w:tcW w:w="1984" w:type="dxa"/>
            <w:tcBorders>
              <w:top w:val="single" w:sz="4" w:space="0" w:color="auto"/>
              <w:bottom w:val="single" w:sz="4" w:space="0" w:color="auto"/>
            </w:tcBorders>
            <w:shd w:val="clear" w:color="auto" w:fill="auto"/>
            <w:vAlign w:val="center"/>
          </w:tcPr>
          <w:p w:rsidR="00BB518C" w:rsidRPr="007B4DA1" w:rsidRDefault="0038049A" w:rsidP="0038049A">
            <w:pPr>
              <w:keepNext/>
              <w:keepLines/>
              <w:spacing w:before="120" w:after="120" w:line="360" w:lineRule="auto"/>
              <w:ind w:left="113"/>
              <w:jc w:val="center"/>
              <w:rPr>
                <w:rFonts w:ascii="David" w:hAnsi="David" w:cs="David"/>
                <w:sz w:val="24"/>
                <w:szCs w:val="24"/>
                <w:rtl/>
              </w:rPr>
            </w:pPr>
            <w:r w:rsidRPr="007B4DA1">
              <w:rPr>
                <w:rFonts w:ascii="David" w:hAnsi="David" w:cs="David"/>
                <w:sz w:val="24"/>
                <w:szCs w:val="24"/>
                <w:rtl/>
              </w:rPr>
              <w:t>4</w:t>
            </w:r>
            <w:r w:rsidR="00997416" w:rsidRPr="007B4DA1">
              <w:rPr>
                <w:rFonts w:ascii="David" w:hAnsi="David" w:cs="David"/>
                <w:sz w:val="24"/>
                <w:szCs w:val="24"/>
                <w:rtl/>
              </w:rPr>
              <w:t>.</w:t>
            </w:r>
            <w:r w:rsidRPr="007B4DA1">
              <w:rPr>
                <w:rFonts w:ascii="David" w:hAnsi="David" w:cs="David"/>
                <w:sz w:val="24"/>
                <w:szCs w:val="24"/>
                <w:rtl/>
              </w:rPr>
              <w:t>0</w:t>
            </w:r>
          </w:p>
        </w:tc>
        <w:tc>
          <w:tcPr>
            <w:tcW w:w="1984" w:type="dxa"/>
            <w:tcBorders>
              <w:top w:val="single" w:sz="4" w:space="0" w:color="auto"/>
              <w:bottom w:val="single" w:sz="4" w:space="0" w:color="auto"/>
            </w:tcBorders>
            <w:shd w:val="clear" w:color="auto" w:fill="auto"/>
            <w:vAlign w:val="center"/>
          </w:tcPr>
          <w:p w:rsidR="00BB518C" w:rsidRPr="007B4DA1" w:rsidRDefault="004B384E" w:rsidP="0038049A">
            <w:pPr>
              <w:keepNext/>
              <w:keepLines/>
              <w:spacing w:before="120" w:after="120" w:line="360" w:lineRule="auto"/>
              <w:ind w:left="113"/>
              <w:jc w:val="center"/>
              <w:rPr>
                <w:rFonts w:ascii="David" w:hAnsi="David" w:cs="David"/>
                <w:sz w:val="24"/>
                <w:szCs w:val="24"/>
              </w:rPr>
            </w:pPr>
            <w:r w:rsidRPr="007B4DA1">
              <w:rPr>
                <w:rFonts w:ascii="David" w:hAnsi="David" w:cs="David"/>
                <w:sz w:val="24"/>
                <w:szCs w:val="24"/>
                <w:rtl/>
              </w:rPr>
              <w:t>4.0</w:t>
            </w:r>
          </w:p>
        </w:tc>
        <w:tc>
          <w:tcPr>
            <w:tcW w:w="1984" w:type="dxa"/>
            <w:tcBorders>
              <w:top w:val="single" w:sz="4" w:space="0" w:color="auto"/>
              <w:bottom w:val="single" w:sz="4" w:space="0" w:color="auto"/>
            </w:tcBorders>
            <w:shd w:val="clear" w:color="auto" w:fill="auto"/>
            <w:vAlign w:val="center"/>
          </w:tcPr>
          <w:p w:rsidR="00BB518C" w:rsidRPr="007B4DA1" w:rsidRDefault="00E3066A" w:rsidP="002D105E">
            <w:pPr>
              <w:keepNext/>
              <w:keepLines/>
              <w:spacing w:before="120" w:after="120" w:line="360" w:lineRule="auto"/>
              <w:ind w:left="113"/>
              <w:jc w:val="center"/>
              <w:rPr>
                <w:rFonts w:ascii="David" w:hAnsi="David" w:cs="David"/>
                <w:sz w:val="24"/>
                <w:szCs w:val="24"/>
                <w:rtl/>
              </w:rPr>
            </w:pPr>
            <w:r w:rsidRPr="007B4DA1">
              <w:rPr>
                <w:rFonts w:ascii="David" w:hAnsi="David" w:cs="David"/>
                <w:sz w:val="24"/>
                <w:szCs w:val="24"/>
                <w:rtl/>
              </w:rPr>
              <w:t>3.</w:t>
            </w:r>
            <w:r w:rsidR="0038049A" w:rsidRPr="007B4DA1">
              <w:rPr>
                <w:rFonts w:ascii="David" w:hAnsi="David" w:cs="David"/>
                <w:sz w:val="24"/>
                <w:szCs w:val="24"/>
                <w:rtl/>
              </w:rPr>
              <w:t>7</w:t>
            </w:r>
            <w:r w:rsidR="009A765F" w:rsidRPr="007B4DA1">
              <w:rPr>
                <w:rFonts w:ascii="David" w:hAnsi="David" w:cs="David"/>
                <w:sz w:val="24"/>
                <w:szCs w:val="24"/>
                <w:rtl/>
              </w:rPr>
              <w:t xml:space="preserve"> </w:t>
            </w:r>
            <w:r w:rsidR="00BB518C" w:rsidRPr="007B4DA1">
              <w:rPr>
                <w:rFonts w:ascii="David" w:hAnsi="David" w:cs="David"/>
                <w:sz w:val="24"/>
                <w:szCs w:val="24"/>
                <w:rtl/>
              </w:rPr>
              <w:t>(</w:t>
            </w:r>
            <w:r w:rsidR="002D105E" w:rsidRPr="007B4DA1">
              <w:rPr>
                <w:rFonts w:ascii="David" w:hAnsi="David" w:cs="David"/>
                <w:sz w:val="24"/>
                <w:szCs w:val="24"/>
                <w:rtl/>
              </w:rPr>
              <w:t>2</w:t>
            </w:r>
            <w:r w:rsidR="00C2267B" w:rsidRPr="007B4DA1">
              <w:rPr>
                <w:rFonts w:ascii="David" w:hAnsi="David" w:cs="David"/>
                <w:sz w:val="24"/>
                <w:szCs w:val="24"/>
                <w:rtl/>
              </w:rPr>
              <w:t>.</w:t>
            </w:r>
            <w:r w:rsidR="00997416" w:rsidRPr="007B4DA1">
              <w:rPr>
                <w:rFonts w:ascii="David" w:hAnsi="David" w:cs="David"/>
                <w:sz w:val="24"/>
                <w:szCs w:val="24"/>
                <w:rtl/>
              </w:rPr>
              <w:t>75</w:t>
            </w:r>
            <w:r w:rsidR="00C2267B" w:rsidRPr="007B4DA1">
              <w:rPr>
                <w:rFonts w:ascii="David" w:hAnsi="David" w:cs="David"/>
                <w:sz w:val="24"/>
                <w:szCs w:val="24"/>
                <w:rtl/>
              </w:rPr>
              <w:t>—</w:t>
            </w:r>
            <w:r w:rsidR="002D105E" w:rsidRPr="007B4DA1">
              <w:rPr>
                <w:rFonts w:ascii="David" w:hAnsi="David" w:cs="David"/>
                <w:sz w:val="24"/>
                <w:szCs w:val="24"/>
                <w:rtl/>
              </w:rPr>
              <w:t>4.0</w:t>
            </w:r>
            <w:r w:rsidR="00BB518C" w:rsidRPr="007B4DA1">
              <w:rPr>
                <w:rFonts w:ascii="David" w:hAnsi="David" w:cs="David"/>
                <w:sz w:val="24"/>
                <w:szCs w:val="24"/>
                <w:rtl/>
              </w:rPr>
              <w:t>)</w:t>
            </w:r>
          </w:p>
        </w:tc>
      </w:tr>
      <w:tr w:rsidR="00BB518C" w:rsidRPr="007B4DA1" w:rsidTr="004555DB">
        <w:trPr>
          <w:cantSplit/>
          <w:trHeight w:val="283"/>
          <w:jc w:val="center"/>
        </w:trPr>
        <w:tc>
          <w:tcPr>
            <w:tcW w:w="8306" w:type="dxa"/>
            <w:gridSpan w:val="4"/>
            <w:tcBorders>
              <w:top w:val="single" w:sz="4" w:space="0" w:color="auto"/>
            </w:tcBorders>
            <w:vAlign w:val="center"/>
          </w:tcPr>
          <w:p w:rsidR="00BB518C" w:rsidRPr="007B4DA1" w:rsidRDefault="00BB518C" w:rsidP="004B384E">
            <w:pPr>
              <w:keepNext/>
              <w:keepLines/>
              <w:numPr>
                <w:ilvl w:val="0"/>
                <w:numId w:val="3"/>
              </w:numPr>
              <w:ind w:left="426" w:hanging="284"/>
              <w:jc w:val="both"/>
              <w:rPr>
                <w:rFonts w:ascii="David" w:hAnsi="David" w:cs="David"/>
                <w:sz w:val="24"/>
                <w:szCs w:val="24"/>
              </w:rPr>
            </w:pPr>
            <w:r w:rsidRPr="007B4DA1">
              <w:rPr>
                <w:rFonts w:ascii="David" w:hAnsi="David" w:cs="David"/>
                <w:sz w:val="24"/>
                <w:szCs w:val="24"/>
                <w:rtl/>
              </w:rPr>
              <w:t>ציפיות ה</w:t>
            </w:r>
            <w:r w:rsidR="00997416" w:rsidRPr="007B4DA1">
              <w:rPr>
                <w:rFonts w:ascii="David" w:hAnsi="David" w:cs="David"/>
                <w:sz w:val="24"/>
                <w:szCs w:val="24"/>
                <w:rtl/>
              </w:rPr>
              <w:t>אינפלציה מנוכות עונתיות (נכון ל-</w:t>
            </w:r>
            <w:r w:rsidR="004B384E" w:rsidRPr="007B4DA1">
              <w:rPr>
                <w:rFonts w:ascii="David" w:hAnsi="David" w:cs="David"/>
                <w:sz w:val="24"/>
                <w:szCs w:val="24"/>
                <w:rtl/>
              </w:rPr>
              <w:t>29</w:t>
            </w:r>
            <w:r w:rsidR="00997416" w:rsidRPr="007B4DA1">
              <w:rPr>
                <w:rFonts w:ascii="David" w:hAnsi="David" w:cs="David"/>
                <w:sz w:val="24"/>
                <w:szCs w:val="24"/>
                <w:rtl/>
              </w:rPr>
              <w:t>/12/2022</w:t>
            </w:r>
            <w:r w:rsidRPr="007B4DA1">
              <w:rPr>
                <w:rFonts w:ascii="David" w:hAnsi="David" w:cs="David"/>
                <w:sz w:val="24"/>
                <w:szCs w:val="24"/>
                <w:rtl/>
              </w:rPr>
              <w:t>).</w:t>
            </w:r>
          </w:p>
          <w:p w:rsidR="00BB518C" w:rsidRPr="007B4DA1" w:rsidRDefault="00BB518C" w:rsidP="004B384E">
            <w:pPr>
              <w:keepNext/>
              <w:keepLines/>
              <w:numPr>
                <w:ilvl w:val="0"/>
                <w:numId w:val="3"/>
              </w:numPr>
              <w:ind w:left="426" w:hanging="284"/>
              <w:jc w:val="both"/>
              <w:rPr>
                <w:rFonts w:ascii="David" w:hAnsi="David" w:cs="David"/>
                <w:sz w:val="24"/>
                <w:szCs w:val="24"/>
              </w:rPr>
            </w:pPr>
            <w:r w:rsidRPr="007B4DA1">
              <w:rPr>
                <w:rFonts w:ascii="David" w:hAnsi="David" w:cs="David"/>
                <w:sz w:val="24"/>
                <w:szCs w:val="24"/>
                <w:rtl/>
              </w:rPr>
              <w:t xml:space="preserve">התחזיות שפורסמו </w:t>
            </w:r>
            <w:r w:rsidR="004B384E" w:rsidRPr="007B4DA1">
              <w:rPr>
                <w:rFonts w:ascii="David" w:hAnsi="David" w:cs="David"/>
                <w:sz w:val="24"/>
                <w:szCs w:val="24"/>
                <w:rtl/>
              </w:rPr>
              <w:t xml:space="preserve">לאחר </w:t>
            </w:r>
            <w:r w:rsidRPr="007B4DA1">
              <w:rPr>
                <w:rFonts w:ascii="David" w:hAnsi="David" w:cs="David"/>
                <w:sz w:val="24"/>
                <w:szCs w:val="24"/>
                <w:rtl/>
              </w:rPr>
              <w:t xml:space="preserve">פרסום מדד המחירים לצרכן לחודש </w:t>
            </w:r>
            <w:r w:rsidR="002D105E" w:rsidRPr="007B4DA1">
              <w:rPr>
                <w:rFonts w:ascii="David" w:hAnsi="David" w:cs="David"/>
                <w:sz w:val="24"/>
                <w:szCs w:val="24"/>
                <w:rtl/>
              </w:rPr>
              <w:t>דצמבר</w:t>
            </w:r>
            <w:r w:rsidRPr="007B4DA1">
              <w:rPr>
                <w:rFonts w:ascii="David" w:hAnsi="David" w:cs="David"/>
                <w:sz w:val="24"/>
                <w:szCs w:val="24"/>
                <w:rtl/>
              </w:rPr>
              <w:t>.</w:t>
            </w:r>
          </w:p>
          <w:p w:rsidR="00BB518C" w:rsidRPr="007B4DA1" w:rsidRDefault="00BB518C" w:rsidP="002D105E">
            <w:pPr>
              <w:keepNext/>
              <w:keepLines/>
              <w:numPr>
                <w:ilvl w:val="0"/>
                <w:numId w:val="3"/>
              </w:numPr>
              <w:ind w:left="426" w:hanging="284"/>
              <w:jc w:val="both"/>
              <w:rPr>
                <w:rFonts w:ascii="David" w:hAnsi="David" w:cs="David"/>
                <w:sz w:val="24"/>
                <w:szCs w:val="24"/>
              </w:rPr>
            </w:pPr>
            <w:r w:rsidRPr="007B4DA1">
              <w:rPr>
                <w:rFonts w:ascii="David" w:hAnsi="David" w:cs="David"/>
                <w:sz w:val="24"/>
                <w:szCs w:val="24"/>
                <w:rtl/>
              </w:rPr>
              <w:t xml:space="preserve">חטיבת המחקר – בארבעת הרבעונים המסתיימים ברבעון </w:t>
            </w:r>
            <w:r w:rsidR="00997416" w:rsidRPr="007B4DA1">
              <w:rPr>
                <w:rFonts w:ascii="David" w:hAnsi="David" w:cs="David"/>
                <w:sz w:val="24"/>
                <w:szCs w:val="24"/>
                <w:rtl/>
              </w:rPr>
              <w:t>הרביעי</w:t>
            </w:r>
            <w:r w:rsidRPr="007B4DA1">
              <w:rPr>
                <w:rFonts w:ascii="David" w:hAnsi="David" w:cs="David"/>
                <w:sz w:val="24"/>
                <w:szCs w:val="24"/>
                <w:rtl/>
              </w:rPr>
              <w:t xml:space="preserve"> של 2023.</w:t>
            </w:r>
          </w:p>
          <w:p w:rsidR="00BB518C" w:rsidRPr="007B4DA1" w:rsidRDefault="00BB518C" w:rsidP="004B384E">
            <w:pPr>
              <w:keepNext/>
              <w:keepLines/>
              <w:numPr>
                <w:ilvl w:val="0"/>
                <w:numId w:val="3"/>
              </w:numPr>
              <w:ind w:left="426" w:hanging="284"/>
              <w:jc w:val="both"/>
              <w:rPr>
                <w:rFonts w:ascii="David" w:hAnsi="David" w:cs="David"/>
                <w:sz w:val="24"/>
                <w:szCs w:val="24"/>
              </w:rPr>
            </w:pPr>
            <w:r w:rsidRPr="007B4DA1">
              <w:rPr>
                <w:rFonts w:ascii="David" w:hAnsi="David" w:cs="David"/>
                <w:sz w:val="24"/>
                <w:szCs w:val="24"/>
                <w:rtl/>
              </w:rPr>
              <w:t xml:space="preserve">חטיבת המחקר – הריבית הממוצעת ברבעון </w:t>
            </w:r>
            <w:r w:rsidR="00997416" w:rsidRPr="007B4DA1">
              <w:rPr>
                <w:rFonts w:ascii="David" w:hAnsi="David" w:cs="David"/>
                <w:sz w:val="24"/>
                <w:szCs w:val="24"/>
                <w:rtl/>
              </w:rPr>
              <w:t>הרביעי</w:t>
            </w:r>
            <w:r w:rsidRPr="007B4DA1">
              <w:rPr>
                <w:rFonts w:ascii="David" w:hAnsi="David" w:cs="David"/>
                <w:sz w:val="24"/>
                <w:szCs w:val="24"/>
                <w:rtl/>
              </w:rPr>
              <w:t xml:space="preserve"> של 2023. הציפיות משוק ההון מבוססות על שוק </w:t>
            </w:r>
            <w:proofErr w:type="spellStart"/>
            <w:r w:rsidRPr="007B4DA1">
              <w:rPr>
                <w:rFonts w:ascii="David" w:hAnsi="David" w:cs="David"/>
                <w:sz w:val="24"/>
                <w:szCs w:val="24"/>
                <w:rtl/>
              </w:rPr>
              <w:t>התלבור</w:t>
            </w:r>
            <w:proofErr w:type="spellEnd"/>
            <w:r w:rsidRPr="007B4DA1">
              <w:rPr>
                <w:rFonts w:ascii="David" w:hAnsi="David" w:cs="David"/>
                <w:sz w:val="24"/>
                <w:szCs w:val="24"/>
                <w:rtl/>
              </w:rPr>
              <w:t xml:space="preserve"> (</w:t>
            </w:r>
            <w:r w:rsidR="00997416" w:rsidRPr="007B4DA1">
              <w:rPr>
                <w:rFonts w:ascii="David" w:hAnsi="David" w:cs="David"/>
                <w:sz w:val="24"/>
                <w:szCs w:val="24"/>
                <w:rtl/>
              </w:rPr>
              <w:t>נכון ל-</w:t>
            </w:r>
            <w:r w:rsidR="004B384E" w:rsidRPr="007B4DA1">
              <w:rPr>
                <w:rFonts w:ascii="David" w:hAnsi="David" w:cs="David"/>
                <w:sz w:val="24"/>
                <w:szCs w:val="24"/>
                <w:rtl/>
              </w:rPr>
              <w:t>29</w:t>
            </w:r>
            <w:r w:rsidR="00997416" w:rsidRPr="007B4DA1">
              <w:rPr>
                <w:rFonts w:ascii="David" w:hAnsi="David" w:cs="David"/>
                <w:sz w:val="24"/>
                <w:szCs w:val="24"/>
                <w:rtl/>
              </w:rPr>
              <w:t>/12/2022</w:t>
            </w:r>
            <w:r w:rsidRPr="007B4DA1">
              <w:rPr>
                <w:rFonts w:ascii="David" w:hAnsi="David" w:cs="David"/>
                <w:sz w:val="24"/>
                <w:szCs w:val="24"/>
                <w:rtl/>
              </w:rPr>
              <w:t>).</w:t>
            </w:r>
          </w:p>
          <w:p w:rsidR="00BB518C" w:rsidRPr="007B4DA1" w:rsidRDefault="00BB518C" w:rsidP="002D105E">
            <w:pPr>
              <w:keepNext/>
              <w:keepLines/>
              <w:spacing w:after="120" w:line="360" w:lineRule="auto"/>
              <w:ind w:left="423"/>
              <w:jc w:val="both"/>
              <w:rPr>
                <w:rFonts w:ascii="David" w:hAnsi="David" w:cs="David"/>
                <w:sz w:val="24"/>
                <w:szCs w:val="24"/>
                <w:highlight w:val="yellow"/>
                <w:rtl/>
              </w:rPr>
            </w:pPr>
            <w:r w:rsidRPr="007B4DA1">
              <w:rPr>
                <w:rFonts w:ascii="David" w:hAnsi="David" w:cs="David"/>
                <w:sz w:val="24"/>
                <w:szCs w:val="24"/>
                <w:rtl/>
              </w:rPr>
              <w:t xml:space="preserve"> המקור: בנק ישראל.</w:t>
            </w:r>
          </w:p>
        </w:tc>
      </w:tr>
    </w:tbl>
    <w:p w:rsidR="00BB518C" w:rsidRPr="007B4DA1" w:rsidRDefault="00BB518C" w:rsidP="00BB518C">
      <w:pPr>
        <w:keepNext/>
        <w:keepLines/>
        <w:numPr>
          <w:ilvl w:val="0"/>
          <w:numId w:val="1"/>
        </w:numPr>
        <w:tabs>
          <w:tab w:val="num" w:pos="360"/>
          <w:tab w:val="left" w:pos="680"/>
        </w:tabs>
        <w:spacing w:before="240" w:after="120" w:line="360" w:lineRule="auto"/>
        <w:ind w:left="23" w:firstLine="0"/>
        <w:jc w:val="both"/>
        <w:outlineLvl w:val="1"/>
        <w:rPr>
          <w:rFonts w:ascii="David" w:hAnsi="David" w:cs="David"/>
          <w:b/>
          <w:bCs/>
          <w:sz w:val="24"/>
          <w:szCs w:val="24"/>
          <w:rtl/>
        </w:rPr>
      </w:pPr>
      <w:r w:rsidRPr="007B4DA1">
        <w:rPr>
          <w:rFonts w:ascii="David" w:hAnsi="David" w:cs="David"/>
          <w:b/>
          <w:bCs/>
          <w:sz w:val="24"/>
          <w:szCs w:val="24"/>
          <w:rtl/>
        </w:rPr>
        <w:t>הסיכונים העיקריים לתחזית</w:t>
      </w:r>
    </w:p>
    <w:p w:rsidR="00433379" w:rsidRPr="007B4DA1" w:rsidRDefault="00433379" w:rsidP="00D00FF6">
      <w:pPr>
        <w:spacing w:line="360" w:lineRule="auto"/>
        <w:jc w:val="both"/>
        <w:rPr>
          <w:rFonts w:ascii="David" w:hAnsi="David" w:cs="David"/>
          <w:sz w:val="24"/>
          <w:szCs w:val="24"/>
          <w:rtl/>
        </w:rPr>
      </w:pPr>
      <w:r w:rsidRPr="007B4DA1">
        <w:rPr>
          <w:rFonts w:ascii="David" w:hAnsi="David" w:cs="David"/>
          <w:sz w:val="24"/>
          <w:szCs w:val="24"/>
          <w:rtl/>
        </w:rPr>
        <w:t xml:space="preserve">ניתן לחלק את הסיכונים לתחזית לסיכונים גלובליים ומקומיים. הסיכונים הגלובליים לתחזית כוללים התמתנות איטית של קצב האינפלציה בחו"ל בעקבות הפיכתה </w:t>
      </w:r>
      <w:r w:rsidR="00DD5483" w:rsidRPr="007B4DA1">
        <w:rPr>
          <w:rFonts w:ascii="David" w:hAnsi="David" w:cs="David"/>
          <w:sz w:val="24"/>
          <w:szCs w:val="24"/>
          <w:rtl/>
        </w:rPr>
        <w:t>למתמידה</w:t>
      </w:r>
      <w:r w:rsidRPr="007B4DA1">
        <w:rPr>
          <w:rFonts w:ascii="David" w:hAnsi="David" w:cs="David"/>
          <w:sz w:val="24"/>
          <w:szCs w:val="24"/>
          <w:rtl/>
        </w:rPr>
        <w:t xml:space="preserve"> יותר על רקע לחצים שמסתמנים לעליות שכר, בעיקר בארה"ב שם שוק העבודה עדיין הדוק. חורף קר מהצפוי, בעיקר באירופה, עלול להאיץ שוב את מחירי האנרגיה ולהשפיע כלפי מעלה על קצב האינפלציה הצפוי וכלפי מטה על הפעילות. הקלת מדיניות הקורונה בסין, צפויה להגביר את הפעילות בעולם ואת הסחר העולמי, אולם במקביל להעלות את הביקושים למוצרי אנרגיה וסחורות כך שהסיכונים הם לאינפלציה גבוהה מהערכתנו בתחזית.</w:t>
      </w:r>
      <w:r w:rsidR="00F97862" w:rsidRPr="007B4DA1">
        <w:rPr>
          <w:rFonts w:ascii="David" w:hAnsi="David" w:cs="David"/>
          <w:sz w:val="24"/>
          <w:szCs w:val="24"/>
          <w:rtl/>
        </w:rPr>
        <w:t xml:space="preserve"> המשך הלחימה באוקראינה נכלל בתחזית הבסיסית. סיום הלחימה בתקופת התחזית עשוי למתן את מחירי האנרגיה והסחורות להאיץ את הפעילות, ולהביא לקצב אינפלציה נמוך מכפי שהערכנו</w:t>
      </w:r>
      <w:r w:rsidR="00D00FF6" w:rsidRPr="007B4DA1">
        <w:rPr>
          <w:rFonts w:ascii="David" w:hAnsi="David" w:cs="David"/>
          <w:sz w:val="24"/>
          <w:szCs w:val="24"/>
          <w:rtl/>
        </w:rPr>
        <w:t xml:space="preserve"> ומנגד, החרפה אפשרית בלחימה עלולה להשפיע לרעה על מחירי האנרגיה, הסחורות והפעילות הכלכלית, בעיקר באירופה</w:t>
      </w:r>
      <w:r w:rsidR="00F97862" w:rsidRPr="007B4DA1">
        <w:rPr>
          <w:rFonts w:ascii="David" w:hAnsi="David" w:cs="David"/>
          <w:sz w:val="24"/>
          <w:szCs w:val="24"/>
          <w:rtl/>
        </w:rPr>
        <w:t>.</w:t>
      </w:r>
    </w:p>
    <w:p w:rsidR="00433379" w:rsidRPr="007B4DA1" w:rsidRDefault="0038049A" w:rsidP="005D37B0">
      <w:pPr>
        <w:spacing w:line="360" w:lineRule="auto"/>
        <w:jc w:val="both"/>
        <w:rPr>
          <w:rFonts w:ascii="David" w:hAnsi="David" w:cs="David"/>
          <w:sz w:val="24"/>
          <w:szCs w:val="24"/>
          <w:rtl/>
        </w:rPr>
      </w:pPr>
      <w:r w:rsidRPr="007B4DA1">
        <w:rPr>
          <w:rFonts w:ascii="David" w:hAnsi="David" w:cs="David"/>
          <w:sz w:val="24"/>
          <w:szCs w:val="24"/>
          <w:rtl/>
        </w:rPr>
        <w:t>ה</w:t>
      </w:r>
      <w:r w:rsidR="00433379" w:rsidRPr="007B4DA1">
        <w:rPr>
          <w:rFonts w:ascii="David" w:hAnsi="David" w:cs="David"/>
          <w:sz w:val="24"/>
          <w:szCs w:val="24"/>
          <w:rtl/>
        </w:rPr>
        <w:t>סיכונים המקומיים</w:t>
      </w:r>
      <w:r w:rsidRPr="007B4DA1">
        <w:rPr>
          <w:rFonts w:ascii="David" w:hAnsi="David" w:cs="David"/>
          <w:sz w:val="24"/>
          <w:szCs w:val="24"/>
          <w:rtl/>
        </w:rPr>
        <w:t xml:space="preserve"> כוללים בין היתר את</w:t>
      </w:r>
      <w:r w:rsidR="00433379" w:rsidRPr="007B4DA1">
        <w:rPr>
          <w:rFonts w:ascii="David" w:hAnsi="David" w:cs="David"/>
          <w:sz w:val="24"/>
          <w:szCs w:val="24"/>
          <w:rtl/>
        </w:rPr>
        <w:t xml:space="preserve"> הסכמי השכר הצפויים להיחתם במגזר הציבורי, </w:t>
      </w:r>
      <w:r w:rsidRPr="007B4DA1">
        <w:rPr>
          <w:rFonts w:ascii="David" w:hAnsi="David" w:cs="David"/>
          <w:sz w:val="24"/>
          <w:szCs w:val="24"/>
          <w:rtl/>
        </w:rPr>
        <w:t xml:space="preserve">אשר </w:t>
      </w:r>
      <w:r w:rsidR="00433379" w:rsidRPr="007B4DA1">
        <w:rPr>
          <w:rFonts w:ascii="David" w:hAnsi="David" w:cs="David"/>
          <w:sz w:val="24"/>
          <w:szCs w:val="24"/>
          <w:rtl/>
        </w:rPr>
        <w:t xml:space="preserve">תורמים לגידול מסוים בקצב האינפלציה בתחזית הבסיסית. ככל שהסכמי השכר יהיו יותר </w:t>
      </w:r>
      <w:r w:rsidR="005D37B0" w:rsidRPr="007B4DA1">
        <w:rPr>
          <w:rFonts w:ascii="David" w:hAnsi="David" w:cs="David"/>
          <w:sz w:val="24"/>
          <w:szCs w:val="24"/>
          <w:rtl/>
        </w:rPr>
        <w:t>מרחיבים</w:t>
      </w:r>
      <w:r w:rsidR="00433379" w:rsidRPr="007B4DA1">
        <w:rPr>
          <w:rFonts w:ascii="David" w:hAnsi="David" w:cs="David"/>
          <w:sz w:val="24"/>
          <w:szCs w:val="24"/>
          <w:rtl/>
        </w:rPr>
        <w:t>, קיים סיכון לעליה בקצב האינפלציה ברמת הריבית ובאבטלה ולירידה בקצב הצמיחה.</w:t>
      </w:r>
    </w:p>
    <w:p w:rsidR="00433379" w:rsidRPr="007B4DA1" w:rsidRDefault="00433379" w:rsidP="009D06B8">
      <w:pPr>
        <w:spacing w:line="360" w:lineRule="auto"/>
        <w:jc w:val="both"/>
        <w:rPr>
          <w:rFonts w:ascii="David" w:hAnsi="David" w:cs="David"/>
          <w:sz w:val="24"/>
          <w:szCs w:val="24"/>
          <w:rtl/>
        </w:rPr>
      </w:pPr>
      <w:r w:rsidRPr="007B4DA1">
        <w:rPr>
          <w:rFonts w:ascii="David" w:hAnsi="David" w:cs="David"/>
          <w:sz w:val="24"/>
          <w:szCs w:val="24"/>
          <w:rtl/>
        </w:rPr>
        <w:lastRenderedPageBreak/>
        <w:t xml:space="preserve">לגבי הקורונה, ההתפתחויות הנוכחיות </w:t>
      </w:r>
      <w:r w:rsidR="00D00FF6" w:rsidRPr="007B4DA1">
        <w:rPr>
          <w:rFonts w:ascii="David" w:hAnsi="David" w:cs="David"/>
          <w:sz w:val="24"/>
          <w:szCs w:val="24"/>
          <w:rtl/>
        </w:rPr>
        <w:t xml:space="preserve">אינן </w:t>
      </w:r>
      <w:r w:rsidRPr="007B4DA1">
        <w:rPr>
          <w:rFonts w:ascii="David" w:hAnsi="David" w:cs="David"/>
          <w:sz w:val="24"/>
          <w:szCs w:val="24"/>
          <w:rtl/>
        </w:rPr>
        <w:t>מלוות בהגבלות שפוגעות בפעילות הכלכלית</w:t>
      </w:r>
      <w:r w:rsidR="00D00FF6" w:rsidRPr="007B4DA1">
        <w:rPr>
          <w:rFonts w:ascii="David" w:hAnsi="David" w:cs="David"/>
          <w:sz w:val="24"/>
          <w:szCs w:val="24"/>
          <w:rtl/>
        </w:rPr>
        <w:t>. לצד</w:t>
      </w:r>
      <w:r w:rsidRPr="007B4DA1">
        <w:rPr>
          <w:rFonts w:ascii="David" w:hAnsi="David" w:cs="David"/>
          <w:sz w:val="24"/>
          <w:szCs w:val="24"/>
          <w:rtl/>
        </w:rPr>
        <w:t xml:space="preserve"> זאת</w:t>
      </w:r>
      <w:r w:rsidR="00D00FF6" w:rsidRPr="007B4DA1">
        <w:rPr>
          <w:rFonts w:ascii="David" w:hAnsi="David" w:cs="David"/>
          <w:sz w:val="24"/>
          <w:szCs w:val="24"/>
          <w:rtl/>
        </w:rPr>
        <w:t>,</w:t>
      </w:r>
      <w:r w:rsidRPr="007B4DA1">
        <w:rPr>
          <w:rFonts w:ascii="David" w:hAnsi="David" w:cs="David"/>
          <w:sz w:val="24"/>
          <w:szCs w:val="24"/>
          <w:rtl/>
        </w:rPr>
        <w:t xml:space="preserve"> חזרה מלאה של התיירות הנכנסת </w:t>
      </w:r>
      <w:r w:rsidR="009D06B8" w:rsidRPr="007B4DA1">
        <w:rPr>
          <w:rFonts w:ascii="David" w:hAnsi="David" w:cs="David"/>
          <w:sz w:val="24"/>
          <w:szCs w:val="24"/>
          <w:rtl/>
        </w:rPr>
        <w:t>תלויה</w:t>
      </w:r>
      <w:r w:rsidR="00D00FF6" w:rsidRPr="007B4DA1">
        <w:rPr>
          <w:rFonts w:ascii="David" w:hAnsi="David" w:cs="David"/>
          <w:sz w:val="24"/>
          <w:szCs w:val="24"/>
          <w:rtl/>
        </w:rPr>
        <w:t xml:space="preserve"> גם</w:t>
      </w:r>
      <w:r w:rsidRPr="007B4DA1">
        <w:rPr>
          <w:rFonts w:ascii="David" w:hAnsi="David" w:cs="David"/>
          <w:sz w:val="24"/>
          <w:szCs w:val="24"/>
          <w:rtl/>
        </w:rPr>
        <w:t xml:space="preserve"> בשמירה על שקט בתחום המדיני-בטחוני.</w:t>
      </w:r>
    </w:p>
    <w:p w:rsidR="00A251DD" w:rsidRPr="00BB518C" w:rsidRDefault="00A251DD" w:rsidP="00A251DD">
      <w:pPr>
        <w:spacing w:before="120" w:after="0" w:line="360" w:lineRule="auto"/>
        <w:ind w:left="23"/>
        <w:contextualSpacing/>
        <w:jc w:val="center"/>
        <w:rPr>
          <w:rFonts w:ascii="David" w:hAnsi="David" w:cs="David"/>
          <w:b/>
          <w:bCs/>
          <w:spacing w:val="5"/>
          <w:kern w:val="28"/>
          <w:sz w:val="28"/>
          <w:szCs w:val="28"/>
          <w:rtl/>
        </w:rPr>
      </w:pPr>
      <w:bookmarkStart w:id="2" w:name="_GoBack"/>
      <w:bookmarkEnd w:id="2"/>
    </w:p>
    <w:sectPr w:rsidR="00A251DD" w:rsidRPr="00BB518C" w:rsidSect="00E55323">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A27" w:rsidRDefault="00117A27" w:rsidP="00A251DD">
      <w:pPr>
        <w:spacing w:after="0" w:line="240" w:lineRule="auto"/>
      </w:pPr>
      <w:r>
        <w:separator/>
      </w:r>
    </w:p>
  </w:endnote>
  <w:endnote w:type="continuationSeparator" w:id="0">
    <w:p w:rsidR="00117A27" w:rsidRDefault="00117A27" w:rsidP="00A25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5DC" w:rsidRDefault="00F445DC">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5DC" w:rsidRDefault="00F445DC">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5DC" w:rsidRDefault="00F445D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A27" w:rsidRDefault="00117A27" w:rsidP="00A251DD">
      <w:pPr>
        <w:spacing w:after="0" w:line="240" w:lineRule="auto"/>
      </w:pPr>
      <w:r>
        <w:separator/>
      </w:r>
    </w:p>
  </w:footnote>
  <w:footnote w:type="continuationSeparator" w:id="0">
    <w:p w:rsidR="00117A27" w:rsidRDefault="00117A27" w:rsidP="00A251DD">
      <w:pPr>
        <w:spacing w:after="0" w:line="240" w:lineRule="auto"/>
      </w:pPr>
      <w:r>
        <w:continuationSeparator/>
      </w:r>
    </w:p>
  </w:footnote>
  <w:footnote w:id="1">
    <w:p w:rsidR="00BB518C" w:rsidRPr="00355EB1" w:rsidRDefault="00BB518C" w:rsidP="00B8762E">
      <w:pPr>
        <w:pStyle w:val="a3"/>
        <w:spacing w:before="60"/>
        <w:ind w:left="19"/>
        <w:rPr>
          <w:rFonts w:ascii="David" w:hAnsi="David" w:cs="David"/>
          <w:sz w:val="18"/>
          <w:szCs w:val="18"/>
          <w:rtl/>
        </w:rPr>
      </w:pPr>
      <w:r w:rsidRPr="00355EB1">
        <w:rPr>
          <w:rStyle w:val="a5"/>
          <w:rFonts w:ascii="David" w:hAnsi="David" w:cs="David"/>
        </w:rPr>
        <w:footnoteRef/>
      </w:r>
      <w:r w:rsidRPr="00355EB1">
        <w:rPr>
          <w:rFonts w:ascii="David" w:hAnsi="David" w:cs="David"/>
          <w:rtl/>
        </w:rPr>
        <w:t xml:space="preserve"> התחזית הוצגה לוועדה המוניטרית ב-</w:t>
      </w:r>
      <w:r w:rsidR="00B8762E">
        <w:rPr>
          <w:rFonts w:ascii="David" w:hAnsi="David" w:cs="David" w:hint="cs"/>
          <w:rtl/>
        </w:rPr>
        <w:t>1/1/2023</w:t>
      </w:r>
      <w:r w:rsidRPr="00355EB1">
        <w:rPr>
          <w:rFonts w:ascii="David" w:hAnsi="David" w:cs="David"/>
          <w:rtl/>
        </w:rPr>
        <w:t>, לקראת החלטת הריבית שהתקבלה ב-</w:t>
      </w:r>
      <w:r w:rsidR="00B8762E">
        <w:rPr>
          <w:rFonts w:ascii="David" w:hAnsi="David" w:cs="David" w:hint="cs"/>
          <w:rtl/>
        </w:rPr>
        <w:t>2</w:t>
      </w:r>
      <w:r w:rsidR="007D5AC1">
        <w:rPr>
          <w:rFonts w:ascii="David" w:hAnsi="David" w:cs="David" w:hint="cs"/>
          <w:rtl/>
        </w:rPr>
        <w:t>/1</w:t>
      </w:r>
      <w:r w:rsidRPr="00355EB1">
        <w:rPr>
          <w:rFonts w:ascii="David" w:hAnsi="David" w:cs="David"/>
          <w:rtl/>
        </w:rPr>
        <w:t>/202</w:t>
      </w:r>
      <w:r w:rsidR="00B8762E">
        <w:rPr>
          <w:rFonts w:ascii="David" w:hAnsi="David" w:cs="David" w:hint="cs"/>
          <w:rtl/>
        </w:rPr>
        <w:t>3</w:t>
      </w:r>
      <w:r w:rsidRPr="00355EB1">
        <w:rPr>
          <w:rFonts w:ascii="David" w:hAnsi="David" w:cs="David"/>
          <w:rtl/>
        </w:rPr>
        <w:t>.</w:t>
      </w:r>
    </w:p>
  </w:footnote>
  <w:footnote w:id="2">
    <w:p w:rsidR="00BB518C" w:rsidRPr="00355EB1" w:rsidRDefault="00BB518C" w:rsidP="00B8762E">
      <w:pPr>
        <w:pStyle w:val="a3"/>
        <w:spacing w:before="60"/>
        <w:rPr>
          <w:rFonts w:ascii="David" w:hAnsi="David" w:cs="David"/>
        </w:rPr>
      </w:pPr>
      <w:r w:rsidRPr="00355EB1">
        <w:rPr>
          <w:rStyle w:val="a5"/>
          <w:rFonts w:ascii="David" w:hAnsi="David" w:cs="David"/>
        </w:rPr>
        <w:footnoteRef/>
      </w:r>
      <w:r w:rsidRPr="00355EB1">
        <w:rPr>
          <w:rFonts w:ascii="David" w:hAnsi="David" w:cs="David"/>
          <w:rtl/>
        </w:rPr>
        <w:t xml:space="preserve"> ארבעת הרבעונים המסתיימים ברבעון </w:t>
      </w:r>
      <w:r w:rsidR="00B8762E">
        <w:rPr>
          <w:rFonts w:ascii="David" w:hAnsi="David" w:cs="David" w:hint="cs"/>
          <w:rtl/>
        </w:rPr>
        <w:t>הרביעי</w:t>
      </w:r>
      <w:r w:rsidRPr="00355EB1">
        <w:rPr>
          <w:rFonts w:ascii="David" w:hAnsi="David" w:cs="David"/>
          <w:rtl/>
        </w:rPr>
        <w:t xml:space="preserve"> של שנת 2023.</w:t>
      </w:r>
    </w:p>
  </w:footnote>
  <w:footnote w:id="3">
    <w:p w:rsidR="00BB518C" w:rsidRPr="00355EB1" w:rsidRDefault="00BB518C" w:rsidP="00BB518C">
      <w:pPr>
        <w:pStyle w:val="a3"/>
        <w:spacing w:before="60"/>
        <w:ind w:left="5"/>
        <w:rPr>
          <w:rFonts w:ascii="David" w:hAnsi="David" w:cs="David"/>
          <w:rtl/>
        </w:rPr>
      </w:pPr>
      <w:r w:rsidRPr="00355EB1">
        <w:rPr>
          <w:rFonts w:ascii="David" w:hAnsi="David" w:cs="David"/>
          <w:vertAlign w:val="superscript"/>
        </w:rPr>
        <w:footnoteRef/>
      </w:r>
      <w:r w:rsidRPr="00355EB1">
        <w:rPr>
          <w:rFonts w:ascii="David" w:hAnsi="David" w:cs="David"/>
          <w:rtl/>
        </w:rPr>
        <w:t xml:space="preserve"> הסבר על התחזיות המקרו-כלכליות שחטיבת המחקר מגבשת, וכן סקירה של המודלים שהן מושתתות עליהם, מופיעים בדוח האינפלציה 31 (לרבעון השני של 2010), סעיף 3ג. נייר העבודה על מודל ה-</w:t>
      </w:r>
      <w:r w:rsidRPr="00355EB1">
        <w:rPr>
          <w:rFonts w:ascii="David" w:hAnsi="David" w:cs="David"/>
        </w:rPr>
        <w:t>DSGE</w:t>
      </w:r>
      <w:r w:rsidRPr="00355EB1">
        <w:rPr>
          <w:rFonts w:ascii="David" w:hAnsi="David" w:cs="David"/>
          <w:rtl/>
        </w:rPr>
        <w:t xml:space="preserve"> זמין באתר האינטרנט של בנק ישראל. כותרתו</w:t>
      </w:r>
    </w:p>
    <w:p w:rsidR="00BB518C" w:rsidRPr="0070314E" w:rsidRDefault="00117A27" w:rsidP="00BB518C">
      <w:pPr>
        <w:pStyle w:val="a3"/>
        <w:bidi w:val="0"/>
        <w:spacing w:before="60"/>
        <w:ind w:left="14"/>
        <w:rPr>
          <w:rFonts w:ascii="David" w:hAnsi="David"/>
          <w:sz w:val="22"/>
          <w:szCs w:val="22"/>
        </w:rPr>
      </w:pPr>
      <w:hyperlink r:id="rId1" w:history="1">
        <w:r w:rsidR="00BB518C" w:rsidRPr="00B8762E">
          <w:rPr>
            <w:rStyle w:val="Hyperlink"/>
            <w:rFonts w:ascii="David" w:hAnsi="David" w:cs="David"/>
          </w:rPr>
          <w:t>MOISE: A DSGE Model for the Israeli Economy</w:t>
        </w:r>
        <w:r w:rsidR="00BB518C" w:rsidRPr="00B8762E">
          <w:rPr>
            <w:rStyle w:val="Hyperlink"/>
            <w:rFonts w:ascii="David" w:hAnsi="David"/>
          </w:rPr>
          <w:t>, Discussion Paper No. 2012.06</w:t>
        </w:r>
      </w:hyperlink>
      <w:r w:rsidR="00BB518C" w:rsidRPr="0070314E">
        <w:rPr>
          <w:rFonts w:ascii="David" w:hAnsi="David"/>
        </w:rPr>
        <w:t>.</w:t>
      </w:r>
    </w:p>
  </w:footnote>
  <w:footnote w:id="4">
    <w:p w:rsidR="006D41BA" w:rsidRPr="00706D00" w:rsidRDefault="0038049A" w:rsidP="005511F1">
      <w:pPr>
        <w:rPr>
          <w:rFonts w:ascii="David" w:hAnsi="David" w:cs="David"/>
          <w:color w:val="1F497D"/>
        </w:rPr>
      </w:pPr>
      <w:r w:rsidRPr="00706D00">
        <w:rPr>
          <w:rStyle w:val="a5"/>
          <w:rFonts w:ascii="David" w:hAnsi="David" w:cs="David"/>
        </w:rPr>
        <w:footnoteRef/>
      </w:r>
      <w:r w:rsidRPr="00706D00">
        <w:rPr>
          <w:rFonts w:ascii="David" w:hAnsi="David" w:cs="David"/>
          <w:rtl/>
        </w:rPr>
        <w:t xml:space="preserve"> </w:t>
      </w:r>
      <w:r w:rsidR="006D41BA" w:rsidRPr="00706D00">
        <w:rPr>
          <w:rFonts w:ascii="David" w:hAnsi="David" w:cs="David"/>
          <w:rtl/>
        </w:rPr>
        <w:t>תחזית האינפלציה הצפויה במהלך 2023 של ממוצע החזאים המוצג בטבלה, מחושב כמדד דצמבר 2023 ביחס למדד בדצמבר אשתקד. חישוב האינפלציה הצפויה במהלך 2023 של ממוצע החזאים בהתבסס על ממוצע תחזיות החזאים החודשיות לאינפלציה בשנה הקרובה, בדומה לחישוב של תחזית חטיבת המחקר המוצגת בטבלה (ממוצע רבעון רביעי של 2023 ביחס לממוצע רבעון רביעי אשתקד), מניב קצב אינפלציה דומה לזה של החטיבה -2.9%.</w:t>
      </w:r>
    </w:p>
    <w:p w:rsidR="00470459" w:rsidRDefault="00470459" w:rsidP="006D41BA">
      <w:pPr>
        <w:pStyle w:val="a3"/>
        <w:rPr>
          <w:rtl/>
        </w:rPr>
      </w:pPr>
    </w:p>
    <w:p w:rsidR="0038049A" w:rsidRDefault="0038049A" w:rsidP="00470459">
      <w:pPr>
        <w:pStyle w:val="a3"/>
        <w:rPr>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5DC" w:rsidRDefault="00F445DC">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5DC" w:rsidRDefault="00F445DC">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5DC" w:rsidRDefault="00F445D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2543E"/>
    <w:multiLevelType w:val="hybridMultilevel"/>
    <w:tmpl w:val="E24C07EE"/>
    <w:lvl w:ilvl="0" w:tplc="372CF83C">
      <w:start w:val="1"/>
      <w:numFmt w:val="decimal"/>
      <w:lvlText w:val="%1."/>
      <w:lvlJc w:val="left"/>
      <w:pPr>
        <w:ind w:left="1019" w:hanging="360"/>
      </w:pPr>
      <w:rPr>
        <w:rFonts w:hint="default"/>
      </w:rPr>
    </w:lvl>
    <w:lvl w:ilvl="1" w:tplc="04090019" w:tentative="1">
      <w:start w:val="1"/>
      <w:numFmt w:val="lowerLetter"/>
      <w:lvlText w:val="%2."/>
      <w:lvlJc w:val="left"/>
      <w:pPr>
        <w:ind w:left="2110" w:hanging="360"/>
      </w:pPr>
    </w:lvl>
    <w:lvl w:ilvl="2" w:tplc="0409001B" w:tentative="1">
      <w:start w:val="1"/>
      <w:numFmt w:val="lowerRoman"/>
      <w:lvlText w:val="%3."/>
      <w:lvlJc w:val="right"/>
      <w:pPr>
        <w:ind w:left="2830" w:hanging="180"/>
      </w:pPr>
    </w:lvl>
    <w:lvl w:ilvl="3" w:tplc="0409000F" w:tentative="1">
      <w:start w:val="1"/>
      <w:numFmt w:val="decimal"/>
      <w:lvlText w:val="%4."/>
      <w:lvlJc w:val="left"/>
      <w:pPr>
        <w:ind w:left="3550" w:hanging="360"/>
      </w:pPr>
    </w:lvl>
    <w:lvl w:ilvl="4" w:tplc="04090019" w:tentative="1">
      <w:start w:val="1"/>
      <w:numFmt w:val="lowerLetter"/>
      <w:lvlText w:val="%5."/>
      <w:lvlJc w:val="left"/>
      <w:pPr>
        <w:ind w:left="4270" w:hanging="360"/>
      </w:pPr>
    </w:lvl>
    <w:lvl w:ilvl="5" w:tplc="0409001B" w:tentative="1">
      <w:start w:val="1"/>
      <w:numFmt w:val="lowerRoman"/>
      <w:lvlText w:val="%6."/>
      <w:lvlJc w:val="right"/>
      <w:pPr>
        <w:ind w:left="4990" w:hanging="180"/>
      </w:pPr>
    </w:lvl>
    <w:lvl w:ilvl="6" w:tplc="0409000F" w:tentative="1">
      <w:start w:val="1"/>
      <w:numFmt w:val="decimal"/>
      <w:lvlText w:val="%7."/>
      <w:lvlJc w:val="left"/>
      <w:pPr>
        <w:ind w:left="5710" w:hanging="360"/>
      </w:pPr>
    </w:lvl>
    <w:lvl w:ilvl="7" w:tplc="04090019" w:tentative="1">
      <w:start w:val="1"/>
      <w:numFmt w:val="lowerLetter"/>
      <w:lvlText w:val="%8."/>
      <w:lvlJc w:val="left"/>
      <w:pPr>
        <w:ind w:left="6430" w:hanging="360"/>
      </w:pPr>
    </w:lvl>
    <w:lvl w:ilvl="8" w:tplc="0409001B" w:tentative="1">
      <w:start w:val="1"/>
      <w:numFmt w:val="lowerRoman"/>
      <w:lvlText w:val="%9."/>
      <w:lvlJc w:val="right"/>
      <w:pPr>
        <w:ind w:left="7150" w:hanging="180"/>
      </w:pPr>
    </w:lvl>
  </w:abstractNum>
  <w:abstractNum w:abstractNumId="1" w15:restartNumberingAfterBreak="0">
    <w:nsid w:val="2B1F0AC6"/>
    <w:multiLevelType w:val="hybridMultilevel"/>
    <w:tmpl w:val="E24C07EE"/>
    <w:lvl w:ilvl="0" w:tplc="372CF8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1EF4B4E"/>
    <w:multiLevelType w:val="hybridMultilevel"/>
    <w:tmpl w:val="0D98E67C"/>
    <w:lvl w:ilvl="0" w:tplc="A656BCE6">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80D8D"/>
    <w:multiLevelType w:val="hybridMultilevel"/>
    <w:tmpl w:val="0EBC955C"/>
    <w:lvl w:ilvl="0" w:tplc="52781684">
      <w:start w:val="1"/>
      <w:numFmt w:val="bullet"/>
      <w:lvlText w:val=""/>
      <w:lvlJc w:val="left"/>
      <w:pPr>
        <w:tabs>
          <w:tab w:val="num" w:pos="720"/>
        </w:tabs>
        <w:ind w:left="720" w:hanging="360"/>
      </w:pPr>
      <w:rPr>
        <w:rFonts w:ascii="Wingdings" w:hAnsi="Wingdings" w:hint="default"/>
      </w:rPr>
    </w:lvl>
    <w:lvl w:ilvl="1" w:tplc="4694F5E0" w:tentative="1">
      <w:start w:val="1"/>
      <w:numFmt w:val="bullet"/>
      <w:lvlText w:val=""/>
      <w:lvlJc w:val="left"/>
      <w:pPr>
        <w:tabs>
          <w:tab w:val="num" w:pos="1440"/>
        </w:tabs>
        <w:ind w:left="1440" w:hanging="360"/>
      </w:pPr>
      <w:rPr>
        <w:rFonts w:ascii="Wingdings" w:hAnsi="Wingdings" w:hint="default"/>
      </w:rPr>
    </w:lvl>
    <w:lvl w:ilvl="2" w:tplc="3E1E5FC0" w:tentative="1">
      <w:start w:val="1"/>
      <w:numFmt w:val="bullet"/>
      <w:lvlText w:val=""/>
      <w:lvlJc w:val="left"/>
      <w:pPr>
        <w:tabs>
          <w:tab w:val="num" w:pos="2160"/>
        </w:tabs>
        <w:ind w:left="2160" w:hanging="360"/>
      </w:pPr>
      <w:rPr>
        <w:rFonts w:ascii="Wingdings" w:hAnsi="Wingdings" w:hint="default"/>
      </w:rPr>
    </w:lvl>
    <w:lvl w:ilvl="3" w:tplc="A520394C" w:tentative="1">
      <w:start w:val="1"/>
      <w:numFmt w:val="bullet"/>
      <w:lvlText w:val=""/>
      <w:lvlJc w:val="left"/>
      <w:pPr>
        <w:tabs>
          <w:tab w:val="num" w:pos="2880"/>
        </w:tabs>
        <w:ind w:left="2880" w:hanging="360"/>
      </w:pPr>
      <w:rPr>
        <w:rFonts w:ascii="Wingdings" w:hAnsi="Wingdings" w:hint="default"/>
      </w:rPr>
    </w:lvl>
    <w:lvl w:ilvl="4" w:tplc="61D49950" w:tentative="1">
      <w:start w:val="1"/>
      <w:numFmt w:val="bullet"/>
      <w:lvlText w:val=""/>
      <w:lvlJc w:val="left"/>
      <w:pPr>
        <w:tabs>
          <w:tab w:val="num" w:pos="3600"/>
        </w:tabs>
        <w:ind w:left="3600" w:hanging="360"/>
      </w:pPr>
      <w:rPr>
        <w:rFonts w:ascii="Wingdings" w:hAnsi="Wingdings" w:hint="default"/>
      </w:rPr>
    </w:lvl>
    <w:lvl w:ilvl="5" w:tplc="3E5EFFF8" w:tentative="1">
      <w:start w:val="1"/>
      <w:numFmt w:val="bullet"/>
      <w:lvlText w:val=""/>
      <w:lvlJc w:val="left"/>
      <w:pPr>
        <w:tabs>
          <w:tab w:val="num" w:pos="4320"/>
        </w:tabs>
        <w:ind w:left="4320" w:hanging="360"/>
      </w:pPr>
      <w:rPr>
        <w:rFonts w:ascii="Wingdings" w:hAnsi="Wingdings" w:hint="default"/>
      </w:rPr>
    </w:lvl>
    <w:lvl w:ilvl="6" w:tplc="81CA9148" w:tentative="1">
      <w:start w:val="1"/>
      <w:numFmt w:val="bullet"/>
      <w:lvlText w:val=""/>
      <w:lvlJc w:val="left"/>
      <w:pPr>
        <w:tabs>
          <w:tab w:val="num" w:pos="5040"/>
        </w:tabs>
        <w:ind w:left="5040" w:hanging="360"/>
      </w:pPr>
      <w:rPr>
        <w:rFonts w:ascii="Wingdings" w:hAnsi="Wingdings" w:hint="default"/>
      </w:rPr>
    </w:lvl>
    <w:lvl w:ilvl="7" w:tplc="1B2A5C36" w:tentative="1">
      <w:start w:val="1"/>
      <w:numFmt w:val="bullet"/>
      <w:lvlText w:val=""/>
      <w:lvlJc w:val="left"/>
      <w:pPr>
        <w:tabs>
          <w:tab w:val="num" w:pos="5760"/>
        </w:tabs>
        <w:ind w:left="5760" w:hanging="360"/>
      </w:pPr>
      <w:rPr>
        <w:rFonts w:ascii="Wingdings" w:hAnsi="Wingdings" w:hint="default"/>
      </w:rPr>
    </w:lvl>
    <w:lvl w:ilvl="8" w:tplc="ED0A5E74"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1DD"/>
    <w:rsid w:val="000068E0"/>
    <w:rsid w:val="000158A4"/>
    <w:rsid w:val="000968B9"/>
    <w:rsid w:val="000B6DF5"/>
    <w:rsid w:val="000C538C"/>
    <w:rsid w:val="000C77FE"/>
    <w:rsid w:val="000C7C73"/>
    <w:rsid w:val="000D6502"/>
    <w:rsid w:val="000F7C42"/>
    <w:rsid w:val="00117A27"/>
    <w:rsid w:val="00124B07"/>
    <w:rsid w:val="001314C5"/>
    <w:rsid w:val="0013425B"/>
    <w:rsid w:val="001347E8"/>
    <w:rsid w:val="00146C52"/>
    <w:rsid w:val="001719A0"/>
    <w:rsid w:val="0017281C"/>
    <w:rsid w:val="0018141F"/>
    <w:rsid w:val="001815FD"/>
    <w:rsid w:val="001B6940"/>
    <w:rsid w:val="001E08D0"/>
    <w:rsid w:val="001F1F21"/>
    <w:rsid w:val="001F7D01"/>
    <w:rsid w:val="001F7E2B"/>
    <w:rsid w:val="002018FB"/>
    <w:rsid w:val="0021472D"/>
    <w:rsid w:val="00215275"/>
    <w:rsid w:val="00223474"/>
    <w:rsid w:val="002242D8"/>
    <w:rsid w:val="0022586C"/>
    <w:rsid w:val="002311A2"/>
    <w:rsid w:val="00237A13"/>
    <w:rsid w:val="00245574"/>
    <w:rsid w:val="00264C50"/>
    <w:rsid w:val="00281C96"/>
    <w:rsid w:val="0028734E"/>
    <w:rsid w:val="002B3DEA"/>
    <w:rsid w:val="002B6066"/>
    <w:rsid w:val="002C1D27"/>
    <w:rsid w:val="002D105E"/>
    <w:rsid w:val="002F110F"/>
    <w:rsid w:val="002F29C7"/>
    <w:rsid w:val="0033619A"/>
    <w:rsid w:val="00355EB1"/>
    <w:rsid w:val="003651E3"/>
    <w:rsid w:val="0038049A"/>
    <w:rsid w:val="003B0C32"/>
    <w:rsid w:val="003E6A91"/>
    <w:rsid w:val="003F5CAB"/>
    <w:rsid w:val="00403216"/>
    <w:rsid w:val="004052CC"/>
    <w:rsid w:val="00420C53"/>
    <w:rsid w:val="0042647D"/>
    <w:rsid w:val="004306DE"/>
    <w:rsid w:val="004316BD"/>
    <w:rsid w:val="00433379"/>
    <w:rsid w:val="004358E2"/>
    <w:rsid w:val="0043619E"/>
    <w:rsid w:val="004458EC"/>
    <w:rsid w:val="00467AFD"/>
    <w:rsid w:val="00470459"/>
    <w:rsid w:val="004A6F1A"/>
    <w:rsid w:val="004B2E27"/>
    <w:rsid w:val="004B384E"/>
    <w:rsid w:val="004B578E"/>
    <w:rsid w:val="004B7E5F"/>
    <w:rsid w:val="004C1579"/>
    <w:rsid w:val="004C1A9C"/>
    <w:rsid w:val="004E6764"/>
    <w:rsid w:val="00517BCE"/>
    <w:rsid w:val="00537DE1"/>
    <w:rsid w:val="00541635"/>
    <w:rsid w:val="00544C70"/>
    <w:rsid w:val="005511F1"/>
    <w:rsid w:val="00553972"/>
    <w:rsid w:val="005558E7"/>
    <w:rsid w:val="005630F0"/>
    <w:rsid w:val="005679E3"/>
    <w:rsid w:val="00573622"/>
    <w:rsid w:val="005771C7"/>
    <w:rsid w:val="005B5B0F"/>
    <w:rsid w:val="005D00A1"/>
    <w:rsid w:val="005D37B0"/>
    <w:rsid w:val="006036C9"/>
    <w:rsid w:val="00612446"/>
    <w:rsid w:val="00615A4C"/>
    <w:rsid w:val="0062006E"/>
    <w:rsid w:val="006330EA"/>
    <w:rsid w:val="0067553C"/>
    <w:rsid w:val="00681EAC"/>
    <w:rsid w:val="0068257B"/>
    <w:rsid w:val="006A321B"/>
    <w:rsid w:val="006C0104"/>
    <w:rsid w:val="006D41BA"/>
    <w:rsid w:val="006D5ADF"/>
    <w:rsid w:val="006F14DE"/>
    <w:rsid w:val="00701DFC"/>
    <w:rsid w:val="00706D00"/>
    <w:rsid w:val="00750946"/>
    <w:rsid w:val="00762018"/>
    <w:rsid w:val="00767519"/>
    <w:rsid w:val="00780F21"/>
    <w:rsid w:val="0079570B"/>
    <w:rsid w:val="007A53CE"/>
    <w:rsid w:val="007B4DA1"/>
    <w:rsid w:val="007D41AC"/>
    <w:rsid w:val="007D5AC1"/>
    <w:rsid w:val="007E14C5"/>
    <w:rsid w:val="0082045C"/>
    <w:rsid w:val="0083181A"/>
    <w:rsid w:val="008330F4"/>
    <w:rsid w:val="008563F7"/>
    <w:rsid w:val="00860E1A"/>
    <w:rsid w:val="00871B3E"/>
    <w:rsid w:val="008728B3"/>
    <w:rsid w:val="008826F8"/>
    <w:rsid w:val="00886200"/>
    <w:rsid w:val="00887F9E"/>
    <w:rsid w:val="008936C0"/>
    <w:rsid w:val="008A0A61"/>
    <w:rsid w:val="008C7D05"/>
    <w:rsid w:val="009102B7"/>
    <w:rsid w:val="009209BE"/>
    <w:rsid w:val="0093180B"/>
    <w:rsid w:val="00932943"/>
    <w:rsid w:val="00934A8B"/>
    <w:rsid w:val="00994B2C"/>
    <w:rsid w:val="00996A2C"/>
    <w:rsid w:val="009970EF"/>
    <w:rsid w:val="009972D4"/>
    <w:rsid w:val="00997416"/>
    <w:rsid w:val="009975AA"/>
    <w:rsid w:val="009A765F"/>
    <w:rsid w:val="009B459F"/>
    <w:rsid w:val="009D06B8"/>
    <w:rsid w:val="009D3119"/>
    <w:rsid w:val="009F6A0A"/>
    <w:rsid w:val="00A148A1"/>
    <w:rsid w:val="00A23D88"/>
    <w:rsid w:val="00A251DD"/>
    <w:rsid w:val="00A27E9B"/>
    <w:rsid w:val="00A551AA"/>
    <w:rsid w:val="00A670F4"/>
    <w:rsid w:val="00A71C3F"/>
    <w:rsid w:val="00A82C59"/>
    <w:rsid w:val="00A83EA7"/>
    <w:rsid w:val="00A94E44"/>
    <w:rsid w:val="00A96B61"/>
    <w:rsid w:val="00AB56E6"/>
    <w:rsid w:val="00AF12C9"/>
    <w:rsid w:val="00AF7261"/>
    <w:rsid w:val="00AF777E"/>
    <w:rsid w:val="00B35A80"/>
    <w:rsid w:val="00B775BE"/>
    <w:rsid w:val="00B8762E"/>
    <w:rsid w:val="00B9169C"/>
    <w:rsid w:val="00B93525"/>
    <w:rsid w:val="00BA0EFA"/>
    <w:rsid w:val="00BA26A8"/>
    <w:rsid w:val="00BB23F2"/>
    <w:rsid w:val="00BB518C"/>
    <w:rsid w:val="00BF46A3"/>
    <w:rsid w:val="00C15E8E"/>
    <w:rsid w:val="00C2267B"/>
    <w:rsid w:val="00C34F9E"/>
    <w:rsid w:val="00C45063"/>
    <w:rsid w:val="00C67005"/>
    <w:rsid w:val="00C75BB1"/>
    <w:rsid w:val="00C90122"/>
    <w:rsid w:val="00C94178"/>
    <w:rsid w:val="00CA372A"/>
    <w:rsid w:val="00CB30C6"/>
    <w:rsid w:val="00CB5F93"/>
    <w:rsid w:val="00CD46B8"/>
    <w:rsid w:val="00CD7B40"/>
    <w:rsid w:val="00CE63E3"/>
    <w:rsid w:val="00CF0A11"/>
    <w:rsid w:val="00CF2164"/>
    <w:rsid w:val="00CF3DA6"/>
    <w:rsid w:val="00CF7BF4"/>
    <w:rsid w:val="00D00FF6"/>
    <w:rsid w:val="00D2444F"/>
    <w:rsid w:val="00D265DA"/>
    <w:rsid w:val="00D4596F"/>
    <w:rsid w:val="00D75B11"/>
    <w:rsid w:val="00D7636E"/>
    <w:rsid w:val="00D91580"/>
    <w:rsid w:val="00D93B46"/>
    <w:rsid w:val="00DA4C7E"/>
    <w:rsid w:val="00DD1128"/>
    <w:rsid w:val="00DD5483"/>
    <w:rsid w:val="00E17705"/>
    <w:rsid w:val="00E271D6"/>
    <w:rsid w:val="00E3066A"/>
    <w:rsid w:val="00E4522D"/>
    <w:rsid w:val="00E46173"/>
    <w:rsid w:val="00E55323"/>
    <w:rsid w:val="00E572B5"/>
    <w:rsid w:val="00E6536D"/>
    <w:rsid w:val="00E85E77"/>
    <w:rsid w:val="00EC6CB4"/>
    <w:rsid w:val="00ED2A4B"/>
    <w:rsid w:val="00ED58BE"/>
    <w:rsid w:val="00ED68E4"/>
    <w:rsid w:val="00ED7744"/>
    <w:rsid w:val="00EE3F40"/>
    <w:rsid w:val="00F00C6A"/>
    <w:rsid w:val="00F029EA"/>
    <w:rsid w:val="00F12558"/>
    <w:rsid w:val="00F2052C"/>
    <w:rsid w:val="00F23F78"/>
    <w:rsid w:val="00F445DC"/>
    <w:rsid w:val="00F57344"/>
    <w:rsid w:val="00F66943"/>
    <w:rsid w:val="00F670E2"/>
    <w:rsid w:val="00F85901"/>
    <w:rsid w:val="00F9447E"/>
    <w:rsid w:val="00F97862"/>
    <w:rsid w:val="00FA4BBB"/>
    <w:rsid w:val="00FC041B"/>
    <w:rsid w:val="00FC171A"/>
    <w:rsid w:val="00FD6208"/>
    <w:rsid w:val="00FE01B4"/>
    <w:rsid w:val="00FE62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251DD"/>
    <w:pPr>
      <w:spacing w:after="0" w:line="240" w:lineRule="auto"/>
    </w:pPr>
    <w:rPr>
      <w:sz w:val="20"/>
      <w:szCs w:val="20"/>
    </w:rPr>
  </w:style>
  <w:style w:type="character" w:customStyle="1" w:styleId="a4">
    <w:name w:val="טקסט הערת שוליים תו"/>
    <w:basedOn w:val="a0"/>
    <w:link w:val="a3"/>
    <w:uiPriority w:val="99"/>
    <w:semiHidden/>
    <w:rsid w:val="00A251DD"/>
    <w:rPr>
      <w:sz w:val="20"/>
      <w:szCs w:val="20"/>
    </w:rPr>
  </w:style>
  <w:style w:type="character" w:styleId="a5">
    <w:name w:val="footnote reference"/>
    <w:aliases w:val="Footnote Reference Superscript,Footnote symbol,Footnote Reference Number,Footnote Reference_LVL6,Footnote Reference_LVL61,Footnote Reference_LVL62,Footnote Reference_LVL63,Footnote Reference_LVL64,fr,SUPERS,EN Footnote Reference"/>
    <w:basedOn w:val="a0"/>
    <w:uiPriority w:val="99"/>
    <w:unhideWhenUsed/>
    <w:rsid w:val="00A251DD"/>
    <w:rPr>
      <w:vertAlign w:val="superscript"/>
    </w:rPr>
  </w:style>
  <w:style w:type="table" w:customStyle="1" w:styleId="2">
    <w:name w:val="טבלת רשת2"/>
    <w:basedOn w:val="a1"/>
    <w:next w:val="a6"/>
    <w:rsid w:val="00A251DD"/>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A25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A251DD"/>
    <w:pPr>
      <w:bidi/>
      <w:spacing w:after="0" w:line="240" w:lineRule="auto"/>
    </w:pPr>
  </w:style>
  <w:style w:type="paragraph" w:styleId="a8">
    <w:name w:val="header"/>
    <w:basedOn w:val="a"/>
    <w:link w:val="a9"/>
    <w:uiPriority w:val="99"/>
    <w:unhideWhenUsed/>
    <w:rsid w:val="00F445DC"/>
    <w:pPr>
      <w:tabs>
        <w:tab w:val="center" w:pos="4153"/>
        <w:tab w:val="right" w:pos="8306"/>
      </w:tabs>
      <w:spacing w:after="0" w:line="240" w:lineRule="auto"/>
    </w:pPr>
  </w:style>
  <w:style w:type="character" w:customStyle="1" w:styleId="a9">
    <w:name w:val="כותרת עליונה תו"/>
    <w:basedOn w:val="a0"/>
    <w:link w:val="a8"/>
    <w:uiPriority w:val="99"/>
    <w:rsid w:val="00F445DC"/>
  </w:style>
  <w:style w:type="paragraph" w:styleId="aa">
    <w:name w:val="footer"/>
    <w:basedOn w:val="a"/>
    <w:link w:val="ab"/>
    <w:uiPriority w:val="99"/>
    <w:unhideWhenUsed/>
    <w:rsid w:val="00F445DC"/>
    <w:pPr>
      <w:tabs>
        <w:tab w:val="center" w:pos="4153"/>
        <w:tab w:val="right" w:pos="8306"/>
      </w:tabs>
      <w:spacing w:after="0" w:line="240" w:lineRule="auto"/>
    </w:pPr>
  </w:style>
  <w:style w:type="character" w:customStyle="1" w:styleId="ab">
    <w:name w:val="כותרת תחתונה תו"/>
    <w:basedOn w:val="a0"/>
    <w:link w:val="aa"/>
    <w:uiPriority w:val="99"/>
    <w:rsid w:val="00F445DC"/>
  </w:style>
  <w:style w:type="paragraph" w:styleId="ac">
    <w:name w:val="Balloon Text"/>
    <w:basedOn w:val="a"/>
    <w:link w:val="ad"/>
    <w:uiPriority w:val="99"/>
    <w:semiHidden/>
    <w:unhideWhenUsed/>
    <w:rsid w:val="009975AA"/>
    <w:pPr>
      <w:spacing w:after="0" w:line="240" w:lineRule="auto"/>
    </w:pPr>
    <w:rPr>
      <w:rFonts w:ascii="Tahoma" w:hAnsi="Tahoma" w:cs="Tahoma"/>
      <w:sz w:val="18"/>
      <w:szCs w:val="18"/>
    </w:rPr>
  </w:style>
  <w:style w:type="character" w:customStyle="1" w:styleId="ad">
    <w:name w:val="טקסט בלונים תו"/>
    <w:basedOn w:val="a0"/>
    <w:link w:val="ac"/>
    <w:uiPriority w:val="99"/>
    <w:semiHidden/>
    <w:rsid w:val="009975AA"/>
    <w:rPr>
      <w:rFonts w:ascii="Tahoma" w:hAnsi="Tahoma" w:cs="Tahoma"/>
      <w:sz w:val="18"/>
      <w:szCs w:val="18"/>
    </w:rPr>
  </w:style>
  <w:style w:type="character" w:styleId="Hyperlink">
    <w:name w:val="Hyperlink"/>
    <w:basedOn w:val="a0"/>
    <w:uiPriority w:val="99"/>
    <w:unhideWhenUsed/>
    <w:rsid w:val="00B8762E"/>
    <w:rPr>
      <w:color w:val="0563C1" w:themeColor="hyperlink"/>
      <w:u w:val="single"/>
    </w:rPr>
  </w:style>
  <w:style w:type="character" w:styleId="FollowedHyperlink">
    <w:name w:val="FollowedHyperlink"/>
    <w:basedOn w:val="a0"/>
    <w:uiPriority w:val="99"/>
    <w:semiHidden/>
    <w:unhideWhenUsed/>
    <w:rsid w:val="00B8762E"/>
    <w:rPr>
      <w:color w:val="954F72" w:themeColor="followedHyperlink"/>
      <w:u w:val="single"/>
    </w:rPr>
  </w:style>
  <w:style w:type="character" w:styleId="ae">
    <w:name w:val="annotation reference"/>
    <w:basedOn w:val="a0"/>
    <w:uiPriority w:val="99"/>
    <w:semiHidden/>
    <w:unhideWhenUsed/>
    <w:rsid w:val="00433379"/>
    <w:rPr>
      <w:sz w:val="16"/>
      <w:szCs w:val="16"/>
    </w:rPr>
  </w:style>
  <w:style w:type="paragraph" w:styleId="af">
    <w:name w:val="annotation text"/>
    <w:basedOn w:val="a"/>
    <w:link w:val="af0"/>
    <w:uiPriority w:val="99"/>
    <w:semiHidden/>
    <w:unhideWhenUsed/>
    <w:rsid w:val="00433379"/>
    <w:pPr>
      <w:spacing w:after="200" w:line="240" w:lineRule="auto"/>
    </w:pPr>
    <w:rPr>
      <w:sz w:val="20"/>
      <w:szCs w:val="20"/>
    </w:rPr>
  </w:style>
  <w:style w:type="character" w:customStyle="1" w:styleId="af0">
    <w:name w:val="טקסט הערה תו"/>
    <w:basedOn w:val="a0"/>
    <w:link w:val="af"/>
    <w:uiPriority w:val="99"/>
    <w:semiHidden/>
    <w:rsid w:val="00433379"/>
    <w:rPr>
      <w:sz w:val="20"/>
      <w:szCs w:val="20"/>
    </w:rPr>
  </w:style>
  <w:style w:type="paragraph" w:styleId="af1">
    <w:name w:val="List Paragraph"/>
    <w:basedOn w:val="a"/>
    <w:uiPriority w:val="34"/>
    <w:qFormat/>
    <w:rsid w:val="00433379"/>
    <w:pPr>
      <w:ind w:left="720"/>
      <w:contextualSpacing/>
    </w:pPr>
  </w:style>
  <w:style w:type="paragraph" w:styleId="NormalWeb">
    <w:name w:val="Normal (Web)"/>
    <w:basedOn w:val="a"/>
    <w:uiPriority w:val="99"/>
    <w:unhideWhenUsed/>
    <w:rsid w:val="00D265DA"/>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108805">
      <w:bodyDiv w:val="1"/>
      <w:marLeft w:val="0"/>
      <w:marRight w:val="0"/>
      <w:marTop w:val="0"/>
      <w:marBottom w:val="0"/>
      <w:divBdr>
        <w:top w:val="none" w:sz="0" w:space="0" w:color="auto"/>
        <w:left w:val="none" w:sz="0" w:space="0" w:color="auto"/>
        <w:bottom w:val="none" w:sz="0" w:space="0" w:color="auto"/>
        <w:right w:val="none" w:sz="0" w:space="0" w:color="auto"/>
      </w:divBdr>
      <w:divsChild>
        <w:div w:id="455561462">
          <w:marLeft w:val="0"/>
          <w:marRight w:val="547"/>
          <w:marTop w:val="0"/>
          <w:marBottom w:val="0"/>
          <w:divBdr>
            <w:top w:val="none" w:sz="0" w:space="0" w:color="auto"/>
            <w:left w:val="none" w:sz="0" w:space="0" w:color="auto"/>
            <w:bottom w:val="none" w:sz="0" w:space="0" w:color="auto"/>
            <w:right w:val="none" w:sz="0" w:space="0" w:color="auto"/>
          </w:divBdr>
        </w:div>
        <w:div w:id="1532646472">
          <w:marLeft w:val="0"/>
          <w:marRight w:val="547"/>
          <w:marTop w:val="0"/>
          <w:marBottom w:val="0"/>
          <w:divBdr>
            <w:top w:val="none" w:sz="0" w:space="0" w:color="auto"/>
            <w:left w:val="none" w:sz="0" w:space="0" w:color="auto"/>
            <w:bottom w:val="none" w:sz="0" w:space="0" w:color="auto"/>
            <w:right w:val="none" w:sz="0" w:space="0" w:color="auto"/>
          </w:divBdr>
        </w:div>
        <w:div w:id="620577236">
          <w:marLeft w:val="0"/>
          <w:marRight w:val="547"/>
          <w:marTop w:val="0"/>
          <w:marBottom w:val="0"/>
          <w:divBdr>
            <w:top w:val="none" w:sz="0" w:space="0" w:color="auto"/>
            <w:left w:val="none" w:sz="0" w:space="0" w:color="auto"/>
            <w:bottom w:val="none" w:sz="0" w:space="0" w:color="auto"/>
            <w:right w:val="none" w:sz="0" w:space="0" w:color="auto"/>
          </w:divBdr>
        </w:div>
      </w:divsChild>
    </w:div>
    <w:div w:id="579145395">
      <w:bodyDiv w:val="1"/>
      <w:marLeft w:val="0"/>
      <w:marRight w:val="0"/>
      <w:marTop w:val="0"/>
      <w:marBottom w:val="0"/>
      <w:divBdr>
        <w:top w:val="none" w:sz="0" w:space="0" w:color="auto"/>
        <w:left w:val="none" w:sz="0" w:space="0" w:color="auto"/>
        <w:bottom w:val="none" w:sz="0" w:space="0" w:color="auto"/>
        <w:right w:val="none" w:sz="0" w:space="0" w:color="auto"/>
      </w:divBdr>
      <w:divsChild>
        <w:div w:id="164781100">
          <w:marLeft w:val="0"/>
          <w:marRight w:val="360"/>
          <w:marTop w:val="240"/>
          <w:marBottom w:val="0"/>
          <w:divBdr>
            <w:top w:val="none" w:sz="0" w:space="0" w:color="auto"/>
            <w:left w:val="none" w:sz="0" w:space="0" w:color="auto"/>
            <w:bottom w:val="none" w:sz="0" w:space="0" w:color="auto"/>
            <w:right w:val="none" w:sz="0" w:space="0" w:color="auto"/>
          </w:divBdr>
        </w:div>
      </w:divsChild>
    </w:div>
    <w:div w:id="773748116">
      <w:bodyDiv w:val="1"/>
      <w:marLeft w:val="0"/>
      <w:marRight w:val="0"/>
      <w:marTop w:val="0"/>
      <w:marBottom w:val="0"/>
      <w:divBdr>
        <w:top w:val="none" w:sz="0" w:space="0" w:color="auto"/>
        <w:left w:val="none" w:sz="0" w:space="0" w:color="auto"/>
        <w:bottom w:val="none" w:sz="0" w:space="0" w:color="auto"/>
        <w:right w:val="none" w:sz="0" w:space="0" w:color="auto"/>
      </w:divBdr>
    </w:div>
    <w:div w:id="964585648">
      <w:bodyDiv w:val="1"/>
      <w:marLeft w:val="0"/>
      <w:marRight w:val="0"/>
      <w:marTop w:val="0"/>
      <w:marBottom w:val="0"/>
      <w:divBdr>
        <w:top w:val="none" w:sz="0" w:space="0" w:color="auto"/>
        <w:left w:val="none" w:sz="0" w:space="0" w:color="auto"/>
        <w:bottom w:val="none" w:sz="0" w:space="0" w:color="auto"/>
        <w:right w:val="none" w:sz="0" w:space="0" w:color="auto"/>
      </w:divBdr>
    </w:div>
    <w:div w:id="1220677449">
      <w:bodyDiv w:val="1"/>
      <w:marLeft w:val="0"/>
      <w:marRight w:val="0"/>
      <w:marTop w:val="0"/>
      <w:marBottom w:val="0"/>
      <w:divBdr>
        <w:top w:val="none" w:sz="0" w:space="0" w:color="auto"/>
        <w:left w:val="none" w:sz="0" w:space="0" w:color="auto"/>
        <w:bottom w:val="none" w:sz="0" w:space="0" w:color="auto"/>
        <w:right w:val="none" w:sz="0" w:space="0" w:color="auto"/>
      </w:divBdr>
    </w:div>
    <w:div w:id="1836340439">
      <w:bodyDiv w:val="1"/>
      <w:marLeft w:val="0"/>
      <w:marRight w:val="0"/>
      <w:marTop w:val="0"/>
      <w:marBottom w:val="0"/>
      <w:divBdr>
        <w:top w:val="none" w:sz="0" w:space="0" w:color="auto"/>
        <w:left w:val="none" w:sz="0" w:space="0" w:color="auto"/>
        <w:bottom w:val="none" w:sz="0" w:space="0" w:color="auto"/>
        <w:right w:val="none" w:sz="0" w:space="0" w:color="auto"/>
      </w:divBdr>
      <w:divsChild>
        <w:div w:id="458376209">
          <w:marLeft w:val="0"/>
          <w:marRight w:val="360"/>
          <w:marTop w:val="240"/>
          <w:marBottom w:val="0"/>
          <w:divBdr>
            <w:top w:val="none" w:sz="0" w:space="0" w:color="auto"/>
            <w:left w:val="none" w:sz="0" w:space="0" w:color="auto"/>
            <w:bottom w:val="none" w:sz="0" w:space="0" w:color="auto"/>
            <w:right w:val="none" w:sz="0" w:space="0" w:color="auto"/>
          </w:divBdr>
        </w:div>
      </w:divsChild>
    </w:div>
    <w:div w:id="1944454001">
      <w:bodyDiv w:val="1"/>
      <w:marLeft w:val="0"/>
      <w:marRight w:val="0"/>
      <w:marTop w:val="0"/>
      <w:marBottom w:val="0"/>
      <w:divBdr>
        <w:top w:val="none" w:sz="0" w:space="0" w:color="auto"/>
        <w:left w:val="none" w:sz="0" w:space="0" w:color="auto"/>
        <w:bottom w:val="none" w:sz="0" w:space="0" w:color="auto"/>
        <w:right w:val="none" w:sz="0" w:space="0" w:color="auto"/>
      </w:divBdr>
    </w:div>
    <w:div w:id="2083721110">
      <w:bodyDiv w:val="1"/>
      <w:marLeft w:val="0"/>
      <w:marRight w:val="0"/>
      <w:marTop w:val="0"/>
      <w:marBottom w:val="0"/>
      <w:divBdr>
        <w:top w:val="none" w:sz="0" w:space="0" w:color="auto"/>
        <w:left w:val="none" w:sz="0" w:space="0" w:color="auto"/>
        <w:bottom w:val="none" w:sz="0" w:space="0" w:color="auto"/>
        <w:right w:val="none" w:sz="0" w:space="0" w:color="auto"/>
      </w:divBdr>
      <w:divsChild>
        <w:div w:id="517429874">
          <w:marLeft w:val="0"/>
          <w:marRight w:val="36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boi.org.il/en/Research/DiscussionPapers1/dp1206.5e.pd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F4BBB-7504-4EB3-96F9-BBDB96DCE35D}">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024296BC-1880-4502-B95C-EB56D6460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0FA4A7-F83B-494F-8E88-B6AAEA7BD4CA}">
  <ds:schemaRefs>
    <ds:schemaRef ds:uri="http://schemas.microsoft.com/sharepoint/v3/contenttype/forms"/>
  </ds:schemaRefs>
</ds:datastoreItem>
</file>

<file path=customXml/itemProps4.xml><?xml version="1.0" encoding="utf-8"?>
<ds:datastoreItem xmlns:ds="http://schemas.openxmlformats.org/officeDocument/2006/customXml" ds:itemID="{CD2F6EDC-1480-4F62-B242-9A12C1D09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1300</Words>
  <Characters>6502</Characters>
  <Application>Microsoft Office Word</Application>
  <DocSecurity>0</DocSecurity>
  <Lines>54</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2023-01-02T12:27:00Z</dcterms:created>
  <dcterms:modified xsi:type="dcterms:W3CDTF">2023-01-02T13:08:00Z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