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BE156F" w:rsidRPr="00DB1CBC" w:rsidTr="000901D6">
        <w:trPr>
          <w:jc w:val="center"/>
        </w:trPr>
        <w:tc>
          <w:tcPr>
            <w:tcW w:w="2840" w:type="dxa"/>
            <w:tcBorders>
              <w:top w:val="nil"/>
              <w:left w:val="nil"/>
              <w:bottom w:val="nil"/>
              <w:right w:val="nil"/>
            </w:tcBorders>
            <w:vAlign w:val="center"/>
          </w:tcPr>
          <w:p w:rsidR="00BE156F" w:rsidRPr="00520BB4" w:rsidRDefault="00BE156F" w:rsidP="000901D6">
            <w:pPr>
              <w:spacing w:line="360" w:lineRule="auto"/>
              <w:jc w:val="center"/>
              <w:rPr>
                <w:b/>
                <w:bCs/>
                <w:sz w:val="28"/>
                <w:szCs w:val="28"/>
              </w:rPr>
            </w:pPr>
            <w:r w:rsidRPr="00520BB4">
              <w:rPr>
                <w:b/>
                <w:bCs/>
                <w:sz w:val="28"/>
                <w:szCs w:val="28"/>
                <w:rtl/>
              </w:rPr>
              <w:t>בנ</w:t>
            </w:r>
            <w:r w:rsidRPr="00520BB4">
              <w:rPr>
                <w:rFonts w:hint="cs"/>
                <w:b/>
                <w:bCs/>
                <w:sz w:val="28"/>
                <w:szCs w:val="28"/>
                <w:rtl/>
              </w:rPr>
              <w:t xml:space="preserve">ק </w:t>
            </w:r>
            <w:r w:rsidRPr="00520BB4">
              <w:rPr>
                <w:b/>
                <w:bCs/>
                <w:sz w:val="28"/>
                <w:szCs w:val="28"/>
                <w:rtl/>
              </w:rPr>
              <w:t>יש</w:t>
            </w:r>
            <w:r w:rsidRPr="00520BB4">
              <w:rPr>
                <w:rFonts w:hint="cs"/>
                <w:b/>
                <w:bCs/>
                <w:sz w:val="28"/>
                <w:szCs w:val="28"/>
                <w:rtl/>
              </w:rPr>
              <w:t>ראל</w:t>
            </w:r>
          </w:p>
          <w:p w:rsidR="00BE156F" w:rsidRDefault="00BE156F" w:rsidP="000901D6">
            <w:pPr>
              <w:spacing w:line="360" w:lineRule="auto"/>
              <w:ind w:right="-101"/>
              <w:jc w:val="center"/>
            </w:pPr>
            <w:r w:rsidRPr="00520BB4">
              <w:rPr>
                <w:rtl/>
              </w:rPr>
              <w:t>דו</w:t>
            </w:r>
            <w:r w:rsidRPr="00520BB4">
              <w:rPr>
                <w:rFonts w:hint="cs"/>
                <w:rtl/>
              </w:rPr>
              <w:t>בר</w:t>
            </w:r>
            <w:r w:rsidRPr="00520BB4">
              <w:rPr>
                <w:rtl/>
              </w:rPr>
              <w:t>ות</w:t>
            </w:r>
            <w:r w:rsidRPr="00520BB4">
              <w:rPr>
                <w:rFonts w:hint="cs"/>
                <w:rtl/>
              </w:rPr>
              <w:t xml:space="preserve"> והסברה כלכלית</w:t>
            </w:r>
          </w:p>
        </w:tc>
        <w:tc>
          <w:tcPr>
            <w:tcW w:w="2596" w:type="dxa"/>
            <w:tcBorders>
              <w:top w:val="nil"/>
              <w:left w:val="nil"/>
              <w:bottom w:val="nil"/>
              <w:right w:val="nil"/>
            </w:tcBorders>
          </w:tcPr>
          <w:p w:rsidR="00BE156F" w:rsidRDefault="00BE156F" w:rsidP="000901D6">
            <w:pPr>
              <w:jc w:val="center"/>
            </w:pPr>
            <w:r>
              <w:rPr>
                <w:noProof/>
              </w:rPr>
              <w:drawing>
                <wp:inline distT="0" distB="0" distL="0" distR="0" wp14:anchorId="57ED435D" wp14:editId="443E1F47">
                  <wp:extent cx="1200150" cy="666750"/>
                  <wp:effectExtent l="0" t="0" r="0" b="0"/>
                  <wp:docPr id="2" name="תמונה 2"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BE156F" w:rsidRDefault="00BE156F" w:rsidP="000901D6">
            <w:pPr>
              <w:spacing w:line="480" w:lineRule="auto"/>
              <w:jc w:val="right"/>
            </w:pPr>
            <w:r>
              <w:rPr>
                <w:rFonts w:hint="eastAsia"/>
                <w:rtl/>
              </w:rPr>
              <w:t>‏</w:t>
            </w:r>
            <w:r>
              <w:rPr>
                <w:rFonts w:hint="cs"/>
                <w:rtl/>
              </w:rPr>
              <w:t>ירושלים, ח' בתמוז ה</w:t>
            </w:r>
            <w:r>
              <w:rPr>
                <w:rtl/>
              </w:rPr>
              <w:t>תשע"</w:t>
            </w:r>
            <w:r>
              <w:rPr>
                <w:rFonts w:hint="cs"/>
                <w:rtl/>
              </w:rPr>
              <w:t>ד</w:t>
            </w:r>
          </w:p>
          <w:p w:rsidR="00BE156F" w:rsidRPr="00DF107C" w:rsidRDefault="00BE156F" w:rsidP="000901D6">
            <w:pPr>
              <w:spacing w:line="480" w:lineRule="auto"/>
              <w:jc w:val="right"/>
            </w:pPr>
            <w:r>
              <w:rPr>
                <w:rFonts w:hint="eastAsia"/>
                <w:rtl/>
              </w:rPr>
              <w:t>‏‏</w:t>
            </w:r>
            <w:r>
              <w:rPr>
                <w:rFonts w:hint="cs"/>
                <w:rtl/>
              </w:rPr>
              <w:t>6 ביולי 2014</w:t>
            </w:r>
          </w:p>
        </w:tc>
      </w:tr>
    </w:tbl>
    <w:p w:rsidR="00BE156F" w:rsidRDefault="00BE156F" w:rsidP="00BE156F">
      <w:pPr>
        <w:rPr>
          <w:rtl/>
        </w:rPr>
      </w:pPr>
    </w:p>
    <w:p w:rsidR="00BE156F" w:rsidRPr="00E361B9" w:rsidRDefault="00BE156F" w:rsidP="00BE156F">
      <w:pPr>
        <w:spacing w:line="360" w:lineRule="auto"/>
        <w:ind w:right="-101"/>
      </w:pPr>
      <w:r w:rsidRPr="007E18EE">
        <w:rPr>
          <w:rFonts w:hint="cs"/>
          <w:rtl/>
        </w:rPr>
        <w:t>הודעה לעיתונות:</w:t>
      </w:r>
    </w:p>
    <w:p w:rsidR="002A5393" w:rsidRPr="00EE0705" w:rsidRDefault="002A5393" w:rsidP="002A5393">
      <w:pPr>
        <w:rPr>
          <w:rtl/>
        </w:rPr>
      </w:pPr>
    </w:p>
    <w:p w:rsidR="002A5393" w:rsidRPr="00EE0705" w:rsidRDefault="002A5393" w:rsidP="002A5393">
      <w:r w:rsidRPr="00EE0705">
        <w:rPr>
          <w:rFonts w:hint="cs"/>
          <w:rtl/>
        </w:rPr>
        <w:t>קטע מתוך "דוח היציבות הפיננסית" אשר יפורסם בקרוב:</w:t>
      </w:r>
    </w:p>
    <w:p w:rsidR="005E3D05" w:rsidRDefault="005E3D05" w:rsidP="0053780A">
      <w:pPr>
        <w:rPr>
          <w:rtl/>
        </w:rPr>
      </w:pPr>
    </w:p>
    <w:p w:rsidR="0053780A" w:rsidRDefault="00866BC0" w:rsidP="00BE156F">
      <w:pPr>
        <w:ind w:left="-241"/>
        <w:jc w:val="center"/>
        <w:rPr>
          <w:b/>
          <w:bCs/>
          <w:sz w:val="28"/>
          <w:szCs w:val="28"/>
          <w:u w:val="single"/>
          <w:rtl/>
        </w:rPr>
      </w:pPr>
      <w:r>
        <w:rPr>
          <w:rFonts w:hint="cs"/>
          <w:b/>
          <w:bCs/>
          <w:sz w:val="28"/>
          <w:szCs w:val="28"/>
          <w:u w:val="single"/>
          <w:rtl/>
        </w:rPr>
        <w:t xml:space="preserve">מגזר משקי הבית </w:t>
      </w:r>
      <w:r w:rsidR="00820A60">
        <w:rPr>
          <w:rFonts w:hint="cs"/>
          <w:b/>
          <w:bCs/>
          <w:sz w:val="28"/>
          <w:szCs w:val="28"/>
          <w:u w:val="single"/>
          <w:rtl/>
        </w:rPr>
        <w:t xml:space="preserve">מזווית </w:t>
      </w:r>
      <w:r>
        <w:rPr>
          <w:rFonts w:hint="cs"/>
          <w:b/>
          <w:bCs/>
          <w:sz w:val="28"/>
          <w:szCs w:val="28"/>
          <w:u w:val="single"/>
          <w:rtl/>
        </w:rPr>
        <w:t>היציבות הפיננסית</w:t>
      </w:r>
    </w:p>
    <w:p w:rsidR="0053780A" w:rsidRPr="00BE156F" w:rsidRDefault="0053780A" w:rsidP="0053780A">
      <w:pPr>
        <w:spacing w:line="360" w:lineRule="auto"/>
        <w:rPr>
          <w:b/>
          <w:bCs/>
          <w:sz w:val="20"/>
          <w:szCs w:val="20"/>
          <w:u w:val="single"/>
          <w:rtl/>
        </w:rPr>
      </w:pPr>
    </w:p>
    <w:p w:rsidR="0053780A" w:rsidRPr="008707BD" w:rsidRDefault="0053780A" w:rsidP="00722A43">
      <w:pPr>
        <w:pStyle w:val="a6"/>
        <w:numPr>
          <w:ilvl w:val="0"/>
          <w:numId w:val="1"/>
        </w:numPr>
        <w:spacing w:line="360" w:lineRule="auto"/>
        <w:ind w:left="226" w:hanging="467"/>
        <w:jc w:val="both"/>
      </w:pPr>
      <w:r w:rsidRPr="00082D1C">
        <w:rPr>
          <w:rFonts w:hint="cs"/>
          <w:rtl/>
        </w:rPr>
        <w:t xml:space="preserve">בשנים האחרונות </w:t>
      </w:r>
      <w:r>
        <w:rPr>
          <w:rFonts w:hint="cs"/>
          <w:rtl/>
        </w:rPr>
        <w:t xml:space="preserve">הואץ קצב הגידול </w:t>
      </w:r>
      <w:r w:rsidR="00E353B8">
        <w:rPr>
          <w:rFonts w:hint="cs"/>
          <w:rtl/>
        </w:rPr>
        <w:t xml:space="preserve">הנומינלי </w:t>
      </w:r>
      <w:r>
        <w:rPr>
          <w:rFonts w:hint="cs"/>
          <w:rtl/>
        </w:rPr>
        <w:t xml:space="preserve">של </w:t>
      </w:r>
      <w:r w:rsidRPr="00082D1C">
        <w:rPr>
          <w:rFonts w:hint="cs"/>
          <w:rtl/>
        </w:rPr>
        <w:t xml:space="preserve">החוב של משקי הבית, </w:t>
      </w:r>
      <w:r w:rsidR="00284927">
        <w:rPr>
          <w:rFonts w:hint="cs"/>
          <w:rtl/>
        </w:rPr>
        <w:t>בעיקר כתוצאה מ</w:t>
      </w:r>
      <w:r w:rsidRPr="00082D1C">
        <w:rPr>
          <w:rFonts w:hint="cs"/>
          <w:rtl/>
        </w:rPr>
        <w:t>עלייה</w:t>
      </w:r>
      <w:r w:rsidR="00A55072">
        <w:rPr>
          <w:rFonts w:hint="cs"/>
          <w:rtl/>
        </w:rPr>
        <w:t xml:space="preserve"> </w:t>
      </w:r>
      <w:r w:rsidR="00284927">
        <w:rPr>
          <w:rFonts w:hint="cs"/>
          <w:rtl/>
        </w:rPr>
        <w:t>ב</w:t>
      </w:r>
      <w:r w:rsidRPr="00082D1C">
        <w:rPr>
          <w:rFonts w:hint="cs"/>
          <w:rtl/>
        </w:rPr>
        <w:t>חוב לדיור</w:t>
      </w:r>
      <w:r w:rsidR="00284927">
        <w:rPr>
          <w:rFonts w:hint="cs"/>
          <w:rtl/>
        </w:rPr>
        <w:t xml:space="preserve">. </w:t>
      </w:r>
      <w:r w:rsidR="00A55072">
        <w:rPr>
          <w:rFonts w:hint="cs"/>
          <w:rtl/>
        </w:rPr>
        <w:t>אף על פי כן</w:t>
      </w:r>
      <w:r w:rsidRPr="00082D1C">
        <w:rPr>
          <w:rFonts w:hint="cs"/>
          <w:rtl/>
        </w:rPr>
        <w:t xml:space="preserve"> </w:t>
      </w:r>
      <w:r w:rsidR="00A55072">
        <w:rPr>
          <w:rFonts w:hint="cs"/>
          <w:rtl/>
        </w:rPr>
        <w:t>ה</w:t>
      </w:r>
      <w:r w:rsidRPr="00082D1C">
        <w:rPr>
          <w:rFonts w:hint="cs"/>
          <w:rtl/>
        </w:rPr>
        <w:t xml:space="preserve">יחס </w:t>
      </w:r>
      <w:r w:rsidR="00A55072">
        <w:rPr>
          <w:rFonts w:hint="cs"/>
          <w:rtl/>
        </w:rPr>
        <w:t>בין ה</w:t>
      </w:r>
      <w:r w:rsidRPr="00082D1C">
        <w:rPr>
          <w:rFonts w:hint="cs"/>
          <w:rtl/>
        </w:rPr>
        <w:t xml:space="preserve">חוב </w:t>
      </w:r>
      <w:r w:rsidR="00A55072">
        <w:rPr>
          <w:rFonts w:hint="cs"/>
          <w:rtl/>
        </w:rPr>
        <w:t xml:space="preserve">של </w:t>
      </w:r>
      <w:r w:rsidRPr="00082D1C">
        <w:rPr>
          <w:rFonts w:hint="cs"/>
          <w:rtl/>
        </w:rPr>
        <w:t>משקי הבית לתוצר</w:t>
      </w:r>
      <w:r w:rsidR="00E353B8">
        <w:rPr>
          <w:rFonts w:hint="cs"/>
          <w:rtl/>
        </w:rPr>
        <w:t xml:space="preserve"> הנומינלי</w:t>
      </w:r>
      <w:r w:rsidRPr="00082D1C">
        <w:rPr>
          <w:rFonts w:hint="cs"/>
          <w:rtl/>
        </w:rPr>
        <w:t xml:space="preserve"> </w:t>
      </w:r>
      <w:r w:rsidR="005B5FA6">
        <w:rPr>
          <w:rFonts w:hint="cs"/>
          <w:rtl/>
        </w:rPr>
        <w:t xml:space="preserve">עלה אך במעט ואילו </w:t>
      </w:r>
      <w:r w:rsidR="00666E71">
        <w:rPr>
          <w:rFonts w:hint="cs"/>
          <w:rtl/>
        </w:rPr>
        <w:t>ה</w:t>
      </w:r>
      <w:r w:rsidR="005B5FA6">
        <w:rPr>
          <w:rFonts w:hint="cs"/>
          <w:rtl/>
        </w:rPr>
        <w:t xml:space="preserve">יחס </w:t>
      </w:r>
      <w:r w:rsidRPr="00082D1C">
        <w:rPr>
          <w:rFonts w:hint="cs"/>
          <w:rtl/>
        </w:rPr>
        <w:t>ל</w:t>
      </w:r>
      <w:r w:rsidR="00666E71">
        <w:rPr>
          <w:rFonts w:hint="cs"/>
          <w:rtl/>
        </w:rPr>
        <w:t>מול ה</w:t>
      </w:r>
      <w:r w:rsidRPr="00082D1C">
        <w:rPr>
          <w:rFonts w:hint="cs"/>
          <w:rtl/>
        </w:rPr>
        <w:t xml:space="preserve">הכנסה הפנויה </w:t>
      </w:r>
      <w:r w:rsidR="005B5FA6">
        <w:rPr>
          <w:rFonts w:hint="cs"/>
          <w:rtl/>
        </w:rPr>
        <w:t>לא</w:t>
      </w:r>
      <w:r w:rsidRPr="00082D1C">
        <w:rPr>
          <w:rFonts w:hint="cs"/>
          <w:rtl/>
        </w:rPr>
        <w:t xml:space="preserve"> השתנה, והוא נמוך </w:t>
      </w:r>
      <w:r w:rsidRPr="008707BD">
        <w:rPr>
          <w:rFonts w:hint="cs"/>
          <w:rtl/>
        </w:rPr>
        <w:t>משמעותית מהנתון המקביל ברוב המדינות המפותחות.</w:t>
      </w:r>
    </w:p>
    <w:p w:rsidR="00722A43" w:rsidRDefault="008005E5" w:rsidP="00722A43">
      <w:pPr>
        <w:pStyle w:val="a6"/>
        <w:numPr>
          <w:ilvl w:val="0"/>
          <w:numId w:val="1"/>
        </w:numPr>
        <w:spacing w:line="360" w:lineRule="auto"/>
        <w:ind w:left="184" w:hanging="425"/>
        <w:jc w:val="both"/>
      </w:pPr>
      <w:r w:rsidRPr="008707BD">
        <w:rPr>
          <w:rFonts w:hint="cs"/>
          <w:rtl/>
        </w:rPr>
        <w:t xml:space="preserve">מאזן הנכסים וההתחייבויות של משקי הבית בישראל </w:t>
      </w:r>
      <w:r w:rsidR="008707BD" w:rsidRPr="008707BD">
        <w:rPr>
          <w:rFonts w:hint="cs"/>
          <w:rtl/>
        </w:rPr>
        <w:t>מראה</w:t>
      </w:r>
      <w:r w:rsidRPr="008707BD">
        <w:rPr>
          <w:rFonts w:hint="cs"/>
          <w:rtl/>
        </w:rPr>
        <w:t xml:space="preserve"> כי </w:t>
      </w:r>
      <w:r w:rsidR="0053780A" w:rsidRPr="008707BD">
        <w:rPr>
          <w:rFonts w:hint="cs"/>
          <w:rtl/>
        </w:rPr>
        <w:t>משקי הבית</w:t>
      </w:r>
      <w:r w:rsidR="00666E71">
        <w:rPr>
          <w:rFonts w:hint="cs"/>
          <w:rtl/>
        </w:rPr>
        <w:t>, בממוצע,</w:t>
      </w:r>
      <w:r w:rsidR="0053780A" w:rsidRPr="008707BD">
        <w:rPr>
          <w:rFonts w:hint="cs"/>
          <w:rtl/>
        </w:rPr>
        <w:t xml:space="preserve"> נהנים מעו</w:t>
      </w:r>
      <w:r w:rsidRPr="008707BD">
        <w:rPr>
          <w:rFonts w:hint="cs"/>
          <w:rtl/>
        </w:rPr>
        <w:t>דף גדול של נכסים על התחייבויות</w:t>
      </w:r>
      <w:r w:rsidR="00A55072">
        <w:rPr>
          <w:rFonts w:hint="cs"/>
          <w:rtl/>
        </w:rPr>
        <w:t>,</w:t>
      </w:r>
      <w:r w:rsidRPr="008707BD">
        <w:rPr>
          <w:rFonts w:hint="cs"/>
          <w:rtl/>
        </w:rPr>
        <w:t xml:space="preserve"> </w:t>
      </w:r>
      <w:r w:rsidR="008707BD">
        <w:rPr>
          <w:rFonts w:hint="cs"/>
          <w:rtl/>
        </w:rPr>
        <w:t>והמינוף</w:t>
      </w:r>
      <w:r w:rsidRPr="008707BD">
        <w:rPr>
          <w:rFonts w:hint="cs"/>
          <w:noProof/>
          <w:rtl/>
        </w:rPr>
        <w:t xml:space="preserve"> שלהם נמוך בהשוואה למדינות מפותחות אחרות.</w:t>
      </w:r>
      <w:r w:rsidRPr="00722A43">
        <w:rPr>
          <w:rFonts w:hint="cs"/>
          <w:color w:val="FF0000"/>
          <w:rtl/>
        </w:rPr>
        <w:t xml:space="preserve"> </w:t>
      </w:r>
    </w:p>
    <w:p w:rsidR="00BE3D46" w:rsidRDefault="00BE3D46" w:rsidP="00BE3D46">
      <w:pPr>
        <w:pStyle w:val="a6"/>
        <w:numPr>
          <w:ilvl w:val="0"/>
          <w:numId w:val="1"/>
        </w:numPr>
        <w:spacing w:line="360" w:lineRule="auto"/>
        <w:ind w:left="184" w:hanging="425"/>
        <w:jc w:val="both"/>
      </w:pPr>
      <w:r w:rsidRPr="008707BD">
        <w:rPr>
          <w:rFonts w:hint="cs"/>
          <w:rtl/>
        </w:rPr>
        <w:t xml:space="preserve">בהסתכלות על פני עשירוני הכנסה, ניתן לראות כי </w:t>
      </w:r>
      <w:r>
        <w:rPr>
          <w:rFonts w:hint="cs"/>
          <w:rtl/>
        </w:rPr>
        <w:t xml:space="preserve">עבור </w:t>
      </w:r>
      <w:r w:rsidRPr="008707BD">
        <w:rPr>
          <w:rFonts w:hint="cs"/>
          <w:rtl/>
        </w:rPr>
        <w:t xml:space="preserve">שלושת העשירונים </w:t>
      </w:r>
      <w:r>
        <w:rPr>
          <w:rFonts w:hint="cs"/>
          <w:rtl/>
        </w:rPr>
        <w:t xml:space="preserve">התחתונים, החשופים יותר לסיכון של מיתון ואבטלה, </w:t>
      </w:r>
      <w:r w:rsidRPr="008707BD">
        <w:rPr>
          <w:rFonts w:hint="cs"/>
          <w:rtl/>
        </w:rPr>
        <w:t>יחס</w:t>
      </w:r>
      <w:r w:rsidRPr="00082D1C">
        <w:rPr>
          <w:rFonts w:hint="cs"/>
          <w:rtl/>
        </w:rPr>
        <w:t xml:space="preserve"> </w:t>
      </w:r>
      <w:r w:rsidRPr="00966FCE">
        <w:rPr>
          <w:rFonts w:hint="cs"/>
          <w:rtl/>
        </w:rPr>
        <w:t xml:space="preserve">החזר משכנתה </w:t>
      </w:r>
      <w:r w:rsidRPr="001A24D8">
        <w:rPr>
          <w:rFonts w:hint="cs"/>
          <w:rtl/>
        </w:rPr>
        <w:t>מה</w:t>
      </w:r>
      <w:r>
        <w:rPr>
          <w:rFonts w:hint="cs"/>
          <w:rtl/>
        </w:rPr>
        <w:t xml:space="preserve">כנסה </w:t>
      </w:r>
      <w:r w:rsidRPr="00082D1C">
        <w:rPr>
          <w:rFonts w:hint="cs"/>
          <w:rtl/>
        </w:rPr>
        <w:t>גבוה</w:t>
      </w:r>
      <w:r>
        <w:rPr>
          <w:rFonts w:hint="cs"/>
          <w:rtl/>
        </w:rPr>
        <w:t xml:space="preserve"> מהממוצע.</w:t>
      </w:r>
      <w:r w:rsidRPr="00082D1C">
        <w:rPr>
          <w:rFonts w:hint="cs"/>
          <w:rtl/>
        </w:rPr>
        <w:t xml:space="preserve"> </w:t>
      </w:r>
    </w:p>
    <w:p w:rsidR="00722A43" w:rsidRPr="00BE3D46" w:rsidRDefault="00722A43" w:rsidP="00722A43">
      <w:pPr>
        <w:pStyle w:val="a6"/>
        <w:spacing w:line="360" w:lineRule="auto"/>
        <w:ind w:left="-199"/>
        <w:jc w:val="both"/>
        <w:rPr>
          <w:rtl/>
        </w:rPr>
      </w:pPr>
    </w:p>
    <w:p w:rsidR="0053780A" w:rsidRPr="0053780A" w:rsidRDefault="0053780A" w:rsidP="00AA6A83">
      <w:pPr>
        <w:spacing w:line="360" w:lineRule="auto"/>
        <w:ind w:left="-199"/>
        <w:jc w:val="both"/>
        <w:rPr>
          <w:rtl/>
        </w:rPr>
      </w:pPr>
      <w:r>
        <w:rPr>
          <w:rFonts w:hint="cs"/>
          <w:rtl/>
        </w:rPr>
        <w:t xml:space="preserve">מאז </w:t>
      </w:r>
      <w:r w:rsidR="00A55072">
        <w:rPr>
          <w:rFonts w:hint="cs"/>
          <w:rtl/>
        </w:rPr>
        <w:t>ש</w:t>
      </w:r>
      <w:r>
        <w:rPr>
          <w:rFonts w:hint="cs"/>
          <w:rtl/>
        </w:rPr>
        <w:t xml:space="preserve">פרץ המשבר הפיננסי העולמי של 2008 צמח </w:t>
      </w:r>
      <w:r w:rsidR="00A55072">
        <w:rPr>
          <w:rFonts w:hint="cs"/>
          <w:rtl/>
        </w:rPr>
        <w:t>ה</w:t>
      </w:r>
      <w:r>
        <w:rPr>
          <w:rFonts w:hint="cs"/>
          <w:rtl/>
        </w:rPr>
        <w:t xml:space="preserve">חוב </w:t>
      </w:r>
      <w:r w:rsidR="00A55072">
        <w:rPr>
          <w:rFonts w:hint="cs"/>
          <w:rtl/>
        </w:rPr>
        <w:t xml:space="preserve">של </w:t>
      </w:r>
      <w:r>
        <w:rPr>
          <w:rFonts w:hint="cs"/>
          <w:rtl/>
        </w:rPr>
        <w:t xml:space="preserve">משקי הבית </w:t>
      </w:r>
      <w:r w:rsidR="00E353B8">
        <w:rPr>
          <w:rFonts w:hint="cs"/>
          <w:rtl/>
        </w:rPr>
        <w:t xml:space="preserve">בישראל </w:t>
      </w:r>
      <w:r>
        <w:rPr>
          <w:rFonts w:hint="cs"/>
          <w:rtl/>
        </w:rPr>
        <w:t xml:space="preserve">ב-55%, </w:t>
      </w:r>
      <w:r w:rsidR="00A55072">
        <w:rPr>
          <w:rFonts w:hint="cs"/>
          <w:rtl/>
        </w:rPr>
        <w:t>ו</w:t>
      </w:r>
      <w:r w:rsidRPr="001A24D8">
        <w:rPr>
          <w:rFonts w:hint="cs"/>
          <w:rtl/>
        </w:rPr>
        <w:t>במארס</w:t>
      </w:r>
      <w:r>
        <w:rPr>
          <w:rFonts w:hint="cs"/>
          <w:rtl/>
        </w:rPr>
        <w:t xml:space="preserve"> </w:t>
      </w:r>
      <w:r w:rsidR="00866BC0">
        <w:rPr>
          <w:rFonts w:hint="cs"/>
          <w:rtl/>
        </w:rPr>
        <w:t xml:space="preserve">2014 </w:t>
      </w:r>
      <w:r w:rsidR="00A55072">
        <w:rPr>
          <w:rFonts w:hint="cs"/>
          <w:rtl/>
        </w:rPr>
        <w:t xml:space="preserve">הוא הגיע </w:t>
      </w:r>
      <w:r w:rsidRPr="001A24D8">
        <w:rPr>
          <w:rFonts w:hint="cs"/>
          <w:rtl/>
        </w:rPr>
        <w:t xml:space="preserve">ל-412 מיליארדי ש"ח. </w:t>
      </w:r>
      <w:r>
        <w:rPr>
          <w:rFonts w:hint="cs"/>
          <w:rtl/>
        </w:rPr>
        <w:t xml:space="preserve">אולם </w:t>
      </w:r>
      <w:r w:rsidR="005B5FA6">
        <w:rPr>
          <w:rFonts w:hint="cs"/>
          <w:rtl/>
        </w:rPr>
        <w:t xml:space="preserve">מסוף 2007 החוב של משקי הבית ביחס לתוצר עלה אך במעט ואילו </w:t>
      </w:r>
      <w:r w:rsidR="00A2117B">
        <w:rPr>
          <w:rFonts w:hint="cs"/>
          <w:rtl/>
        </w:rPr>
        <w:t>ב</w:t>
      </w:r>
      <w:r w:rsidR="005B5FA6">
        <w:rPr>
          <w:rFonts w:hint="cs"/>
          <w:rtl/>
        </w:rPr>
        <w:t xml:space="preserve">יחס להכנסה הפנויה </w:t>
      </w:r>
      <w:r w:rsidR="001D583E">
        <w:rPr>
          <w:rFonts w:hint="cs"/>
          <w:rtl/>
        </w:rPr>
        <w:t xml:space="preserve">הוא </w:t>
      </w:r>
      <w:r w:rsidR="005B5FA6">
        <w:rPr>
          <w:rFonts w:hint="cs"/>
          <w:rtl/>
        </w:rPr>
        <w:t>לא השתנה, עקב גידול בתוצר וב</w:t>
      </w:r>
      <w:r w:rsidR="00966FCE">
        <w:rPr>
          <w:rFonts w:hint="cs"/>
          <w:rtl/>
        </w:rPr>
        <w:t>ה</w:t>
      </w:r>
      <w:r w:rsidR="005B5FA6">
        <w:rPr>
          <w:rFonts w:hint="cs"/>
          <w:rtl/>
        </w:rPr>
        <w:t>כנסה הפנויה, והוא נמוך משמעותית מהנתון המקביל ברוב המדינות המפותחות</w:t>
      </w:r>
      <w:r>
        <w:rPr>
          <w:rFonts w:hint="cs"/>
          <w:rtl/>
        </w:rPr>
        <w:t xml:space="preserve"> (איור 1)</w:t>
      </w:r>
      <w:r w:rsidRPr="001A24D8">
        <w:rPr>
          <w:rFonts w:hint="cs"/>
          <w:rtl/>
        </w:rPr>
        <w:t xml:space="preserve">. עיקר הגידול </w:t>
      </w:r>
      <w:r>
        <w:rPr>
          <w:rFonts w:hint="cs"/>
          <w:rtl/>
        </w:rPr>
        <w:t xml:space="preserve">ביתרת החוב </w:t>
      </w:r>
      <w:r w:rsidRPr="001A24D8">
        <w:rPr>
          <w:rFonts w:hint="cs"/>
          <w:rtl/>
        </w:rPr>
        <w:t>נבע מהאשראי לדיור</w:t>
      </w:r>
      <w:r w:rsidR="007C6162">
        <w:rPr>
          <w:rFonts w:hint="cs"/>
          <w:rtl/>
        </w:rPr>
        <w:t xml:space="preserve"> </w:t>
      </w:r>
      <w:r w:rsidR="007C6162">
        <w:rPr>
          <w:rtl/>
        </w:rPr>
        <w:t>–</w:t>
      </w:r>
      <w:r w:rsidR="007C6162">
        <w:rPr>
          <w:rFonts w:hint="cs"/>
          <w:rtl/>
        </w:rPr>
        <w:t xml:space="preserve"> </w:t>
      </w:r>
      <w:r w:rsidR="00F92C76">
        <w:rPr>
          <w:rFonts w:hint="cs"/>
          <w:rtl/>
        </w:rPr>
        <w:t>חוב ש</w:t>
      </w:r>
      <w:r>
        <w:rPr>
          <w:rFonts w:hint="cs"/>
          <w:rtl/>
        </w:rPr>
        <w:t>קצב גידול</w:t>
      </w:r>
      <w:r w:rsidR="00F92C76">
        <w:rPr>
          <w:rFonts w:hint="cs"/>
          <w:rtl/>
        </w:rPr>
        <w:t>ו</w:t>
      </w:r>
      <w:r>
        <w:rPr>
          <w:rFonts w:hint="cs"/>
          <w:rtl/>
        </w:rPr>
        <w:t xml:space="preserve"> הואץ בשנים האחרונות (איור 2)</w:t>
      </w:r>
      <w:r w:rsidR="007C6162">
        <w:rPr>
          <w:rFonts w:hint="cs"/>
          <w:rtl/>
        </w:rPr>
        <w:t xml:space="preserve"> </w:t>
      </w:r>
      <w:r w:rsidR="007C6162">
        <w:rPr>
          <w:rtl/>
        </w:rPr>
        <w:t>–</w:t>
      </w:r>
      <w:r w:rsidR="007C6162">
        <w:rPr>
          <w:rFonts w:hint="cs"/>
          <w:rtl/>
        </w:rPr>
        <w:t xml:space="preserve"> </w:t>
      </w:r>
      <w:r w:rsidR="00F92C76">
        <w:rPr>
          <w:rFonts w:hint="cs"/>
          <w:rtl/>
        </w:rPr>
        <w:t>ו</w:t>
      </w:r>
      <w:r>
        <w:rPr>
          <w:rFonts w:hint="cs"/>
          <w:rtl/>
        </w:rPr>
        <w:t>בתום 2013</w:t>
      </w:r>
      <w:r w:rsidRPr="001A24D8">
        <w:rPr>
          <w:rFonts w:hint="cs"/>
          <w:rtl/>
        </w:rPr>
        <w:t xml:space="preserve"> </w:t>
      </w:r>
      <w:r w:rsidR="00F92C76">
        <w:rPr>
          <w:rFonts w:hint="cs"/>
          <w:rtl/>
        </w:rPr>
        <w:t xml:space="preserve">הוא </w:t>
      </w:r>
      <w:r w:rsidR="007C6162">
        <w:rPr>
          <w:rFonts w:hint="cs"/>
          <w:rtl/>
        </w:rPr>
        <w:t xml:space="preserve">מהווה </w:t>
      </w:r>
      <w:r w:rsidRPr="001A24D8">
        <w:rPr>
          <w:rFonts w:hint="cs"/>
          <w:rtl/>
        </w:rPr>
        <w:t>כ-70% מיתרת החוב של משקי הבית</w:t>
      </w:r>
      <w:r>
        <w:rPr>
          <w:rFonts w:hint="cs"/>
          <w:rtl/>
        </w:rPr>
        <w:t xml:space="preserve"> בישראל וכ-30% מתיק האשראי הבנקאי. </w:t>
      </w:r>
      <w:r w:rsidR="005E3D05">
        <w:rPr>
          <w:rFonts w:hint="cs"/>
          <w:rtl/>
        </w:rPr>
        <w:t xml:space="preserve">במקביל לכך חלה ב-2013 עלייה של כ-7% באשראי שאינו לדיור, מהבנקים ומהמוסדיים. </w:t>
      </w:r>
      <w:r w:rsidR="00AA6A83">
        <w:rPr>
          <w:rFonts w:hint="cs"/>
          <w:rtl/>
        </w:rPr>
        <w:t>התפתחויות אלו</w:t>
      </w:r>
      <w:r w:rsidRPr="0053780A">
        <w:rPr>
          <w:rFonts w:hint="cs"/>
          <w:rtl/>
        </w:rPr>
        <w:t xml:space="preserve"> חושפ</w:t>
      </w:r>
      <w:r w:rsidR="00AA6A83">
        <w:rPr>
          <w:rFonts w:hint="cs"/>
          <w:rtl/>
        </w:rPr>
        <w:t>ו</w:t>
      </w:r>
      <w:r w:rsidRPr="0053780A">
        <w:rPr>
          <w:rFonts w:hint="cs"/>
          <w:rtl/>
        </w:rPr>
        <w:t>ת את הבנקים המלווים לסיכון מכיוונו של מגזר משקי הבית, במקרה שתחול תפנית חדה ומהירה בשוק הדיור</w:t>
      </w:r>
      <w:r w:rsidR="00F92C76">
        <w:rPr>
          <w:rFonts w:hint="cs"/>
          <w:rtl/>
        </w:rPr>
        <w:t>,</w:t>
      </w:r>
      <w:r w:rsidR="009669FF" w:rsidRPr="0053780A">
        <w:t xml:space="preserve"> </w:t>
      </w:r>
      <w:r w:rsidR="009669FF" w:rsidRPr="0053780A">
        <w:rPr>
          <w:rFonts w:hint="cs"/>
          <w:rtl/>
        </w:rPr>
        <w:t>בפרט</w:t>
      </w:r>
      <w:r w:rsidR="009669FF" w:rsidRPr="0053780A">
        <w:t xml:space="preserve"> </w:t>
      </w:r>
      <w:r w:rsidR="009669FF" w:rsidRPr="0053780A">
        <w:rPr>
          <w:rFonts w:hint="cs"/>
          <w:rtl/>
        </w:rPr>
        <w:t>אם</w:t>
      </w:r>
      <w:r w:rsidR="009669FF">
        <w:rPr>
          <w:rFonts w:hint="cs"/>
          <w:rtl/>
        </w:rPr>
        <w:t xml:space="preserve"> </w:t>
      </w:r>
      <w:r w:rsidR="00C962B6">
        <w:rPr>
          <w:rFonts w:hint="cs"/>
          <w:rtl/>
        </w:rPr>
        <w:t>ה</w:t>
      </w:r>
      <w:r w:rsidR="009669FF">
        <w:rPr>
          <w:rFonts w:hint="cs"/>
          <w:rtl/>
        </w:rPr>
        <w:t xml:space="preserve">תפנית </w:t>
      </w:r>
      <w:r w:rsidR="009669FF" w:rsidRPr="0053780A">
        <w:rPr>
          <w:rFonts w:hint="cs"/>
          <w:rtl/>
        </w:rPr>
        <w:t>תלוּוה</w:t>
      </w:r>
      <w:r w:rsidR="00866BC0">
        <w:rPr>
          <w:rFonts w:hint="cs"/>
          <w:rtl/>
        </w:rPr>
        <w:t xml:space="preserve"> </w:t>
      </w:r>
      <w:r w:rsidR="009669FF" w:rsidRPr="0053780A">
        <w:rPr>
          <w:rFonts w:hint="cs"/>
          <w:rtl/>
        </w:rPr>
        <w:t>בעליית ריבית</w:t>
      </w:r>
      <w:r w:rsidR="009669FF" w:rsidRPr="0053780A">
        <w:t xml:space="preserve"> </w:t>
      </w:r>
      <w:r w:rsidR="009669FF" w:rsidRPr="0053780A">
        <w:rPr>
          <w:rFonts w:hint="cs"/>
          <w:rtl/>
        </w:rPr>
        <w:t>ו</w:t>
      </w:r>
      <w:r w:rsidR="009669FF">
        <w:rPr>
          <w:rFonts w:hint="cs"/>
          <w:rtl/>
        </w:rPr>
        <w:t>/</w:t>
      </w:r>
      <w:r w:rsidR="00F92C76">
        <w:rPr>
          <w:rFonts w:hint="cs"/>
          <w:rtl/>
        </w:rPr>
        <w:t xml:space="preserve"> </w:t>
      </w:r>
      <w:r w:rsidR="009669FF" w:rsidRPr="0053780A">
        <w:rPr>
          <w:rFonts w:hint="cs"/>
          <w:rtl/>
        </w:rPr>
        <w:t>או</w:t>
      </w:r>
      <w:r w:rsidR="009669FF" w:rsidRPr="0053780A">
        <w:t xml:space="preserve"> </w:t>
      </w:r>
      <w:r w:rsidR="009669FF" w:rsidRPr="0053780A">
        <w:rPr>
          <w:rFonts w:hint="cs"/>
          <w:rtl/>
        </w:rPr>
        <w:t>במיתון</w:t>
      </w:r>
      <w:r w:rsidR="002B0F11">
        <w:rPr>
          <w:rFonts w:hint="cs"/>
          <w:rtl/>
        </w:rPr>
        <w:t xml:space="preserve"> ו</w:t>
      </w:r>
      <w:r w:rsidR="009669FF" w:rsidRPr="0053780A">
        <w:rPr>
          <w:rFonts w:hint="cs"/>
          <w:rtl/>
        </w:rPr>
        <w:t>פגיעה</w:t>
      </w:r>
      <w:r w:rsidR="009669FF" w:rsidRPr="0053780A">
        <w:t xml:space="preserve"> </w:t>
      </w:r>
      <w:r w:rsidR="009669FF" w:rsidRPr="0053780A">
        <w:rPr>
          <w:rFonts w:hint="cs"/>
          <w:rtl/>
        </w:rPr>
        <w:t>בהכנסות</w:t>
      </w:r>
      <w:r w:rsidR="009669FF" w:rsidRPr="0053780A">
        <w:t xml:space="preserve"> </w:t>
      </w:r>
      <w:r w:rsidR="009669FF" w:rsidRPr="0053780A">
        <w:rPr>
          <w:rFonts w:hint="cs"/>
          <w:rtl/>
        </w:rPr>
        <w:t>הלווים.</w:t>
      </w:r>
      <w:r>
        <w:rPr>
          <w:rFonts w:hint="cs"/>
          <w:rtl/>
        </w:rPr>
        <w:t xml:space="preserve"> </w:t>
      </w:r>
    </w:p>
    <w:p w:rsidR="0053780A" w:rsidRPr="0053780A" w:rsidRDefault="0053780A" w:rsidP="0053780A">
      <w:pPr>
        <w:spacing w:line="360" w:lineRule="auto"/>
        <w:jc w:val="both"/>
        <w:rPr>
          <w:rtl/>
        </w:rPr>
      </w:pPr>
    </w:p>
    <w:p w:rsidR="0053780A" w:rsidRPr="001A24D8" w:rsidRDefault="0053780A" w:rsidP="00722A43">
      <w:pPr>
        <w:spacing w:line="360" w:lineRule="auto"/>
        <w:ind w:left="-241"/>
        <w:jc w:val="both"/>
        <w:rPr>
          <w:rtl/>
        </w:rPr>
      </w:pPr>
      <w:r>
        <w:rPr>
          <w:rFonts w:hint="cs"/>
          <w:rtl/>
        </w:rPr>
        <w:t xml:space="preserve">בשנים האחרונות </w:t>
      </w:r>
      <w:r w:rsidR="00F92C76">
        <w:rPr>
          <w:rFonts w:hint="cs"/>
          <w:rtl/>
        </w:rPr>
        <w:t>התרחב</w:t>
      </w:r>
      <w:r>
        <w:rPr>
          <w:rFonts w:hint="cs"/>
          <w:rtl/>
        </w:rPr>
        <w:t xml:space="preserve"> בעולם השימוש במאזן הלאומי לצורך ניתוח והערכ</w:t>
      </w:r>
      <w:r w:rsidR="00F92C76">
        <w:rPr>
          <w:rFonts w:hint="cs"/>
          <w:rtl/>
        </w:rPr>
        <w:t>ה</w:t>
      </w:r>
      <w:r>
        <w:rPr>
          <w:rFonts w:hint="cs"/>
          <w:rtl/>
        </w:rPr>
        <w:t xml:space="preserve"> </w:t>
      </w:r>
      <w:r w:rsidR="00F92C76">
        <w:rPr>
          <w:rFonts w:hint="cs"/>
          <w:rtl/>
        </w:rPr>
        <w:t xml:space="preserve">של </w:t>
      </w:r>
      <w:r>
        <w:rPr>
          <w:rFonts w:hint="cs"/>
          <w:rtl/>
        </w:rPr>
        <w:t xml:space="preserve">היציבות הפיננסית. </w:t>
      </w:r>
      <w:r w:rsidR="00F92C76">
        <w:rPr>
          <w:rFonts w:hint="cs"/>
          <w:rtl/>
        </w:rPr>
        <w:t xml:space="preserve">כאשר מנתחים </w:t>
      </w:r>
      <w:r>
        <w:rPr>
          <w:rFonts w:hint="cs"/>
          <w:rtl/>
        </w:rPr>
        <w:t xml:space="preserve">יחסים פיננסיים שונים </w:t>
      </w:r>
      <w:r>
        <w:rPr>
          <w:rFonts w:hint="cs"/>
          <w:noProof/>
          <w:rtl/>
        </w:rPr>
        <w:t>מתוך מאזן הנכסים וההתחייבויות</w:t>
      </w:r>
      <w:r w:rsidR="00CB0F00">
        <w:rPr>
          <w:rFonts w:hint="cs"/>
          <w:noProof/>
          <w:rtl/>
        </w:rPr>
        <w:t xml:space="preserve"> </w:t>
      </w:r>
      <w:r>
        <w:rPr>
          <w:rFonts w:hint="cs"/>
          <w:noProof/>
          <w:rtl/>
        </w:rPr>
        <w:t xml:space="preserve">של משקי הבית (כגון </w:t>
      </w:r>
      <w:r w:rsidR="00577C67">
        <w:rPr>
          <w:rFonts w:hint="cs"/>
          <w:noProof/>
          <w:rtl/>
        </w:rPr>
        <w:t>ה</w:t>
      </w:r>
      <w:r>
        <w:rPr>
          <w:rFonts w:hint="cs"/>
          <w:noProof/>
          <w:rtl/>
        </w:rPr>
        <w:t>יחס</w:t>
      </w:r>
      <w:r w:rsidRPr="001A24D8">
        <w:rPr>
          <w:rFonts w:hint="cs"/>
          <w:noProof/>
          <w:rtl/>
        </w:rPr>
        <w:t xml:space="preserve"> </w:t>
      </w:r>
      <w:r w:rsidR="00577C67">
        <w:rPr>
          <w:rFonts w:hint="cs"/>
          <w:noProof/>
          <w:rtl/>
        </w:rPr>
        <w:t xml:space="preserve">בין </w:t>
      </w:r>
      <w:r w:rsidRPr="001A24D8">
        <w:rPr>
          <w:rFonts w:hint="cs"/>
          <w:noProof/>
          <w:rtl/>
        </w:rPr>
        <w:t>ההתחייבויות ל</w:t>
      </w:r>
      <w:r>
        <w:rPr>
          <w:rFonts w:hint="cs"/>
          <w:noProof/>
          <w:rtl/>
        </w:rPr>
        <w:t>סך ה</w:t>
      </w:r>
      <w:r w:rsidRPr="001A24D8">
        <w:rPr>
          <w:rFonts w:hint="cs"/>
          <w:noProof/>
          <w:rtl/>
        </w:rPr>
        <w:t xml:space="preserve">נכסים </w:t>
      </w:r>
      <w:r>
        <w:rPr>
          <w:rFonts w:hint="cs"/>
          <w:noProof/>
          <w:rtl/>
        </w:rPr>
        <w:t xml:space="preserve">ולסך הנכסים </w:t>
      </w:r>
      <w:r w:rsidRPr="001A24D8">
        <w:rPr>
          <w:rFonts w:hint="cs"/>
          <w:noProof/>
          <w:rtl/>
        </w:rPr>
        <w:t>הפיננסיים</w:t>
      </w:r>
      <w:r w:rsidR="002B0F11">
        <w:rPr>
          <w:rFonts w:hint="cs"/>
          <w:noProof/>
          <w:rtl/>
        </w:rPr>
        <w:t xml:space="preserve"> </w:t>
      </w:r>
      <w:r w:rsidR="009669FF">
        <w:rPr>
          <w:rFonts w:hint="cs"/>
          <w:noProof/>
          <w:rtl/>
        </w:rPr>
        <w:t>ו</w:t>
      </w:r>
      <w:r w:rsidR="00577C67">
        <w:rPr>
          <w:rFonts w:hint="cs"/>
          <w:noProof/>
          <w:rtl/>
        </w:rPr>
        <w:t>ה</w:t>
      </w:r>
      <w:r>
        <w:rPr>
          <w:rFonts w:hint="cs"/>
          <w:rtl/>
        </w:rPr>
        <w:t xml:space="preserve">יחס </w:t>
      </w:r>
      <w:r w:rsidR="00577C67">
        <w:rPr>
          <w:rFonts w:hint="cs"/>
          <w:rtl/>
        </w:rPr>
        <w:t xml:space="preserve">בין </w:t>
      </w:r>
      <w:r w:rsidRPr="001A24D8">
        <w:rPr>
          <w:rFonts w:hint="cs"/>
          <w:rtl/>
        </w:rPr>
        <w:t xml:space="preserve">חוב </w:t>
      </w:r>
      <w:r>
        <w:rPr>
          <w:rFonts w:hint="cs"/>
          <w:rtl/>
        </w:rPr>
        <w:t>ה</w:t>
      </w:r>
      <w:r w:rsidRPr="001A24D8">
        <w:rPr>
          <w:rFonts w:hint="cs"/>
          <w:rtl/>
        </w:rPr>
        <w:t xml:space="preserve">משכנתה לנכסי </w:t>
      </w:r>
      <w:r>
        <w:rPr>
          <w:rFonts w:hint="cs"/>
          <w:rtl/>
        </w:rPr>
        <w:t>ה</w:t>
      </w:r>
      <w:r w:rsidRPr="001A24D8">
        <w:rPr>
          <w:rFonts w:hint="cs"/>
          <w:rtl/>
        </w:rPr>
        <w:t>נדל"ן</w:t>
      </w:r>
      <w:r w:rsidR="00F92C76">
        <w:rPr>
          <w:rFonts w:hint="cs"/>
          <w:rtl/>
        </w:rPr>
        <w:t>; ראו לוח 1</w:t>
      </w:r>
      <w:r>
        <w:rPr>
          <w:rFonts w:hint="cs"/>
          <w:rtl/>
        </w:rPr>
        <w:t xml:space="preserve">), </w:t>
      </w:r>
      <w:r w:rsidR="00577C67">
        <w:rPr>
          <w:rFonts w:hint="cs"/>
          <w:rtl/>
        </w:rPr>
        <w:t>מוצאים</w:t>
      </w:r>
      <w:r>
        <w:rPr>
          <w:rFonts w:hint="cs"/>
          <w:rtl/>
        </w:rPr>
        <w:t xml:space="preserve"> כי</w:t>
      </w:r>
      <w:r w:rsidRPr="001A24D8">
        <w:rPr>
          <w:rFonts w:hint="cs"/>
          <w:noProof/>
          <w:rtl/>
        </w:rPr>
        <w:t xml:space="preserve"> משקי הבית </w:t>
      </w:r>
      <w:r>
        <w:rPr>
          <w:rFonts w:hint="cs"/>
          <w:noProof/>
          <w:rtl/>
        </w:rPr>
        <w:t xml:space="preserve">בישראל </w:t>
      </w:r>
      <w:r w:rsidRPr="001A24D8">
        <w:rPr>
          <w:rFonts w:hint="cs"/>
          <w:noProof/>
          <w:rtl/>
        </w:rPr>
        <w:t xml:space="preserve">ממונפים ב-2012 יותר מאשר ב-2006, אך </w:t>
      </w:r>
      <w:r w:rsidR="00E353B8">
        <w:rPr>
          <w:rFonts w:hint="cs"/>
          <w:noProof/>
          <w:rtl/>
        </w:rPr>
        <w:t xml:space="preserve">בממוצע </w:t>
      </w:r>
      <w:r w:rsidR="00577C67">
        <w:rPr>
          <w:rFonts w:hint="cs"/>
          <w:noProof/>
          <w:rtl/>
        </w:rPr>
        <w:t xml:space="preserve">הם </w:t>
      </w:r>
      <w:r w:rsidR="001D583E">
        <w:rPr>
          <w:rFonts w:hint="cs"/>
          <w:noProof/>
          <w:rtl/>
        </w:rPr>
        <w:t xml:space="preserve">נהנים מעודף גדול של נכסים על התחייבויות </w:t>
      </w:r>
      <w:r>
        <w:rPr>
          <w:rFonts w:hint="cs"/>
          <w:noProof/>
          <w:rtl/>
        </w:rPr>
        <w:t>ו</w:t>
      </w:r>
      <w:r w:rsidRPr="001A24D8">
        <w:rPr>
          <w:rFonts w:hint="cs"/>
          <w:noProof/>
          <w:rtl/>
        </w:rPr>
        <w:t xml:space="preserve">המינוף </w:t>
      </w:r>
      <w:r>
        <w:rPr>
          <w:rFonts w:hint="cs"/>
          <w:noProof/>
          <w:rtl/>
        </w:rPr>
        <w:t xml:space="preserve">שלהם </w:t>
      </w:r>
      <w:r w:rsidRPr="001A24D8">
        <w:rPr>
          <w:rFonts w:hint="cs"/>
          <w:noProof/>
          <w:rtl/>
        </w:rPr>
        <w:t>נמוך בהשוואה למדינות מפותחות אחרות.</w:t>
      </w:r>
      <w:r w:rsidRPr="001A24D8">
        <w:rPr>
          <w:rFonts w:hint="cs"/>
          <w:color w:val="FF0000"/>
          <w:rtl/>
        </w:rPr>
        <w:t xml:space="preserve"> </w:t>
      </w:r>
    </w:p>
    <w:p w:rsidR="0053780A" w:rsidRDefault="0053780A" w:rsidP="00722A43">
      <w:pPr>
        <w:spacing w:line="360" w:lineRule="auto"/>
        <w:ind w:left="-241"/>
        <w:jc w:val="both"/>
        <w:rPr>
          <w:noProof/>
          <w:rtl/>
        </w:rPr>
      </w:pPr>
    </w:p>
    <w:p w:rsidR="0053780A" w:rsidRDefault="0055773C" w:rsidP="00AA6A83">
      <w:pPr>
        <w:spacing w:line="360" w:lineRule="auto"/>
        <w:ind w:left="-241"/>
        <w:jc w:val="both"/>
        <w:rPr>
          <w:noProof/>
          <w:rtl/>
        </w:rPr>
      </w:pPr>
      <w:r>
        <w:rPr>
          <w:rFonts w:hint="cs"/>
          <w:noProof/>
          <w:rtl/>
        </w:rPr>
        <w:t>אולם</w:t>
      </w:r>
      <w:r w:rsidR="0053780A">
        <w:rPr>
          <w:rFonts w:hint="cs"/>
          <w:noProof/>
          <w:rtl/>
        </w:rPr>
        <w:t xml:space="preserve"> מאחר שבישראל קיים </w:t>
      </w:r>
      <w:r w:rsidR="00C962B6">
        <w:rPr>
          <w:rFonts w:hint="cs"/>
          <w:noProof/>
          <w:rtl/>
        </w:rPr>
        <w:t>אי</w:t>
      </w:r>
      <w:r>
        <w:rPr>
          <w:rFonts w:hint="cs"/>
          <w:noProof/>
          <w:rtl/>
        </w:rPr>
        <w:t>-</w:t>
      </w:r>
      <w:r w:rsidR="0053780A" w:rsidRPr="001A24D8">
        <w:rPr>
          <w:rFonts w:hint="cs"/>
          <w:noProof/>
          <w:rtl/>
        </w:rPr>
        <w:t xml:space="preserve">שוויון </w:t>
      </w:r>
      <w:r w:rsidR="00C962B6">
        <w:rPr>
          <w:rFonts w:hint="cs"/>
          <w:noProof/>
          <w:rtl/>
        </w:rPr>
        <w:t xml:space="preserve">גדול </w:t>
      </w:r>
      <w:r w:rsidR="0053780A" w:rsidRPr="001A24D8">
        <w:rPr>
          <w:rFonts w:hint="cs"/>
          <w:noProof/>
          <w:rtl/>
        </w:rPr>
        <w:t xml:space="preserve">בחלוקת ההכנסות, </w:t>
      </w:r>
      <w:r w:rsidR="00AA6A83">
        <w:rPr>
          <w:rFonts w:hint="cs"/>
          <w:noProof/>
          <w:rtl/>
        </w:rPr>
        <w:t>חשוב במיוחד להסתכל</w:t>
      </w:r>
      <w:r w:rsidR="0053780A" w:rsidRPr="001A24D8">
        <w:rPr>
          <w:rFonts w:hint="cs"/>
          <w:noProof/>
          <w:rtl/>
        </w:rPr>
        <w:t xml:space="preserve"> על משק הבית הממוצע </w:t>
      </w:r>
      <w:r w:rsidR="0053780A">
        <w:rPr>
          <w:rFonts w:hint="cs"/>
          <w:noProof/>
          <w:rtl/>
        </w:rPr>
        <w:t>כדי</w:t>
      </w:r>
      <w:r w:rsidR="0053780A" w:rsidRPr="001A24D8">
        <w:rPr>
          <w:rFonts w:hint="cs"/>
          <w:noProof/>
          <w:rtl/>
        </w:rPr>
        <w:t xml:space="preserve"> לבחון את יציבותו של</w:t>
      </w:r>
      <w:r w:rsidR="0053780A">
        <w:rPr>
          <w:rFonts w:hint="cs"/>
          <w:noProof/>
          <w:rtl/>
        </w:rPr>
        <w:t xml:space="preserve"> </w:t>
      </w:r>
      <w:r w:rsidR="0053780A" w:rsidRPr="001A24D8">
        <w:rPr>
          <w:rFonts w:hint="cs"/>
          <w:noProof/>
          <w:rtl/>
        </w:rPr>
        <w:t xml:space="preserve">מגזר משקי הבית. </w:t>
      </w:r>
      <w:r w:rsidR="00AA6A83">
        <w:rPr>
          <w:rFonts w:hint="cs"/>
          <w:noProof/>
          <w:rtl/>
        </w:rPr>
        <w:t xml:space="preserve">לשם כך, </w:t>
      </w:r>
      <w:r w:rsidR="0053780A">
        <w:rPr>
          <w:rFonts w:hint="cs"/>
          <w:noProof/>
          <w:rtl/>
        </w:rPr>
        <w:t xml:space="preserve">יש </w:t>
      </w:r>
      <w:r w:rsidR="0053780A" w:rsidRPr="001A24D8">
        <w:rPr>
          <w:rFonts w:hint="cs"/>
          <w:noProof/>
          <w:rtl/>
        </w:rPr>
        <w:t xml:space="preserve">לבחון </w:t>
      </w:r>
      <w:r w:rsidR="0053780A">
        <w:rPr>
          <w:rFonts w:hint="cs"/>
          <w:noProof/>
          <w:rtl/>
        </w:rPr>
        <w:t xml:space="preserve">גם </w:t>
      </w:r>
      <w:r w:rsidR="0053780A" w:rsidRPr="001A24D8">
        <w:rPr>
          <w:rFonts w:hint="cs"/>
          <w:noProof/>
          <w:rtl/>
        </w:rPr>
        <w:t xml:space="preserve">את עשירוני ההכנסה השונים, ובפרט את אלו </w:t>
      </w:r>
      <w:r w:rsidR="0053780A">
        <w:rPr>
          <w:rFonts w:hint="cs"/>
          <w:noProof/>
          <w:rtl/>
        </w:rPr>
        <w:t>ש</w:t>
      </w:r>
      <w:r w:rsidR="0053780A" w:rsidRPr="001A24D8">
        <w:rPr>
          <w:rFonts w:hint="cs"/>
          <w:noProof/>
          <w:rtl/>
        </w:rPr>
        <w:t xml:space="preserve">חשופים </w:t>
      </w:r>
      <w:r w:rsidR="0053780A">
        <w:rPr>
          <w:rFonts w:hint="cs"/>
          <w:noProof/>
          <w:rtl/>
        </w:rPr>
        <w:t xml:space="preserve">במידה רבה יותר </w:t>
      </w:r>
      <w:r w:rsidR="0053780A" w:rsidRPr="001A24D8">
        <w:rPr>
          <w:rFonts w:hint="cs"/>
          <w:noProof/>
          <w:rtl/>
        </w:rPr>
        <w:t xml:space="preserve">לסיכון של </w:t>
      </w:r>
      <w:r w:rsidR="0053780A" w:rsidRPr="00966FCE">
        <w:rPr>
          <w:rFonts w:hint="cs"/>
          <w:noProof/>
          <w:rtl/>
        </w:rPr>
        <w:t xml:space="preserve">מיתון ואבטלה. </w:t>
      </w:r>
      <w:r w:rsidR="0053780A" w:rsidRPr="00966FCE">
        <w:rPr>
          <w:rFonts w:hint="cs"/>
          <w:rtl/>
        </w:rPr>
        <w:t xml:space="preserve">אחד המדדים המרכזיים לכושר הפירעון של הלווים הוא שיעור </w:t>
      </w:r>
      <w:r w:rsidR="005B5FA6" w:rsidRPr="00966FCE">
        <w:rPr>
          <w:rFonts w:hint="cs"/>
          <w:rtl/>
        </w:rPr>
        <w:t>החזר המשכנתה</w:t>
      </w:r>
      <w:r w:rsidR="0053780A" w:rsidRPr="00966FCE">
        <w:rPr>
          <w:rFonts w:hint="cs"/>
          <w:rtl/>
        </w:rPr>
        <w:t xml:space="preserve"> </w:t>
      </w:r>
      <w:r w:rsidR="0053780A" w:rsidRPr="001A24D8">
        <w:rPr>
          <w:rFonts w:hint="cs"/>
          <w:rtl/>
        </w:rPr>
        <w:t>מההכנסה (</w:t>
      </w:r>
      <w:r w:rsidR="0053780A" w:rsidRPr="001A24D8">
        <w:t>PTI</w:t>
      </w:r>
      <w:r w:rsidR="0053780A">
        <w:t xml:space="preserve">, </w:t>
      </w:r>
      <w:r w:rsidR="0053780A" w:rsidRPr="001A24D8">
        <w:t xml:space="preserve">Payment to </w:t>
      </w:r>
      <w:r w:rsidR="0053780A" w:rsidRPr="001A24D8">
        <w:lastRenderedPageBreak/>
        <w:t>Income</w:t>
      </w:r>
      <w:r w:rsidR="0053780A" w:rsidRPr="001A24D8">
        <w:rPr>
          <w:rFonts w:hint="cs"/>
          <w:rtl/>
        </w:rPr>
        <w:t>).</w:t>
      </w:r>
      <w:r w:rsidR="0053780A">
        <w:rPr>
          <w:rFonts w:hint="cs"/>
          <w:rtl/>
        </w:rPr>
        <w:t xml:space="preserve"> אם בוחנים יחס</w:t>
      </w:r>
      <w:r w:rsidR="0053780A">
        <w:rPr>
          <w:rFonts w:hint="cs"/>
          <w:noProof/>
          <w:rtl/>
        </w:rPr>
        <w:t xml:space="preserve"> זה בחלוקה ל</w:t>
      </w:r>
      <w:r w:rsidR="0053780A" w:rsidRPr="001A24D8">
        <w:rPr>
          <w:rFonts w:hint="cs"/>
          <w:noProof/>
          <w:rtl/>
        </w:rPr>
        <w:t xml:space="preserve">עשירוני </w:t>
      </w:r>
      <w:r w:rsidR="0053780A">
        <w:rPr>
          <w:rFonts w:hint="cs"/>
          <w:noProof/>
          <w:rtl/>
        </w:rPr>
        <w:t>ה</w:t>
      </w:r>
      <w:r w:rsidR="0053780A" w:rsidRPr="001A24D8">
        <w:rPr>
          <w:rFonts w:hint="cs"/>
          <w:noProof/>
          <w:rtl/>
        </w:rPr>
        <w:t>הכנסה</w:t>
      </w:r>
      <w:r w:rsidR="005E6B6F">
        <w:rPr>
          <w:rFonts w:hint="cs"/>
          <w:noProof/>
          <w:rtl/>
        </w:rPr>
        <w:t xml:space="preserve">, ניתן לראות כי יחס </w:t>
      </w:r>
      <w:r w:rsidR="0053780A">
        <w:rPr>
          <w:rFonts w:hint="cs"/>
          <w:noProof/>
          <w:rtl/>
        </w:rPr>
        <w:t>ה-</w:t>
      </w:r>
      <w:r w:rsidR="0053780A">
        <w:rPr>
          <w:noProof/>
        </w:rPr>
        <w:t>PTI</w:t>
      </w:r>
      <w:r w:rsidR="0053780A" w:rsidRPr="001A24D8">
        <w:rPr>
          <w:rStyle w:val="a5"/>
          <w:noProof/>
          <w:rtl/>
        </w:rPr>
        <w:footnoteReference w:id="1"/>
      </w:r>
      <w:r w:rsidR="0053780A">
        <w:rPr>
          <w:noProof/>
        </w:rPr>
        <w:t xml:space="preserve"> </w:t>
      </w:r>
      <w:r w:rsidR="005E6B6F">
        <w:rPr>
          <w:rFonts w:hint="cs"/>
          <w:noProof/>
          <w:rtl/>
        </w:rPr>
        <w:t>(הממוצע בשנים 2007 עד 2012) ב</w:t>
      </w:r>
      <w:r w:rsidR="0053780A">
        <w:rPr>
          <w:rFonts w:hint="cs"/>
          <w:noProof/>
          <w:rtl/>
        </w:rPr>
        <w:t>שלושת ה</w:t>
      </w:r>
      <w:r w:rsidR="0053780A" w:rsidRPr="001A24D8">
        <w:rPr>
          <w:rFonts w:hint="cs"/>
          <w:noProof/>
          <w:rtl/>
        </w:rPr>
        <w:t>עשירונים ה</w:t>
      </w:r>
      <w:r w:rsidR="005E6B6F">
        <w:rPr>
          <w:rFonts w:hint="cs"/>
          <w:noProof/>
          <w:rtl/>
        </w:rPr>
        <w:t xml:space="preserve">תחתונים </w:t>
      </w:r>
      <w:r w:rsidR="0053780A">
        <w:rPr>
          <w:rFonts w:hint="cs"/>
          <w:noProof/>
          <w:rtl/>
        </w:rPr>
        <w:t>גבוה</w:t>
      </w:r>
      <w:r w:rsidR="0053780A" w:rsidRPr="001A24D8">
        <w:rPr>
          <w:rFonts w:hint="cs"/>
          <w:noProof/>
          <w:rtl/>
        </w:rPr>
        <w:t xml:space="preserve"> מהממוצע</w:t>
      </w:r>
      <w:r w:rsidR="007C7057">
        <w:rPr>
          <w:rFonts w:hint="cs"/>
          <w:noProof/>
          <w:rtl/>
        </w:rPr>
        <w:t xml:space="preserve"> </w:t>
      </w:r>
      <w:r w:rsidR="007C7057" w:rsidRPr="001A24D8">
        <w:rPr>
          <w:rFonts w:hint="cs"/>
          <w:noProof/>
          <w:rtl/>
        </w:rPr>
        <w:t xml:space="preserve">(איור </w:t>
      </w:r>
      <w:r w:rsidR="007C7057">
        <w:rPr>
          <w:rFonts w:hint="cs"/>
          <w:noProof/>
          <w:rtl/>
        </w:rPr>
        <w:t xml:space="preserve">3). עשירונים אלו </w:t>
      </w:r>
      <w:r w:rsidR="0053780A" w:rsidRPr="001A24D8">
        <w:rPr>
          <w:rFonts w:hint="cs"/>
          <w:noProof/>
          <w:rtl/>
        </w:rPr>
        <w:t xml:space="preserve">חשופים יותר לאבטלה ולכן לסיכון </w:t>
      </w:r>
      <w:r w:rsidR="005E6B6F">
        <w:rPr>
          <w:rFonts w:hint="cs"/>
          <w:noProof/>
          <w:rtl/>
        </w:rPr>
        <w:t xml:space="preserve">גבוה יותר </w:t>
      </w:r>
      <w:r w:rsidR="0053780A">
        <w:rPr>
          <w:rFonts w:hint="cs"/>
          <w:noProof/>
          <w:rtl/>
        </w:rPr>
        <w:t>שלא יוכלו לפרוע את המשכנתה.</w:t>
      </w:r>
    </w:p>
    <w:p w:rsidR="0053780A" w:rsidRPr="001A24D8" w:rsidRDefault="0053780A" w:rsidP="0053780A">
      <w:pPr>
        <w:spacing w:line="360" w:lineRule="auto"/>
        <w:ind w:firstLine="720"/>
        <w:jc w:val="both"/>
        <w:rPr>
          <w:b/>
          <w:bCs/>
          <w:rtl/>
        </w:rPr>
      </w:pPr>
    </w:p>
    <w:p w:rsidR="000748BF" w:rsidRDefault="00557C2C">
      <w:pPr>
        <w:rPr>
          <w:rtl/>
        </w:rPr>
      </w:pPr>
      <w:r>
        <w:rPr>
          <w:noProof/>
        </w:rPr>
        <w:drawing>
          <wp:inline distT="0" distB="0" distL="0" distR="0" wp14:anchorId="4108540D">
            <wp:extent cx="2771188" cy="400745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3908" cy="4011390"/>
                    </a:xfrm>
                    <a:prstGeom prst="rect">
                      <a:avLst/>
                    </a:prstGeom>
                    <a:noFill/>
                  </pic:spPr>
                </pic:pic>
              </a:graphicData>
            </a:graphic>
          </wp:inline>
        </w:drawing>
      </w:r>
    </w:p>
    <w:p w:rsidR="000C49A8" w:rsidRDefault="000C49A8">
      <w:pPr>
        <w:rPr>
          <w:rFonts w:hint="cs"/>
          <w:rtl/>
        </w:rPr>
      </w:pPr>
    </w:p>
    <w:p w:rsidR="00BE156F" w:rsidRDefault="00BE156F">
      <w:bookmarkStart w:id="0" w:name="_GoBack"/>
      <w:bookmarkEnd w:id="0"/>
    </w:p>
    <w:p w:rsidR="000C49A8" w:rsidRDefault="000C49A8">
      <w:pPr>
        <w:rPr>
          <w:rtl/>
        </w:rPr>
      </w:pPr>
      <w:r>
        <w:rPr>
          <w:noProof/>
        </w:rPr>
        <w:drawing>
          <wp:inline distT="0" distB="0" distL="0" distR="0" wp14:anchorId="5B3034A1">
            <wp:extent cx="2549113" cy="2990693"/>
            <wp:effectExtent l="0" t="0" r="3810" b="63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9986" cy="2991718"/>
                    </a:xfrm>
                    <a:prstGeom prst="rect">
                      <a:avLst/>
                    </a:prstGeom>
                    <a:noFill/>
                  </pic:spPr>
                </pic:pic>
              </a:graphicData>
            </a:graphic>
          </wp:inline>
        </w:drawing>
      </w:r>
    </w:p>
    <w:p w:rsidR="00BE156F" w:rsidRDefault="00BE156F">
      <w:pPr>
        <w:bidi w:val="0"/>
        <w:spacing w:after="200" w:line="276" w:lineRule="auto"/>
        <w:rPr>
          <w:rtl/>
        </w:rPr>
      </w:pPr>
      <w:r>
        <w:rPr>
          <w:rtl/>
        </w:rPr>
        <w:br w:type="page"/>
      </w:r>
    </w:p>
    <w:p w:rsidR="000C49A8" w:rsidRDefault="000C49A8">
      <w:pPr>
        <w:rPr>
          <w:rFonts w:hint="cs"/>
          <w:rtl/>
        </w:rPr>
      </w:pPr>
    </w:p>
    <w:p w:rsidR="00BE156F" w:rsidRDefault="00BE156F">
      <w:pPr>
        <w:rPr>
          <w:rFonts w:hint="cs"/>
          <w:rtl/>
        </w:rPr>
      </w:pPr>
    </w:p>
    <w:p w:rsidR="00BE156F" w:rsidRDefault="00BE156F">
      <w:pPr>
        <w:rPr>
          <w:rtl/>
        </w:rPr>
      </w:pPr>
    </w:p>
    <w:p w:rsidR="000C49A8" w:rsidRDefault="00D41382">
      <w:pPr>
        <w:rPr>
          <w:rtl/>
        </w:rPr>
      </w:pPr>
      <w:r w:rsidRPr="00D41382">
        <w:rPr>
          <w:noProof/>
          <w:rtl/>
        </w:rPr>
        <w:drawing>
          <wp:inline distT="0" distB="0" distL="0" distR="0" wp14:anchorId="7ECAF0E2" wp14:editId="4A8806BC">
            <wp:extent cx="4508390" cy="2959165"/>
            <wp:effectExtent l="0" t="0" r="6985"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0490" cy="2960543"/>
                    </a:xfrm>
                    <a:prstGeom prst="rect">
                      <a:avLst/>
                    </a:prstGeom>
                    <a:noFill/>
                    <a:ln>
                      <a:noFill/>
                    </a:ln>
                  </pic:spPr>
                </pic:pic>
              </a:graphicData>
            </a:graphic>
          </wp:inline>
        </w:drawing>
      </w:r>
    </w:p>
    <w:p w:rsidR="000C49A8" w:rsidRDefault="000C49A8">
      <w:pPr>
        <w:rPr>
          <w:rFonts w:hint="cs"/>
          <w:rtl/>
        </w:rPr>
      </w:pPr>
    </w:p>
    <w:p w:rsidR="00BE156F" w:rsidRDefault="00BE156F">
      <w:pPr>
        <w:rPr>
          <w:rFonts w:hint="cs"/>
          <w:rtl/>
        </w:rPr>
      </w:pPr>
    </w:p>
    <w:p w:rsidR="00BE156F" w:rsidRDefault="00BE156F">
      <w:pPr>
        <w:rPr>
          <w:rtl/>
        </w:rPr>
      </w:pPr>
    </w:p>
    <w:p w:rsidR="000C49A8" w:rsidRDefault="005A6281">
      <w:pPr>
        <w:rPr>
          <w:rtl/>
        </w:rPr>
      </w:pPr>
      <w:r>
        <w:rPr>
          <w:noProof/>
        </w:rPr>
        <w:drawing>
          <wp:inline distT="0" distB="0" distL="0" distR="0" wp14:anchorId="64B7401C">
            <wp:extent cx="3180522" cy="4625459"/>
            <wp:effectExtent l="0" t="0" r="1270" b="381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4212" cy="4630826"/>
                    </a:xfrm>
                    <a:prstGeom prst="rect">
                      <a:avLst/>
                    </a:prstGeom>
                    <a:noFill/>
                  </pic:spPr>
                </pic:pic>
              </a:graphicData>
            </a:graphic>
          </wp:inline>
        </w:drawing>
      </w:r>
    </w:p>
    <w:p w:rsidR="000C49A8" w:rsidRDefault="000C49A8"/>
    <w:sectPr w:rsidR="000C49A8" w:rsidSect="00BE156F">
      <w:headerReference w:type="even" r:id="rId13"/>
      <w:headerReference w:type="default" r:id="rId14"/>
      <w:footerReference w:type="even" r:id="rId15"/>
      <w:footerReference w:type="default" r:id="rId16"/>
      <w:headerReference w:type="first" r:id="rId17"/>
      <w:footerReference w:type="first" r:id="rId18"/>
      <w:pgSz w:w="11906" w:h="16838"/>
      <w:pgMar w:top="1021" w:right="1701" w:bottom="1440" w:left="1797" w:header="709" w:footer="17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03C" w:rsidRDefault="00E3403C" w:rsidP="0053780A">
      <w:r>
        <w:separator/>
      </w:r>
    </w:p>
  </w:endnote>
  <w:endnote w:type="continuationSeparator" w:id="0">
    <w:p w:rsidR="00E3403C" w:rsidRDefault="00E3403C" w:rsidP="0053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BEC" w:rsidRDefault="001B0BE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6F" w:rsidRPr="00BE156F" w:rsidRDefault="00BE156F" w:rsidP="00BE156F">
    <w:pPr>
      <w:rPr>
        <w:sz w:val="18"/>
        <w:szCs w:val="18"/>
      </w:rPr>
    </w:pPr>
    <w:r>
      <w:rPr>
        <w:rFonts w:hint="cs"/>
        <w:sz w:val="18"/>
        <w:szCs w:val="18"/>
        <w:rtl/>
      </w:rPr>
      <w:t xml:space="preserve">בנק ישראל </w:t>
    </w:r>
    <w:r>
      <w:rPr>
        <w:sz w:val="18"/>
        <w:szCs w:val="18"/>
        <w:rtl/>
      </w:rPr>
      <w:t>–</w:t>
    </w:r>
    <w:r>
      <w:rPr>
        <w:rFonts w:hint="cs"/>
        <w:sz w:val="18"/>
        <w:szCs w:val="18"/>
        <w:rtl/>
      </w:rPr>
      <w:t xml:space="preserve"> מתוך "הדוח ליציבות פיננסית" - </w:t>
    </w:r>
    <w:r w:rsidRPr="00BE156F">
      <w:rPr>
        <w:rFonts w:hint="cs"/>
        <w:sz w:val="18"/>
        <w:szCs w:val="18"/>
        <w:rtl/>
      </w:rPr>
      <w:t>מגזר משקי הבית מזווית היציבות הפיננסית</w:t>
    </w:r>
    <w:r>
      <w:rPr>
        <w:rFonts w:hint="cs"/>
        <w:sz w:val="18"/>
        <w:szCs w:val="18"/>
        <w:rtl/>
      </w:rPr>
      <w:tab/>
    </w:r>
    <w:r>
      <w:rPr>
        <w:rFonts w:hint="cs"/>
        <w:sz w:val="18"/>
        <w:szCs w:val="18"/>
        <w:rtl/>
      </w:rPr>
      <w:tab/>
    </w:r>
    <w:sdt>
      <w:sdtPr>
        <w:rPr>
          <w:sz w:val="18"/>
          <w:szCs w:val="18"/>
          <w:rtl/>
        </w:rPr>
        <w:id w:val="1362476547"/>
        <w:docPartObj>
          <w:docPartGallery w:val="Page Numbers (Bottom of Page)"/>
          <w:docPartUnique/>
        </w:docPartObj>
      </w:sdtPr>
      <w:sdtEndPr>
        <w:rPr>
          <w:cs/>
        </w:rPr>
      </w:sdtEndPr>
      <w:sdtContent>
        <w:sdt>
          <w:sdtPr>
            <w:rPr>
              <w:sz w:val="18"/>
              <w:szCs w:val="18"/>
              <w:rtl/>
            </w:rPr>
            <w:id w:val="860082579"/>
            <w:docPartObj>
              <w:docPartGallery w:val="Page Numbers (Top of Page)"/>
              <w:docPartUnique/>
            </w:docPartObj>
          </w:sdtPr>
          <w:sdtContent>
            <w:r w:rsidRPr="00BE156F">
              <w:rPr>
                <w:sz w:val="18"/>
                <w:szCs w:val="18"/>
                <w:rtl/>
                <w:cs/>
                <w:lang w:val="he-IL"/>
              </w:rPr>
              <w:t xml:space="preserve">עמוד </w:t>
            </w:r>
            <w:r w:rsidRPr="00BE156F">
              <w:rPr>
                <w:b/>
                <w:bCs/>
                <w:sz w:val="18"/>
                <w:szCs w:val="18"/>
              </w:rPr>
              <w:fldChar w:fldCharType="begin"/>
            </w:r>
            <w:r w:rsidRPr="00BE156F">
              <w:rPr>
                <w:b/>
                <w:bCs/>
                <w:sz w:val="18"/>
                <w:szCs w:val="18"/>
                <w:cs/>
              </w:rPr>
              <w:instrText>PAGE</w:instrText>
            </w:r>
            <w:r w:rsidRPr="00BE156F">
              <w:rPr>
                <w:b/>
                <w:bCs/>
                <w:sz w:val="18"/>
                <w:szCs w:val="18"/>
              </w:rPr>
              <w:fldChar w:fldCharType="separate"/>
            </w:r>
            <w:r w:rsidR="001B0BEC">
              <w:rPr>
                <w:b/>
                <w:bCs/>
                <w:noProof/>
                <w:sz w:val="18"/>
                <w:szCs w:val="18"/>
                <w:rtl/>
              </w:rPr>
              <w:t>2</w:t>
            </w:r>
            <w:r w:rsidRPr="00BE156F">
              <w:rPr>
                <w:b/>
                <w:bCs/>
                <w:sz w:val="18"/>
                <w:szCs w:val="18"/>
              </w:rPr>
              <w:fldChar w:fldCharType="end"/>
            </w:r>
            <w:r w:rsidRPr="00BE156F">
              <w:rPr>
                <w:sz w:val="18"/>
                <w:szCs w:val="18"/>
                <w:rtl/>
                <w:cs/>
                <w:lang w:val="he-IL"/>
              </w:rPr>
              <w:t xml:space="preserve"> מתוך </w:t>
            </w:r>
            <w:r w:rsidRPr="00BE156F">
              <w:rPr>
                <w:b/>
                <w:bCs/>
                <w:sz w:val="18"/>
                <w:szCs w:val="18"/>
              </w:rPr>
              <w:fldChar w:fldCharType="begin"/>
            </w:r>
            <w:r w:rsidRPr="00BE156F">
              <w:rPr>
                <w:b/>
                <w:bCs/>
                <w:sz w:val="18"/>
                <w:szCs w:val="18"/>
                <w:cs/>
              </w:rPr>
              <w:instrText>NUMPAGES</w:instrText>
            </w:r>
            <w:r w:rsidRPr="00BE156F">
              <w:rPr>
                <w:b/>
                <w:bCs/>
                <w:sz w:val="18"/>
                <w:szCs w:val="18"/>
              </w:rPr>
              <w:fldChar w:fldCharType="separate"/>
            </w:r>
            <w:r w:rsidR="001B0BEC">
              <w:rPr>
                <w:b/>
                <w:bCs/>
                <w:noProof/>
                <w:sz w:val="18"/>
                <w:szCs w:val="18"/>
                <w:rtl/>
              </w:rPr>
              <w:t>3</w:t>
            </w:r>
            <w:r w:rsidRPr="00BE156F">
              <w:rPr>
                <w:b/>
                <w:bCs/>
                <w:sz w:val="18"/>
                <w:szCs w:val="18"/>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BEC" w:rsidRDefault="001B0BE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03C" w:rsidRDefault="00E3403C" w:rsidP="0053780A">
      <w:r>
        <w:separator/>
      </w:r>
    </w:p>
  </w:footnote>
  <w:footnote w:type="continuationSeparator" w:id="0">
    <w:p w:rsidR="00E3403C" w:rsidRDefault="00E3403C" w:rsidP="0053780A">
      <w:r>
        <w:continuationSeparator/>
      </w:r>
    </w:p>
  </w:footnote>
  <w:footnote w:id="1">
    <w:p w:rsidR="0053780A" w:rsidRPr="00AA1310" w:rsidRDefault="0053780A" w:rsidP="0053780A">
      <w:pPr>
        <w:pStyle w:val="a3"/>
        <w:rPr>
          <w:sz w:val="20"/>
          <w:szCs w:val="20"/>
          <w:rtl/>
        </w:rPr>
      </w:pPr>
      <w:r w:rsidRPr="00AA1310">
        <w:rPr>
          <w:rStyle w:val="a5"/>
          <w:sz w:val="20"/>
          <w:szCs w:val="20"/>
        </w:rPr>
        <w:footnoteRef/>
      </w:r>
      <w:r w:rsidRPr="00AA1310">
        <w:rPr>
          <w:rFonts w:hint="cs"/>
          <w:sz w:val="20"/>
          <w:szCs w:val="20"/>
          <w:rtl/>
        </w:rPr>
        <w:t xml:space="preserve"> ההכנסה בכל עשירון </w:t>
      </w:r>
      <w:r>
        <w:rPr>
          <w:rFonts w:hint="cs"/>
          <w:sz w:val="20"/>
          <w:szCs w:val="20"/>
          <w:rtl/>
        </w:rPr>
        <w:t>שווה</w:t>
      </w:r>
      <w:r w:rsidRPr="00AA1310">
        <w:rPr>
          <w:rFonts w:hint="cs"/>
          <w:sz w:val="20"/>
          <w:szCs w:val="20"/>
          <w:rtl/>
        </w:rPr>
        <w:t xml:space="preserve"> </w:t>
      </w:r>
      <w:r>
        <w:rPr>
          <w:rFonts w:hint="cs"/>
          <w:sz w:val="20"/>
          <w:szCs w:val="20"/>
          <w:rtl/>
        </w:rPr>
        <w:t>ל</w:t>
      </w:r>
      <w:r w:rsidRPr="00AA1310">
        <w:rPr>
          <w:rFonts w:hint="cs"/>
          <w:sz w:val="20"/>
          <w:szCs w:val="20"/>
          <w:rtl/>
        </w:rPr>
        <w:t xml:space="preserve">הכנסה הממוצעת של כלל </w:t>
      </w:r>
      <w:r>
        <w:rPr>
          <w:rFonts w:hint="cs"/>
          <w:sz w:val="20"/>
          <w:szCs w:val="20"/>
          <w:rtl/>
        </w:rPr>
        <w:t>לווי</w:t>
      </w:r>
      <w:r w:rsidRPr="00AA1310">
        <w:rPr>
          <w:rFonts w:hint="cs"/>
          <w:sz w:val="20"/>
          <w:szCs w:val="20"/>
          <w:rtl/>
        </w:rPr>
        <w:t xml:space="preserve"> המשכנתאות באותו עשירון. כמו כן, </w:t>
      </w:r>
      <w:r>
        <w:rPr>
          <w:rFonts w:hint="cs"/>
          <w:sz w:val="20"/>
          <w:szCs w:val="20"/>
          <w:rtl/>
        </w:rPr>
        <w:t>התייחסנו רק ל</w:t>
      </w:r>
      <w:r w:rsidRPr="00AA1310">
        <w:rPr>
          <w:rFonts w:hint="cs"/>
          <w:sz w:val="20"/>
          <w:szCs w:val="20"/>
          <w:rtl/>
        </w:rPr>
        <w:t xml:space="preserve">יחס </w:t>
      </w:r>
      <w:r>
        <w:rPr>
          <w:sz w:val="20"/>
          <w:szCs w:val="20"/>
        </w:rPr>
        <w:t>PTI</w:t>
      </w:r>
      <w:r w:rsidRPr="00AA1310">
        <w:rPr>
          <w:rFonts w:hint="cs"/>
          <w:sz w:val="20"/>
          <w:szCs w:val="20"/>
          <w:rtl/>
        </w:rPr>
        <w:t xml:space="preserve"> נמוך מ-1.</w:t>
      </w:r>
    </w:p>
    <w:p w:rsidR="0053780A" w:rsidRPr="00AA1310" w:rsidRDefault="0053780A" w:rsidP="0053780A">
      <w:pPr>
        <w:pStyle w:val="a3"/>
        <w:rPr>
          <w:sz w:val="20"/>
          <w:szCs w:val="20"/>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BEC" w:rsidRDefault="001B0BE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BEC" w:rsidRDefault="001B0BE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BEC" w:rsidRDefault="001B0BE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947FB"/>
    <w:multiLevelType w:val="hybridMultilevel"/>
    <w:tmpl w:val="F97EE700"/>
    <w:lvl w:ilvl="0" w:tplc="04090009">
      <w:start w:val="1"/>
      <w:numFmt w:val="bullet"/>
      <w:lvlText w:val=""/>
      <w:lvlJc w:val="left"/>
      <w:pPr>
        <w:ind w:left="720"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80A"/>
    <w:rsid w:val="00034416"/>
    <w:rsid w:val="00057157"/>
    <w:rsid w:val="000748BF"/>
    <w:rsid w:val="000A03EE"/>
    <w:rsid w:val="000A29E2"/>
    <w:rsid w:val="000C2E29"/>
    <w:rsid w:val="000C49A8"/>
    <w:rsid w:val="000D30D4"/>
    <w:rsid w:val="001B0BEC"/>
    <w:rsid w:val="001D583E"/>
    <w:rsid w:val="00284927"/>
    <w:rsid w:val="002A5393"/>
    <w:rsid w:val="002B0F11"/>
    <w:rsid w:val="002F30AA"/>
    <w:rsid w:val="00316027"/>
    <w:rsid w:val="00325D5E"/>
    <w:rsid w:val="0049592D"/>
    <w:rsid w:val="005132D1"/>
    <w:rsid w:val="00515ADF"/>
    <w:rsid w:val="0053780A"/>
    <w:rsid w:val="0055773C"/>
    <w:rsid w:val="00557C2C"/>
    <w:rsid w:val="00577C67"/>
    <w:rsid w:val="005A6281"/>
    <w:rsid w:val="005B5FA6"/>
    <w:rsid w:val="005E3B27"/>
    <w:rsid w:val="005E3D05"/>
    <w:rsid w:val="005E6B6F"/>
    <w:rsid w:val="00666E71"/>
    <w:rsid w:val="00722A43"/>
    <w:rsid w:val="007A572C"/>
    <w:rsid w:val="007B06B1"/>
    <w:rsid w:val="007C4E4C"/>
    <w:rsid w:val="007C6162"/>
    <w:rsid w:val="007C7057"/>
    <w:rsid w:val="007F0F78"/>
    <w:rsid w:val="008005E5"/>
    <w:rsid w:val="00820A60"/>
    <w:rsid w:val="00826189"/>
    <w:rsid w:val="00846271"/>
    <w:rsid w:val="00866BC0"/>
    <w:rsid w:val="008707BD"/>
    <w:rsid w:val="00880230"/>
    <w:rsid w:val="00896769"/>
    <w:rsid w:val="008A4B37"/>
    <w:rsid w:val="008B0374"/>
    <w:rsid w:val="008D3D30"/>
    <w:rsid w:val="00906469"/>
    <w:rsid w:val="00960435"/>
    <w:rsid w:val="009669FF"/>
    <w:rsid w:val="00966FCE"/>
    <w:rsid w:val="00A2117B"/>
    <w:rsid w:val="00A55072"/>
    <w:rsid w:val="00AA6A83"/>
    <w:rsid w:val="00B63D70"/>
    <w:rsid w:val="00B73C28"/>
    <w:rsid w:val="00BE156F"/>
    <w:rsid w:val="00BE3D46"/>
    <w:rsid w:val="00BE7B7D"/>
    <w:rsid w:val="00C962B6"/>
    <w:rsid w:val="00CB0F00"/>
    <w:rsid w:val="00CC5076"/>
    <w:rsid w:val="00D41382"/>
    <w:rsid w:val="00E17518"/>
    <w:rsid w:val="00E3403C"/>
    <w:rsid w:val="00E353B8"/>
    <w:rsid w:val="00EE0705"/>
    <w:rsid w:val="00F92C76"/>
    <w:rsid w:val="00FA55BA"/>
    <w:rsid w:val="00FC66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0A"/>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a"/>
    <w:link w:val="a4"/>
    <w:uiPriority w:val="99"/>
    <w:unhideWhenUsed/>
    <w:rsid w:val="0053780A"/>
    <w:pPr>
      <w:jc w:val="both"/>
    </w:pPr>
    <w:rPr>
      <w:rFonts w:eastAsiaTheme="minorHAnsi"/>
    </w:rPr>
  </w:style>
  <w:style w:type="character" w:customStyle="1" w:styleId="a4">
    <w:name w:val="טקסט הערת שוליים תו"/>
    <w:aliases w:val="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fn תו,fn Char תו,single space תו"/>
    <w:basedOn w:val="a0"/>
    <w:link w:val="a3"/>
    <w:uiPriority w:val="99"/>
    <w:rsid w:val="0053780A"/>
    <w:rPr>
      <w:rFonts w:ascii="Times New Roman" w:hAnsi="Times New Roman" w:cs="David"/>
      <w:sz w:val="24"/>
      <w:szCs w:val="24"/>
    </w:rPr>
  </w:style>
  <w:style w:type="character" w:styleId="a5">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nhideWhenUsed/>
    <w:rsid w:val="0053780A"/>
    <w:rPr>
      <w:vertAlign w:val="superscript"/>
    </w:rPr>
  </w:style>
  <w:style w:type="paragraph" w:styleId="a6">
    <w:name w:val="List Paragraph"/>
    <w:basedOn w:val="a"/>
    <w:uiPriority w:val="34"/>
    <w:qFormat/>
    <w:rsid w:val="0053780A"/>
    <w:pPr>
      <w:ind w:left="720"/>
      <w:contextualSpacing/>
    </w:pPr>
  </w:style>
  <w:style w:type="paragraph" w:styleId="a7">
    <w:name w:val="Balloon Text"/>
    <w:basedOn w:val="a"/>
    <w:link w:val="a8"/>
    <w:uiPriority w:val="99"/>
    <w:semiHidden/>
    <w:unhideWhenUsed/>
    <w:rsid w:val="0053780A"/>
    <w:rPr>
      <w:rFonts w:ascii="Tahoma" w:hAnsi="Tahoma" w:cs="Tahoma"/>
      <w:sz w:val="16"/>
      <w:szCs w:val="16"/>
    </w:rPr>
  </w:style>
  <w:style w:type="character" w:customStyle="1" w:styleId="a8">
    <w:name w:val="טקסט בלונים תו"/>
    <w:basedOn w:val="a0"/>
    <w:link w:val="a7"/>
    <w:uiPriority w:val="99"/>
    <w:semiHidden/>
    <w:rsid w:val="0053780A"/>
    <w:rPr>
      <w:rFonts w:ascii="Tahoma" w:eastAsia="Times New Roman" w:hAnsi="Tahoma" w:cs="Tahoma"/>
      <w:sz w:val="16"/>
      <w:szCs w:val="16"/>
    </w:rPr>
  </w:style>
  <w:style w:type="character" w:styleId="a9">
    <w:name w:val="annotation reference"/>
    <w:basedOn w:val="a0"/>
    <w:uiPriority w:val="99"/>
    <w:semiHidden/>
    <w:unhideWhenUsed/>
    <w:rsid w:val="005132D1"/>
    <w:rPr>
      <w:sz w:val="16"/>
      <w:szCs w:val="16"/>
    </w:rPr>
  </w:style>
  <w:style w:type="paragraph" w:styleId="aa">
    <w:name w:val="annotation text"/>
    <w:basedOn w:val="a"/>
    <w:link w:val="ab"/>
    <w:uiPriority w:val="99"/>
    <w:semiHidden/>
    <w:unhideWhenUsed/>
    <w:rsid w:val="005132D1"/>
    <w:rPr>
      <w:sz w:val="20"/>
      <w:szCs w:val="20"/>
    </w:rPr>
  </w:style>
  <w:style w:type="character" w:customStyle="1" w:styleId="ab">
    <w:name w:val="טקסט הערה תו"/>
    <w:basedOn w:val="a0"/>
    <w:link w:val="aa"/>
    <w:uiPriority w:val="99"/>
    <w:semiHidden/>
    <w:rsid w:val="005132D1"/>
    <w:rPr>
      <w:rFonts w:ascii="Times New Roman" w:eastAsia="Times New Roman" w:hAnsi="Times New Roman" w:cs="David"/>
      <w:sz w:val="20"/>
      <w:szCs w:val="20"/>
    </w:rPr>
  </w:style>
  <w:style w:type="paragraph" w:styleId="ac">
    <w:name w:val="annotation subject"/>
    <w:basedOn w:val="aa"/>
    <w:next w:val="aa"/>
    <w:link w:val="ad"/>
    <w:uiPriority w:val="99"/>
    <w:semiHidden/>
    <w:unhideWhenUsed/>
    <w:rsid w:val="005132D1"/>
    <w:rPr>
      <w:b/>
      <w:bCs/>
    </w:rPr>
  </w:style>
  <w:style w:type="character" w:customStyle="1" w:styleId="ad">
    <w:name w:val="נושא הערה תו"/>
    <w:basedOn w:val="ab"/>
    <w:link w:val="ac"/>
    <w:uiPriority w:val="99"/>
    <w:semiHidden/>
    <w:rsid w:val="005132D1"/>
    <w:rPr>
      <w:rFonts w:ascii="Times New Roman" w:eastAsia="Times New Roman" w:hAnsi="Times New Roman" w:cs="David"/>
      <w:b/>
      <w:bCs/>
      <w:sz w:val="20"/>
      <w:szCs w:val="20"/>
    </w:rPr>
  </w:style>
  <w:style w:type="paragraph" w:customStyle="1" w:styleId="regpar">
    <w:name w:val="regpar"/>
    <w:basedOn w:val="a"/>
    <w:rsid w:val="00EE0705"/>
    <w:pPr>
      <w:bidi w:val="0"/>
      <w:spacing w:line="300" w:lineRule="exact"/>
      <w:ind w:firstLine="240"/>
      <w:jc w:val="both"/>
    </w:pPr>
    <w:rPr>
      <w:rFonts w:ascii="Times" w:hAnsi="Times" w:cs="Times"/>
    </w:rPr>
  </w:style>
  <w:style w:type="paragraph" w:styleId="ae">
    <w:name w:val="header"/>
    <w:basedOn w:val="a"/>
    <w:link w:val="af"/>
    <w:uiPriority w:val="99"/>
    <w:unhideWhenUsed/>
    <w:rsid w:val="00BE156F"/>
    <w:pPr>
      <w:tabs>
        <w:tab w:val="center" w:pos="4153"/>
        <w:tab w:val="right" w:pos="8306"/>
      </w:tabs>
    </w:pPr>
  </w:style>
  <w:style w:type="character" w:customStyle="1" w:styleId="af">
    <w:name w:val="כותרת עליונה תו"/>
    <w:basedOn w:val="a0"/>
    <w:link w:val="ae"/>
    <w:uiPriority w:val="99"/>
    <w:rsid w:val="00BE156F"/>
    <w:rPr>
      <w:rFonts w:ascii="Times New Roman" w:eastAsia="Times New Roman" w:hAnsi="Times New Roman" w:cs="David"/>
      <w:sz w:val="24"/>
      <w:szCs w:val="24"/>
    </w:rPr>
  </w:style>
  <w:style w:type="paragraph" w:styleId="af0">
    <w:name w:val="footer"/>
    <w:basedOn w:val="a"/>
    <w:link w:val="af1"/>
    <w:uiPriority w:val="99"/>
    <w:unhideWhenUsed/>
    <w:rsid w:val="00BE156F"/>
    <w:pPr>
      <w:tabs>
        <w:tab w:val="center" w:pos="4153"/>
        <w:tab w:val="right" w:pos="8306"/>
      </w:tabs>
    </w:pPr>
  </w:style>
  <w:style w:type="character" w:customStyle="1" w:styleId="af1">
    <w:name w:val="כותרת תחתונה תו"/>
    <w:basedOn w:val="a0"/>
    <w:link w:val="af0"/>
    <w:uiPriority w:val="99"/>
    <w:rsid w:val="00BE156F"/>
    <w:rPr>
      <w:rFonts w:ascii="Times New Roman" w:eastAsia="Times New Roman" w:hAnsi="Times New Roman" w:cs="Dav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0A"/>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a"/>
    <w:link w:val="a4"/>
    <w:uiPriority w:val="99"/>
    <w:unhideWhenUsed/>
    <w:rsid w:val="0053780A"/>
    <w:pPr>
      <w:jc w:val="both"/>
    </w:pPr>
    <w:rPr>
      <w:rFonts w:eastAsiaTheme="minorHAnsi"/>
    </w:rPr>
  </w:style>
  <w:style w:type="character" w:customStyle="1" w:styleId="a4">
    <w:name w:val="טקסט הערת שוליים תו"/>
    <w:aliases w:val="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fn תו,fn Char תו,single space תו"/>
    <w:basedOn w:val="a0"/>
    <w:link w:val="a3"/>
    <w:uiPriority w:val="99"/>
    <w:rsid w:val="0053780A"/>
    <w:rPr>
      <w:rFonts w:ascii="Times New Roman" w:hAnsi="Times New Roman" w:cs="David"/>
      <w:sz w:val="24"/>
      <w:szCs w:val="24"/>
    </w:rPr>
  </w:style>
  <w:style w:type="character" w:styleId="a5">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nhideWhenUsed/>
    <w:rsid w:val="0053780A"/>
    <w:rPr>
      <w:vertAlign w:val="superscript"/>
    </w:rPr>
  </w:style>
  <w:style w:type="paragraph" w:styleId="a6">
    <w:name w:val="List Paragraph"/>
    <w:basedOn w:val="a"/>
    <w:uiPriority w:val="34"/>
    <w:qFormat/>
    <w:rsid w:val="0053780A"/>
    <w:pPr>
      <w:ind w:left="720"/>
      <w:contextualSpacing/>
    </w:pPr>
  </w:style>
  <w:style w:type="paragraph" w:styleId="a7">
    <w:name w:val="Balloon Text"/>
    <w:basedOn w:val="a"/>
    <w:link w:val="a8"/>
    <w:uiPriority w:val="99"/>
    <w:semiHidden/>
    <w:unhideWhenUsed/>
    <w:rsid w:val="0053780A"/>
    <w:rPr>
      <w:rFonts w:ascii="Tahoma" w:hAnsi="Tahoma" w:cs="Tahoma"/>
      <w:sz w:val="16"/>
      <w:szCs w:val="16"/>
    </w:rPr>
  </w:style>
  <w:style w:type="character" w:customStyle="1" w:styleId="a8">
    <w:name w:val="טקסט בלונים תו"/>
    <w:basedOn w:val="a0"/>
    <w:link w:val="a7"/>
    <w:uiPriority w:val="99"/>
    <w:semiHidden/>
    <w:rsid w:val="0053780A"/>
    <w:rPr>
      <w:rFonts w:ascii="Tahoma" w:eastAsia="Times New Roman" w:hAnsi="Tahoma" w:cs="Tahoma"/>
      <w:sz w:val="16"/>
      <w:szCs w:val="16"/>
    </w:rPr>
  </w:style>
  <w:style w:type="character" w:styleId="a9">
    <w:name w:val="annotation reference"/>
    <w:basedOn w:val="a0"/>
    <w:uiPriority w:val="99"/>
    <w:semiHidden/>
    <w:unhideWhenUsed/>
    <w:rsid w:val="005132D1"/>
    <w:rPr>
      <w:sz w:val="16"/>
      <w:szCs w:val="16"/>
    </w:rPr>
  </w:style>
  <w:style w:type="paragraph" w:styleId="aa">
    <w:name w:val="annotation text"/>
    <w:basedOn w:val="a"/>
    <w:link w:val="ab"/>
    <w:uiPriority w:val="99"/>
    <w:semiHidden/>
    <w:unhideWhenUsed/>
    <w:rsid w:val="005132D1"/>
    <w:rPr>
      <w:sz w:val="20"/>
      <w:szCs w:val="20"/>
    </w:rPr>
  </w:style>
  <w:style w:type="character" w:customStyle="1" w:styleId="ab">
    <w:name w:val="טקסט הערה תו"/>
    <w:basedOn w:val="a0"/>
    <w:link w:val="aa"/>
    <w:uiPriority w:val="99"/>
    <w:semiHidden/>
    <w:rsid w:val="005132D1"/>
    <w:rPr>
      <w:rFonts w:ascii="Times New Roman" w:eastAsia="Times New Roman" w:hAnsi="Times New Roman" w:cs="David"/>
      <w:sz w:val="20"/>
      <w:szCs w:val="20"/>
    </w:rPr>
  </w:style>
  <w:style w:type="paragraph" w:styleId="ac">
    <w:name w:val="annotation subject"/>
    <w:basedOn w:val="aa"/>
    <w:next w:val="aa"/>
    <w:link w:val="ad"/>
    <w:uiPriority w:val="99"/>
    <w:semiHidden/>
    <w:unhideWhenUsed/>
    <w:rsid w:val="005132D1"/>
    <w:rPr>
      <w:b/>
      <w:bCs/>
    </w:rPr>
  </w:style>
  <w:style w:type="character" w:customStyle="1" w:styleId="ad">
    <w:name w:val="נושא הערה תו"/>
    <w:basedOn w:val="ab"/>
    <w:link w:val="ac"/>
    <w:uiPriority w:val="99"/>
    <w:semiHidden/>
    <w:rsid w:val="005132D1"/>
    <w:rPr>
      <w:rFonts w:ascii="Times New Roman" w:eastAsia="Times New Roman" w:hAnsi="Times New Roman" w:cs="David"/>
      <w:b/>
      <w:bCs/>
      <w:sz w:val="20"/>
      <w:szCs w:val="20"/>
    </w:rPr>
  </w:style>
  <w:style w:type="paragraph" w:customStyle="1" w:styleId="regpar">
    <w:name w:val="regpar"/>
    <w:basedOn w:val="a"/>
    <w:rsid w:val="00EE0705"/>
    <w:pPr>
      <w:bidi w:val="0"/>
      <w:spacing w:line="300" w:lineRule="exact"/>
      <w:ind w:firstLine="240"/>
      <w:jc w:val="both"/>
    </w:pPr>
    <w:rPr>
      <w:rFonts w:ascii="Times" w:hAnsi="Times" w:cs="Times"/>
    </w:rPr>
  </w:style>
  <w:style w:type="paragraph" w:styleId="ae">
    <w:name w:val="header"/>
    <w:basedOn w:val="a"/>
    <w:link w:val="af"/>
    <w:uiPriority w:val="99"/>
    <w:unhideWhenUsed/>
    <w:rsid w:val="00BE156F"/>
    <w:pPr>
      <w:tabs>
        <w:tab w:val="center" w:pos="4153"/>
        <w:tab w:val="right" w:pos="8306"/>
      </w:tabs>
    </w:pPr>
  </w:style>
  <w:style w:type="character" w:customStyle="1" w:styleId="af">
    <w:name w:val="כותרת עליונה תו"/>
    <w:basedOn w:val="a0"/>
    <w:link w:val="ae"/>
    <w:uiPriority w:val="99"/>
    <w:rsid w:val="00BE156F"/>
    <w:rPr>
      <w:rFonts w:ascii="Times New Roman" w:eastAsia="Times New Roman" w:hAnsi="Times New Roman" w:cs="David"/>
      <w:sz w:val="24"/>
      <w:szCs w:val="24"/>
    </w:rPr>
  </w:style>
  <w:style w:type="paragraph" w:styleId="af0">
    <w:name w:val="footer"/>
    <w:basedOn w:val="a"/>
    <w:link w:val="af1"/>
    <w:uiPriority w:val="99"/>
    <w:unhideWhenUsed/>
    <w:rsid w:val="00BE156F"/>
    <w:pPr>
      <w:tabs>
        <w:tab w:val="center" w:pos="4153"/>
        <w:tab w:val="right" w:pos="8306"/>
      </w:tabs>
    </w:pPr>
  </w:style>
  <w:style w:type="character" w:customStyle="1" w:styleId="af1">
    <w:name w:val="כותרת תחתונה תו"/>
    <w:basedOn w:val="a0"/>
    <w:link w:val="af0"/>
    <w:uiPriority w:val="99"/>
    <w:rsid w:val="00BE156F"/>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121">
      <w:bodyDiv w:val="1"/>
      <w:marLeft w:val="0"/>
      <w:marRight w:val="0"/>
      <w:marTop w:val="0"/>
      <w:marBottom w:val="0"/>
      <w:divBdr>
        <w:top w:val="none" w:sz="0" w:space="0" w:color="auto"/>
        <w:left w:val="none" w:sz="0" w:space="0" w:color="auto"/>
        <w:bottom w:val="none" w:sz="0" w:space="0" w:color="auto"/>
        <w:right w:val="none" w:sz="0" w:space="0" w:color="auto"/>
      </w:divBdr>
    </w:div>
    <w:div w:id="272135129">
      <w:bodyDiv w:val="1"/>
      <w:marLeft w:val="0"/>
      <w:marRight w:val="0"/>
      <w:marTop w:val="0"/>
      <w:marBottom w:val="0"/>
      <w:divBdr>
        <w:top w:val="none" w:sz="0" w:space="0" w:color="auto"/>
        <w:left w:val="none" w:sz="0" w:space="0" w:color="auto"/>
        <w:bottom w:val="none" w:sz="0" w:space="0" w:color="auto"/>
        <w:right w:val="none" w:sz="0" w:space="0" w:color="auto"/>
      </w:divBdr>
    </w:div>
    <w:div w:id="7352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FCEC3-B925-4545-956F-545CCF479C60}"/>
</file>

<file path=customXml/itemProps2.xml><?xml version="1.0" encoding="utf-8"?>
<ds:datastoreItem xmlns:ds="http://schemas.openxmlformats.org/officeDocument/2006/customXml" ds:itemID="{59547698-5CDE-4688-804A-8C03B6C0E491}"/>
</file>

<file path=customXml/itemProps3.xml><?xml version="1.0" encoding="utf-8"?>
<ds:datastoreItem xmlns:ds="http://schemas.openxmlformats.org/officeDocument/2006/customXml" ds:itemID="{FDBCACB8-9DCF-4375-B92B-B96101465515}"/>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2100</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2014-07-06T09:17:00Z</dcterms:created>
  <dcterms:modified xsi:type="dcterms:W3CDTF">2014-07-06T09:17:00Z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