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BEF" w:rsidRPr="006B3AEB" w:rsidRDefault="00841BEF" w:rsidP="00583A23">
      <w:pPr>
        <w:bidi/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tbl>
      <w:tblPr>
        <w:tblpPr w:leftFromText="180" w:rightFromText="180" w:vertAnchor="page" w:horzAnchor="margin" w:tblpXSpec="center" w:tblpY="99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583A23" w:rsidRPr="006B3AEB" w:rsidTr="00D776AC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3A23" w:rsidRPr="006B3AEB" w:rsidRDefault="00583A23" w:rsidP="00583A23">
            <w:pPr>
              <w:bidi/>
              <w:spacing w:line="480" w:lineRule="auto"/>
              <w:ind w:left="97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6B3AEB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בנק ישראל</w:t>
            </w:r>
          </w:p>
          <w:p w:rsidR="00583A23" w:rsidRPr="006B3AEB" w:rsidRDefault="00583A23" w:rsidP="00583A23">
            <w:pPr>
              <w:bidi/>
              <w:spacing w:line="480" w:lineRule="auto"/>
              <w:ind w:left="97" w:right="-101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3AEB">
              <w:rPr>
                <w:rFonts w:ascii="David" w:hAnsi="David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83A23" w:rsidRPr="006B3AEB" w:rsidRDefault="00583A23" w:rsidP="00583A23">
            <w:pPr>
              <w:bidi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3AE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 wp14:anchorId="5D8204FE" wp14:editId="60067E8E">
                  <wp:extent cx="945515" cy="945515"/>
                  <wp:effectExtent l="0" t="0" r="6985" b="6985"/>
                  <wp:docPr id="3" name="תמונה 3" descr="לוגו בנק ישראל" title="לוג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3A23" w:rsidRPr="006B3AEB" w:rsidRDefault="00583A23" w:rsidP="00706CC2">
            <w:pPr>
              <w:bidi/>
              <w:spacing w:line="48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 w:rsidRPr="006B3AEB">
              <w:rPr>
                <w:rFonts w:ascii="David" w:hAnsi="David" w:cs="David"/>
                <w:sz w:val="24"/>
                <w:szCs w:val="24"/>
                <w:rtl/>
              </w:rPr>
              <w:t xml:space="preserve">‏ירושלים, </w:t>
            </w:r>
            <w:r w:rsidR="00706CC2" w:rsidRPr="006B3AEB">
              <w:rPr>
                <w:rFonts w:ascii="David" w:hAnsi="David" w:cs="David"/>
                <w:sz w:val="24"/>
                <w:szCs w:val="24"/>
                <w:rtl/>
              </w:rPr>
              <w:t>ט</w:t>
            </w:r>
            <w:r w:rsidRPr="006B3AEB">
              <w:rPr>
                <w:rFonts w:ascii="David" w:hAnsi="David" w:cs="David"/>
                <w:sz w:val="24"/>
                <w:szCs w:val="24"/>
                <w:rtl/>
              </w:rPr>
              <w:t>' בשבט, תשפ"ג</w:t>
            </w:r>
          </w:p>
          <w:p w:rsidR="00583A23" w:rsidRPr="006B3AEB" w:rsidRDefault="00583A23" w:rsidP="00706CC2">
            <w:pPr>
              <w:bidi/>
              <w:spacing w:line="48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 w:rsidRPr="006B3AEB">
              <w:rPr>
                <w:rFonts w:ascii="David" w:hAnsi="David" w:cs="David"/>
                <w:sz w:val="24"/>
                <w:szCs w:val="24"/>
                <w:rtl/>
              </w:rPr>
              <w:t>3</w:t>
            </w:r>
            <w:r w:rsidR="00706CC2" w:rsidRPr="006B3AEB">
              <w:rPr>
                <w:rFonts w:ascii="David" w:hAnsi="David" w:cs="David"/>
                <w:sz w:val="24"/>
                <w:szCs w:val="24"/>
                <w:rtl/>
              </w:rPr>
              <w:t>1</w:t>
            </w:r>
            <w:r w:rsidRPr="006B3AEB">
              <w:rPr>
                <w:rFonts w:ascii="David" w:hAnsi="David" w:cs="David"/>
                <w:sz w:val="24"/>
                <w:szCs w:val="24"/>
                <w:rtl/>
              </w:rPr>
              <w:t xml:space="preserve"> בינואר 2023</w:t>
            </w:r>
          </w:p>
        </w:tc>
      </w:tr>
    </w:tbl>
    <w:p w:rsidR="00583A23" w:rsidRPr="006B3AEB" w:rsidRDefault="00583A23" w:rsidP="00583A23">
      <w:pPr>
        <w:bidi/>
        <w:spacing w:line="360" w:lineRule="auto"/>
        <w:rPr>
          <w:rFonts w:ascii="David" w:hAnsi="David" w:cs="David"/>
          <w:color w:val="000000" w:themeColor="text1"/>
          <w:sz w:val="24"/>
          <w:szCs w:val="24"/>
          <w:rtl/>
        </w:rPr>
      </w:pPr>
      <w:r w:rsidRPr="006B3AEB">
        <w:rPr>
          <w:rFonts w:ascii="David" w:hAnsi="David" w:cs="David"/>
          <w:color w:val="000000" w:themeColor="text1"/>
          <w:sz w:val="24"/>
          <w:szCs w:val="24"/>
          <w:rtl/>
        </w:rPr>
        <w:t>הודעה לעיתונות:</w:t>
      </w:r>
    </w:p>
    <w:p w:rsidR="00CA4024" w:rsidRPr="006B3AEB" w:rsidRDefault="00583A23" w:rsidP="00583A23">
      <w:pPr>
        <w:bidi/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6B3AEB">
        <w:rPr>
          <w:rFonts w:ascii="David" w:hAnsi="David" w:cs="David"/>
          <w:b/>
          <w:bCs/>
          <w:sz w:val="28"/>
          <w:szCs w:val="28"/>
          <w:rtl/>
        </w:rPr>
        <w:t>תיבה מתוך דו</w:t>
      </w:r>
      <w:r w:rsidR="002A49DC" w:rsidRPr="006B3AEB">
        <w:rPr>
          <w:rFonts w:ascii="David" w:hAnsi="David" w:cs="David"/>
          <w:b/>
          <w:bCs/>
          <w:sz w:val="28"/>
          <w:szCs w:val="28"/>
          <w:rtl/>
        </w:rPr>
        <w:t>"</w:t>
      </w:r>
      <w:r w:rsidRPr="006B3AEB">
        <w:rPr>
          <w:rFonts w:ascii="David" w:hAnsi="David" w:cs="David"/>
          <w:b/>
          <w:bCs/>
          <w:sz w:val="28"/>
          <w:szCs w:val="28"/>
          <w:rtl/>
        </w:rPr>
        <w:t>ח היציבות הפיננסית</w:t>
      </w:r>
      <w:r w:rsidR="009F0587" w:rsidRPr="006B3AEB">
        <w:rPr>
          <w:rFonts w:ascii="David" w:hAnsi="David" w:cs="David"/>
          <w:b/>
          <w:bCs/>
          <w:sz w:val="28"/>
          <w:szCs w:val="28"/>
          <w:rtl/>
        </w:rPr>
        <w:t xml:space="preserve"> למחצית השנייה 2022</w:t>
      </w:r>
      <w:r w:rsidRPr="006B3AEB">
        <w:rPr>
          <w:rFonts w:ascii="David" w:hAnsi="David" w:cs="David"/>
          <w:b/>
          <w:bCs/>
          <w:sz w:val="28"/>
          <w:szCs w:val="28"/>
          <w:rtl/>
        </w:rPr>
        <w:t xml:space="preserve">: </w:t>
      </w:r>
    </w:p>
    <w:p w:rsidR="00217898" w:rsidRPr="006B3AEB" w:rsidRDefault="00FD6793" w:rsidP="00CA4024">
      <w:pPr>
        <w:bidi/>
        <w:spacing w:line="360" w:lineRule="auto"/>
        <w:jc w:val="center"/>
        <w:rPr>
          <w:rFonts w:ascii="David" w:hAnsi="David" w:cs="David"/>
          <w:b/>
          <w:bCs/>
          <w:sz w:val="28"/>
          <w:szCs w:val="28"/>
        </w:rPr>
      </w:pPr>
      <w:r w:rsidRPr="006B3AEB">
        <w:rPr>
          <w:rFonts w:ascii="David" w:hAnsi="David" w:cs="David"/>
          <w:b/>
          <w:bCs/>
          <w:sz w:val="28"/>
          <w:szCs w:val="28"/>
          <w:rtl/>
        </w:rPr>
        <w:t>האם ה</w:t>
      </w:r>
      <w:r w:rsidR="00E55A9B" w:rsidRPr="006B3AEB">
        <w:rPr>
          <w:rFonts w:ascii="David" w:hAnsi="David" w:cs="David"/>
          <w:b/>
          <w:bCs/>
          <w:sz w:val="28"/>
          <w:szCs w:val="28"/>
          <w:rtl/>
        </w:rPr>
        <w:t xml:space="preserve">משקיעים מזהים </w:t>
      </w:r>
      <w:r w:rsidRPr="006B3AEB">
        <w:rPr>
          <w:rFonts w:ascii="David" w:hAnsi="David" w:cs="David"/>
          <w:b/>
          <w:bCs/>
          <w:sz w:val="28"/>
          <w:szCs w:val="28"/>
          <w:rtl/>
        </w:rPr>
        <w:t>בעיות רוחב בחברות האשראי החוץ</w:t>
      </w:r>
      <w:r w:rsidR="000D4A1A" w:rsidRPr="006B3AEB">
        <w:rPr>
          <w:rFonts w:ascii="David" w:hAnsi="David" w:cs="David"/>
          <w:b/>
          <w:bCs/>
          <w:sz w:val="28"/>
          <w:szCs w:val="28"/>
          <w:rtl/>
        </w:rPr>
        <w:t>-</w:t>
      </w:r>
      <w:r w:rsidRPr="006B3AEB">
        <w:rPr>
          <w:rFonts w:ascii="David" w:hAnsi="David" w:cs="David"/>
          <w:b/>
          <w:bCs/>
          <w:sz w:val="28"/>
          <w:szCs w:val="28"/>
          <w:rtl/>
        </w:rPr>
        <w:t>בנקאי</w:t>
      </w:r>
      <w:r w:rsidR="00217898" w:rsidRPr="006B3AEB">
        <w:rPr>
          <w:rFonts w:ascii="David" w:hAnsi="David" w:cs="David"/>
          <w:b/>
          <w:bCs/>
          <w:sz w:val="28"/>
          <w:szCs w:val="28"/>
          <w:rtl/>
        </w:rPr>
        <w:t>?</w:t>
      </w:r>
    </w:p>
    <w:p w:rsidR="00241979" w:rsidRPr="00F77E2E" w:rsidRDefault="004C3F53" w:rsidP="00A71247">
      <w:pPr>
        <w:pStyle w:val="af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F77E2E">
        <w:rPr>
          <w:rFonts w:ascii="David" w:hAnsi="David" w:cs="David"/>
          <w:sz w:val="24"/>
          <w:szCs w:val="24"/>
          <w:rtl/>
        </w:rPr>
        <w:t xml:space="preserve">בקיץ 2022 קרסו חברות </w:t>
      </w:r>
      <w:r w:rsidR="00835BD9" w:rsidRPr="00F77E2E">
        <w:rPr>
          <w:rFonts w:ascii="David" w:hAnsi="David" w:cs="David"/>
          <w:sz w:val="24"/>
          <w:szCs w:val="24"/>
          <w:rtl/>
        </w:rPr>
        <w:t>ה</w:t>
      </w:r>
      <w:r w:rsidRPr="00F77E2E">
        <w:rPr>
          <w:rFonts w:ascii="David" w:hAnsi="David" w:cs="David"/>
          <w:sz w:val="24"/>
          <w:szCs w:val="24"/>
          <w:rtl/>
        </w:rPr>
        <w:t xml:space="preserve">אשראי </w:t>
      </w:r>
      <w:r w:rsidR="00835BD9" w:rsidRPr="00F77E2E">
        <w:rPr>
          <w:rFonts w:ascii="David" w:hAnsi="David" w:cs="David"/>
          <w:sz w:val="24"/>
          <w:szCs w:val="24"/>
          <w:rtl/>
        </w:rPr>
        <w:t>ה</w:t>
      </w:r>
      <w:r w:rsidR="000D4A1A" w:rsidRPr="00F77E2E">
        <w:rPr>
          <w:rFonts w:ascii="David" w:hAnsi="David" w:cs="David"/>
          <w:sz w:val="24"/>
          <w:szCs w:val="24"/>
          <w:rtl/>
        </w:rPr>
        <w:t>חוץ-ב</w:t>
      </w:r>
      <w:r w:rsidRPr="00F77E2E">
        <w:rPr>
          <w:rFonts w:ascii="David" w:hAnsi="David" w:cs="David"/>
          <w:sz w:val="24"/>
          <w:szCs w:val="24"/>
          <w:rtl/>
        </w:rPr>
        <w:t>נקאי</w:t>
      </w:r>
      <w:r w:rsidR="00835BD9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35040C" w:rsidRPr="00F77E2E">
        <w:rPr>
          <w:rFonts w:ascii="David" w:hAnsi="David" w:cs="David"/>
          <w:sz w:val="24"/>
          <w:szCs w:val="24"/>
          <w:rtl/>
        </w:rPr>
        <w:t xml:space="preserve">"גיבוי </w:t>
      </w:r>
      <w:r w:rsidR="00A71247" w:rsidRPr="00F77E2E">
        <w:rPr>
          <w:rFonts w:ascii="David" w:hAnsi="David" w:cs="David"/>
          <w:sz w:val="24"/>
          <w:szCs w:val="24"/>
          <w:rtl/>
        </w:rPr>
        <w:t>אחזקות</w:t>
      </w:r>
      <w:r w:rsidR="0035040C" w:rsidRPr="00F77E2E">
        <w:rPr>
          <w:rFonts w:ascii="David" w:hAnsi="David" w:cs="David"/>
          <w:sz w:val="24"/>
          <w:szCs w:val="24"/>
          <w:rtl/>
        </w:rPr>
        <w:t xml:space="preserve"> בע"מ" </w:t>
      </w:r>
      <w:proofErr w:type="spellStart"/>
      <w:r w:rsidR="0035040C" w:rsidRPr="00F77E2E">
        <w:rPr>
          <w:rFonts w:ascii="David" w:hAnsi="David" w:cs="David"/>
          <w:sz w:val="24"/>
          <w:szCs w:val="24"/>
          <w:rtl/>
        </w:rPr>
        <w:t>ו"</w:t>
      </w:r>
      <w:r w:rsidR="00A71247" w:rsidRPr="00F77E2E">
        <w:rPr>
          <w:rFonts w:ascii="David" w:hAnsi="David" w:cs="David"/>
          <w:sz w:val="24"/>
          <w:szCs w:val="24"/>
          <w:rtl/>
        </w:rPr>
        <w:t>יונט</w:t>
      </w:r>
      <w:proofErr w:type="spellEnd"/>
      <w:r w:rsidR="00A71247" w:rsidRPr="00F77E2E">
        <w:rPr>
          <w:rFonts w:ascii="David" w:hAnsi="David" w:cs="David"/>
          <w:sz w:val="24"/>
          <w:szCs w:val="24"/>
          <w:rtl/>
        </w:rPr>
        <w:t xml:space="preserve"> קרדיט</w:t>
      </w:r>
      <w:r w:rsidR="0035040C" w:rsidRPr="00F77E2E">
        <w:rPr>
          <w:rFonts w:ascii="David" w:hAnsi="David" w:cs="David"/>
          <w:sz w:val="24"/>
          <w:szCs w:val="24"/>
          <w:rtl/>
        </w:rPr>
        <w:t xml:space="preserve"> שירותים פיננסיים בע"מ"</w:t>
      </w:r>
      <w:r w:rsidR="00A71247" w:rsidRPr="00F77E2E">
        <w:rPr>
          <w:rFonts w:ascii="David" w:hAnsi="David" w:cs="David"/>
          <w:sz w:val="24"/>
          <w:szCs w:val="24"/>
          <w:rtl/>
        </w:rPr>
        <w:t>.</w:t>
      </w:r>
    </w:p>
    <w:p w:rsidR="00B32B61" w:rsidRPr="00F77E2E" w:rsidRDefault="0072393E" w:rsidP="000C37BB">
      <w:pPr>
        <w:pStyle w:val="af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F77E2E">
        <w:rPr>
          <w:rFonts w:ascii="David" w:hAnsi="David" w:cs="David"/>
          <w:sz w:val="24"/>
          <w:szCs w:val="24"/>
          <w:rtl/>
        </w:rPr>
        <w:t xml:space="preserve">התיבה </w:t>
      </w:r>
      <w:r w:rsidR="000C37BB" w:rsidRPr="00F77E2E">
        <w:rPr>
          <w:rFonts w:ascii="David" w:hAnsi="David" w:cs="David"/>
          <w:sz w:val="24"/>
          <w:szCs w:val="24"/>
          <w:rtl/>
        </w:rPr>
        <w:t>בוחנת את</w:t>
      </w:r>
      <w:r w:rsidRPr="00F77E2E">
        <w:rPr>
          <w:rFonts w:ascii="David" w:hAnsi="David" w:cs="David"/>
          <w:sz w:val="24"/>
          <w:szCs w:val="24"/>
          <w:rtl/>
        </w:rPr>
        <w:t xml:space="preserve"> </w:t>
      </w:r>
      <w:r w:rsidR="00256959" w:rsidRPr="00F77E2E">
        <w:rPr>
          <w:rFonts w:ascii="David" w:hAnsi="David" w:cs="David"/>
          <w:sz w:val="24"/>
          <w:szCs w:val="24"/>
          <w:rtl/>
        </w:rPr>
        <w:t>התנהגות</w:t>
      </w:r>
      <w:r w:rsidR="008B143F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256959" w:rsidRPr="00F77E2E">
        <w:rPr>
          <w:rFonts w:ascii="David" w:hAnsi="David" w:cs="David"/>
          <w:sz w:val="24"/>
          <w:szCs w:val="24"/>
          <w:rtl/>
        </w:rPr>
        <w:t xml:space="preserve">שערי </w:t>
      </w:r>
      <w:r w:rsidR="0052449E" w:rsidRPr="00F77E2E">
        <w:rPr>
          <w:rFonts w:ascii="David" w:hAnsi="David" w:cs="David"/>
          <w:sz w:val="24"/>
          <w:szCs w:val="24"/>
          <w:rtl/>
        </w:rPr>
        <w:t>ה</w:t>
      </w:r>
      <w:r w:rsidR="00256959" w:rsidRPr="00F77E2E">
        <w:rPr>
          <w:rFonts w:ascii="David" w:hAnsi="David" w:cs="David"/>
          <w:sz w:val="24"/>
          <w:szCs w:val="24"/>
          <w:rtl/>
        </w:rPr>
        <w:t xml:space="preserve">מניות </w:t>
      </w:r>
      <w:r w:rsidR="0035040C" w:rsidRPr="00F77E2E">
        <w:rPr>
          <w:rFonts w:ascii="David" w:hAnsi="David" w:cs="David"/>
          <w:sz w:val="24"/>
          <w:szCs w:val="24"/>
          <w:rtl/>
        </w:rPr>
        <w:t xml:space="preserve">של </w:t>
      </w:r>
      <w:r w:rsidR="00241979" w:rsidRPr="00F77E2E">
        <w:rPr>
          <w:rFonts w:ascii="David" w:hAnsi="David" w:cs="David"/>
          <w:sz w:val="24"/>
          <w:szCs w:val="24"/>
          <w:rtl/>
        </w:rPr>
        <w:t>החברות ה</w:t>
      </w:r>
      <w:r w:rsidR="000D4A1A" w:rsidRPr="00F77E2E">
        <w:rPr>
          <w:rFonts w:ascii="David" w:hAnsi="David" w:cs="David"/>
          <w:sz w:val="24"/>
          <w:szCs w:val="24"/>
          <w:rtl/>
        </w:rPr>
        <w:t>חוץ-ב</w:t>
      </w:r>
      <w:r w:rsidR="00241979" w:rsidRPr="00F77E2E">
        <w:rPr>
          <w:rFonts w:ascii="David" w:hAnsi="David" w:cs="David"/>
          <w:sz w:val="24"/>
          <w:szCs w:val="24"/>
          <w:rtl/>
        </w:rPr>
        <w:t xml:space="preserve">נקאיות </w:t>
      </w:r>
      <w:r w:rsidR="00241979" w:rsidRPr="00F77E2E">
        <w:rPr>
          <w:rFonts w:ascii="David" w:hAnsi="David" w:cs="David"/>
          <w:b/>
          <w:bCs/>
          <w:sz w:val="24"/>
          <w:szCs w:val="24"/>
          <w:rtl/>
        </w:rPr>
        <w:t>האחרות</w:t>
      </w:r>
      <w:r w:rsidR="00256959" w:rsidRPr="00F77E2E">
        <w:rPr>
          <w:rFonts w:ascii="David" w:hAnsi="David" w:cs="David"/>
          <w:sz w:val="24"/>
          <w:szCs w:val="24"/>
          <w:rtl/>
        </w:rPr>
        <w:t xml:space="preserve"> סביב </w:t>
      </w:r>
      <w:r w:rsidR="00241979" w:rsidRPr="00F77E2E">
        <w:rPr>
          <w:rFonts w:ascii="David" w:hAnsi="David" w:cs="David"/>
          <w:sz w:val="24"/>
          <w:szCs w:val="24"/>
          <w:rtl/>
        </w:rPr>
        <w:t>הדיווחים</w:t>
      </w:r>
      <w:r w:rsidR="00256959" w:rsidRPr="00F77E2E">
        <w:rPr>
          <w:rFonts w:ascii="David" w:hAnsi="David" w:cs="David"/>
          <w:sz w:val="24"/>
          <w:szCs w:val="24"/>
          <w:rtl/>
        </w:rPr>
        <w:t xml:space="preserve"> על </w:t>
      </w:r>
      <w:r w:rsidR="00241979" w:rsidRPr="00F77E2E">
        <w:rPr>
          <w:rFonts w:ascii="David" w:hAnsi="David" w:cs="David"/>
          <w:sz w:val="24"/>
          <w:szCs w:val="24"/>
          <w:rtl/>
        </w:rPr>
        <w:t>הבעיות ב</w:t>
      </w:r>
      <w:r w:rsidR="0035040C" w:rsidRPr="00F77E2E">
        <w:rPr>
          <w:rFonts w:ascii="David" w:hAnsi="David" w:cs="David"/>
          <w:sz w:val="24"/>
          <w:szCs w:val="24"/>
          <w:rtl/>
        </w:rPr>
        <w:t>חברות "</w:t>
      </w:r>
      <w:r w:rsidR="00241979" w:rsidRPr="00F77E2E">
        <w:rPr>
          <w:rFonts w:ascii="David" w:hAnsi="David" w:cs="David"/>
          <w:sz w:val="24"/>
          <w:szCs w:val="24"/>
          <w:rtl/>
        </w:rPr>
        <w:t xml:space="preserve">גיבוי </w:t>
      </w:r>
      <w:r w:rsidR="0035040C" w:rsidRPr="00F77E2E">
        <w:rPr>
          <w:rFonts w:ascii="David" w:hAnsi="David" w:cs="David"/>
          <w:sz w:val="24"/>
          <w:szCs w:val="24"/>
          <w:rtl/>
        </w:rPr>
        <w:t xml:space="preserve">אחזקות" </w:t>
      </w:r>
      <w:proofErr w:type="spellStart"/>
      <w:r w:rsidR="00241979" w:rsidRPr="00F77E2E">
        <w:rPr>
          <w:rFonts w:ascii="David" w:hAnsi="David" w:cs="David"/>
          <w:sz w:val="24"/>
          <w:szCs w:val="24"/>
          <w:rtl/>
        </w:rPr>
        <w:t>ו</w:t>
      </w:r>
      <w:r w:rsidR="0035040C" w:rsidRPr="00F77E2E">
        <w:rPr>
          <w:rFonts w:ascii="David" w:hAnsi="David" w:cs="David"/>
          <w:sz w:val="24"/>
          <w:szCs w:val="24"/>
          <w:rtl/>
        </w:rPr>
        <w:t>"</w:t>
      </w:r>
      <w:r w:rsidR="00C00307" w:rsidRPr="00F77E2E">
        <w:rPr>
          <w:rFonts w:ascii="David" w:hAnsi="David" w:cs="David"/>
          <w:sz w:val="24"/>
          <w:szCs w:val="24"/>
          <w:rtl/>
        </w:rPr>
        <w:t>יונט</w:t>
      </w:r>
      <w:proofErr w:type="spellEnd"/>
      <w:r w:rsidR="00241979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35040C" w:rsidRPr="00F77E2E">
        <w:rPr>
          <w:rFonts w:ascii="David" w:hAnsi="David" w:cs="David"/>
          <w:sz w:val="24"/>
          <w:szCs w:val="24"/>
          <w:rtl/>
        </w:rPr>
        <w:t>קרדיט"</w:t>
      </w:r>
      <w:r w:rsidR="00B32B61" w:rsidRPr="00F77E2E">
        <w:rPr>
          <w:rFonts w:ascii="David" w:hAnsi="David" w:cs="David"/>
          <w:sz w:val="24"/>
          <w:szCs w:val="24"/>
          <w:rtl/>
        </w:rPr>
        <w:t>.</w:t>
      </w:r>
    </w:p>
    <w:p w:rsidR="00024E59" w:rsidRPr="00F77E2E" w:rsidRDefault="00625B84" w:rsidP="00B32B61">
      <w:pPr>
        <w:pStyle w:val="af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F77E2E">
        <w:rPr>
          <w:rFonts w:ascii="David" w:hAnsi="David" w:cs="David"/>
          <w:sz w:val="24"/>
          <w:szCs w:val="24"/>
          <w:rtl/>
        </w:rPr>
        <w:t xml:space="preserve">בניתוח זה </w:t>
      </w:r>
      <w:r w:rsidR="00B32B61" w:rsidRPr="00F77E2E">
        <w:rPr>
          <w:rFonts w:ascii="David" w:hAnsi="David" w:cs="David"/>
          <w:sz w:val="24"/>
          <w:szCs w:val="24"/>
          <w:rtl/>
        </w:rPr>
        <w:t>נמצא</w:t>
      </w:r>
      <w:r w:rsidR="0035040C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256959" w:rsidRPr="00F77E2E">
        <w:rPr>
          <w:rFonts w:ascii="David" w:hAnsi="David" w:cs="David"/>
          <w:sz w:val="24"/>
          <w:szCs w:val="24"/>
          <w:rtl/>
        </w:rPr>
        <w:t xml:space="preserve">כי המשקיעים בשוק המניות </w:t>
      </w:r>
      <w:r w:rsidR="00241979" w:rsidRPr="00F77E2E">
        <w:rPr>
          <w:rFonts w:ascii="David" w:hAnsi="David" w:cs="David"/>
          <w:sz w:val="24"/>
          <w:szCs w:val="24"/>
          <w:rtl/>
        </w:rPr>
        <w:t xml:space="preserve">לא </w:t>
      </w:r>
      <w:r w:rsidR="00256959" w:rsidRPr="00F77E2E">
        <w:rPr>
          <w:rFonts w:ascii="David" w:hAnsi="David" w:cs="David"/>
          <w:sz w:val="24"/>
          <w:szCs w:val="24"/>
          <w:rtl/>
        </w:rPr>
        <w:t>פ</w:t>
      </w:r>
      <w:r w:rsidR="00241979" w:rsidRPr="00F77E2E">
        <w:rPr>
          <w:rFonts w:ascii="David" w:hAnsi="David" w:cs="David"/>
          <w:sz w:val="24"/>
          <w:szCs w:val="24"/>
          <w:rtl/>
        </w:rPr>
        <w:t>י</w:t>
      </w:r>
      <w:r w:rsidR="00256959" w:rsidRPr="00F77E2E">
        <w:rPr>
          <w:rFonts w:ascii="David" w:hAnsi="David" w:cs="David"/>
          <w:sz w:val="24"/>
          <w:szCs w:val="24"/>
          <w:rtl/>
        </w:rPr>
        <w:t>רשו את</w:t>
      </w:r>
      <w:r w:rsidR="00241979" w:rsidRPr="00F77E2E">
        <w:rPr>
          <w:rFonts w:ascii="David" w:hAnsi="David" w:cs="David"/>
          <w:sz w:val="24"/>
          <w:szCs w:val="24"/>
          <w:rtl/>
        </w:rPr>
        <w:t xml:space="preserve"> ההתפתחויות השליל</w:t>
      </w:r>
      <w:r w:rsidR="00662822" w:rsidRPr="00F77E2E">
        <w:rPr>
          <w:rFonts w:ascii="David" w:hAnsi="David" w:cs="David"/>
          <w:sz w:val="24"/>
          <w:szCs w:val="24"/>
          <w:rtl/>
        </w:rPr>
        <w:t xml:space="preserve">יות בשתי החברות הללו </w:t>
      </w:r>
      <w:r w:rsidR="0035040C" w:rsidRPr="00F77E2E">
        <w:rPr>
          <w:rFonts w:ascii="David" w:hAnsi="David" w:cs="David"/>
          <w:sz w:val="24"/>
          <w:szCs w:val="24"/>
          <w:rtl/>
        </w:rPr>
        <w:t xml:space="preserve">כהתראה </w:t>
      </w:r>
      <w:r w:rsidR="0072393E" w:rsidRPr="00F77E2E">
        <w:rPr>
          <w:rFonts w:ascii="David" w:hAnsi="David" w:cs="David"/>
          <w:sz w:val="24"/>
          <w:szCs w:val="24"/>
          <w:rtl/>
        </w:rPr>
        <w:t xml:space="preserve">לבעיות רוחב בשוק האשראי החוץ-בנקאי או </w:t>
      </w:r>
      <w:r w:rsidR="00241979" w:rsidRPr="00F77E2E">
        <w:rPr>
          <w:rFonts w:ascii="David" w:hAnsi="David" w:cs="David"/>
          <w:sz w:val="24"/>
          <w:szCs w:val="24"/>
          <w:rtl/>
        </w:rPr>
        <w:t>לבעיות</w:t>
      </w:r>
      <w:r w:rsidR="00662822" w:rsidRPr="00F77E2E">
        <w:rPr>
          <w:rFonts w:ascii="David" w:hAnsi="David" w:cs="David"/>
          <w:sz w:val="24"/>
          <w:szCs w:val="24"/>
          <w:rtl/>
        </w:rPr>
        <w:t xml:space="preserve"> חמורות</w:t>
      </w:r>
      <w:r w:rsidR="00241979" w:rsidRPr="00F77E2E">
        <w:rPr>
          <w:rFonts w:ascii="David" w:hAnsi="David" w:cs="David"/>
          <w:sz w:val="24"/>
          <w:szCs w:val="24"/>
          <w:rtl/>
        </w:rPr>
        <w:t xml:space="preserve"> בחברות האחרות בענף</w:t>
      </w:r>
      <w:r w:rsidR="00256959" w:rsidRPr="00F77E2E">
        <w:rPr>
          <w:rFonts w:ascii="David" w:hAnsi="David" w:cs="David"/>
          <w:sz w:val="24"/>
          <w:szCs w:val="24"/>
          <w:rtl/>
        </w:rPr>
        <w:t>.</w:t>
      </w:r>
    </w:p>
    <w:p w:rsidR="00217898" w:rsidRPr="00F77E2E" w:rsidRDefault="00995D79" w:rsidP="00534EBE">
      <w:pPr>
        <w:pStyle w:val="1"/>
        <w:numPr>
          <w:ilvl w:val="0"/>
          <w:numId w:val="2"/>
        </w:numPr>
        <w:bidi/>
        <w:rPr>
          <w:rFonts w:ascii="David" w:hAnsi="David" w:cs="David"/>
          <w:color w:val="auto"/>
          <w:sz w:val="24"/>
          <w:szCs w:val="24"/>
          <w:rtl/>
        </w:rPr>
      </w:pPr>
      <w:r w:rsidRPr="00F77E2E">
        <w:rPr>
          <w:rFonts w:ascii="David" w:hAnsi="David" w:cs="David"/>
          <w:color w:val="auto"/>
          <w:sz w:val="24"/>
          <w:szCs w:val="24"/>
          <w:rtl/>
        </w:rPr>
        <w:t>רקע</w:t>
      </w:r>
    </w:p>
    <w:p w:rsidR="00F90B18" w:rsidRPr="00F77E2E" w:rsidRDefault="009467AB" w:rsidP="00DF1A6C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77E2E">
        <w:rPr>
          <w:rFonts w:ascii="David" w:hAnsi="David" w:cs="David"/>
          <w:sz w:val="24"/>
          <w:szCs w:val="24"/>
          <w:rtl/>
        </w:rPr>
        <w:t xml:space="preserve">צד ההיצע של שוק האשראי בישראל כולל </w:t>
      </w:r>
      <w:r w:rsidR="0052449E" w:rsidRPr="00F77E2E">
        <w:rPr>
          <w:rFonts w:ascii="David" w:hAnsi="David" w:cs="David"/>
          <w:sz w:val="24"/>
          <w:szCs w:val="24"/>
          <w:rtl/>
        </w:rPr>
        <w:t>את ה</w:t>
      </w:r>
      <w:r w:rsidRPr="00F77E2E">
        <w:rPr>
          <w:rFonts w:ascii="David" w:hAnsi="David" w:cs="David"/>
          <w:sz w:val="24"/>
          <w:szCs w:val="24"/>
          <w:rtl/>
        </w:rPr>
        <w:t>בנקים</w:t>
      </w:r>
      <w:r w:rsidR="0052449E" w:rsidRPr="00F77E2E">
        <w:rPr>
          <w:rFonts w:ascii="David" w:hAnsi="David" w:cs="David"/>
          <w:sz w:val="24"/>
          <w:szCs w:val="24"/>
          <w:rtl/>
        </w:rPr>
        <w:t xml:space="preserve"> מצד אחד ואת</w:t>
      </w:r>
      <w:r w:rsidRPr="00F77E2E">
        <w:rPr>
          <w:rFonts w:ascii="David" w:hAnsi="David" w:cs="David"/>
          <w:sz w:val="24"/>
          <w:szCs w:val="24"/>
          <w:rtl/>
        </w:rPr>
        <w:t xml:space="preserve"> </w:t>
      </w:r>
      <w:r w:rsidR="000776DC" w:rsidRPr="00F77E2E">
        <w:rPr>
          <w:rFonts w:ascii="David" w:hAnsi="David" w:cs="David"/>
          <w:sz w:val="24"/>
          <w:szCs w:val="24"/>
          <w:rtl/>
        </w:rPr>
        <w:t xml:space="preserve">חברות כרטיסי </w:t>
      </w:r>
      <w:r w:rsidR="0052449E" w:rsidRPr="00F77E2E">
        <w:rPr>
          <w:rFonts w:ascii="David" w:hAnsi="David" w:cs="David"/>
          <w:sz w:val="24"/>
          <w:szCs w:val="24"/>
          <w:rtl/>
        </w:rPr>
        <w:t>ה</w:t>
      </w:r>
      <w:r w:rsidR="000776DC" w:rsidRPr="00F77E2E">
        <w:rPr>
          <w:rFonts w:ascii="David" w:hAnsi="David" w:cs="David"/>
          <w:sz w:val="24"/>
          <w:szCs w:val="24"/>
          <w:rtl/>
        </w:rPr>
        <w:t xml:space="preserve">אשראי, תושבי חוץ, ממשלה, משקי </w:t>
      </w:r>
      <w:r w:rsidR="0052449E" w:rsidRPr="00F77E2E">
        <w:rPr>
          <w:rFonts w:ascii="David" w:hAnsi="David" w:cs="David"/>
          <w:sz w:val="24"/>
          <w:szCs w:val="24"/>
          <w:rtl/>
        </w:rPr>
        <w:t>ה</w:t>
      </w:r>
      <w:r w:rsidR="000776DC" w:rsidRPr="00F77E2E">
        <w:rPr>
          <w:rFonts w:ascii="David" w:hAnsi="David" w:cs="David"/>
          <w:sz w:val="24"/>
          <w:szCs w:val="24"/>
          <w:rtl/>
        </w:rPr>
        <w:t xml:space="preserve">בית, גופים מוסדיים </w:t>
      </w:r>
      <w:r w:rsidR="00BF7408" w:rsidRPr="00F77E2E">
        <w:rPr>
          <w:rFonts w:ascii="David" w:hAnsi="David" w:cs="David"/>
          <w:sz w:val="24"/>
          <w:szCs w:val="24"/>
          <w:rtl/>
        </w:rPr>
        <w:t xml:space="preserve">וחברות </w:t>
      </w:r>
      <w:r w:rsidR="000776DC" w:rsidRPr="00F77E2E">
        <w:rPr>
          <w:rFonts w:ascii="David" w:hAnsi="David" w:cs="David"/>
          <w:sz w:val="24"/>
          <w:szCs w:val="24"/>
          <w:rtl/>
        </w:rPr>
        <w:t>פרטיות</w:t>
      </w:r>
      <w:r w:rsidR="0052449E" w:rsidRPr="00F77E2E">
        <w:rPr>
          <w:rFonts w:ascii="David" w:hAnsi="David" w:cs="David"/>
          <w:sz w:val="24"/>
          <w:szCs w:val="24"/>
          <w:rtl/>
        </w:rPr>
        <w:t xml:space="preserve"> מצד שני</w:t>
      </w:r>
      <w:r w:rsidR="00D74DA9" w:rsidRPr="00F77E2E">
        <w:rPr>
          <w:rFonts w:ascii="David" w:hAnsi="David" w:cs="David"/>
          <w:sz w:val="24"/>
          <w:szCs w:val="24"/>
          <w:rtl/>
        </w:rPr>
        <w:t>,</w:t>
      </w:r>
      <w:r w:rsidR="000776DC" w:rsidRPr="00F77E2E">
        <w:rPr>
          <w:rFonts w:ascii="David" w:hAnsi="David" w:cs="David"/>
          <w:sz w:val="24"/>
          <w:szCs w:val="24"/>
          <w:rtl/>
        </w:rPr>
        <w:t xml:space="preserve"> אשר</w:t>
      </w:r>
      <w:r w:rsidR="0052449E" w:rsidRPr="00F77E2E">
        <w:rPr>
          <w:rFonts w:ascii="David" w:hAnsi="David" w:cs="David"/>
          <w:sz w:val="24"/>
          <w:szCs w:val="24"/>
          <w:rtl/>
        </w:rPr>
        <w:t xml:space="preserve"> אליהן </w:t>
      </w:r>
      <w:r w:rsidR="00D74DA9" w:rsidRPr="00F77E2E">
        <w:rPr>
          <w:rFonts w:ascii="David" w:hAnsi="David" w:cs="David"/>
          <w:sz w:val="24"/>
          <w:szCs w:val="24"/>
          <w:rtl/>
        </w:rPr>
        <w:t xml:space="preserve">נתייחס </w:t>
      </w:r>
      <w:r w:rsidR="000776DC" w:rsidRPr="00F77E2E">
        <w:rPr>
          <w:rFonts w:ascii="David" w:hAnsi="David" w:cs="David"/>
          <w:sz w:val="24"/>
          <w:szCs w:val="24"/>
          <w:rtl/>
        </w:rPr>
        <w:t xml:space="preserve">כחברות אשראי </w:t>
      </w:r>
      <w:r w:rsidR="000D4A1A" w:rsidRPr="00F77E2E">
        <w:rPr>
          <w:rFonts w:ascii="David" w:hAnsi="David" w:cs="David"/>
          <w:sz w:val="24"/>
          <w:szCs w:val="24"/>
          <w:rtl/>
        </w:rPr>
        <w:t xml:space="preserve"> חוץ-ב</w:t>
      </w:r>
      <w:r w:rsidR="000776DC" w:rsidRPr="00F77E2E">
        <w:rPr>
          <w:rFonts w:ascii="David" w:hAnsi="David" w:cs="David"/>
          <w:sz w:val="24"/>
          <w:szCs w:val="24"/>
          <w:rtl/>
        </w:rPr>
        <w:t>נקאי</w:t>
      </w:r>
      <w:r w:rsidRPr="00F77E2E">
        <w:rPr>
          <w:rFonts w:ascii="David" w:hAnsi="David" w:cs="David"/>
          <w:sz w:val="24"/>
          <w:szCs w:val="24"/>
          <w:rtl/>
        </w:rPr>
        <w:t>.</w:t>
      </w:r>
      <w:r w:rsidR="000776DC" w:rsidRPr="00F77E2E">
        <w:rPr>
          <w:rFonts w:ascii="David" w:hAnsi="David" w:cs="David"/>
          <w:sz w:val="24"/>
          <w:szCs w:val="24"/>
          <w:rtl/>
        </w:rPr>
        <w:t xml:space="preserve"> בשל הריכוזיות הגבוהה של הבנקים בשוק האשראי, </w:t>
      </w:r>
      <w:r w:rsidR="00D74DA9" w:rsidRPr="00F77E2E">
        <w:rPr>
          <w:rFonts w:ascii="David" w:hAnsi="David" w:cs="David"/>
          <w:sz w:val="24"/>
          <w:szCs w:val="24"/>
          <w:rtl/>
        </w:rPr>
        <w:t xml:space="preserve">יש </w:t>
      </w:r>
      <w:r w:rsidR="000776DC" w:rsidRPr="00F77E2E">
        <w:rPr>
          <w:rFonts w:ascii="David" w:hAnsi="David" w:cs="David"/>
          <w:sz w:val="24"/>
          <w:szCs w:val="24"/>
          <w:rtl/>
        </w:rPr>
        <w:t>לחברות האשראי ה</w:t>
      </w:r>
      <w:r w:rsidR="000D4A1A" w:rsidRPr="00F77E2E">
        <w:rPr>
          <w:rFonts w:ascii="David" w:hAnsi="David" w:cs="David"/>
          <w:sz w:val="24"/>
          <w:szCs w:val="24"/>
          <w:rtl/>
        </w:rPr>
        <w:t>חוץ-ב</w:t>
      </w:r>
      <w:r w:rsidR="000776DC" w:rsidRPr="00F77E2E">
        <w:rPr>
          <w:rFonts w:ascii="David" w:hAnsi="David" w:cs="David"/>
          <w:sz w:val="24"/>
          <w:szCs w:val="24"/>
          <w:rtl/>
        </w:rPr>
        <w:t xml:space="preserve">נקאי תפקיד חשוב בהגברת התחרות </w:t>
      </w:r>
      <w:r w:rsidR="00B93C3F" w:rsidRPr="00F77E2E">
        <w:rPr>
          <w:rFonts w:ascii="David" w:hAnsi="David" w:cs="David"/>
          <w:sz w:val="24"/>
          <w:szCs w:val="24"/>
          <w:rtl/>
        </w:rPr>
        <w:t>בשוק זה</w:t>
      </w:r>
      <w:r w:rsidR="000776DC" w:rsidRPr="00F77E2E">
        <w:rPr>
          <w:rFonts w:ascii="David" w:hAnsi="David" w:cs="David"/>
          <w:sz w:val="24"/>
          <w:szCs w:val="24"/>
          <w:rtl/>
        </w:rPr>
        <w:t xml:space="preserve"> ובפרט בגיוון מקורות האשראי והגברת הגישה </w:t>
      </w:r>
      <w:r w:rsidR="00B93C3F" w:rsidRPr="00F77E2E">
        <w:rPr>
          <w:rFonts w:ascii="David" w:hAnsi="David" w:cs="David"/>
          <w:sz w:val="24"/>
          <w:szCs w:val="24"/>
          <w:rtl/>
        </w:rPr>
        <w:t xml:space="preserve">אליהם </w:t>
      </w:r>
      <w:r w:rsidR="000776DC" w:rsidRPr="00F77E2E">
        <w:rPr>
          <w:rFonts w:ascii="David" w:hAnsi="David" w:cs="David"/>
          <w:sz w:val="24"/>
          <w:szCs w:val="24"/>
          <w:rtl/>
        </w:rPr>
        <w:t xml:space="preserve">עבור </w:t>
      </w:r>
      <w:r w:rsidR="00D74DA9" w:rsidRPr="00F77E2E">
        <w:rPr>
          <w:rFonts w:ascii="David" w:hAnsi="David" w:cs="David"/>
          <w:sz w:val="24"/>
          <w:szCs w:val="24"/>
          <w:rtl/>
        </w:rPr>
        <w:t xml:space="preserve">מגזר </w:t>
      </w:r>
      <w:r w:rsidR="00B93C3F" w:rsidRPr="00F77E2E">
        <w:rPr>
          <w:rFonts w:ascii="David" w:hAnsi="David" w:cs="David"/>
          <w:sz w:val="24"/>
          <w:szCs w:val="24"/>
          <w:rtl/>
        </w:rPr>
        <w:t>ה</w:t>
      </w:r>
      <w:r w:rsidR="000776DC" w:rsidRPr="00F77E2E">
        <w:rPr>
          <w:rFonts w:ascii="David" w:hAnsi="David" w:cs="David"/>
          <w:sz w:val="24"/>
          <w:szCs w:val="24"/>
          <w:rtl/>
        </w:rPr>
        <w:t xml:space="preserve">עסקים </w:t>
      </w:r>
      <w:r w:rsidR="00B93C3F" w:rsidRPr="00F77E2E">
        <w:rPr>
          <w:rFonts w:ascii="David" w:hAnsi="David" w:cs="David"/>
          <w:sz w:val="24"/>
          <w:szCs w:val="24"/>
          <w:rtl/>
        </w:rPr>
        <w:t>ה</w:t>
      </w:r>
      <w:r w:rsidR="000776DC" w:rsidRPr="00F77E2E">
        <w:rPr>
          <w:rFonts w:ascii="David" w:hAnsi="David" w:cs="David"/>
          <w:sz w:val="24"/>
          <w:szCs w:val="24"/>
          <w:rtl/>
        </w:rPr>
        <w:t>קטנים ו</w:t>
      </w:r>
      <w:r w:rsidR="00B93C3F" w:rsidRPr="00F77E2E">
        <w:rPr>
          <w:rFonts w:ascii="David" w:hAnsi="David" w:cs="David"/>
          <w:sz w:val="24"/>
          <w:szCs w:val="24"/>
          <w:rtl/>
        </w:rPr>
        <w:t>ה</w:t>
      </w:r>
      <w:r w:rsidR="000776DC" w:rsidRPr="00F77E2E">
        <w:rPr>
          <w:rFonts w:ascii="David" w:hAnsi="David" w:cs="David"/>
          <w:sz w:val="24"/>
          <w:szCs w:val="24"/>
          <w:rtl/>
        </w:rPr>
        <w:t>בינוניים</w:t>
      </w:r>
      <w:r w:rsidR="009030F7" w:rsidRPr="00F77E2E">
        <w:rPr>
          <w:rStyle w:val="ac"/>
          <w:rFonts w:ascii="David" w:hAnsi="David" w:cs="David"/>
          <w:sz w:val="24"/>
          <w:szCs w:val="24"/>
          <w:rtl/>
        </w:rPr>
        <w:footnoteReference w:id="2"/>
      </w:r>
      <w:r w:rsidR="00D74DA9" w:rsidRPr="00F77E2E">
        <w:rPr>
          <w:rFonts w:ascii="David" w:hAnsi="David" w:cs="David"/>
          <w:sz w:val="24"/>
          <w:szCs w:val="24"/>
          <w:rtl/>
        </w:rPr>
        <w:t>.</w:t>
      </w:r>
      <w:r w:rsidR="000776DC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2209E7" w:rsidRPr="00F77E2E">
        <w:rPr>
          <w:rFonts w:ascii="David" w:hAnsi="David" w:cs="David"/>
          <w:sz w:val="24"/>
          <w:szCs w:val="24"/>
          <w:rtl/>
        </w:rPr>
        <w:t>שוק האשראי ה</w:t>
      </w:r>
      <w:r w:rsidR="000D4A1A" w:rsidRPr="00F77E2E">
        <w:rPr>
          <w:rFonts w:ascii="David" w:hAnsi="David" w:cs="David"/>
          <w:sz w:val="24"/>
          <w:szCs w:val="24"/>
          <w:rtl/>
        </w:rPr>
        <w:t>חוץ-ב</w:t>
      </w:r>
      <w:r w:rsidR="002209E7" w:rsidRPr="00F77E2E">
        <w:rPr>
          <w:rFonts w:ascii="David" w:hAnsi="David" w:cs="David"/>
          <w:sz w:val="24"/>
          <w:szCs w:val="24"/>
          <w:rtl/>
        </w:rPr>
        <w:t>נקאי צמח</w:t>
      </w:r>
      <w:r w:rsidR="007D5265" w:rsidRPr="00F77E2E">
        <w:rPr>
          <w:rFonts w:ascii="David" w:hAnsi="David" w:cs="David"/>
          <w:sz w:val="24"/>
          <w:szCs w:val="24"/>
          <w:rtl/>
        </w:rPr>
        <w:t xml:space="preserve"> בשנים האחרונות</w:t>
      </w:r>
      <w:r w:rsidR="002209E7" w:rsidRPr="00F77E2E">
        <w:rPr>
          <w:rFonts w:ascii="David" w:hAnsi="David" w:cs="David"/>
          <w:sz w:val="24"/>
          <w:szCs w:val="24"/>
          <w:rtl/>
        </w:rPr>
        <w:t xml:space="preserve"> בקצב מהיר</w:t>
      </w:r>
      <w:r w:rsidR="00157EDE" w:rsidRPr="00F77E2E">
        <w:rPr>
          <w:rStyle w:val="ac"/>
          <w:rFonts w:ascii="David" w:hAnsi="David" w:cs="David"/>
          <w:sz w:val="24"/>
          <w:szCs w:val="24"/>
          <w:rtl/>
        </w:rPr>
        <w:footnoteReference w:id="3"/>
      </w:r>
      <w:r w:rsidR="002209E7" w:rsidRPr="00F77E2E">
        <w:rPr>
          <w:rFonts w:ascii="David" w:hAnsi="David" w:cs="David"/>
          <w:sz w:val="24"/>
          <w:szCs w:val="24"/>
          <w:rtl/>
        </w:rPr>
        <w:t xml:space="preserve"> - מספר החברות </w:t>
      </w:r>
      <w:r w:rsidR="00B93C3F" w:rsidRPr="00F77E2E">
        <w:rPr>
          <w:rFonts w:ascii="David" w:hAnsi="David" w:cs="David"/>
          <w:sz w:val="24"/>
          <w:szCs w:val="24"/>
          <w:rtl/>
        </w:rPr>
        <w:t xml:space="preserve">שנסחרות </w:t>
      </w:r>
      <w:r w:rsidR="002209E7" w:rsidRPr="00F77E2E">
        <w:rPr>
          <w:rFonts w:ascii="David" w:hAnsi="David" w:cs="David"/>
          <w:sz w:val="24"/>
          <w:szCs w:val="24"/>
          <w:rtl/>
        </w:rPr>
        <w:t xml:space="preserve">בבורסה שעוסקות </w:t>
      </w:r>
      <w:r w:rsidR="00BF3B8A" w:rsidRPr="00F77E2E">
        <w:rPr>
          <w:rFonts w:ascii="David" w:hAnsi="David" w:cs="David"/>
          <w:sz w:val="24"/>
          <w:szCs w:val="24"/>
          <w:rtl/>
        </w:rPr>
        <w:t>בתחום</w:t>
      </w:r>
      <w:r w:rsidR="0052449E" w:rsidRPr="00F77E2E">
        <w:rPr>
          <w:rFonts w:ascii="David" w:hAnsi="David" w:cs="David"/>
          <w:sz w:val="24"/>
          <w:szCs w:val="24"/>
          <w:rtl/>
        </w:rPr>
        <w:t xml:space="preserve"> זה</w:t>
      </w:r>
      <w:r w:rsidR="002209E7" w:rsidRPr="00F77E2E">
        <w:rPr>
          <w:rFonts w:ascii="David" w:hAnsi="David" w:cs="David"/>
          <w:sz w:val="24"/>
          <w:szCs w:val="24"/>
          <w:rtl/>
        </w:rPr>
        <w:t xml:space="preserve"> יותר מהכפיל את עצמו</w:t>
      </w:r>
      <w:r w:rsidR="007D5265" w:rsidRPr="00F77E2E">
        <w:rPr>
          <w:rFonts w:ascii="David" w:hAnsi="David" w:cs="David"/>
          <w:sz w:val="24"/>
          <w:szCs w:val="24"/>
          <w:rtl/>
        </w:rPr>
        <w:t xml:space="preserve"> מאז 2020 </w:t>
      </w:r>
      <w:r w:rsidR="002209E7" w:rsidRPr="00F77E2E">
        <w:rPr>
          <w:rFonts w:ascii="David" w:hAnsi="David" w:cs="David"/>
          <w:sz w:val="24"/>
          <w:szCs w:val="24"/>
          <w:rtl/>
        </w:rPr>
        <w:t>לכ-20 חברות. בנוסף</w:t>
      </w:r>
      <w:r w:rsidR="0052449E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F65E8D" w:rsidRPr="00F77E2E">
        <w:rPr>
          <w:rFonts w:ascii="David" w:hAnsi="David" w:cs="David"/>
          <w:sz w:val="24"/>
          <w:szCs w:val="24"/>
          <w:rtl/>
        </w:rPr>
        <w:t xml:space="preserve">גדלו </w:t>
      </w:r>
      <w:r w:rsidR="0052449E" w:rsidRPr="00F77E2E">
        <w:rPr>
          <w:rFonts w:ascii="David" w:hAnsi="David" w:cs="David"/>
          <w:sz w:val="24"/>
          <w:szCs w:val="24"/>
          <w:rtl/>
        </w:rPr>
        <w:t xml:space="preserve">ברבעון השני של 2022 </w:t>
      </w:r>
      <w:r w:rsidR="007732AD" w:rsidRPr="00F77E2E">
        <w:rPr>
          <w:rFonts w:ascii="David" w:hAnsi="David" w:cs="David"/>
          <w:sz w:val="24"/>
          <w:szCs w:val="24"/>
          <w:rtl/>
        </w:rPr>
        <w:t xml:space="preserve">סך הנכסים </w:t>
      </w:r>
      <w:r w:rsidR="00157EDE" w:rsidRPr="00F77E2E">
        <w:rPr>
          <w:rFonts w:ascii="David" w:hAnsi="David" w:cs="David"/>
          <w:sz w:val="24"/>
          <w:szCs w:val="24"/>
          <w:rtl/>
        </w:rPr>
        <w:t>ש</w:t>
      </w:r>
      <w:r w:rsidR="007732AD" w:rsidRPr="00F77E2E">
        <w:rPr>
          <w:rFonts w:ascii="David" w:hAnsi="David" w:cs="David"/>
          <w:sz w:val="24"/>
          <w:szCs w:val="24"/>
          <w:rtl/>
        </w:rPr>
        <w:t xml:space="preserve">ל </w:t>
      </w:r>
      <w:r w:rsidR="00157EDE" w:rsidRPr="00F77E2E">
        <w:rPr>
          <w:rFonts w:ascii="David" w:hAnsi="David" w:cs="David"/>
          <w:sz w:val="24"/>
          <w:szCs w:val="24"/>
          <w:rtl/>
        </w:rPr>
        <w:t>החברות הציבוריות</w:t>
      </w:r>
      <w:r w:rsidR="0052449E" w:rsidRPr="00F77E2E">
        <w:rPr>
          <w:rFonts w:ascii="David" w:hAnsi="David" w:cs="David"/>
          <w:sz w:val="24"/>
          <w:szCs w:val="24"/>
          <w:rtl/>
        </w:rPr>
        <w:t xml:space="preserve"> הללו </w:t>
      </w:r>
      <w:r w:rsidR="007732AD" w:rsidRPr="00F77E2E">
        <w:rPr>
          <w:rFonts w:ascii="David" w:hAnsi="David" w:cs="David"/>
          <w:sz w:val="24"/>
          <w:szCs w:val="24"/>
          <w:rtl/>
        </w:rPr>
        <w:t xml:space="preserve">ביותר מפי </w:t>
      </w:r>
      <w:r w:rsidR="0052449E" w:rsidRPr="00F77E2E">
        <w:rPr>
          <w:rFonts w:ascii="David" w:hAnsi="David" w:cs="David"/>
          <w:sz w:val="24"/>
          <w:szCs w:val="24"/>
          <w:rtl/>
        </w:rPr>
        <w:t xml:space="preserve">שניים בהשוואה לרבעון </w:t>
      </w:r>
      <w:r w:rsidR="007732AD" w:rsidRPr="00F77E2E">
        <w:rPr>
          <w:rFonts w:ascii="David" w:hAnsi="David" w:cs="David"/>
          <w:sz w:val="24"/>
          <w:szCs w:val="24"/>
          <w:rtl/>
        </w:rPr>
        <w:t>הראשון של 2020</w:t>
      </w:r>
      <w:r w:rsidR="00F65E8D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7732AD" w:rsidRPr="00F77E2E">
        <w:rPr>
          <w:rFonts w:ascii="David" w:hAnsi="David" w:cs="David"/>
          <w:sz w:val="24"/>
          <w:szCs w:val="24"/>
          <w:rtl/>
        </w:rPr>
        <w:t xml:space="preserve">– מכ-11.8 לכ-25.6 מיליארד </w:t>
      </w:r>
      <w:r w:rsidR="0052449E" w:rsidRPr="00F77E2E">
        <w:rPr>
          <w:rFonts w:ascii="David" w:hAnsi="David" w:cs="David"/>
          <w:sz w:val="24"/>
          <w:szCs w:val="24"/>
          <w:rtl/>
        </w:rPr>
        <w:t xml:space="preserve">ש"ח. </w:t>
      </w:r>
      <w:r w:rsidR="00C40DD6" w:rsidRPr="00F77E2E">
        <w:rPr>
          <w:rFonts w:ascii="David" w:hAnsi="David" w:cs="David"/>
          <w:sz w:val="24"/>
          <w:szCs w:val="24"/>
          <w:rtl/>
        </w:rPr>
        <w:t xml:space="preserve">הצמיחה המהירה לצד פיקוח </w:t>
      </w:r>
      <w:r w:rsidR="00C46940" w:rsidRPr="00F77E2E">
        <w:rPr>
          <w:rFonts w:ascii="David" w:hAnsi="David" w:cs="David"/>
          <w:sz w:val="24"/>
          <w:szCs w:val="24"/>
          <w:rtl/>
        </w:rPr>
        <w:lastRenderedPageBreak/>
        <w:t xml:space="preserve">יציבותי </w:t>
      </w:r>
      <w:r w:rsidR="00C40DD6" w:rsidRPr="00F77E2E">
        <w:rPr>
          <w:rFonts w:ascii="David" w:hAnsi="David" w:cs="David"/>
          <w:sz w:val="24"/>
          <w:szCs w:val="24"/>
          <w:rtl/>
        </w:rPr>
        <w:t>לא מוסדר</w:t>
      </w:r>
      <w:r w:rsidR="00F44C3B" w:rsidRPr="00F77E2E">
        <w:rPr>
          <w:rStyle w:val="ac"/>
          <w:rFonts w:ascii="David" w:hAnsi="David" w:cs="David"/>
          <w:sz w:val="24"/>
          <w:szCs w:val="24"/>
          <w:rtl/>
        </w:rPr>
        <w:footnoteReference w:id="4"/>
      </w:r>
      <w:r w:rsidR="00C40DD6" w:rsidRPr="00F77E2E">
        <w:rPr>
          <w:rFonts w:ascii="David" w:hAnsi="David" w:cs="David"/>
          <w:sz w:val="24"/>
          <w:szCs w:val="24"/>
          <w:rtl/>
        </w:rPr>
        <w:t xml:space="preserve"> והתפקיד שהיה </w:t>
      </w:r>
      <w:r w:rsidR="0052449E" w:rsidRPr="00F77E2E">
        <w:rPr>
          <w:rFonts w:ascii="David" w:hAnsi="David" w:cs="David"/>
          <w:sz w:val="24"/>
          <w:szCs w:val="24"/>
          <w:rtl/>
        </w:rPr>
        <w:t>ל</w:t>
      </w:r>
      <w:r w:rsidR="0046383B" w:rsidRPr="00F77E2E">
        <w:rPr>
          <w:rFonts w:ascii="David" w:hAnsi="David" w:cs="David"/>
          <w:sz w:val="24"/>
          <w:szCs w:val="24"/>
          <w:rtl/>
        </w:rPr>
        <w:t>ח</w:t>
      </w:r>
      <w:r w:rsidR="0052449E" w:rsidRPr="00F77E2E">
        <w:rPr>
          <w:rFonts w:ascii="David" w:hAnsi="David" w:cs="David"/>
          <w:sz w:val="24"/>
          <w:szCs w:val="24"/>
          <w:rtl/>
        </w:rPr>
        <w:t>ברות האשראי החו</w:t>
      </w:r>
      <w:r w:rsidR="0046383B" w:rsidRPr="00F77E2E">
        <w:rPr>
          <w:rFonts w:ascii="David" w:hAnsi="David" w:cs="David"/>
          <w:sz w:val="24"/>
          <w:szCs w:val="24"/>
          <w:rtl/>
        </w:rPr>
        <w:t>ץ-בנקאי</w:t>
      </w:r>
      <w:r w:rsidR="0052449E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C40DD6" w:rsidRPr="00F77E2E">
        <w:rPr>
          <w:rFonts w:ascii="David" w:hAnsi="David" w:cs="David"/>
          <w:sz w:val="24"/>
          <w:szCs w:val="24"/>
          <w:rtl/>
        </w:rPr>
        <w:t>במשבר הפיננסי של 2008</w:t>
      </w:r>
      <w:r w:rsidR="0052449E" w:rsidRPr="00F77E2E">
        <w:rPr>
          <w:rFonts w:ascii="David" w:hAnsi="David" w:cs="David"/>
          <w:sz w:val="24"/>
          <w:szCs w:val="24"/>
          <w:rtl/>
        </w:rPr>
        <w:t>,</w:t>
      </w:r>
      <w:r w:rsidR="00C40DD6" w:rsidRPr="00F77E2E">
        <w:rPr>
          <w:rFonts w:ascii="David" w:hAnsi="David" w:cs="David"/>
          <w:sz w:val="24"/>
          <w:szCs w:val="24"/>
          <w:rtl/>
        </w:rPr>
        <w:t xml:space="preserve"> מעלים חששות בנוגע לענף</w:t>
      </w:r>
      <w:r w:rsidR="0046383B" w:rsidRPr="00F77E2E">
        <w:rPr>
          <w:rFonts w:ascii="David" w:hAnsi="David" w:cs="David"/>
          <w:sz w:val="24"/>
          <w:szCs w:val="24"/>
          <w:rtl/>
        </w:rPr>
        <w:t xml:space="preserve"> האשראי החוץ-בנקאי</w:t>
      </w:r>
      <w:r w:rsidR="00C40DD6" w:rsidRPr="00F77E2E">
        <w:rPr>
          <w:rFonts w:ascii="David" w:hAnsi="David" w:cs="David"/>
          <w:sz w:val="24"/>
          <w:szCs w:val="24"/>
          <w:rtl/>
        </w:rPr>
        <w:t xml:space="preserve"> ולהשפעתו על היציבות הפיננסית</w:t>
      </w:r>
      <w:r w:rsidR="00C40DD6" w:rsidRPr="00F77E2E">
        <w:rPr>
          <w:rStyle w:val="ac"/>
          <w:rFonts w:ascii="David" w:hAnsi="David" w:cs="David"/>
          <w:sz w:val="24"/>
          <w:szCs w:val="24"/>
          <w:rtl/>
        </w:rPr>
        <w:footnoteReference w:id="5"/>
      </w:r>
      <w:r w:rsidR="00C40DD6" w:rsidRPr="00F77E2E">
        <w:rPr>
          <w:rFonts w:ascii="David" w:hAnsi="David" w:cs="David"/>
          <w:sz w:val="24"/>
          <w:szCs w:val="24"/>
          <w:rtl/>
        </w:rPr>
        <w:t>.</w:t>
      </w:r>
    </w:p>
    <w:p w:rsidR="00157EDE" w:rsidRPr="00F77E2E" w:rsidRDefault="00314D4D" w:rsidP="00886AA7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77E2E">
        <w:rPr>
          <w:rFonts w:ascii="David" w:hAnsi="David" w:cs="David"/>
          <w:sz w:val="24"/>
          <w:szCs w:val="24"/>
          <w:rtl/>
        </w:rPr>
        <w:t xml:space="preserve">החל מיוני 2022 החלו </w:t>
      </w:r>
      <w:r w:rsidR="0052449E" w:rsidRPr="00F77E2E">
        <w:rPr>
          <w:rFonts w:ascii="David" w:hAnsi="David" w:cs="David"/>
          <w:sz w:val="24"/>
          <w:szCs w:val="24"/>
          <w:rtl/>
        </w:rPr>
        <w:t xml:space="preserve">להיחשף </w:t>
      </w:r>
      <w:r w:rsidRPr="00F77E2E">
        <w:rPr>
          <w:rFonts w:ascii="David" w:hAnsi="David" w:cs="David"/>
          <w:sz w:val="24"/>
          <w:szCs w:val="24"/>
          <w:rtl/>
        </w:rPr>
        <w:t xml:space="preserve">עדויות להתנהלות לקויה בחברת </w:t>
      </w:r>
      <w:r w:rsidR="0052449E" w:rsidRPr="00F77E2E">
        <w:rPr>
          <w:rFonts w:ascii="David" w:hAnsi="David" w:cs="David"/>
          <w:sz w:val="24"/>
          <w:szCs w:val="24"/>
          <w:rtl/>
        </w:rPr>
        <w:t>"</w:t>
      </w:r>
      <w:proofErr w:type="spellStart"/>
      <w:r w:rsidRPr="00F77E2E">
        <w:rPr>
          <w:rFonts w:ascii="David" w:hAnsi="David" w:cs="David"/>
          <w:sz w:val="24"/>
          <w:szCs w:val="24"/>
          <w:rtl/>
        </w:rPr>
        <w:t>יונט</w:t>
      </w:r>
      <w:proofErr w:type="spellEnd"/>
      <w:r w:rsidRPr="00F77E2E">
        <w:rPr>
          <w:rFonts w:ascii="David" w:hAnsi="David" w:cs="David"/>
          <w:sz w:val="24"/>
          <w:szCs w:val="24"/>
          <w:rtl/>
        </w:rPr>
        <w:t xml:space="preserve"> קרדיט בע"מ</w:t>
      </w:r>
      <w:r w:rsidR="0052449E" w:rsidRPr="00F77E2E">
        <w:rPr>
          <w:rFonts w:ascii="David" w:hAnsi="David" w:cs="David"/>
          <w:sz w:val="24"/>
          <w:szCs w:val="24"/>
          <w:rtl/>
        </w:rPr>
        <w:t>"</w:t>
      </w:r>
      <w:r w:rsidRPr="00F77E2E">
        <w:rPr>
          <w:rFonts w:ascii="David" w:hAnsi="David" w:cs="David"/>
          <w:sz w:val="24"/>
          <w:szCs w:val="24"/>
          <w:rtl/>
        </w:rPr>
        <w:t xml:space="preserve"> ובחברת </w:t>
      </w:r>
      <w:r w:rsidR="0052449E" w:rsidRPr="00F77E2E">
        <w:rPr>
          <w:rFonts w:ascii="David" w:hAnsi="David" w:cs="David"/>
          <w:sz w:val="24"/>
          <w:szCs w:val="24"/>
          <w:rtl/>
        </w:rPr>
        <w:t>"</w:t>
      </w:r>
      <w:r w:rsidRPr="00F77E2E">
        <w:rPr>
          <w:rFonts w:ascii="David" w:hAnsi="David" w:cs="David"/>
          <w:sz w:val="24"/>
          <w:szCs w:val="24"/>
          <w:rtl/>
        </w:rPr>
        <w:t>גיבוי אחזקות בע"מ</w:t>
      </w:r>
      <w:r w:rsidR="0052449E" w:rsidRPr="00F77E2E">
        <w:rPr>
          <w:rFonts w:ascii="David" w:hAnsi="David" w:cs="David"/>
          <w:sz w:val="24"/>
          <w:szCs w:val="24"/>
          <w:rtl/>
        </w:rPr>
        <w:t>"</w:t>
      </w:r>
      <w:r w:rsidR="005A7A9F" w:rsidRPr="00F77E2E">
        <w:rPr>
          <w:rFonts w:ascii="David" w:hAnsi="David" w:cs="David"/>
          <w:sz w:val="24"/>
          <w:szCs w:val="24"/>
          <w:rtl/>
        </w:rPr>
        <w:t>, שתי חברות אשראי חוץ בנקאי קטנות יחסית הנסחרות בבורסה לניירות ערך בתל-אביב</w:t>
      </w:r>
      <w:r w:rsidRPr="00F77E2E">
        <w:rPr>
          <w:rFonts w:ascii="David" w:hAnsi="David" w:cs="David"/>
          <w:sz w:val="24"/>
          <w:szCs w:val="24"/>
          <w:rtl/>
        </w:rPr>
        <w:t xml:space="preserve">. </w:t>
      </w:r>
      <w:r w:rsidR="00186562" w:rsidRPr="00F77E2E">
        <w:rPr>
          <w:rFonts w:ascii="David" w:hAnsi="David" w:cs="David"/>
          <w:sz w:val="24"/>
          <w:szCs w:val="24"/>
          <w:rtl/>
        </w:rPr>
        <w:t>בתחילת</w:t>
      </w:r>
      <w:r w:rsidR="0046383B" w:rsidRPr="00F77E2E">
        <w:rPr>
          <w:rFonts w:ascii="David" w:hAnsi="David" w:cs="David"/>
          <w:sz w:val="24"/>
          <w:szCs w:val="24"/>
          <w:rtl/>
        </w:rPr>
        <w:t xml:space="preserve"> חודש</w:t>
      </w:r>
      <w:r w:rsidR="00186562" w:rsidRPr="00F77E2E">
        <w:rPr>
          <w:rFonts w:ascii="David" w:hAnsi="David" w:cs="David"/>
          <w:sz w:val="24"/>
          <w:szCs w:val="24"/>
          <w:rtl/>
        </w:rPr>
        <w:t xml:space="preserve"> יוני</w:t>
      </w:r>
      <w:r w:rsidR="0052449E" w:rsidRPr="00F77E2E">
        <w:rPr>
          <w:rFonts w:ascii="David" w:hAnsi="David" w:cs="David"/>
          <w:sz w:val="24"/>
          <w:szCs w:val="24"/>
          <w:rtl/>
        </w:rPr>
        <w:t xml:space="preserve"> הכריזה</w:t>
      </w:r>
      <w:r w:rsidR="00186562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46383B" w:rsidRPr="00F77E2E">
        <w:rPr>
          <w:rFonts w:ascii="David" w:hAnsi="David" w:cs="David"/>
          <w:sz w:val="24"/>
          <w:szCs w:val="24"/>
          <w:rtl/>
        </w:rPr>
        <w:t>"</w:t>
      </w:r>
      <w:proofErr w:type="spellStart"/>
      <w:r w:rsidRPr="00F77E2E">
        <w:rPr>
          <w:rFonts w:ascii="David" w:hAnsi="David" w:cs="David"/>
          <w:sz w:val="24"/>
          <w:szCs w:val="24"/>
          <w:rtl/>
        </w:rPr>
        <w:t>יונט</w:t>
      </w:r>
      <w:proofErr w:type="spellEnd"/>
      <w:r w:rsidR="00D52DFD" w:rsidRPr="00F77E2E">
        <w:rPr>
          <w:rFonts w:ascii="David" w:hAnsi="David" w:cs="David"/>
          <w:sz w:val="24"/>
          <w:szCs w:val="24"/>
          <w:rtl/>
        </w:rPr>
        <w:t xml:space="preserve"> קרדיט</w:t>
      </w:r>
      <w:r w:rsidR="0046383B" w:rsidRPr="00F77E2E">
        <w:rPr>
          <w:rFonts w:ascii="David" w:hAnsi="David" w:cs="David"/>
          <w:sz w:val="24"/>
          <w:szCs w:val="24"/>
          <w:rtl/>
        </w:rPr>
        <w:t>"</w:t>
      </w:r>
      <w:r w:rsidRPr="00F77E2E">
        <w:rPr>
          <w:rFonts w:ascii="David" w:hAnsi="David" w:cs="David"/>
          <w:sz w:val="24"/>
          <w:szCs w:val="24"/>
          <w:rtl/>
        </w:rPr>
        <w:t xml:space="preserve"> על מינוי בודק חיצוני ו</w:t>
      </w:r>
      <w:r w:rsidR="00186562" w:rsidRPr="00F77E2E">
        <w:rPr>
          <w:rFonts w:ascii="David" w:hAnsi="David" w:cs="David"/>
          <w:sz w:val="24"/>
          <w:szCs w:val="24"/>
          <w:rtl/>
        </w:rPr>
        <w:t xml:space="preserve">על </w:t>
      </w:r>
      <w:r w:rsidRPr="00F77E2E">
        <w:rPr>
          <w:rFonts w:ascii="David" w:hAnsi="David" w:cs="David"/>
          <w:sz w:val="24"/>
          <w:szCs w:val="24"/>
          <w:rtl/>
        </w:rPr>
        <w:t>דחייה בפרסום הדוחות הכספיים</w:t>
      </w:r>
      <w:r w:rsidR="001C5217" w:rsidRPr="00F77E2E">
        <w:rPr>
          <w:rStyle w:val="ac"/>
          <w:rFonts w:ascii="David" w:hAnsi="David" w:cs="David"/>
          <w:sz w:val="24"/>
          <w:szCs w:val="24"/>
          <w:rtl/>
        </w:rPr>
        <w:footnoteReference w:id="6"/>
      </w:r>
      <w:r w:rsidRPr="00F77E2E">
        <w:rPr>
          <w:rFonts w:ascii="David" w:hAnsi="David" w:cs="David"/>
          <w:sz w:val="24"/>
          <w:szCs w:val="24"/>
          <w:rtl/>
        </w:rPr>
        <w:t xml:space="preserve"> ובאמצע </w:t>
      </w:r>
      <w:r w:rsidR="0046383B" w:rsidRPr="00F77E2E">
        <w:rPr>
          <w:rFonts w:ascii="David" w:hAnsi="David" w:cs="David"/>
          <w:sz w:val="24"/>
          <w:szCs w:val="24"/>
          <w:rtl/>
        </w:rPr>
        <w:t>אותו חודש</w:t>
      </w:r>
      <w:r w:rsidRPr="00F77E2E">
        <w:rPr>
          <w:rFonts w:ascii="David" w:hAnsi="David" w:cs="David"/>
          <w:sz w:val="24"/>
          <w:szCs w:val="24"/>
          <w:rtl/>
        </w:rPr>
        <w:t xml:space="preserve"> </w:t>
      </w:r>
      <w:r w:rsidR="0046383B" w:rsidRPr="00F77E2E">
        <w:rPr>
          <w:rFonts w:ascii="David" w:hAnsi="David" w:cs="David"/>
          <w:sz w:val="24"/>
          <w:szCs w:val="24"/>
          <w:rtl/>
        </w:rPr>
        <w:t xml:space="preserve">הצהירה </w:t>
      </w:r>
      <w:r w:rsidRPr="00F77E2E">
        <w:rPr>
          <w:rFonts w:ascii="David" w:hAnsi="David" w:cs="David"/>
          <w:sz w:val="24"/>
          <w:szCs w:val="24"/>
          <w:rtl/>
        </w:rPr>
        <w:t xml:space="preserve">החברה </w:t>
      </w:r>
      <w:r w:rsidR="0046383B" w:rsidRPr="00F77E2E">
        <w:rPr>
          <w:rFonts w:ascii="David" w:hAnsi="David" w:cs="David"/>
          <w:sz w:val="24"/>
          <w:szCs w:val="24"/>
          <w:rtl/>
        </w:rPr>
        <w:t>ש</w:t>
      </w:r>
      <w:r w:rsidR="00967C10" w:rsidRPr="00F77E2E">
        <w:rPr>
          <w:rFonts w:ascii="David" w:hAnsi="David" w:cs="David"/>
          <w:sz w:val="24"/>
          <w:szCs w:val="24"/>
          <w:rtl/>
        </w:rPr>
        <w:t xml:space="preserve">בגין הלוואות שהעמידה </w:t>
      </w:r>
      <w:r w:rsidR="0046383B" w:rsidRPr="00F77E2E">
        <w:rPr>
          <w:rFonts w:ascii="David" w:hAnsi="David" w:cs="David"/>
          <w:sz w:val="24"/>
          <w:szCs w:val="24"/>
          <w:rtl/>
        </w:rPr>
        <w:t xml:space="preserve">היא </w:t>
      </w:r>
      <w:r w:rsidR="00D52DFD" w:rsidRPr="00F77E2E">
        <w:rPr>
          <w:rFonts w:ascii="David" w:hAnsi="David" w:cs="David"/>
          <w:sz w:val="24"/>
          <w:szCs w:val="24"/>
          <w:rtl/>
        </w:rPr>
        <w:t xml:space="preserve">חשופה לחובות </w:t>
      </w:r>
      <w:r w:rsidR="00967C10" w:rsidRPr="00F77E2E">
        <w:rPr>
          <w:rFonts w:ascii="David" w:hAnsi="David" w:cs="David"/>
          <w:sz w:val="24"/>
          <w:szCs w:val="24"/>
          <w:rtl/>
        </w:rPr>
        <w:t>בעלי סיכון</w:t>
      </w:r>
      <w:r w:rsidRPr="00F77E2E">
        <w:rPr>
          <w:rFonts w:ascii="David" w:hAnsi="David" w:cs="David"/>
          <w:sz w:val="24"/>
          <w:szCs w:val="24"/>
          <w:rtl/>
        </w:rPr>
        <w:t xml:space="preserve"> ש</w:t>
      </w:r>
      <w:r w:rsidR="0046383B" w:rsidRPr="00F77E2E">
        <w:rPr>
          <w:rFonts w:ascii="David" w:hAnsi="David" w:cs="David"/>
          <w:sz w:val="24"/>
          <w:szCs w:val="24"/>
          <w:rtl/>
        </w:rPr>
        <w:t>את היקפ</w:t>
      </w:r>
      <w:r w:rsidR="00967C10" w:rsidRPr="00F77E2E">
        <w:rPr>
          <w:rFonts w:ascii="David" w:hAnsi="David" w:cs="David"/>
          <w:sz w:val="24"/>
          <w:szCs w:val="24"/>
          <w:rtl/>
        </w:rPr>
        <w:t>ם</w:t>
      </w:r>
      <w:r w:rsidR="0046383B" w:rsidRPr="00F77E2E">
        <w:rPr>
          <w:rFonts w:ascii="David" w:hAnsi="David" w:cs="David"/>
          <w:sz w:val="24"/>
          <w:szCs w:val="24"/>
          <w:rtl/>
        </w:rPr>
        <w:t xml:space="preserve"> </w:t>
      </w:r>
      <w:r w:rsidRPr="00F77E2E">
        <w:rPr>
          <w:rFonts w:ascii="David" w:hAnsi="David" w:cs="David"/>
          <w:sz w:val="24"/>
          <w:szCs w:val="24"/>
          <w:rtl/>
        </w:rPr>
        <w:t>אין</w:t>
      </w:r>
      <w:r w:rsidR="00B6295A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46383B" w:rsidRPr="00F77E2E">
        <w:rPr>
          <w:rFonts w:ascii="David" w:hAnsi="David" w:cs="David"/>
          <w:sz w:val="24"/>
          <w:szCs w:val="24"/>
          <w:rtl/>
        </w:rPr>
        <w:t>ב</w:t>
      </w:r>
      <w:r w:rsidRPr="00F77E2E">
        <w:rPr>
          <w:rFonts w:ascii="David" w:hAnsi="David" w:cs="David"/>
          <w:sz w:val="24"/>
          <w:szCs w:val="24"/>
          <w:rtl/>
        </w:rPr>
        <w:t>יכולת</w:t>
      </w:r>
      <w:r w:rsidR="0046383B" w:rsidRPr="00F77E2E">
        <w:rPr>
          <w:rFonts w:ascii="David" w:hAnsi="David" w:cs="David"/>
          <w:sz w:val="24"/>
          <w:szCs w:val="24"/>
          <w:rtl/>
        </w:rPr>
        <w:t>ה</w:t>
      </w:r>
      <w:r w:rsidRPr="00F77E2E">
        <w:rPr>
          <w:rFonts w:ascii="David" w:hAnsi="David" w:cs="David"/>
          <w:sz w:val="24"/>
          <w:szCs w:val="24"/>
          <w:rtl/>
        </w:rPr>
        <w:t xml:space="preserve"> להעריך</w:t>
      </w:r>
      <w:r w:rsidR="00780AF2" w:rsidRPr="00F77E2E">
        <w:rPr>
          <w:rStyle w:val="ac"/>
          <w:rFonts w:ascii="David" w:hAnsi="David" w:cs="David"/>
          <w:sz w:val="24"/>
          <w:szCs w:val="24"/>
          <w:rtl/>
        </w:rPr>
        <w:footnoteReference w:id="7"/>
      </w:r>
      <w:r w:rsidRPr="00F77E2E">
        <w:rPr>
          <w:rFonts w:ascii="David" w:hAnsi="David" w:cs="David"/>
          <w:sz w:val="24"/>
          <w:szCs w:val="24"/>
          <w:rtl/>
        </w:rPr>
        <w:t xml:space="preserve">. </w:t>
      </w:r>
      <w:r w:rsidR="00AD55B4" w:rsidRPr="00F77E2E">
        <w:rPr>
          <w:rFonts w:ascii="David" w:hAnsi="David" w:cs="David"/>
          <w:sz w:val="24"/>
          <w:szCs w:val="24"/>
          <w:rtl/>
        </w:rPr>
        <w:t>עד אוגוסט</w:t>
      </w:r>
      <w:r w:rsidRPr="00F77E2E">
        <w:rPr>
          <w:rFonts w:ascii="David" w:hAnsi="David" w:cs="David"/>
          <w:sz w:val="24"/>
          <w:szCs w:val="24"/>
          <w:rtl/>
        </w:rPr>
        <w:t xml:space="preserve"> </w:t>
      </w:r>
      <w:r w:rsidR="0046383B" w:rsidRPr="00F77E2E">
        <w:rPr>
          <w:rFonts w:ascii="David" w:hAnsi="David" w:cs="David"/>
          <w:sz w:val="24"/>
          <w:szCs w:val="24"/>
          <w:rtl/>
        </w:rPr>
        <w:t xml:space="preserve">המשיכה </w:t>
      </w:r>
      <w:r w:rsidRPr="00F77E2E">
        <w:rPr>
          <w:rFonts w:ascii="David" w:hAnsi="David" w:cs="David"/>
          <w:sz w:val="24"/>
          <w:szCs w:val="24"/>
          <w:rtl/>
        </w:rPr>
        <w:t xml:space="preserve">החברה לדווח על </w:t>
      </w:r>
      <w:r w:rsidR="00967C10" w:rsidRPr="00F77E2E">
        <w:rPr>
          <w:rFonts w:ascii="David" w:hAnsi="David" w:cs="David"/>
          <w:sz w:val="24"/>
          <w:szCs w:val="24"/>
          <w:rtl/>
        </w:rPr>
        <w:t xml:space="preserve">אובדן של </w:t>
      </w:r>
      <w:r w:rsidRPr="00F77E2E">
        <w:rPr>
          <w:rFonts w:ascii="David" w:hAnsi="David" w:cs="David"/>
          <w:sz w:val="24"/>
          <w:szCs w:val="24"/>
          <w:rtl/>
        </w:rPr>
        <w:t>המחאות, הלוואות שלא אושרו כנדרש ואי סדרים נוספים</w:t>
      </w:r>
      <w:r w:rsidR="00780AF2" w:rsidRPr="00F77E2E">
        <w:rPr>
          <w:rStyle w:val="ac"/>
          <w:rFonts w:ascii="David" w:hAnsi="David" w:cs="David"/>
          <w:sz w:val="24"/>
          <w:szCs w:val="24"/>
          <w:rtl/>
        </w:rPr>
        <w:footnoteReference w:id="8"/>
      </w:r>
      <w:r w:rsidR="00967C10" w:rsidRPr="00F77E2E">
        <w:rPr>
          <w:rFonts w:ascii="David" w:hAnsi="David" w:cs="David"/>
          <w:sz w:val="24"/>
          <w:szCs w:val="24"/>
          <w:rtl/>
        </w:rPr>
        <w:t xml:space="preserve"> וכי החברה מנסה לקדם הסדר חוב מול בעלי </w:t>
      </w:r>
      <w:proofErr w:type="spellStart"/>
      <w:r w:rsidR="00967C10" w:rsidRPr="00F77E2E">
        <w:rPr>
          <w:rFonts w:ascii="David" w:hAnsi="David" w:cs="David"/>
          <w:sz w:val="24"/>
          <w:szCs w:val="24"/>
          <w:rtl/>
        </w:rPr>
        <w:t>האג"ח</w:t>
      </w:r>
      <w:proofErr w:type="spellEnd"/>
      <w:r w:rsidR="00AD55B4" w:rsidRPr="00F77E2E">
        <w:rPr>
          <w:rStyle w:val="ac"/>
          <w:rFonts w:ascii="David" w:hAnsi="David" w:cs="David"/>
          <w:sz w:val="24"/>
          <w:szCs w:val="24"/>
          <w:rtl/>
        </w:rPr>
        <w:footnoteReference w:id="9"/>
      </w:r>
      <w:r w:rsidR="00967C10" w:rsidRPr="00F77E2E">
        <w:rPr>
          <w:rFonts w:ascii="David" w:hAnsi="David" w:cs="David"/>
          <w:sz w:val="24"/>
          <w:szCs w:val="24"/>
          <w:rtl/>
        </w:rPr>
        <w:t>. עקב כך הוחלט ב</w:t>
      </w:r>
      <w:r w:rsidR="0046383B" w:rsidRPr="00F77E2E">
        <w:rPr>
          <w:rFonts w:ascii="David" w:hAnsi="David" w:cs="David"/>
          <w:sz w:val="24"/>
          <w:szCs w:val="24"/>
          <w:rtl/>
        </w:rPr>
        <w:t>רשות לניירות ערך לפתוח</w:t>
      </w:r>
      <w:r w:rsidR="00282610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46383B" w:rsidRPr="00F77E2E">
        <w:rPr>
          <w:rFonts w:ascii="David" w:hAnsi="David" w:cs="David"/>
          <w:sz w:val="24"/>
          <w:szCs w:val="24"/>
          <w:rtl/>
        </w:rPr>
        <w:t>ב</w:t>
      </w:r>
      <w:r w:rsidR="00282610" w:rsidRPr="00F77E2E">
        <w:rPr>
          <w:rFonts w:ascii="David" w:hAnsi="David" w:cs="David"/>
          <w:sz w:val="24"/>
          <w:szCs w:val="24"/>
          <w:rtl/>
        </w:rPr>
        <w:t>חקירה</w:t>
      </w:r>
      <w:r w:rsidR="00967C10" w:rsidRPr="00F77E2E">
        <w:rPr>
          <w:rFonts w:ascii="David" w:hAnsi="David" w:cs="David"/>
          <w:sz w:val="24"/>
          <w:szCs w:val="24"/>
          <w:rtl/>
        </w:rPr>
        <w:t xml:space="preserve"> בנוגע להתנהלותה של החברה</w:t>
      </w:r>
      <w:r w:rsidR="003D7C11" w:rsidRPr="00F77E2E">
        <w:rPr>
          <w:rStyle w:val="ac"/>
          <w:rFonts w:ascii="David" w:hAnsi="David" w:cs="David"/>
          <w:sz w:val="24"/>
          <w:szCs w:val="24"/>
          <w:rtl/>
        </w:rPr>
        <w:footnoteReference w:id="10"/>
      </w:r>
      <w:r w:rsidR="00282610" w:rsidRPr="00F77E2E">
        <w:rPr>
          <w:rFonts w:ascii="David" w:hAnsi="David" w:cs="David"/>
          <w:sz w:val="24"/>
          <w:szCs w:val="24"/>
          <w:rtl/>
        </w:rPr>
        <w:t xml:space="preserve">. </w:t>
      </w:r>
      <w:r w:rsidRPr="00F77E2E">
        <w:rPr>
          <w:rFonts w:ascii="David" w:hAnsi="David" w:cs="David"/>
          <w:sz w:val="24"/>
          <w:szCs w:val="24"/>
          <w:rtl/>
        </w:rPr>
        <w:t>ב</w:t>
      </w:r>
      <w:r w:rsidR="00CF0D1B" w:rsidRPr="00F77E2E">
        <w:rPr>
          <w:rFonts w:ascii="David" w:hAnsi="David" w:cs="David"/>
          <w:sz w:val="24"/>
          <w:szCs w:val="24"/>
          <w:rtl/>
        </w:rPr>
        <w:t>סוף</w:t>
      </w:r>
      <w:r w:rsidR="0046383B" w:rsidRPr="00F77E2E">
        <w:rPr>
          <w:rFonts w:ascii="David" w:hAnsi="David" w:cs="David"/>
          <w:sz w:val="24"/>
          <w:szCs w:val="24"/>
          <w:rtl/>
        </w:rPr>
        <w:t xml:space="preserve"> חודש</w:t>
      </w:r>
      <w:r w:rsidR="00CF0D1B" w:rsidRPr="00F77E2E">
        <w:rPr>
          <w:rFonts w:ascii="David" w:hAnsi="David" w:cs="David"/>
          <w:sz w:val="24"/>
          <w:szCs w:val="24"/>
          <w:rtl/>
        </w:rPr>
        <w:t xml:space="preserve"> יוני 2022 </w:t>
      </w:r>
      <w:r w:rsidR="0046383B" w:rsidRPr="00F77E2E">
        <w:rPr>
          <w:rFonts w:ascii="David" w:hAnsi="David" w:cs="David"/>
          <w:sz w:val="24"/>
          <w:szCs w:val="24"/>
          <w:rtl/>
        </w:rPr>
        <w:t>ד</w:t>
      </w:r>
      <w:r w:rsidR="00D52DFD" w:rsidRPr="00F77E2E">
        <w:rPr>
          <w:rFonts w:ascii="David" w:hAnsi="David" w:cs="David"/>
          <w:sz w:val="24"/>
          <w:szCs w:val="24"/>
          <w:rtl/>
        </w:rPr>
        <w:t>י</w:t>
      </w:r>
      <w:r w:rsidR="0046383B" w:rsidRPr="00F77E2E">
        <w:rPr>
          <w:rFonts w:ascii="David" w:hAnsi="David" w:cs="David"/>
          <w:sz w:val="24"/>
          <w:szCs w:val="24"/>
          <w:rtl/>
        </w:rPr>
        <w:t>ווחה "</w:t>
      </w:r>
      <w:r w:rsidRPr="00F77E2E">
        <w:rPr>
          <w:rFonts w:ascii="David" w:hAnsi="David" w:cs="David"/>
          <w:sz w:val="24"/>
          <w:szCs w:val="24"/>
          <w:rtl/>
        </w:rPr>
        <w:t>גיבוי</w:t>
      </w:r>
      <w:r w:rsidR="00D52DFD" w:rsidRPr="00F77E2E">
        <w:rPr>
          <w:rFonts w:ascii="David" w:hAnsi="David" w:cs="David"/>
          <w:sz w:val="24"/>
          <w:szCs w:val="24"/>
          <w:rtl/>
        </w:rPr>
        <w:t xml:space="preserve"> אחזקות</w:t>
      </w:r>
      <w:r w:rsidR="0046383B" w:rsidRPr="00F77E2E">
        <w:rPr>
          <w:rFonts w:ascii="David" w:hAnsi="David" w:cs="David"/>
          <w:sz w:val="24"/>
          <w:szCs w:val="24"/>
          <w:rtl/>
        </w:rPr>
        <w:t>"</w:t>
      </w:r>
      <w:r w:rsidRPr="00F77E2E">
        <w:rPr>
          <w:rFonts w:ascii="David" w:hAnsi="David" w:cs="David"/>
          <w:sz w:val="24"/>
          <w:szCs w:val="24"/>
          <w:rtl/>
        </w:rPr>
        <w:t xml:space="preserve"> על מינוי</w:t>
      </w:r>
      <w:r w:rsidR="00D52DFD" w:rsidRPr="00F77E2E">
        <w:rPr>
          <w:rFonts w:ascii="David" w:hAnsi="David" w:cs="David"/>
          <w:sz w:val="24"/>
          <w:szCs w:val="24"/>
          <w:rtl/>
        </w:rPr>
        <w:t>ו</w:t>
      </w:r>
      <w:r w:rsidRPr="00F77E2E">
        <w:rPr>
          <w:rFonts w:ascii="David" w:hAnsi="David" w:cs="David"/>
          <w:sz w:val="24"/>
          <w:szCs w:val="24"/>
          <w:rtl/>
        </w:rPr>
        <w:t xml:space="preserve"> של בודק חיצוני בעקבות חשש להתנהלות לקויה</w:t>
      </w:r>
      <w:r w:rsidR="00AD55B4" w:rsidRPr="00F77E2E">
        <w:rPr>
          <w:rStyle w:val="ac"/>
          <w:rFonts w:ascii="David" w:hAnsi="David" w:cs="David"/>
          <w:sz w:val="24"/>
          <w:szCs w:val="24"/>
          <w:rtl/>
        </w:rPr>
        <w:footnoteReference w:id="11"/>
      </w:r>
      <w:r w:rsidR="00CF0D1B" w:rsidRPr="00F77E2E">
        <w:rPr>
          <w:rFonts w:ascii="David" w:hAnsi="David" w:cs="David"/>
          <w:sz w:val="24"/>
          <w:szCs w:val="24"/>
          <w:rtl/>
        </w:rPr>
        <w:t xml:space="preserve">. </w:t>
      </w:r>
      <w:r w:rsidR="00BA43C1" w:rsidRPr="00F77E2E">
        <w:rPr>
          <w:rFonts w:ascii="David" w:hAnsi="David" w:cs="David"/>
          <w:sz w:val="24"/>
          <w:szCs w:val="24"/>
          <w:rtl/>
        </w:rPr>
        <w:t xml:space="preserve">בתחילת </w:t>
      </w:r>
      <w:r w:rsidR="00D52DFD" w:rsidRPr="00F77E2E">
        <w:rPr>
          <w:rFonts w:ascii="David" w:hAnsi="David" w:cs="David"/>
          <w:sz w:val="24"/>
          <w:szCs w:val="24"/>
          <w:rtl/>
        </w:rPr>
        <w:t xml:space="preserve">חודש </w:t>
      </w:r>
      <w:r w:rsidR="00BA43C1" w:rsidRPr="00F77E2E">
        <w:rPr>
          <w:rFonts w:ascii="David" w:hAnsi="David" w:cs="David"/>
          <w:sz w:val="24"/>
          <w:szCs w:val="24"/>
          <w:rtl/>
        </w:rPr>
        <w:t xml:space="preserve">יולי </w:t>
      </w:r>
      <w:r w:rsidR="00D52DFD" w:rsidRPr="00F77E2E">
        <w:rPr>
          <w:rFonts w:ascii="David" w:hAnsi="David" w:cs="David"/>
          <w:sz w:val="24"/>
          <w:szCs w:val="24"/>
          <w:rtl/>
        </w:rPr>
        <w:t xml:space="preserve">הודיעה </w:t>
      </w:r>
      <w:r w:rsidR="00BA43C1" w:rsidRPr="00F77E2E">
        <w:rPr>
          <w:rFonts w:ascii="David" w:hAnsi="David" w:cs="David"/>
          <w:sz w:val="24"/>
          <w:szCs w:val="24"/>
          <w:rtl/>
        </w:rPr>
        <w:t xml:space="preserve">החברה שהיקף חשיפתה לחובות בעלי סיכון עומד על כ-38 מיליון </w:t>
      </w:r>
      <w:r w:rsidR="00D52DFD" w:rsidRPr="00F77E2E">
        <w:rPr>
          <w:rFonts w:ascii="David" w:hAnsi="David" w:cs="David"/>
          <w:sz w:val="24"/>
          <w:szCs w:val="24"/>
          <w:rtl/>
        </w:rPr>
        <w:t>ש"ח</w:t>
      </w:r>
      <w:r w:rsidR="00AD55B4" w:rsidRPr="00F77E2E">
        <w:rPr>
          <w:rStyle w:val="ac"/>
          <w:rFonts w:ascii="David" w:hAnsi="David" w:cs="David"/>
          <w:sz w:val="24"/>
          <w:szCs w:val="24"/>
          <w:rtl/>
        </w:rPr>
        <w:footnoteReference w:id="12"/>
      </w:r>
      <w:r w:rsidR="00BA43C1" w:rsidRPr="00F77E2E">
        <w:rPr>
          <w:rFonts w:ascii="David" w:hAnsi="David" w:cs="David"/>
          <w:sz w:val="24"/>
          <w:szCs w:val="24"/>
          <w:rtl/>
        </w:rPr>
        <w:t xml:space="preserve">, לעומת ההון העצמי של החברה שעמד על כ-90 מיליון </w:t>
      </w:r>
      <w:r w:rsidR="00D52DFD" w:rsidRPr="00F77E2E">
        <w:rPr>
          <w:rFonts w:ascii="David" w:hAnsi="David" w:cs="David"/>
          <w:sz w:val="24"/>
          <w:szCs w:val="24"/>
          <w:rtl/>
        </w:rPr>
        <w:t>ש</w:t>
      </w:r>
      <w:r w:rsidR="00967C10" w:rsidRPr="00F77E2E">
        <w:rPr>
          <w:rFonts w:ascii="David" w:hAnsi="David" w:cs="David"/>
          <w:sz w:val="24"/>
          <w:szCs w:val="24"/>
          <w:rtl/>
        </w:rPr>
        <w:t>"</w:t>
      </w:r>
      <w:r w:rsidR="00D52DFD" w:rsidRPr="00F77E2E">
        <w:rPr>
          <w:rFonts w:ascii="David" w:hAnsi="David" w:cs="David"/>
          <w:sz w:val="24"/>
          <w:szCs w:val="24"/>
          <w:rtl/>
        </w:rPr>
        <w:t>ח</w:t>
      </w:r>
      <w:r w:rsidR="00BA43C1" w:rsidRPr="00F77E2E">
        <w:rPr>
          <w:rFonts w:ascii="David" w:hAnsi="David" w:cs="David"/>
          <w:sz w:val="24"/>
          <w:szCs w:val="24"/>
          <w:rtl/>
        </w:rPr>
        <w:t xml:space="preserve">. </w:t>
      </w:r>
      <w:r w:rsidR="00956886" w:rsidRPr="00F77E2E">
        <w:rPr>
          <w:rFonts w:ascii="David" w:hAnsi="David" w:cs="David"/>
          <w:sz w:val="24"/>
          <w:szCs w:val="24"/>
          <w:rtl/>
        </w:rPr>
        <w:t>בהמשך</w:t>
      </w:r>
      <w:r w:rsidR="00BA43C1" w:rsidRPr="00F77E2E">
        <w:rPr>
          <w:rFonts w:ascii="David" w:hAnsi="David" w:cs="David"/>
          <w:sz w:val="24"/>
          <w:szCs w:val="24"/>
          <w:rtl/>
        </w:rPr>
        <w:t xml:space="preserve"> התגלו עדויות למעילה בכספים על ידי מנהל </w:t>
      </w:r>
      <w:r w:rsidR="00891CF4" w:rsidRPr="00F77E2E">
        <w:rPr>
          <w:rFonts w:ascii="David" w:hAnsi="David" w:cs="David"/>
          <w:sz w:val="24"/>
          <w:szCs w:val="24"/>
          <w:rtl/>
        </w:rPr>
        <w:t>ב</w:t>
      </w:r>
      <w:r w:rsidR="00BA43C1" w:rsidRPr="00F77E2E">
        <w:rPr>
          <w:rFonts w:ascii="David" w:hAnsi="David" w:cs="David"/>
          <w:sz w:val="24"/>
          <w:szCs w:val="24"/>
          <w:rtl/>
        </w:rPr>
        <w:t>חברה</w:t>
      </w:r>
      <w:r w:rsidR="00AD55B4" w:rsidRPr="00F77E2E">
        <w:rPr>
          <w:rStyle w:val="ac"/>
          <w:rFonts w:ascii="David" w:hAnsi="David" w:cs="David"/>
          <w:sz w:val="24"/>
          <w:szCs w:val="24"/>
          <w:rtl/>
        </w:rPr>
        <w:footnoteReference w:id="13"/>
      </w:r>
      <w:r w:rsidR="00967C10" w:rsidRPr="00F77E2E">
        <w:rPr>
          <w:rFonts w:ascii="David" w:hAnsi="David" w:cs="David"/>
          <w:sz w:val="24"/>
          <w:szCs w:val="24"/>
          <w:rtl/>
        </w:rPr>
        <w:t>,</w:t>
      </w:r>
      <w:r w:rsidR="00BA43C1" w:rsidRPr="00F77E2E">
        <w:rPr>
          <w:rFonts w:ascii="David" w:hAnsi="David" w:cs="David"/>
          <w:sz w:val="24"/>
          <w:szCs w:val="24"/>
          <w:rtl/>
        </w:rPr>
        <w:t xml:space="preserve"> שהובילו להפסקות במסחר, </w:t>
      </w:r>
      <w:r w:rsidR="00577186" w:rsidRPr="00F77E2E">
        <w:rPr>
          <w:rFonts w:ascii="David" w:hAnsi="David" w:cs="David"/>
          <w:sz w:val="24"/>
          <w:szCs w:val="24"/>
          <w:rtl/>
        </w:rPr>
        <w:t>ספקות שהועלו בנושא</w:t>
      </w:r>
      <w:r w:rsidR="00BA43C1" w:rsidRPr="00F77E2E">
        <w:rPr>
          <w:rFonts w:ascii="David" w:hAnsi="David" w:cs="David"/>
          <w:sz w:val="24"/>
          <w:szCs w:val="24"/>
          <w:rtl/>
        </w:rPr>
        <w:t xml:space="preserve"> בפירעון חוב </w:t>
      </w:r>
      <w:proofErr w:type="spellStart"/>
      <w:r w:rsidR="00BA43C1" w:rsidRPr="00F77E2E">
        <w:rPr>
          <w:rFonts w:ascii="David" w:hAnsi="David" w:cs="David"/>
          <w:sz w:val="24"/>
          <w:szCs w:val="24"/>
          <w:rtl/>
        </w:rPr>
        <w:t>האג"ח</w:t>
      </w:r>
      <w:proofErr w:type="spellEnd"/>
      <w:r w:rsidR="00577186" w:rsidRPr="00F77E2E">
        <w:rPr>
          <w:rStyle w:val="ac"/>
          <w:rFonts w:ascii="David" w:hAnsi="David" w:cs="David"/>
          <w:sz w:val="24"/>
          <w:szCs w:val="24"/>
          <w:rtl/>
        </w:rPr>
        <w:footnoteReference w:id="14"/>
      </w:r>
      <w:r w:rsidR="00BA43C1" w:rsidRPr="00F77E2E">
        <w:rPr>
          <w:rFonts w:ascii="David" w:hAnsi="David" w:cs="David"/>
          <w:sz w:val="24"/>
          <w:szCs w:val="24"/>
          <w:rtl/>
        </w:rPr>
        <w:t xml:space="preserve">, פתיחת חקירה של </w:t>
      </w:r>
      <w:r w:rsidR="00967C10" w:rsidRPr="00F77E2E">
        <w:rPr>
          <w:rFonts w:ascii="David" w:hAnsi="David" w:cs="David"/>
          <w:sz w:val="24"/>
          <w:szCs w:val="24"/>
          <w:rtl/>
        </w:rPr>
        <w:t>ה</w:t>
      </w:r>
      <w:r w:rsidR="00BA43C1" w:rsidRPr="00F77E2E">
        <w:rPr>
          <w:rFonts w:ascii="David" w:hAnsi="David" w:cs="David"/>
          <w:sz w:val="24"/>
          <w:szCs w:val="24"/>
          <w:rtl/>
        </w:rPr>
        <w:t xml:space="preserve">רשות </w:t>
      </w:r>
      <w:r w:rsidR="00967C10" w:rsidRPr="00F77E2E">
        <w:rPr>
          <w:rFonts w:ascii="David" w:hAnsi="David" w:cs="David"/>
          <w:sz w:val="24"/>
          <w:szCs w:val="24"/>
          <w:rtl/>
        </w:rPr>
        <w:t>ל</w:t>
      </w:r>
      <w:r w:rsidR="00BA43C1" w:rsidRPr="00F77E2E">
        <w:rPr>
          <w:rFonts w:ascii="David" w:hAnsi="David" w:cs="David"/>
          <w:sz w:val="24"/>
          <w:szCs w:val="24"/>
          <w:rtl/>
        </w:rPr>
        <w:t>ניירות ערך</w:t>
      </w:r>
      <w:r w:rsidR="00577186" w:rsidRPr="00F77E2E">
        <w:rPr>
          <w:rStyle w:val="ac"/>
          <w:rFonts w:ascii="David" w:hAnsi="David" w:cs="David"/>
          <w:sz w:val="24"/>
          <w:szCs w:val="24"/>
          <w:rtl/>
        </w:rPr>
        <w:footnoteReference w:id="15"/>
      </w:r>
      <w:r w:rsidR="00BA43C1" w:rsidRPr="00F77E2E">
        <w:rPr>
          <w:rFonts w:ascii="David" w:hAnsi="David" w:cs="David"/>
          <w:sz w:val="24"/>
          <w:szCs w:val="24"/>
          <w:rtl/>
        </w:rPr>
        <w:t xml:space="preserve"> ו</w:t>
      </w:r>
      <w:r w:rsidRPr="00F77E2E">
        <w:rPr>
          <w:rFonts w:ascii="David" w:hAnsi="David" w:cs="David"/>
          <w:sz w:val="24"/>
          <w:szCs w:val="24"/>
          <w:rtl/>
        </w:rPr>
        <w:t>קידום</w:t>
      </w:r>
      <w:r w:rsidR="00967C10" w:rsidRPr="00F77E2E">
        <w:rPr>
          <w:rFonts w:ascii="David" w:hAnsi="David" w:cs="David"/>
          <w:sz w:val="24"/>
          <w:szCs w:val="24"/>
          <w:rtl/>
        </w:rPr>
        <w:t xml:space="preserve"> של</w:t>
      </w:r>
      <w:r w:rsidRPr="00F77E2E">
        <w:rPr>
          <w:rFonts w:ascii="David" w:hAnsi="David" w:cs="David"/>
          <w:sz w:val="24"/>
          <w:szCs w:val="24"/>
          <w:rtl/>
        </w:rPr>
        <w:t xml:space="preserve"> הסדר חוב</w:t>
      </w:r>
      <w:r w:rsidR="00577186" w:rsidRPr="00F77E2E">
        <w:rPr>
          <w:rStyle w:val="ac"/>
          <w:rFonts w:ascii="David" w:hAnsi="David" w:cs="David"/>
          <w:sz w:val="24"/>
          <w:szCs w:val="24"/>
          <w:rtl/>
        </w:rPr>
        <w:footnoteReference w:id="16"/>
      </w:r>
      <w:r w:rsidRPr="00F77E2E">
        <w:rPr>
          <w:rFonts w:ascii="David" w:hAnsi="David" w:cs="David"/>
          <w:sz w:val="24"/>
          <w:szCs w:val="24"/>
          <w:rtl/>
        </w:rPr>
        <w:t xml:space="preserve">. </w:t>
      </w:r>
    </w:p>
    <w:p w:rsidR="00CA74B8" w:rsidRPr="00F77E2E" w:rsidRDefault="00A93EFC" w:rsidP="00D06966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F77E2E">
        <w:rPr>
          <w:rFonts w:ascii="David" w:hAnsi="David" w:cs="David"/>
          <w:sz w:val="24"/>
          <w:szCs w:val="24"/>
          <w:rtl/>
        </w:rPr>
        <w:t>עולה השאלה</w:t>
      </w:r>
      <w:r w:rsidR="00967C10" w:rsidRPr="00F77E2E">
        <w:rPr>
          <w:rFonts w:ascii="David" w:hAnsi="David" w:cs="David"/>
          <w:sz w:val="24"/>
          <w:szCs w:val="24"/>
          <w:rtl/>
        </w:rPr>
        <w:t>,</w:t>
      </w:r>
      <w:r w:rsidRPr="00F77E2E">
        <w:rPr>
          <w:rFonts w:ascii="David" w:hAnsi="David" w:cs="David"/>
          <w:sz w:val="24"/>
          <w:szCs w:val="24"/>
          <w:rtl/>
        </w:rPr>
        <w:t xml:space="preserve"> האם האירועים הבעייתיים הללו </w:t>
      </w:r>
      <w:r w:rsidR="00967C10" w:rsidRPr="00F77E2E">
        <w:rPr>
          <w:rFonts w:ascii="David" w:hAnsi="David" w:cs="David"/>
          <w:sz w:val="24"/>
          <w:szCs w:val="24"/>
          <w:rtl/>
        </w:rPr>
        <w:t xml:space="preserve">שמהווים את </w:t>
      </w:r>
      <w:r w:rsidR="009030F7" w:rsidRPr="00F77E2E">
        <w:rPr>
          <w:rFonts w:ascii="David" w:hAnsi="David" w:cs="David"/>
          <w:sz w:val="24"/>
          <w:szCs w:val="24"/>
          <w:rtl/>
        </w:rPr>
        <w:t>התממשות</w:t>
      </w:r>
      <w:r w:rsidR="00967C10" w:rsidRPr="00F77E2E">
        <w:rPr>
          <w:rFonts w:ascii="David" w:hAnsi="David" w:cs="David"/>
          <w:sz w:val="24"/>
          <w:szCs w:val="24"/>
          <w:rtl/>
        </w:rPr>
        <w:t>ו</w:t>
      </w:r>
      <w:r w:rsidR="00CA74B8" w:rsidRPr="00F77E2E">
        <w:rPr>
          <w:rFonts w:ascii="David" w:hAnsi="David" w:cs="David"/>
          <w:sz w:val="24"/>
          <w:szCs w:val="24"/>
          <w:rtl/>
        </w:rPr>
        <w:t xml:space="preserve"> של </w:t>
      </w:r>
      <w:r w:rsidR="00967C10" w:rsidRPr="00F77E2E">
        <w:rPr>
          <w:rFonts w:ascii="David" w:hAnsi="David" w:cs="David"/>
          <w:sz w:val="24"/>
          <w:szCs w:val="24"/>
          <w:rtl/>
        </w:rPr>
        <w:t>ה</w:t>
      </w:r>
      <w:r w:rsidR="00CA74B8" w:rsidRPr="00F77E2E">
        <w:rPr>
          <w:rFonts w:ascii="David" w:hAnsi="David" w:cs="David"/>
          <w:sz w:val="24"/>
          <w:szCs w:val="24"/>
          <w:rtl/>
        </w:rPr>
        <w:t xml:space="preserve">סיכון </w:t>
      </w:r>
      <w:r w:rsidR="00967C10" w:rsidRPr="00F77E2E">
        <w:rPr>
          <w:rFonts w:ascii="David" w:hAnsi="David" w:cs="David"/>
          <w:sz w:val="24"/>
          <w:szCs w:val="24"/>
          <w:rtl/>
        </w:rPr>
        <w:t>ה</w:t>
      </w:r>
      <w:r w:rsidR="00CA74B8" w:rsidRPr="00F77E2E">
        <w:rPr>
          <w:rFonts w:ascii="David" w:hAnsi="David" w:cs="David"/>
          <w:sz w:val="24"/>
          <w:szCs w:val="24"/>
          <w:rtl/>
        </w:rPr>
        <w:t>תפעולי</w:t>
      </w:r>
      <w:r w:rsidR="00967C10" w:rsidRPr="00F77E2E">
        <w:rPr>
          <w:rFonts w:ascii="David" w:hAnsi="David" w:cs="David"/>
          <w:sz w:val="24"/>
          <w:szCs w:val="24"/>
          <w:rtl/>
        </w:rPr>
        <w:t>,</w:t>
      </w:r>
      <w:r w:rsidR="00CA74B8" w:rsidRPr="00F77E2E">
        <w:rPr>
          <w:rFonts w:ascii="David" w:hAnsi="David" w:cs="David"/>
          <w:sz w:val="24"/>
          <w:szCs w:val="24"/>
          <w:rtl/>
        </w:rPr>
        <w:t xml:space="preserve"> </w:t>
      </w:r>
      <w:r w:rsidRPr="00F77E2E">
        <w:rPr>
          <w:rFonts w:ascii="David" w:hAnsi="David" w:cs="David"/>
          <w:sz w:val="24"/>
          <w:szCs w:val="24"/>
          <w:rtl/>
        </w:rPr>
        <w:t xml:space="preserve">הם </w:t>
      </w:r>
      <w:r w:rsidR="009030F7" w:rsidRPr="00F77E2E">
        <w:rPr>
          <w:rFonts w:ascii="David" w:hAnsi="David" w:cs="David"/>
          <w:sz w:val="24"/>
          <w:szCs w:val="24"/>
          <w:rtl/>
        </w:rPr>
        <w:t xml:space="preserve">נחלתן </w:t>
      </w:r>
      <w:r w:rsidRPr="00F77E2E">
        <w:rPr>
          <w:rFonts w:ascii="David" w:hAnsi="David" w:cs="David"/>
          <w:sz w:val="24"/>
          <w:szCs w:val="24"/>
          <w:rtl/>
        </w:rPr>
        <w:t xml:space="preserve">של שתי חברות </w:t>
      </w:r>
      <w:r w:rsidR="00967C10" w:rsidRPr="00F77E2E">
        <w:rPr>
          <w:rFonts w:ascii="David" w:hAnsi="David" w:cs="David"/>
          <w:sz w:val="24"/>
          <w:szCs w:val="24"/>
          <w:rtl/>
        </w:rPr>
        <w:t xml:space="preserve">מסוימות </w:t>
      </w:r>
      <w:r w:rsidRPr="00F77E2E">
        <w:rPr>
          <w:rFonts w:ascii="David" w:hAnsi="David" w:cs="David"/>
          <w:sz w:val="24"/>
          <w:szCs w:val="24"/>
          <w:rtl/>
        </w:rPr>
        <w:t xml:space="preserve">או שהם מלמדים על </w:t>
      </w:r>
      <w:r w:rsidR="00967C10" w:rsidRPr="00F77E2E">
        <w:rPr>
          <w:rFonts w:ascii="David" w:hAnsi="David" w:cs="David"/>
          <w:sz w:val="24"/>
          <w:szCs w:val="24"/>
          <w:rtl/>
        </w:rPr>
        <w:t xml:space="preserve">בעיית </w:t>
      </w:r>
      <w:r w:rsidRPr="00F77E2E">
        <w:rPr>
          <w:rFonts w:ascii="David" w:hAnsi="David" w:cs="David"/>
          <w:sz w:val="24"/>
          <w:szCs w:val="24"/>
          <w:rtl/>
        </w:rPr>
        <w:t>רוחב בענף</w:t>
      </w:r>
      <w:r w:rsidR="00814581" w:rsidRPr="00F77E2E">
        <w:rPr>
          <w:rFonts w:ascii="David" w:hAnsi="David" w:cs="David"/>
          <w:sz w:val="24"/>
          <w:szCs w:val="24"/>
          <w:rtl/>
        </w:rPr>
        <w:t xml:space="preserve"> האשראי החוץ-בנקאי</w:t>
      </w:r>
      <w:r w:rsidRPr="00F77E2E">
        <w:rPr>
          <w:rFonts w:ascii="David" w:hAnsi="David" w:cs="David"/>
          <w:sz w:val="24"/>
          <w:szCs w:val="24"/>
          <w:rtl/>
        </w:rPr>
        <w:t xml:space="preserve">. בפרט ייתכן שהכשלים שהתגלו </w:t>
      </w:r>
      <w:r w:rsidR="00967C10" w:rsidRPr="00F77E2E">
        <w:rPr>
          <w:rFonts w:ascii="David" w:hAnsi="David" w:cs="David"/>
          <w:sz w:val="24"/>
          <w:szCs w:val="24"/>
          <w:rtl/>
        </w:rPr>
        <w:t xml:space="preserve">מצביעים </w:t>
      </w:r>
      <w:r w:rsidRPr="00F77E2E">
        <w:rPr>
          <w:rFonts w:ascii="David" w:hAnsi="David" w:cs="David"/>
          <w:sz w:val="24"/>
          <w:szCs w:val="24"/>
          <w:rtl/>
        </w:rPr>
        <w:t>על כשלים דומים גם בחברות אחרות בענף</w:t>
      </w:r>
      <w:r w:rsidR="00967C10" w:rsidRPr="00F77E2E">
        <w:rPr>
          <w:rFonts w:ascii="David" w:hAnsi="David" w:cs="David"/>
          <w:sz w:val="24"/>
          <w:szCs w:val="24"/>
          <w:rtl/>
        </w:rPr>
        <w:t xml:space="preserve"> זה</w:t>
      </w:r>
      <w:r w:rsidRPr="00F77E2E">
        <w:rPr>
          <w:rFonts w:ascii="David" w:hAnsi="David" w:cs="David"/>
          <w:sz w:val="24"/>
          <w:szCs w:val="24"/>
          <w:rtl/>
        </w:rPr>
        <w:t xml:space="preserve"> </w:t>
      </w:r>
      <w:r w:rsidR="00335D90" w:rsidRPr="00F77E2E">
        <w:rPr>
          <w:rFonts w:ascii="David" w:hAnsi="David" w:cs="David"/>
          <w:sz w:val="24"/>
          <w:szCs w:val="24"/>
          <w:rtl/>
        </w:rPr>
        <w:t>א</w:t>
      </w:r>
      <w:r w:rsidRPr="00F77E2E">
        <w:rPr>
          <w:rFonts w:ascii="David" w:hAnsi="David" w:cs="David"/>
          <w:sz w:val="24"/>
          <w:szCs w:val="24"/>
          <w:rtl/>
        </w:rPr>
        <w:t>ש</w:t>
      </w:r>
      <w:r w:rsidR="00335D90" w:rsidRPr="00F77E2E">
        <w:rPr>
          <w:rFonts w:ascii="David" w:hAnsi="David" w:cs="David"/>
          <w:sz w:val="24"/>
          <w:szCs w:val="24"/>
          <w:rtl/>
        </w:rPr>
        <w:t xml:space="preserve">ר </w:t>
      </w:r>
      <w:r w:rsidRPr="00F77E2E">
        <w:rPr>
          <w:rFonts w:ascii="David" w:hAnsi="David" w:cs="David"/>
          <w:sz w:val="24"/>
          <w:szCs w:val="24"/>
          <w:rtl/>
        </w:rPr>
        <w:t xml:space="preserve">עלולים להוביל לבעיות גם בחברות אלה ו/או </w:t>
      </w:r>
      <w:r w:rsidR="00967C10" w:rsidRPr="00F77E2E">
        <w:rPr>
          <w:rFonts w:ascii="David" w:hAnsi="David" w:cs="David"/>
          <w:sz w:val="24"/>
          <w:szCs w:val="24"/>
          <w:rtl/>
        </w:rPr>
        <w:t xml:space="preserve">להידוקה </w:t>
      </w:r>
      <w:r w:rsidRPr="00F77E2E">
        <w:rPr>
          <w:rFonts w:ascii="David" w:hAnsi="David" w:cs="David"/>
          <w:sz w:val="24"/>
          <w:szCs w:val="24"/>
          <w:rtl/>
        </w:rPr>
        <w:t xml:space="preserve">של </w:t>
      </w:r>
      <w:r w:rsidR="00967C10" w:rsidRPr="00F77E2E">
        <w:rPr>
          <w:rFonts w:ascii="David" w:hAnsi="David" w:cs="David"/>
          <w:sz w:val="24"/>
          <w:szCs w:val="24"/>
          <w:rtl/>
        </w:rPr>
        <w:t xml:space="preserve">האסדרה </w:t>
      </w:r>
      <w:r w:rsidRPr="00F77E2E">
        <w:rPr>
          <w:rFonts w:ascii="David" w:hAnsi="David" w:cs="David"/>
          <w:sz w:val="24"/>
          <w:szCs w:val="24"/>
          <w:rtl/>
        </w:rPr>
        <w:t>עליהן</w:t>
      </w:r>
      <w:r w:rsidR="00967C10" w:rsidRPr="00F77E2E">
        <w:rPr>
          <w:rFonts w:ascii="David" w:hAnsi="David" w:cs="David"/>
          <w:sz w:val="24"/>
          <w:szCs w:val="24"/>
          <w:rtl/>
        </w:rPr>
        <w:t>,</w:t>
      </w:r>
      <w:r w:rsidR="00E24C6A" w:rsidRPr="00F77E2E">
        <w:rPr>
          <w:rFonts w:ascii="David" w:hAnsi="David" w:cs="David"/>
          <w:sz w:val="24"/>
          <w:szCs w:val="24"/>
          <w:rtl/>
        </w:rPr>
        <w:t xml:space="preserve"> שכרוכה בעלויות לבעלי</w:t>
      </w:r>
      <w:r w:rsidR="00967C10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E24C6A" w:rsidRPr="00F77E2E">
        <w:rPr>
          <w:rFonts w:ascii="David" w:hAnsi="David" w:cs="David"/>
          <w:sz w:val="24"/>
          <w:szCs w:val="24"/>
          <w:rtl/>
        </w:rPr>
        <w:t>המניות</w:t>
      </w:r>
      <w:r w:rsidRPr="00F77E2E">
        <w:rPr>
          <w:rFonts w:ascii="David" w:hAnsi="David" w:cs="David"/>
          <w:sz w:val="24"/>
          <w:szCs w:val="24"/>
          <w:rtl/>
        </w:rPr>
        <w:t xml:space="preserve">. </w:t>
      </w:r>
      <w:r w:rsidR="00E24C6A" w:rsidRPr="00F77E2E">
        <w:rPr>
          <w:rFonts w:ascii="David" w:hAnsi="David" w:cs="David"/>
          <w:sz w:val="24"/>
          <w:szCs w:val="24"/>
          <w:rtl/>
        </w:rPr>
        <w:t>כתבות שונות בתקשורת</w:t>
      </w:r>
      <w:r w:rsidR="002E637F" w:rsidRPr="00F77E2E">
        <w:rPr>
          <w:rStyle w:val="ac"/>
          <w:rFonts w:ascii="David" w:hAnsi="David" w:cs="David"/>
          <w:sz w:val="24"/>
          <w:szCs w:val="24"/>
          <w:rtl/>
        </w:rPr>
        <w:footnoteReference w:id="17"/>
      </w:r>
      <w:r w:rsidR="00E24C6A" w:rsidRPr="00F77E2E">
        <w:rPr>
          <w:rFonts w:ascii="David" w:hAnsi="David" w:cs="David"/>
          <w:sz w:val="24"/>
          <w:szCs w:val="24"/>
          <w:rtl/>
        </w:rPr>
        <w:t xml:space="preserve"> העלו חששות בנוגע למשמעויות </w:t>
      </w:r>
      <w:r w:rsidR="00967C10" w:rsidRPr="00F77E2E">
        <w:rPr>
          <w:rFonts w:ascii="David" w:hAnsi="David" w:cs="David"/>
          <w:sz w:val="24"/>
          <w:szCs w:val="24"/>
          <w:rtl/>
        </w:rPr>
        <w:t xml:space="preserve">שיש לאירועים אלה </w:t>
      </w:r>
      <w:r w:rsidR="00E24C6A" w:rsidRPr="00F77E2E">
        <w:rPr>
          <w:rFonts w:ascii="David" w:hAnsi="David" w:cs="David"/>
          <w:sz w:val="24"/>
          <w:szCs w:val="24"/>
          <w:rtl/>
        </w:rPr>
        <w:t xml:space="preserve">על </w:t>
      </w:r>
      <w:r w:rsidR="00967C10" w:rsidRPr="00F77E2E">
        <w:rPr>
          <w:rFonts w:ascii="David" w:hAnsi="David" w:cs="David"/>
          <w:sz w:val="24"/>
          <w:szCs w:val="24"/>
          <w:rtl/>
        </w:rPr>
        <w:t xml:space="preserve">כל </w:t>
      </w:r>
      <w:r w:rsidR="00335D90" w:rsidRPr="00F77E2E">
        <w:rPr>
          <w:rFonts w:ascii="David" w:hAnsi="David" w:cs="David"/>
          <w:sz w:val="24"/>
          <w:szCs w:val="24"/>
          <w:rtl/>
        </w:rPr>
        <w:t>ה</w:t>
      </w:r>
      <w:r w:rsidR="00E24C6A" w:rsidRPr="00F77E2E">
        <w:rPr>
          <w:rFonts w:ascii="David" w:hAnsi="David" w:cs="David"/>
          <w:sz w:val="24"/>
          <w:szCs w:val="24"/>
          <w:rtl/>
        </w:rPr>
        <w:t>ענף</w:t>
      </w:r>
      <w:r w:rsidR="00335D90" w:rsidRPr="00F77E2E">
        <w:rPr>
          <w:rFonts w:ascii="David" w:hAnsi="David" w:cs="David"/>
          <w:sz w:val="24"/>
          <w:szCs w:val="24"/>
          <w:rtl/>
        </w:rPr>
        <w:t xml:space="preserve">, ביקרו את </w:t>
      </w:r>
      <w:r w:rsidR="00967C10" w:rsidRPr="00F77E2E">
        <w:rPr>
          <w:rFonts w:ascii="David" w:hAnsi="David" w:cs="David"/>
          <w:sz w:val="24"/>
          <w:szCs w:val="24"/>
          <w:rtl/>
        </w:rPr>
        <w:t xml:space="preserve">האסדרה </w:t>
      </w:r>
      <w:r w:rsidR="00335D90" w:rsidRPr="00F77E2E">
        <w:rPr>
          <w:rFonts w:ascii="David" w:hAnsi="David" w:cs="David"/>
          <w:sz w:val="24"/>
          <w:szCs w:val="24"/>
          <w:rtl/>
        </w:rPr>
        <w:lastRenderedPageBreak/>
        <w:t>עליהן והעלו</w:t>
      </w:r>
      <w:r w:rsidR="00B611BF" w:rsidRPr="00F77E2E">
        <w:rPr>
          <w:rFonts w:ascii="David" w:hAnsi="David" w:cs="David"/>
          <w:sz w:val="24"/>
          <w:szCs w:val="24"/>
          <w:rtl/>
        </w:rPr>
        <w:t xml:space="preserve"> דיווחים על פגיעה ב</w:t>
      </w:r>
      <w:r w:rsidR="00D63163" w:rsidRPr="00F77E2E">
        <w:rPr>
          <w:rFonts w:ascii="David" w:hAnsi="David" w:cs="David"/>
          <w:sz w:val="24"/>
          <w:szCs w:val="24"/>
          <w:rtl/>
        </w:rPr>
        <w:t xml:space="preserve">העמדת אשראי מטעם </w:t>
      </w:r>
      <w:r w:rsidR="00967C10" w:rsidRPr="00F77E2E">
        <w:rPr>
          <w:rFonts w:ascii="David" w:hAnsi="David" w:cs="David"/>
          <w:sz w:val="24"/>
          <w:szCs w:val="24"/>
          <w:rtl/>
        </w:rPr>
        <w:t xml:space="preserve">גופים </w:t>
      </w:r>
      <w:r w:rsidR="00D63163" w:rsidRPr="00F77E2E">
        <w:rPr>
          <w:rFonts w:ascii="David" w:hAnsi="David" w:cs="David"/>
          <w:sz w:val="24"/>
          <w:szCs w:val="24"/>
          <w:rtl/>
        </w:rPr>
        <w:t>מוסדיים לחברות</w:t>
      </w:r>
      <w:r w:rsidR="00335D90" w:rsidRPr="00F77E2E">
        <w:rPr>
          <w:rFonts w:ascii="David" w:hAnsi="David" w:cs="David"/>
          <w:sz w:val="24"/>
          <w:szCs w:val="24"/>
          <w:rtl/>
        </w:rPr>
        <w:t xml:space="preserve"> בענף</w:t>
      </w:r>
      <w:r w:rsidR="00E24C6A" w:rsidRPr="00F77E2E">
        <w:rPr>
          <w:rFonts w:ascii="David" w:hAnsi="David" w:cs="David"/>
          <w:sz w:val="24"/>
          <w:szCs w:val="24"/>
          <w:rtl/>
        </w:rPr>
        <w:t>.</w:t>
      </w:r>
      <w:r w:rsidR="003775BA" w:rsidRPr="00F77E2E">
        <w:rPr>
          <w:rFonts w:ascii="David" w:hAnsi="David" w:cs="David"/>
          <w:sz w:val="24"/>
          <w:szCs w:val="24"/>
          <w:rtl/>
        </w:rPr>
        <w:t xml:space="preserve"> האירועים בחברות "</w:t>
      </w:r>
      <w:proofErr w:type="spellStart"/>
      <w:r w:rsidR="003775BA" w:rsidRPr="00F77E2E">
        <w:rPr>
          <w:rFonts w:ascii="David" w:hAnsi="David" w:cs="David"/>
          <w:sz w:val="24"/>
          <w:szCs w:val="24"/>
          <w:rtl/>
        </w:rPr>
        <w:t>יונט</w:t>
      </w:r>
      <w:proofErr w:type="spellEnd"/>
      <w:r w:rsidR="003775BA" w:rsidRPr="00F77E2E">
        <w:rPr>
          <w:rFonts w:ascii="David" w:hAnsi="David" w:cs="David"/>
          <w:sz w:val="24"/>
          <w:szCs w:val="24"/>
          <w:rtl/>
        </w:rPr>
        <w:t xml:space="preserve"> קרדיט" ו"גיבוי אחזקות" השפיעו לרעה גם על הצפי של סוכנויות דירוג האשראי לצמיחה העתידית בענף ולפיכך על דירוג האשראי של החברות בענף</w:t>
      </w:r>
      <w:r w:rsidR="003775BA" w:rsidRPr="00F77E2E">
        <w:rPr>
          <w:rStyle w:val="ac"/>
          <w:rFonts w:ascii="David" w:hAnsi="David" w:cs="David"/>
          <w:sz w:val="24"/>
          <w:szCs w:val="24"/>
          <w:rtl/>
        </w:rPr>
        <w:footnoteReference w:id="18"/>
      </w:r>
      <w:r w:rsidR="00193AC4" w:rsidRPr="00F77E2E">
        <w:rPr>
          <w:rFonts w:ascii="David" w:hAnsi="David" w:cs="David"/>
          <w:sz w:val="24"/>
          <w:szCs w:val="24"/>
          <w:rtl/>
        </w:rPr>
        <w:t>.</w:t>
      </w:r>
      <w:r w:rsidR="00E24C6A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C75E52" w:rsidRPr="00F77E2E">
        <w:rPr>
          <w:rFonts w:ascii="David" w:hAnsi="David" w:cs="David"/>
          <w:sz w:val="24"/>
          <w:szCs w:val="24"/>
          <w:rtl/>
        </w:rPr>
        <w:t>כאמור</w:t>
      </w:r>
      <w:r w:rsidR="00967C10" w:rsidRPr="00F77E2E">
        <w:rPr>
          <w:rFonts w:ascii="David" w:hAnsi="David" w:cs="David"/>
          <w:sz w:val="24"/>
          <w:szCs w:val="24"/>
          <w:rtl/>
        </w:rPr>
        <w:t xml:space="preserve"> ה</w:t>
      </w:r>
      <w:r w:rsidR="00E24C6A" w:rsidRPr="00F77E2E">
        <w:rPr>
          <w:rFonts w:ascii="David" w:hAnsi="David" w:cs="David"/>
          <w:sz w:val="24"/>
          <w:szCs w:val="24"/>
          <w:rtl/>
        </w:rPr>
        <w:t xml:space="preserve">רשות </w:t>
      </w:r>
      <w:r w:rsidR="00967C10" w:rsidRPr="00F77E2E">
        <w:rPr>
          <w:rFonts w:ascii="David" w:hAnsi="David" w:cs="David"/>
          <w:sz w:val="24"/>
          <w:szCs w:val="24"/>
          <w:rtl/>
        </w:rPr>
        <w:t>ל</w:t>
      </w:r>
      <w:r w:rsidR="00E24C6A" w:rsidRPr="00F77E2E">
        <w:rPr>
          <w:rFonts w:ascii="David" w:hAnsi="David" w:cs="David"/>
          <w:sz w:val="24"/>
          <w:szCs w:val="24"/>
          <w:rtl/>
        </w:rPr>
        <w:t>ניירות ערך</w:t>
      </w:r>
      <w:r w:rsidR="00C75E52" w:rsidRPr="00F77E2E">
        <w:rPr>
          <w:rFonts w:ascii="David" w:hAnsi="David" w:cs="David"/>
          <w:sz w:val="24"/>
          <w:szCs w:val="24"/>
          <w:rtl/>
        </w:rPr>
        <w:t xml:space="preserve"> מפקחת על החברות הציבוריות בענף בנושאים של גילוי ושקיפות. בעקבות האירועים הנידונים, הרשות הודיעה</w:t>
      </w:r>
      <w:r w:rsidR="00E24C6A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B611BF" w:rsidRPr="00F77E2E">
        <w:rPr>
          <w:rFonts w:ascii="David" w:hAnsi="David" w:cs="David"/>
          <w:sz w:val="24"/>
          <w:szCs w:val="24"/>
          <w:rtl/>
        </w:rPr>
        <w:t xml:space="preserve">על פתיחה בביקורת רוחב בחברות </w:t>
      </w:r>
      <w:r w:rsidR="00193AC4" w:rsidRPr="00F77E2E">
        <w:rPr>
          <w:rFonts w:ascii="David" w:hAnsi="David" w:cs="David"/>
          <w:sz w:val="24"/>
          <w:szCs w:val="24"/>
          <w:rtl/>
        </w:rPr>
        <w:t>דומות</w:t>
      </w:r>
      <w:r w:rsidR="008B143F" w:rsidRPr="00F77E2E">
        <w:rPr>
          <w:rFonts w:ascii="David" w:hAnsi="David" w:cs="David"/>
          <w:sz w:val="24"/>
          <w:szCs w:val="24"/>
          <w:rtl/>
        </w:rPr>
        <w:t>.</w:t>
      </w:r>
      <w:r w:rsidR="00193AC4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8B143F" w:rsidRPr="00F77E2E">
        <w:rPr>
          <w:rFonts w:ascii="David" w:hAnsi="David" w:cs="David"/>
          <w:sz w:val="24"/>
          <w:szCs w:val="24"/>
          <w:rtl/>
        </w:rPr>
        <w:t xml:space="preserve">בנוסף, היא </w:t>
      </w:r>
      <w:r w:rsidR="00E24C6A" w:rsidRPr="00F77E2E">
        <w:rPr>
          <w:rFonts w:ascii="David" w:hAnsi="David" w:cs="David"/>
          <w:sz w:val="24"/>
          <w:szCs w:val="24"/>
          <w:rtl/>
        </w:rPr>
        <w:t xml:space="preserve">פרסמה הנחיות חדשות לחברות </w:t>
      </w:r>
      <w:r w:rsidR="00CA35BE" w:rsidRPr="00F77E2E">
        <w:rPr>
          <w:rFonts w:ascii="David" w:hAnsi="David" w:cs="David"/>
          <w:sz w:val="24"/>
          <w:szCs w:val="24"/>
          <w:rtl/>
        </w:rPr>
        <w:t xml:space="preserve">שכלולות </w:t>
      </w:r>
      <w:r w:rsidR="00B611BF" w:rsidRPr="00F77E2E">
        <w:rPr>
          <w:rFonts w:ascii="David" w:hAnsi="David" w:cs="David"/>
          <w:sz w:val="24"/>
          <w:szCs w:val="24"/>
          <w:rtl/>
        </w:rPr>
        <w:t>בו</w:t>
      </w:r>
      <w:r w:rsidR="00E24C6A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CA35BE" w:rsidRPr="00F77E2E">
        <w:rPr>
          <w:rFonts w:ascii="David" w:hAnsi="David" w:cs="David"/>
          <w:sz w:val="24"/>
          <w:szCs w:val="24"/>
          <w:rtl/>
        </w:rPr>
        <w:t xml:space="preserve">שמחייבות </w:t>
      </w:r>
      <w:r w:rsidR="00E24C6A" w:rsidRPr="00F77E2E">
        <w:rPr>
          <w:rFonts w:ascii="David" w:hAnsi="David" w:cs="David"/>
          <w:sz w:val="24"/>
          <w:szCs w:val="24"/>
          <w:rtl/>
        </w:rPr>
        <w:t xml:space="preserve">אותן לפרסם לציבור את הסיכונים </w:t>
      </w:r>
      <w:r w:rsidR="00CA35BE" w:rsidRPr="00F77E2E">
        <w:rPr>
          <w:rFonts w:ascii="David" w:hAnsi="David" w:cs="David"/>
          <w:sz w:val="24"/>
          <w:szCs w:val="24"/>
          <w:rtl/>
        </w:rPr>
        <w:t xml:space="preserve">שעלולים </w:t>
      </w:r>
      <w:r w:rsidR="00E24C6A" w:rsidRPr="00F77E2E">
        <w:rPr>
          <w:rFonts w:ascii="David" w:hAnsi="David" w:cs="David"/>
          <w:sz w:val="24"/>
          <w:szCs w:val="24"/>
          <w:rtl/>
        </w:rPr>
        <w:t>לנבוע מהלבנת הון, גניבות, מעילות, הונאות ואי סדרים ולציין את זהות בעלי התפקידים בתאגיד אשר אמונים על ניהול הסיכונים</w:t>
      </w:r>
      <w:r w:rsidR="00B611BF" w:rsidRPr="00F77E2E">
        <w:rPr>
          <w:rStyle w:val="ac"/>
          <w:rFonts w:ascii="David" w:hAnsi="David" w:cs="David"/>
          <w:sz w:val="24"/>
          <w:szCs w:val="24"/>
          <w:rtl/>
        </w:rPr>
        <w:footnoteReference w:id="19"/>
      </w:r>
      <w:r w:rsidR="00E24C6A" w:rsidRPr="00F77E2E">
        <w:rPr>
          <w:rFonts w:ascii="David" w:hAnsi="David" w:cs="David"/>
          <w:sz w:val="24"/>
          <w:szCs w:val="24"/>
          <w:rtl/>
        </w:rPr>
        <w:t>. מנגד, אם האירועים</w:t>
      </w:r>
      <w:r w:rsidR="00CA35BE" w:rsidRPr="00F77E2E">
        <w:rPr>
          <w:rFonts w:ascii="David" w:hAnsi="David" w:cs="David"/>
          <w:sz w:val="24"/>
          <w:szCs w:val="24"/>
          <w:rtl/>
        </w:rPr>
        <w:t xml:space="preserve"> שמתוארים בשתי החברות הנזכרות</w:t>
      </w:r>
      <w:r w:rsidR="00E24C6A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D06966" w:rsidRPr="00F77E2E">
        <w:rPr>
          <w:rFonts w:ascii="David" w:hAnsi="David" w:cs="David"/>
          <w:sz w:val="24"/>
          <w:szCs w:val="24"/>
          <w:rtl/>
        </w:rPr>
        <w:t xml:space="preserve">הנם </w:t>
      </w:r>
      <w:r w:rsidR="00E24C6A" w:rsidRPr="00F77E2E">
        <w:rPr>
          <w:rFonts w:ascii="David" w:hAnsi="David" w:cs="David"/>
          <w:sz w:val="24"/>
          <w:szCs w:val="24"/>
          <w:rtl/>
        </w:rPr>
        <w:t>נקודתיים וללא השפעה רוחבית על הענף</w:t>
      </w:r>
      <w:r w:rsidR="00CA35BE" w:rsidRPr="00F77E2E">
        <w:rPr>
          <w:rFonts w:ascii="David" w:hAnsi="David" w:cs="David"/>
          <w:sz w:val="24"/>
          <w:szCs w:val="24"/>
          <w:rtl/>
        </w:rPr>
        <w:t xml:space="preserve"> כולו</w:t>
      </w:r>
      <w:r w:rsidR="00E24C6A" w:rsidRPr="00F77E2E">
        <w:rPr>
          <w:rFonts w:ascii="David" w:hAnsi="David" w:cs="David"/>
          <w:sz w:val="24"/>
          <w:szCs w:val="24"/>
          <w:rtl/>
        </w:rPr>
        <w:t xml:space="preserve">, אזי קריסתן של שתי </w:t>
      </w:r>
      <w:r w:rsidR="00CA35BE" w:rsidRPr="00F77E2E">
        <w:rPr>
          <w:rFonts w:ascii="David" w:hAnsi="David" w:cs="David"/>
          <w:sz w:val="24"/>
          <w:szCs w:val="24"/>
          <w:rtl/>
        </w:rPr>
        <w:t>ה</w:t>
      </w:r>
      <w:r w:rsidR="00E24C6A" w:rsidRPr="00F77E2E">
        <w:rPr>
          <w:rFonts w:ascii="David" w:hAnsi="David" w:cs="David"/>
          <w:sz w:val="24"/>
          <w:szCs w:val="24"/>
          <w:rtl/>
        </w:rPr>
        <w:t>חברות</w:t>
      </w:r>
      <w:r w:rsidR="00CA35BE" w:rsidRPr="00F77E2E">
        <w:rPr>
          <w:rFonts w:ascii="David" w:hAnsi="David" w:cs="David"/>
          <w:sz w:val="24"/>
          <w:szCs w:val="24"/>
          <w:rtl/>
        </w:rPr>
        <w:t xml:space="preserve"> הללו</w:t>
      </w:r>
      <w:r w:rsidR="00E24C6A" w:rsidRPr="00F77E2E">
        <w:rPr>
          <w:rFonts w:ascii="David" w:hAnsi="David" w:cs="David"/>
          <w:sz w:val="24"/>
          <w:szCs w:val="24"/>
          <w:rtl/>
        </w:rPr>
        <w:t xml:space="preserve"> עשויה לסייע למתחרותיהן. בסך</w:t>
      </w:r>
      <w:r w:rsidR="00CA35BE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E24C6A" w:rsidRPr="00F77E2E">
        <w:rPr>
          <w:rFonts w:ascii="David" w:hAnsi="David" w:cs="David"/>
          <w:sz w:val="24"/>
          <w:szCs w:val="24"/>
          <w:rtl/>
        </w:rPr>
        <w:t>הכ</w:t>
      </w:r>
      <w:r w:rsidR="00CA35BE" w:rsidRPr="00F77E2E">
        <w:rPr>
          <w:rFonts w:ascii="David" w:hAnsi="David" w:cs="David"/>
          <w:sz w:val="24"/>
          <w:szCs w:val="24"/>
          <w:rtl/>
        </w:rPr>
        <w:t>ו</w:t>
      </w:r>
      <w:r w:rsidR="00E24C6A" w:rsidRPr="00F77E2E">
        <w:rPr>
          <w:rFonts w:ascii="David" w:hAnsi="David" w:cs="David"/>
          <w:sz w:val="24"/>
          <w:szCs w:val="24"/>
          <w:rtl/>
        </w:rPr>
        <w:t xml:space="preserve">ל, </w:t>
      </w:r>
      <w:r w:rsidR="00282610" w:rsidRPr="00F77E2E">
        <w:rPr>
          <w:rFonts w:ascii="David" w:hAnsi="David" w:cs="David"/>
          <w:sz w:val="24"/>
          <w:szCs w:val="24"/>
          <w:rtl/>
        </w:rPr>
        <w:t xml:space="preserve">האירועים השליליים </w:t>
      </w:r>
      <w:r w:rsidR="00E24C6A" w:rsidRPr="00F77E2E">
        <w:rPr>
          <w:rFonts w:ascii="David" w:hAnsi="David" w:cs="David"/>
          <w:sz w:val="24"/>
          <w:szCs w:val="24"/>
          <w:rtl/>
        </w:rPr>
        <w:t>ב</w:t>
      </w:r>
      <w:r w:rsidR="001509F2" w:rsidRPr="00F77E2E">
        <w:rPr>
          <w:rFonts w:ascii="David" w:hAnsi="David" w:cs="David"/>
          <w:sz w:val="24"/>
          <w:szCs w:val="24"/>
          <w:rtl/>
        </w:rPr>
        <w:t xml:space="preserve">חברות </w:t>
      </w:r>
      <w:r w:rsidR="00CA35BE" w:rsidRPr="00F77E2E">
        <w:rPr>
          <w:rFonts w:ascii="David" w:hAnsi="David" w:cs="David"/>
          <w:sz w:val="24"/>
          <w:szCs w:val="24"/>
          <w:rtl/>
        </w:rPr>
        <w:t>"</w:t>
      </w:r>
      <w:proofErr w:type="spellStart"/>
      <w:r w:rsidR="00E24C6A" w:rsidRPr="00F77E2E">
        <w:rPr>
          <w:rFonts w:ascii="David" w:hAnsi="David" w:cs="David"/>
          <w:sz w:val="24"/>
          <w:szCs w:val="24"/>
          <w:rtl/>
        </w:rPr>
        <w:t>יונט</w:t>
      </w:r>
      <w:proofErr w:type="spellEnd"/>
      <w:r w:rsidR="00CA35BE" w:rsidRPr="00F77E2E">
        <w:rPr>
          <w:rFonts w:ascii="David" w:hAnsi="David" w:cs="David"/>
          <w:sz w:val="24"/>
          <w:szCs w:val="24"/>
          <w:rtl/>
        </w:rPr>
        <w:t xml:space="preserve"> קרדיט"</w:t>
      </w:r>
      <w:r w:rsidR="00E24C6A" w:rsidRPr="00F77E2E">
        <w:rPr>
          <w:rFonts w:ascii="David" w:hAnsi="David" w:cs="David"/>
          <w:sz w:val="24"/>
          <w:szCs w:val="24"/>
          <w:rtl/>
        </w:rPr>
        <w:t xml:space="preserve"> ו</w:t>
      </w:r>
      <w:r w:rsidR="00CA35BE" w:rsidRPr="00F77E2E">
        <w:rPr>
          <w:rFonts w:ascii="David" w:hAnsi="David" w:cs="David"/>
          <w:sz w:val="24"/>
          <w:szCs w:val="24"/>
          <w:rtl/>
        </w:rPr>
        <w:t>"</w:t>
      </w:r>
      <w:r w:rsidR="00E24C6A" w:rsidRPr="00F77E2E">
        <w:rPr>
          <w:rFonts w:ascii="David" w:hAnsi="David" w:cs="David"/>
          <w:sz w:val="24"/>
          <w:szCs w:val="24"/>
          <w:rtl/>
        </w:rPr>
        <w:t>גיבוי</w:t>
      </w:r>
      <w:r w:rsidR="00CA35BE" w:rsidRPr="00F77E2E">
        <w:rPr>
          <w:rFonts w:ascii="David" w:hAnsi="David" w:cs="David"/>
          <w:sz w:val="24"/>
          <w:szCs w:val="24"/>
          <w:rtl/>
        </w:rPr>
        <w:t xml:space="preserve"> אחזקות"</w:t>
      </w:r>
      <w:r w:rsidR="00282610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CA35BE" w:rsidRPr="00F77E2E">
        <w:rPr>
          <w:rFonts w:ascii="David" w:hAnsi="David" w:cs="David"/>
          <w:sz w:val="24"/>
          <w:szCs w:val="24"/>
          <w:rtl/>
        </w:rPr>
        <w:t xml:space="preserve">הם </w:t>
      </w:r>
      <w:r w:rsidR="00282610" w:rsidRPr="00F77E2E">
        <w:rPr>
          <w:rFonts w:ascii="David" w:hAnsi="David" w:cs="David"/>
          <w:sz w:val="24"/>
          <w:szCs w:val="24"/>
          <w:rtl/>
        </w:rPr>
        <w:t xml:space="preserve">בעלי פוטנציאל </w:t>
      </w:r>
      <w:r w:rsidR="00CA35BE" w:rsidRPr="00F77E2E">
        <w:rPr>
          <w:rFonts w:ascii="David" w:hAnsi="David" w:cs="David"/>
          <w:sz w:val="24"/>
          <w:szCs w:val="24"/>
          <w:rtl/>
        </w:rPr>
        <w:t xml:space="preserve">להשפעה </w:t>
      </w:r>
      <w:r w:rsidR="00B6295A" w:rsidRPr="00F77E2E">
        <w:rPr>
          <w:rFonts w:ascii="David" w:hAnsi="David" w:cs="David"/>
          <w:sz w:val="24"/>
          <w:szCs w:val="24"/>
          <w:rtl/>
        </w:rPr>
        <w:t xml:space="preserve">בכיוונים </w:t>
      </w:r>
      <w:r w:rsidR="00E24C6A" w:rsidRPr="00F77E2E">
        <w:rPr>
          <w:rFonts w:ascii="David" w:hAnsi="David" w:cs="David"/>
          <w:sz w:val="24"/>
          <w:szCs w:val="24"/>
          <w:rtl/>
        </w:rPr>
        <w:t>מנוגדים</w:t>
      </w:r>
      <w:r w:rsidR="00B6295A" w:rsidRPr="00F77E2E">
        <w:rPr>
          <w:rFonts w:ascii="David" w:hAnsi="David" w:cs="David"/>
          <w:sz w:val="24"/>
          <w:szCs w:val="24"/>
          <w:rtl/>
        </w:rPr>
        <w:t xml:space="preserve"> על </w:t>
      </w:r>
      <w:r w:rsidR="00CA35BE" w:rsidRPr="00F77E2E">
        <w:rPr>
          <w:rFonts w:ascii="David" w:hAnsi="David" w:cs="David"/>
          <w:sz w:val="24"/>
          <w:szCs w:val="24"/>
          <w:rtl/>
        </w:rPr>
        <w:t>שאר ה</w:t>
      </w:r>
      <w:r w:rsidR="00B6295A" w:rsidRPr="00F77E2E">
        <w:rPr>
          <w:rFonts w:ascii="David" w:hAnsi="David" w:cs="David"/>
          <w:sz w:val="24"/>
          <w:szCs w:val="24"/>
          <w:rtl/>
        </w:rPr>
        <w:t>חברות</w:t>
      </w:r>
      <w:r w:rsidR="00CA35BE" w:rsidRPr="00F77E2E">
        <w:rPr>
          <w:rFonts w:ascii="David" w:hAnsi="David" w:cs="David"/>
          <w:sz w:val="24"/>
          <w:szCs w:val="24"/>
          <w:rtl/>
        </w:rPr>
        <w:t xml:space="preserve"> בענף</w:t>
      </w:r>
      <w:r w:rsidR="00B6295A" w:rsidRPr="00F77E2E">
        <w:rPr>
          <w:rFonts w:ascii="David" w:hAnsi="David" w:cs="David"/>
          <w:sz w:val="24"/>
          <w:szCs w:val="24"/>
          <w:rtl/>
        </w:rPr>
        <w:t xml:space="preserve"> האשראי ה</w:t>
      </w:r>
      <w:r w:rsidR="000D4A1A" w:rsidRPr="00F77E2E">
        <w:rPr>
          <w:rFonts w:ascii="David" w:hAnsi="David" w:cs="David"/>
          <w:sz w:val="24"/>
          <w:szCs w:val="24"/>
          <w:rtl/>
        </w:rPr>
        <w:t>חוץ-ב</w:t>
      </w:r>
      <w:r w:rsidR="00B6295A" w:rsidRPr="00F77E2E">
        <w:rPr>
          <w:rFonts w:ascii="David" w:hAnsi="David" w:cs="David"/>
          <w:sz w:val="24"/>
          <w:szCs w:val="24"/>
          <w:rtl/>
        </w:rPr>
        <w:t>נקאי</w:t>
      </w:r>
      <w:r w:rsidR="00F44C3B" w:rsidRPr="00F77E2E">
        <w:rPr>
          <w:rStyle w:val="ac"/>
          <w:rFonts w:ascii="David" w:hAnsi="David" w:cs="David"/>
          <w:sz w:val="24"/>
          <w:szCs w:val="24"/>
          <w:rtl/>
        </w:rPr>
        <w:footnoteReference w:id="20"/>
      </w:r>
      <w:r w:rsidR="00CA35BE" w:rsidRPr="00F77E2E">
        <w:rPr>
          <w:rFonts w:ascii="David" w:hAnsi="David" w:cs="David"/>
          <w:sz w:val="24"/>
          <w:szCs w:val="24"/>
          <w:rtl/>
        </w:rPr>
        <w:t>.</w:t>
      </w:r>
    </w:p>
    <w:p w:rsidR="00F82296" w:rsidRPr="00F77E2E" w:rsidRDefault="00193AC4" w:rsidP="00D06966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77E2E">
        <w:rPr>
          <w:rFonts w:ascii="David" w:hAnsi="David" w:cs="David"/>
          <w:sz w:val="24"/>
          <w:szCs w:val="24"/>
          <w:rtl/>
        </w:rPr>
        <w:t xml:space="preserve">ניתוח </w:t>
      </w:r>
      <w:r w:rsidR="00D24986" w:rsidRPr="00F77E2E">
        <w:rPr>
          <w:rFonts w:ascii="David" w:hAnsi="David" w:cs="David"/>
          <w:sz w:val="24"/>
          <w:szCs w:val="24"/>
          <w:rtl/>
        </w:rPr>
        <w:t>זה בוחן אומדנים להערכת</w:t>
      </w:r>
      <w:r w:rsidR="005664C0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D24986" w:rsidRPr="00F77E2E">
        <w:rPr>
          <w:rFonts w:ascii="David" w:hAnsi="David" w:cs="David"/>
          <w:sz w:val="24"/>
          <w:szCs w:val="24"/>
          <w:rtl/>
        </w:rPr>
        <w:t>שוק המניות להשפע</w:t>
      </w:r>
      <w:r w:rsidR="00D04D1D" w:rsidRPr="00F77E2E">
        <w:rPr>
          <w:rFonts w:ascii="David" w:hAnsi="David" w:cs="David"/>
          <w:sz w:val="24"/>
          <w:szCs w:val="24"/>
          <w:rtl/>
        </w:rPr>
        <w:t xml:space="preserve">ת האירועים </w:t>
      </w:r>
      <w:r w:rsidR="00B6295A" w:rsidRPr="00F77E2E">
        <w:rPr>
          <w:rFonts w:ascii="David" w:hAnsi="David" w:cs="David"/>
          <w:sz w:val="24"/>
          <w:szCs w:val="24"/>
          <w:rtl/>
        </w:rPr>
        <w:t xml:space="preserve">בחברות </w:t>
      </w:r>
      <w:r w:rsidR="00CA35BE" w:rsidRPr="00F77E2E">
        <w:rPr>
          <w:rFonts w:ascii="David" w:hAnsi="David" w:cs="David"/>
          <w:sz w:val="24"/>
          <w:szCs w:val="24"/>
          <w:rtl/>
        </w:rPr>
        <w:t>"</w:t>
      </w:r>
      <w:proofErr w:type="spellStart"/>
      <w:r w:rsidR="00B6295A" w:rsidRPr="00F77E2E">
        <w:rPr>
          <w:rFonts w:ascii="David" w:hAnsi="David" w:cs="David"/>
          <w:sz w:val="24"/>
          <w:szCs w:val="24"/>
          <w:rtl/>
        </w:rPr>
        <w:t>יונט</w:t>
      </w:r>
      <w:proofErr w:type="spellEnd"/>
      <w:r w:rsidR="00CA35BE" w:rsidRPr="00F77E2E">
        <w:rPr>
          <w:rFonts w:ascii="David" w:hAnsi="David" w:cs="David"/>
          <w:sz w:val="24"/>
          <w:szCs w:val="24"/>
          <w:rtl/>
        </w:rPr>
        <w:t xml:space="preserve"> קרדיט"</w:t>
      </w:r>
      <w:r w:rsidR="00B6295A" w:rsidRPr="00F77E2E">
        <w:rPr>
          <w:rFonts w:ascii="David" w:hAnsi="David" w:cs="David"/>
          <w:sz w:val="24"/>
          <w:szCs w:val="24"/>
          <w:rtl/>
        </w:rPr>
        <w:t xml:space="preserve"> ו</w:t>
      </w:r>
      <w:r w:rsidR="00CA35BE" w:rsidRPr="00F77E2E">
        <w:rPr>
          <w:rFonts w:ascii="David" w:hAnsi="David" w:cs="David"/>
          <w:sz w:val="24"/>
          <w:szCs w:val="24"/>
          <w:rtl/>
        </w:rPr>
        <w:t>"</w:t>
      </w:r>
      <w:r w:rsidR="00B6295A" w:rsidRPr="00F77E2E">
        <w:rPr>
          <w:rFonts w:ascii="David" w:hAnsi="David" w:cs="David"/>
          <w:sz w:val="24"/>
          <w:szCs w:val="24"/>
          <w:rtl/>
        </w:rPr>
        <w:t>גיבוי</w:t>
      </w:r>
      <w:r w:rsidR="00CA35BE" w:rsidRPr="00F77E2E">
        <w:rPr>
          <w:rFonts w:ascii="David" w:hAnsi="David" w:cs="David"/>
          <w:sz w:val="24"/>
          <w:szCs w:val="24"/>
          <w:rtl/>
        </w:rPr>
        <w:t xml:space="preserve"> אחזקות"</w:t>
      </w:r>
      <w:r w:rsidR="00B6295A" w:rsidRPr="00F77E2E">
        <w:rPr>
          <w:rFonts w:ascii="David" w:hAnsi="David" w:cs="David"/>
          <w:sz w:val="24"/>
          <w:szCs w:val="24"/>
          <w:rtl/>
        </w:rPr>
        <w:t xml:space="preserve"> על החברות האחרות </w:t>
      </w:r>
      <w:r w:rsidR="00CA35BE" w:rsidRPr="00F77E2E">
        <w:rPr>
          <w:rFonts w:ascii="David" w:hAnsi="David" w:cs="David"/>
          <w:sz w:val="24"/>
          <w:szCs w:val="24"/>
          <w:rtl/>
        </w:rPr>
        <w:t xml:space="preserve">שכלולות </w:t>
      </w:r>
      <w:r w:rsidR="00B6295A" w:rsidRPr="00F77E2E">
        <w:rPr>
          <w:rFonts w:ascii="David" w:hAnsi="David" w:cs="David"/>
          <w:sz w:val="24"/>
          <w:szCs w:val="24"/>
          <w:rtl/>
        </w:rPr>
        <w:t>בענף האשראי ה</w:t>
      </w:r>
      <w:r w:rsidR="000D4A1A" w:rsidRPr="00F77E2E">
        <w:rPr>
          <w:rFonts w:ascii="David" w:hAnsi="David" w:cs="David"/>
          <w:sz w:val="24"/>
          <w:szCs w:val="24"/>
          <w:rtl/>
        </w:rPr>
        <w:t>חוץ-ב</w:t>
      </w:r>
      <w:r w:rsidR="00B6295A" w:rsidRPr="00F77E2E">
        <w:rPr>
          <w:rFonts w:ascii="David" w:hAnsi="David" w:cs="David"/>
          <w:sz w:val="24"/>
          <w:szCs w:val="24"/>
          <w:rtl/>
        </w:rPr>
        <w:t>נקאי</w:t>
      </w:r>
      <w:r w:rsidR="008B143F" w:rsidRPr="00F77E2E">
        <w:rPr>
          <w:rFonts w:ascii="David" w:hAnsi="David" w:cs="David"/>
          <w:sz w:val="24"/>
          <w:szCs w:val="24"/>
          <w:rtl/>
        </w:rPr>
        <w:t xml:space="preserve">. </w:t>
      </w:r>
      <w:r w:rsidR="00D24986" w:rsidRPr="00F77E2E">
        <w:rPr>
          <w:rFonts w:ascii="David" w:hAnsi="David" w:cs="David"/>
          <w:sz w:val="24"/>
          <w:szCs w:val="24"/>
          <w:rtl/>
        </w:rPr>
        <w:t xml:space="preserve">זאת </w:t>
      </w:r>
      <w:r w:rsidR="00B6295A" w:rsidRPr="00F77E2E">
        <w:rPr>
          <w:rFonts w:ascii="David" w:hAnsi="David" w:cs="David"/>
          <w:sz w:val="24"/>
          <w:szCs w:val="24"/>
          <w:rtl/>
        </w:rPr>
        <w:t>על-בסיס ה</w:t>
      </w:r>
      <w:r w:rsidR="00D24986" w:rsidRPr="00F77E2E">
        <w:rPr>
          <w:rFonts w:ascii="David" w:hAnsi="David" w:cs="David"/>
          <w:sz w:val="24"/>
          <w:szCs w:val="24"/>
          <w:rtl/>
        </w:rPr>
        <w:t xml:space="preserve">הבנה כי </w:t>
      </w:r>
      <w:r w:rsidR="00B6295A" w:rsidRPr="00F77E2E">
        <w:rPr>
          <w:rFonts w:ascii="David" w:hAnsi="David" w:cs="David"/>
          <w:sz w:val="24"/>
          <w:szCs w:val="24"/>
          <w:rtl/>
        </w:rPr>
        <w:t xml:space="preserve">השווקים </w:t>
      </w:r>
      <w:r w:rsidR="00D24986" w:rsidRPr="00F77E2E">
        <w:rPr>
          <w:rFonts w:ascii="David" w:hAnsi="David" w:cs="David"/>
          <w:sz w:val="24"/>
          <w:szCs w:val="24"/>
          <w:rtl/>
        </w:rPr>
        <w:t>הפיננסים</w:t>
      </w:r>
      <w:r w:rsidR="00B6295A" w:rsidRPr="00F77E2E">
        <w:rPr>
          <w:rFonts w:ascii="David" w:hAnsi="David" w:cs="David"/>
          <w:sz w:val="24"/>
          <w:szCs w:val="24"/>
          <w:rtl/>
        </w:rPr>
        <w:t xml:space="preserve"> יכולים לשמש כאינדיקטור מוביל </w:t>
      </w:r>
      <w:r w:rsidR="005664C0" w:rsidRPr="00F77E2E">
        <w:rPr>
          <w:rFonts w:ascii="David" w:hAnsi="David" w:cs="David"/>
          <w:sz w:val="24"/>
          <w:szCs w:val="24"/>
          <w:rtl/>
        </w:rPr>
        <w:t xml:space="preserve">להערכה </w:t>
      </w:r>
      <w:r w:rsidR="00CA35BE" w:rsidRPr="00F77E2E">
        <w:rPr>
          <w:rFonts w:ascii="David" w:hAnsi="David" w:cs="David"/>
          <w:sz w:val="24"/>
          <w:szCs w:val="24"/>
          <w:rtl/>
        </w:rPr>
        <w:t>של</w:t>
      </w:r>
      <w:r w:rsidR="00B6295A" w:rsidRPr="00F77E2E">
        <w:rPr>
          <w:rFonts w:ascii="David" w:hAnsi="David" w:cs="David"/>
          <w:sz w:val="24"/>
          <w:szCs w:val="24"/>
          <w:rtl/>
        </w:rPr>
        <w:t xml:space="preserve"> השפע</w:t>
      </w:r>
      <w:r w:rsidR="00CA35BE" w:rsidRPr="00F77E2E">
        <w:rPr>
          <w:rFonts w:ascii="David" w:hAnsi="David" w:cs="David"/>
          <w:sz w:val="24"/>
          <w:szCs w:val="24"/>
          <w:rtl/>
        </w:rPr>
        <w:t>תם</w:t>
      </w:r>
      <w:r w:rsidR="00B6295A" w:rsidRPr="00F77E2E">
        <w:rPr>
          <w:rFonts w:ascii="David" w:hAnsi="David" w:cs="David"/>
          <w:sz w:val="24"/>
          <w:szCs w:val="24"/>
          <w:rtl/>
        </w:rPr>
        <w:t xml:space="preserve"> העתידית של אירועים בהווה</w:t>
      </w:r>
      <w:r w:rsidR="00A81EF5" w:rsidRPr="00F77E2E">
        <w:rPr>
          <w:rFonts w:ascii="David" w:hAnsi="David" w:cs="David"/>
          <w:sz w:val="24"/>
          <w:szCs w:val="24"/>
          <w:rtl/>
        </w:rPr>
        <w:t xml:space="preserve"> ו</w:t>
      </w:r>
      <w:r w:rsidR="00F82296" w:rsidRPr="00F77E2E">
        <w:rPr>
          <w:rFonts w:ascii="David" w:hAnsi="David" w:cs="David"/>
          <w:sz w:val="24"/>
          <w:szCs w:val="24"/>
          <w:rtl/>
        </w:rPr>
        <w:t>לנוכח הפער</w:t>
      </w:r>
      <w:r w:rsidR="005664C0" w:rsidRPr="00F77E2E">
        <w:rPr>
          <w:rFonts w:ascii="David" w:hAnsi="David" w:cs="David"/>
          <w:sz w:val="24"/>
          <w:szCs w:val="24"/>
          <w:rtl/>
        </w:rPr>
        <w:t>ים</w:t>
      </w:r>
      <w:r w:rsidR="00F82296" w:rsidRPr="00F77E2E">
        <w:rPr>
          <w:rFonts w:ascii="David" w:hAnsi="David" w:cs="David"/>
          <w:sz w:val="24"/>
          <w:szCs w:val="24"/>
          <w:rtl/>
        </w:rPr>
        <w:t xml:space="preserve"> בין עמדות</w:t>
      </w:r>
      <w:r w:rsidR="005664C0" w:rsidRPr="00F77E2E">
        <w:rPr>
          <w:rFonts w:ascii="David" w:hAnsi="David" w:cs="David"/>
          <w:sz w:val="24"/>
          <w:szCs w:val="24"/>
          <w:rtl/>
        </w:rPr>
        <w:t>יהם של</w:t>
      </w:r>
      <w:r w:rsidR="00F82296" w:rsidRPr="00F77E2E">
        <w:rPr>
          <w:rFonts w:ascii="David" w:hAnsi="David" w:cs="David"/>
          <w:sz w:val="24"/>
          <w:szCs w:val="24"/>
          <w:rtl/>
        </w:rPr>
        <w:t xml:space="preserve"> הגורמים המקצועיים השונים ו</w:t>
      </w:r>
      <w:r w:rsidR="005664C0" w:rsidRPr="00F77E2E">
        <w:rPr>
          <w:rFonts w:ascii="David" w:hAnsi="David" w:cs="David"/>
          <w:sz w:val="24"/>
          <w:szCs w:val="24"/>
          <w:rtl/>
        </w:rPr>
        <w:t xml:space="preserve">של </w:t>
      </w:r>
      <w:r w:rsidR="00F82296" w:rsidRPr="00F77E2E">
        <w:rPr>
          <w:rFonts w:ascii="David" w:hAnsi="David" w:cs="David"/>
          <w:sz w:val="24"/>
          <w:szCs w:val="24"/>
          <w:rtl/>
        </w:rPr>
        <w:t>הדיון הציבורי הער בנושא</w:t>
      </w:r>
      <w:r w:rsidR="00A81EF5" w:rsidRPr="00F77E2E">
        <w:rPr>
          <w:rFonts w:ascii="David" w:hAnsi="David" w:cs="David"/>
          <w:sz w:val="24"/>
          <w:szCs w:val="24"/>
          <w:rtl/>
        </w:rPr>
        <w:t>.</w:t>
      </w:r>
      <w:r w:rsidR="00F82296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8B143F" w:rsidRPr="00F77E2E">
        <w:rPr>
          <w:rFonts w:ascii="David" w:hAnsi="David" w:cs="David"/>
          <w:sz w:val="24"/>
          <w:szCs w:val="24"/>
          <w:rtl/>
        </w:rPr>
        <w:t>שוק המניות הוא בבחינת "סקר עם תמריצים" לגבי תוצאות עתידיות, והוא מספק מידע שימושי, בייחוד במצבים מורכבים ומתפתחים (</w:t>
      </w:r>
      <w:r w:rsidR="008B143F" w:rsidRPr="00F77E2E">
        <w:rPr>
          <w:rFonts w:ascii="David" w:hAnsi="David" w:cs="David"/>
          <w:sz w:val="24"/>
          <w:szCs w:val="24"/>
        </w:rPr>
        <w:t>Wagner, 2020</w:t>
      </w:r>
      <w:r w:rsidR="008B143F" w:rsidRPr="00F77E2E">
        <w:rPr>
          <w:rFonts w:ascii="David" w:hAnsi="David" w:cs="David"/>
          <w:sz w:val="24"/>
          <w:szCs w:val="24"/>
          <w:rtl/>
        </w:rPr>
        <w:t xml:space="preserve">). זאת </w:t>
      </w:r>
      <w:r w:rsidR="001E3FBB" w:rsidRPr="00F77E2E">
        <w:rPr>
          <w:rFonts w:ascii="David" w:hAnsi="David" w:cs="David"/>
          <w:sz w:val="24"/>
          <w:szCs w:val="24"/>
          <w:rtl/>
        </w:rPr>
        <w:t xml:space="preserve">בזכות </w:t>
      </w:r>
      <w:r w:rsidR="00F82296" w:rsidRPr="00F77E2E">
        <w:rPr>
          <w:rFonts w:ascii="David" w:hAnsi="David" w:cs="David"/>
          <w:sz w:val="24"/>
          <w:szCs w:val="24"/>
          <w:rtl/>
        </w:rPr>
        <w:t>השילוב של מגוון</w:t>
      </w:r>
      <w:r w:rsidR="005664C0" w:rsidRPr="00F77E2E">
        <w:rPr>
          <w:rFonts w:ascii="David" w:hAnsi="David" w:cs="David"/>
          <w:sz w:val="24"/>
          <w:szCs w:val="24"/>
          <w:rtl/>
        </w:rPr>
        <w:t xml:space="preserve"> של פעילי שוק</w:t>
      </w:r>
      <w:r w:rsidR="00F82296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5664C0" w:rsidRPr="00F77E2E">
        <w:rPr>
          <w:rFonts w:ascii="David" w:hAnsi="David" w:cs="David"/>
          <w:sz w:val="24"/>
          <w:szCs w:val="24"/>
          <w:rtl/>
        </w:rPr>
        <w:t>(</w:t>
      </w:r>
      <w:r w:rsidR="00F82296" w:rsidRPr="00F77E2E">
        <w:rPr>
          <w:rFonts w:ascii="David" w:hAnsi="David" w:cs="David"/>
          <w:sz w:val="24"/>
          <w:szCs w:val="24"/>
          <w:rtl/>
        </w:rPr>
        <w:t>שחקנים</w:t>
      </w:r>
      <w:r w:rsidR="005664C0" w:rsidRPr="00F77E2E">
        <w:rPr>
          <w:rFonts w:ascii="David" w:hAnsi="David" w:cs="David"/>
          <w:sz w:val="24"/>
          <w:szCs w:val="24"/>
          <w:rtl/>
        </w:rPr>
        <w:t>)</w:t>
      </w:r>
      <w:r w:rsidR="00F82296" w:rsidRPr="00F77E2E">
        <w:rPr>
          <w:rFonts w:ascii="David" w:hAnsi="David" w:cs="David"/>
          <w:sz w:val="24"/>
          <w:szCs w:val="24"/>
          <w:rtl/>
        </w:rPr>
        <w:t xml:space="preserve">, </w:t>
      </w:r>
      <w:r w:rsidR="005664C0" w:rsidRPr="00F77E2E">
        <w:rPr>
          <w:rFonts w:ascii="David" w:hAnsi="David" w:cs="David"/>
          <w:sz w:val="24"/>
          <w:szCs w:val="24"/>
          <w:rtl/>
        </w:rPr>
        <w:t xml:space="preserve">בלתי אחידים </w:t>
      </w:r>
      <w:r w:rsidR="00F82296" w:rsidRPr="00F77E2E">
        <w:rPr>
          <w:rFonts w:ascii="David" w:hAnsi="David" w:cs="David"/>
          <w:sz w:val="24"/>
          <w:szCs w:val="24"/>
          <w:rtl/>
        </w:rPr>
        <w:t xml:space="preserve">בעמדותיהם, ביכולת הניתוח שלהם </w:t>
      </w:r>
      <w:r w:rsidR="005664C0" w:rsidRPr="00F77E2E">
        <w:rPr>
          <w:rFonts w:ascii="David" w:hAnsi="David" w:cs="David"/>
          <w:sz w:val="24"/>
          <w:szCs w:val="24"/>
          <w:rtl/>
        </w:rPr>
        <w:t xml:space="preserve">ובמידע שיש </w:t>
      </w:r>
      <w:r w:rsidR="00F82296" w:rsidRPr="00F77E2E">
        <w:rPr>
          <w:rFonts w:ascii="David" w:hAnsi="David" w:cs="David"/>
          <w:sz w:val="24"/>
          <w:szCs w:val="24"/>
          <w:rtl/>
        </w:rPr>
        <w:t>ברשותם, לצד התמריצים שיוצרת השקע</w:t>
      </w:r>
      <w:r w:rsidR="005664C0" w:rsidRPr="00F77E2E">
        <w:rPr>
          <w:rFonts w:ascii="David" w:hAnsi="David" w:cs="David"/>
          <w:sz w:val="24"/>
          <w:szCs w:val="24"/>
          <w:rtl/>
        </w:rPr>
        <w:t>תם</w:t>
      </w:r>
      <w:r w:rsidR="00F82296" w:rsidRPr="00F77E2E">
        <w:rPr>
          <w:rFonts w:ascii="David" w:hAnsi="David" w:cs="David"/>
          <w:sz w:val="24"/>
          <w:szCs w:val="24"/>
          <w:rtl/>
        </w:rPr>
        <w:t xml:space="preserve"> של סכומים ניכרים על ידי השחקנים הללו.</w:t>
      </w:r>
    </w:p>
    <w:p w:rsidR="006555FA" w:rsidRPr="00F77E2E" w:rsidRDefault="006555FA" w:rsidP="00F70C38">
      <w:pPr>
        <w:pStyle w:val="1"/>
        <w:numPr>
          <w:ilvl w:val="0"/>
          <w:numId w:val="2"/>
        </w:numPr>
        <w:bidi/>
        <w:rPr>
          <w:rFonts w:ascii="David" w:hAnsi="David" w:cs="David"/>
          <w:color w:val="auto"/>
          <w:sz w:val="24"/>
          <w:szCs w:val="24"/>
          <w:rtl/>
        </w:rPr>
      </w:pPr>
      <w:r w:rsidRPr="00F77E2E">
        <w:rPr>
          <w:rFonts w:ascii="David" w:hAnsi="David" w:cs="David"/>
          <w:color w:val="auto"/>
          <w:sz w:val="24"/>
          <w:szCs w:val="24"/>
          <w:rtl/>
        </w:rPr>
        <w:t>קו הזמן</w:t>
      </w:r>
      <w:r w:rsidR="00F70C38" w:rsidRPr="00F77E2E">
        <w:rPr>
          <w:rFonts w:ascii="David" w:hAnsi="David" w:cs="David"/>
          <w:color w:val="auto"/>
          <w:sz w:val="24"/>
          <w:szCs w:val="24"/>
          <w:rtl/>
        </w:rPr>
        <w:t xml:space="preserve"> והשפעת האירועים על החברות המעורבות</w:t>
      </w:r>
    </w:p>
    <w:p w:rsidR="0088007F" w:rsidRPr="00F77E2E" w:rsidRDefault="005649E0" w:rsidP="00193AC4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77E2E">
        <w:rPr>
          <w:rFonts w:ascii="David" w:hAnsi="David" w:cs="David"/>
          <w:sz w:val="24"/>
          <w:szCs w:val="24"/>
          <w:rtl/>
        </w:rPr>
        <w:t xml:space="preserve"> </w:t>
      </w:r>
      <w:r w:rsidR="00F70C38" w:rsidRPr="00F77E2E">
        <w:rPr>
          <w:rFonts w:ascii="David" w:hAnsi="David" w:cs="David"/>
          <w:sz w:val="24"/>
          <w:szCs w:val="24"/>
          <w:rtl/>
        </w:rPr>
        <w:t xml:space="preserve">שורה של אירועים </w:t>
      </w:r>
      <w:r w:rsidR="00B520E2" w:rsidRPr="00F77E2E">
        <w:rPr>
          <w:rFonts w:ascii="David" w:hAnsi="David" w:cs="David"/>
          <w:sz w:val="24"/>
          <w:szCs w:val="24"/>
          <w:rtl/>
        </w:rPr>
        <w:t>לאורך התקופה שבין</w:t>
      </w:r>
      <w:r w:rsidR="005664C0" w:rsidRPr="00F77E2E">
        <w:rPr>
          <w:rFonts w:ascii="David" w:hAnsi="David" w:cs="David"/>
          <w:sz w:val="24"/>
          <w:szCs w:val="24"/>
          <w:rtl/>
        </w:rPr>
        <w:t xml:space="preserve"> החודשים</w:t>
      </w:r>
      <w:r w:rsidR="00B520E2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1A774F" w:rsidRPr="00F77E2E">
        <w:rPr>
          <w:rFonts w:ascii="David" w:hAnsi="David" w:cs="David"/>
          <w:sz w:val="24"/>
          <w:szCs w:val="24"/>
          <w:rtl/>
        </w:rPr>
        <w:t>מאי</w:t>
      </w:r>
      <w:r w:rsidR="00B520E2" w:rsidRPr="00F77E2E">
        <w:rPr>
          <w:rFonts w:ascii="David" w:hAnsi="David" w:cs="David"/>
          <w:sz w:val="24"/>
          <w:szCs w:val="24"/>
          <w:rtl/>
        </w:rPr>
        <w:t xml:space="preserve"> לאוגוסט 2022</w:t>
      </w:r>
      <w:r w:rsidR="00F70C38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B520E2" w:rsidRPr="00F77E2E">
        <w:rPr>
          <w:rFonts w:ascii="David" w:hAnsi="David" w:cs="David"/>
          <w:sz w:val="24"/>
          <w:szCs w:val="24"/>
          <w:rtl/>
        </w:rPr>
        <w:t>חשפו בעיות חמורות בהתנהלות</w:t>
      </w:r>
      <w:r w:rsidR="00947E6C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B520E2" w:rsidRPr="00F77E2E">
        <w:rPr>
          <w:rFonts w:ascii="David" w:hAnsi="David" w:cs="David"/>
          <w:sz w:val="24"/>
          <w:szCs w:val="24"/>
          <w:rtl/>
        </w:rPr>
        <w:t>החברות</w:t>
      </w:r>
      <w:r w:rsidR="00F70C38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5664C0" w:rsidRPr="00F77E2E">
        <w:rPr>
          <w:rFonts w:ascii="David" w:hAnsi="David" w:cs="David"/>
          <w:sz w:val="24"/>
          <w:szCs w:val="24"/>
          <w:rtl/>
        </w:rPr>
        <w:t>"</w:t>
      </w:r>
      <w:proofErr w:type="spellStart"/>
      <w:r w:rsidR="005664C0" w:rsidRPr="00F77E2E">
        <w:rPr>
          <w:rFonts w:ascii="David" w:hAnsi="David" w:cs="David"/>
          <w:sz w:val="24"/>
          <w:szCs w:val="24"/>
          <w:rtl/>
        </w:rPr>
        <w:t>יונט</w:t>
      </w:r>
      <w:proofErr w:type="spellEnd"/>
      <w:r w:rsidR="005664C0" w:rsidRPr="00F77E2E">
        <w:rPr>
          <w:rFonts w:ascii="David" w:hAnsi="David" w:cs="David"/>
          <w:sz w:val="24"/>
          <w:szCs w:val="24"/>
          <w:rtl/>
        </w:rPr>
        <w:t xml:space="preserve"> קרדיט" </w:t>
      </w:r>
      <w:r w:rsidR="00F70C38" w:rsidRPr="00F77E2E">
        <w:rPr>
          <w:rFonts w:ascii="David" w:hAnsi="David" w:cs="David"/>
          <w:sz w:val="24"/>
          <w:szCs w:val="24"/>
          <w:rtl/>
        </w:rPr>
        <w:t>ו</w:t>
      </w:r>
      <w:r w:rsidR="005664C0" w:rsidRPr="00F77E2E">
        <w:rPr>
          <w:rFonts w:ascii="David" w:hAnsi="David" w:cs="David"/>
          <w:sz w:val="24"/>
          <w:szCs w:val="24"/>
          <w:rtl/>
        </w:rPr>
        <w:t>"</w:t>
      </w:r>
      <w:r w:rsidR="00F70C38" w:rsidRPr="00F77E2E">
        <w:rPr>
          <w:rFonts w:ascii="David" w:hAnsi="David" w:cs="David"/>
          <w:sz w:val="24"/>
          <w:szCs w:val="24"/>
          <w:rtl/>
        </w:rPr>
        <w:t>גיבוי אחזקות</w:t>
      </w:r>
      <w:r w:rsidR="005664C0" w:rsidRPr="00F77E2E">
        <w:rPr>
          <w:rFonts w:ascii="David" w:hAnsi="David" w:cs="David"/>
          <w:sz w:val="24"/>
          <w:szCs w:val="24"/>
          <w:rtl/>
        </w:rPr>
        <w:t>"</w:t>
      </w:r>
      <w:r w:rsidR="00F70C38" w:rsidRPr="00F77E2E">
        <w:rPr>
          <w:rFonts w:ascii="David" w:hAnsi="David" w:cs="David"/>
          <w:sz w:val="24"/>
          <w:szCs w:val="24"/>
          <w:rtl/>
        </w:rPr>
        <w:t>. אירועים אלה</w:t>
      </w:r>
      <w:r w:rsidR="00B520E2" w:rsidRPr="00F77E2E">
        <w:rPr>
          <w:rFonts w:ascii="David" w:hAnsi="David" w:cs="David"/>
          <w:sz w:val="24"/>
          <w:szCs w:val="24"/>
          <w:rtl/>
        </w:rPr>
        <w:t xml:space="preserve"> הוביל</w:t>
      </w:r>
      <w:r w:rsidR="00F70C38" w:rsidRPr="00F77E2E">
        <w:rPr>
          <w:rFonts w:ascii="David" w:hAnsi="David" w:cs="David"/>
          <w:sz w:val="24"/>
          <w:szCs w:val="24"/>
          <w:rtl/>
        </w:rPr>
        <w:t>ו</w:t>
      </w:r>
      <w:r w:rsidR="00B520E2" w:rsidRPr="00F77E2E">
        <w:rPr>
          <w:rFonts w:ascii="David" w:hAnsi="David" w:cs="David"/>
          <w:sz w:val="24"/>
          <w:szCs w:val="24"/>
          <w:rtl/>
        </w:rPr>
        <w:t xml:space="preserve"> לקריסת מניותיהן, חשש ליכולתן לשלם את חובותיהן ואף לחקירות על-ידי </w:t>
      </w:r>
      <w:r w:rsidR="005664C0" w:rsidRPr="00F77E2E">
        <w:rPr>
          <w:rFonts w:ascii="David" w:hAnsi="David" w:cs="David"/>
          <w:sz w:val="24"/>
          <w:szCs w:val="24"/>
          <w:rtl/>
        </w:rPr>
        <w:t xml:space="preserve">גופי האסדרה </w:t>
      </w:r>
      <w:r w:rsidR="00B520E2" w:rsidRPr="00F77E2E">
        <w:rPr>
          <w:rFonts w:ascii="David" w:hAnsi="David" w:cs="David"/>
          <w:sz w:val="24"/>
          <w:szCs w:val="24"/>
          <w:rtl/>
        </w:rPr>
        <w:t>והמשטרה</w:t>
      </w:r>
      <w:r w:rsidR="005929F0" w:rsidRPr="00F77E2E">
        <w:rPr>
          <w:rFonts w:ascii="David" w:hAnsi="David" w:cs="David"/>
          <w:sz w:val="24"/>
          <w:szCs w:val="24"/>
          <w:rtl/>
        </w:rPr>
        <w:t xml:space="preserve">. האירועים </w:t>
      </w:r>
      <w:r w:rsidR="005664C0" w:rsidRPr="00F77E2E">
        <w:rPr>
          <w:rFonts w:ascii="David" w:hAnsi="David" w:cs="David"/>
          <w:sz w:val="24"/>
          <w:szCs w:val="24"/>
          <w:rtl/>
        </w:rPr>
        <w:t xml:space="preserve">הקשורים </w:t>
      </w:r>
      <w:r w:rsidR="00882AAF" w:rsidRPr="00F77E2E">
        <w:rPr>
          <w:rFonts w:ascii="David" w:hAnsi="David" w:cs="David"/>
          <w:sz w:val="24"/>
          <w:szCs w:val="24"/>
          <w:rtl/>
        </w:rPr>
        <w:t xml:space="preserve">נוטרו </w:t>
      </w:r>
      <w:r w:rsidR="004F7247" w:rsidRPr="00F77E2E">
        <w:rPr>
          <w:rFonts w:ascii="David" w:hAnsi="David" w:cs="David"/>
          <w:sz w:val="24"/>
          <w:szCs w:val="24"/>
          <w:rtl/>
        </w:rPr>
        <w:t>באמצעות</w:t>
      </w:r>
      <w:r w:rsidR="005929F0" w:rsidRPr="00F77E2E">
        <w:rPr>
          <w:rFonts w:ascii="David" w:hAnsi="David" w:cs="David"/>
          <w:sz w:val="24"/>
          <w:szCs w:val="24"/>
          <w:rtl/>
        </w:rPr>
        <w:t xml:space="preserve"> חיפוש בדיווחים של </w:t>
      </w:r>
      <w:r w:rsidR="005664C0" w:rsidRPr="00F77E2E">
        <w:rPr>
          <w:rFonts w:ascii="David" w:hAnsi="David" w:cs="David"/>
          <w:sz w:val="24"/>
          <w:szCs w:val="24"/>
          <w:rtl/>
        </w:rPr>
        <w:t>"</w:t>
      </w:r>
      <w:proofErr w:type="spellStart"/>
      <w:r w:rsidR="005664C0" w:rsidRPr="00F77E2E">
        <w:rPr>
          <w:rFonts w:ascii="David" w:hAnsi="David" w:cs="David"/>
          <w:sz w:val="24"/>
          <w:szCs w:val="24"/>
          <w:rtl/>
        </w:rPr>
        <w:t>יונט</w:t>
      </w:r>
      <w:proofErr w:type="spellEnd"/>
      <w:r w:rsidR="005664C0" w:rsidRPr="00F77E2E">
        <w:rPr>
          <w:rFonts w:ascii="David" w:hAnsi="David" w:cs="David"/>
          <w:sz w:val="24"/>
          <w:szCs w:val="24"/>
          <w:rtl/>
        </w:rPr>
        <w:t xml:space="preserve"> קרדיט" ושל "גיבוי אחזקות" </w:t>
      </w:r>
      <w:r w:rsidR="008D2E8D" w:rsidRPr="00F77E2E">
        <w:rPr>
          <w:rFonts w:ascii="David" w:hAnsi="David" w:cs="David"/>
          <w:sz w:val="24"/>
          <w:szCs w:val="24"/>
          <w:rtl/>
        </w:rPr>
        <w:t xml:space="preserve">לציבור </w:t>
      </w:r>
      <w:r w:rsidR="005929F0" w:rsidRPr="00F77E2E">
        <w:rPr>
          <w:rFonts w:ascii="David" w:hAnsi="David" w:cs="David"/>
          <w:sz w:val="24"/>
          <w:szCs w:val="24"/>
          <w:rtl/>
        </w:rPr>
        <w:t xml:space="preserve">במערכת </w:t>
      </w:r>
      <w:r w:rsidR="005664C0" w:rsidRPr="00F77E2E">
        <w:rPr>
          <w:rFonts w:ascii="David" w:hAnsi="David" w:cs="David"/>
          <w:sz w:val="24"/>
          <w:szCs w:val="24"/>
          <w:rtl/>
        </w:rPr>
        <w:t xml:space="preserve">"מאיה" </w:t>
      </w:r>
      <w:r w:rsidR="006F0CE7" w:rsidRPr="00F77E2E">
        <w:rPr>
          <w:rFonts w:ascii="David" w:hAnsi="David" w:cs="David"/>
          <w:sz w:val="24"/>
          <w:szCs w:val="24"/>
          <w:rtl/>
        </w:rPr>
        <w:t>של הבורסה לניירות ערך בתל</w:t>
      </w:r>
      <w:r w:rsidR="008D2E8D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6F0CE7" w:rsidRPr="00F77E2E">
        <w:rPr>
          <w:rFonts w:ascii="David" w:hAnsi="David" w:cs="David"/>
          <w:sz w:val="24"/>
          <w:szCs w:val="24"/>
          <w:rtl/>
        </w:rPr>
        <w:t>א</w:t>
      </w:r>
      <w:bookmarkStart w:id="0" w:name="_GoBack"/>
      <w:bookmarkEnd w:id="0"/>
      <w:r w:rsidR="006F0CE7" w:rsidRPr="00F77E2E">
        <w:rPr>
          <w:rFonts w:ascii="David" w:hAnsi="David" w:cs="David"/>
          <w:sz w:val="24"/>
          <w:szCs w:val="24"/>
          <w:rtl/>
        </w:rPr>
        <w:t xml:space="preserve">ביב </w:t>
      </w:r>
      <w:r w:rsidR="008D2E8D" w:rsidRPr="00F77E2E">
        <w:rPr>
          <w:rFonts w:ascii="David" w:hAnsi="David" w:cs="David"/>
          <w:sz w:val="24"/>
          <w:szCs w:val="24"/>
          <w:rtl/>
        </w:rPr>
        <w:t>ו</w:t>
      </w:r>
      <w:r w:rsidR="006F0CE7" w:rsidRPr="00F77E2E">
        <w:rPr>
          <w:rFonts w:ascii="David" w:hAnsi="David" w:cs="David"/>
          <w:sz w:val="24"/>
          <w:szCs w:val="24"/>
          <w:rtl/>
        </w:rPr>
        <w:t xml:space="preserve">כן </w:t>
      </w:r>
      <w:r w:rsidR="008D2E8D" w:rsidRPr="00F77E2E">
        <w:rPr>
          <w:rFonts w:ascii="David" w:hAnsi="David" w:cs="David"/>
          <w:sz w:val="24"/>
          <w:szCs w:val="24"/>
          <w:rtl/>
        </w:rPr>
        <w:t>באמצעות</w:t>
      </w:r>
      <w:r w:rsidR="006F0CE7" w:rsidRPr="00F77E2E">
        <w:rPr>
          <w:rFonts w:ascii="David" w:hAnsi="David" w:cs="David"/>
          <w:sz w:val="24"/>
          <w:szCs w:val="24"/>
          <w:rtl/>
        </w:rPr>
        <w:t xml:space="preserve"> חיפוש ידיעות </w:t>
      </w:r>
      <w:r w:rsidR="005664C0" w:rsidRPr="00F77E2E">
        <w:rPr>
          <w:rFonts w:ascii="David" w:hAnsi="David" w:cs="David"/>
          <w:sz w:val="24"/>
          <w:szCs w:val="24"/>
          <w:rtl/>
        </w:rPr>
        <w:t xml:space="preserve">מתאימות </w:t>
      </w:r>
      <w:r w:rsidR="00067AA9" w:rsidRPr="00F77E2E">
        <w:rPr>
          <w:rFonts w:ascii="David" w:hAnsi="David" w:cs="David"/>
          <w:sz w:val="24"/>
          <w:szCs w:val="24"/>
          <w:rtl/>
        </w:rPr>
        <w:t>בתקשורת</w:t>
      </w:r>
      <w:r w:rsidR="004F7247" w:rsidRPr="00F77E2E">
        <w:rPr>
          <w:rFonts w:ascii="David" w:hAnsi="David" w:cs="David"/>
          <w:sz w:val="24"/>
          <w:szCs w:val="24"/>
          <w:rtl/>
        </w:rPr>
        <w:t>,</w:t>
      </w:r>
      <w:r w:rsidR="006F0CE7" w:rsidRPr="00F77E2E">
        <w:rPr>
          <w:rFonts w:ascii="David" w:hAnsi="David" w:cs="David"/>
          <w:sz w:val="24"/>
          <w:szCs w:val="24"/>
          <w:rtl/>
        </w:rPr>
        <w:t xml:space="preserve"> ב</w:t>
      </w:r>
      <w:r w:rsidR="008D2E8D" w:rsidRPr="00F77E2E">
        <w:rPr>
          <w:rFonts w:ascii="David" w:hAnsi="David" w:cs="David"/>
          <w:sz w:val="24"/>
          <w:szCs w:val="24"/>
          <w:rtl/>
        </w:rPr>
        <w:t>עזרת</w:t>
      </w:r>
      <w:r w:rsidR="00882AAF" w:rsidRPr="00F77E2E">
        <w:rPr>
          <w:rFonts w:ascii="David" w:hAnsi="David" w:cs="David"/>
          <w:sz w:val="24"/>
          <w:szCs w:val="24"/>
          <w:rtl/>
        </w:rPr>
        <w:t xml:space="preserve"> מנוע החיפוש של</w:t>
      </w:r>
      <w:r w:rsidR="008D2E8D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5664C0" w:rsidRPr="00F77E2E">
        <w:rPr>
          <w:rFonts w:ascii="David" w:hAnsi="David" w:cs="David"/>
          <w:sz w:val="24"/>
          <w:szCs w:val="24"/>
          <w:rtl/>
        </w:rPr>
        <w:t>"גוגל"</w:t>
      </w:r>
      <w:r w:rsidR="006F0CE7" w:rsidRPr="00F77E2E">
        <w:rPr>
          <w:rFonts w:ascii="David" w:hAnsi="David" w:cs="David"/>
          <w:sz w:val="24"/>
          <w:szCs w:val="24"/>
          <w:rtl/>
        </w:rPr>
        <w:t>.</w:t>
      </w:r>
      <w:r w:rsidR="00B520E2" w:rsidRPr="00F77E2E">
        <w:rPr>
          <w:rFonts w:ascii="David" w:hAnsi="David" w:cs="David"/>
          <w:sz w:val="24"/>
          <w:szCs w:val="24"/>
          <w:rtl/>
        </w:rPr>
        <w:t xml:space="preserve"> ההחלטה על האירועים המשמעותיים ביותר היא כמובן שאלה של שיקול דעת, אבל </w:t>
      </w:r>
      <w:r w:rsidR="005664C0" w:rsidRPr="00F77E2E">
        <w:rPr>
          <w:rFonts w:ascii="David" w:hAnsi="David" w:cs="David"/>
          <w:sz w:val="24"/>
          <w:szCs w:val="24"/>
          <w:rtl/>
        </w:rPr>
        <w:t xml:space="preserve">אנו </w:t>
      </w:r>
      <w:r w:rsidR="00B520E2" w:rsidRPr="00F77E2E">
        <w:rPr>
          <w:rFonts w:ascii="David" w:hAnsi="David" w:cs="David"/>
          <w:sz w:val="24"/>
          <w:szCs w:val="24"/>
          <w:rtl/>
        </w:rPr>
        <w:t xml:space="preserve">התבססנו לא </w:t>
      </w:r>
      <w:r w:rsidR="00B520E2" w:rsidRPr="00F77E2E">
        <w:rPr>
          <w:rFonts w:ascii="David" w:hAnsi="David" w:cs="David"/>
          <w:sz w:val="24"/>
          <w:szCs w:val="24"/>
          <w:rtl/>
        </w:rPr>
        <w:lastRenderedPageBreak/>
        <w:t>רק על נ</w:t>
      </w:r>
      <w:r w:rsidR="00CE41D7" w:rsidRPr="00F77E2E">
        <w:rPr>
          <w:rFonts w:ascii="David" w:hAnsi="David" w:cs="David"/>
          <w:sz w:val="24"/>
          <w:szCs w:val="24"/>
          <w:rtl/>
        </w:rPr>
        <w:t>י</w:t>
      </w:r>
      <w:r w:rsidR="00B520E2" w:rsidRPr="00F77E2E">
        <w:rPr>
          <w:rFonts w:ascii="David" w:hAnsi="David" w:cs="David"/>
          <w:sz w:val="24"/>
          <w:szCs w:val="24"/>
          <w:rtl/>
        </w:rPr>
        <w:t>סיון ומומחיות, אלא גם על תגובת המניות של החברות לאירועים הנבחנים</w:t>
      </w:r>
      <w:r w:rsidR="00F70C38" w:rsidRPr="00F77E2E">
        <w:rPr>
          <w:rFonts w:ascii="David" w:hAnsi="David" w:cs="David"/>
          <w:sz w:val="24"/>
          <w:szCs w:val="24"/>
          <w:rtl/>
        </w:rPr>
        <w:t xml:space="preserve"> (איור 1)</w:t>
      </w:r>
      <w:r w:rsidR="00B520E2" w:rsidRPr="00F77E2E">
        <w:rPr>
          <w:rStyle w:val="ac"/>
          <w:rFonts w:ascii="David" w:hAnsi="David" w:cs="David"/>
          <w:sz w:val="24"/>
          <w:szCs w:val="24"/>
          <w:rtl/>
        </w:rPr>
        <w:footnoteReference w:id="21"/>
      </w:r>
      <w:r w:rsidR="005664C0" w:rsidRPr="00F77E2E">
        <w:rPr>
          <w:rFonts w:ascii="David" w:hAnsi="David" w:cs="David"/>
          <w:sz w:val="24"/>
          <w:szCs w:val="24"/>
          <w:rtl/>
        </w:rPr>
        <w:t>.</w:t>
      </w:r>
      <w:r w:rsidR="005929F0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A71247" w:rsidRPr="00F77E2E">
        <w:rPr>
          <w:rFonts w:ascii="David" w:eastAsiaTheme="majorEastAsia" w:hAnsi="David" w:cs="David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2A662F5" wp14:editId="442EF1E6">
            <wp:simplePos x="0" y="0"/>
            <wp:positionH relativeFrom="column">
              <wp:posOffset>-236054</wp:posOffset>
            </wp:positionH>
            <wp:positionV relativeFrom="paragraph">
              <wp:posOffset>-2954</wp:posOffset>
            </wp:positionV>
            <wp:extent cx="2880000" cy="3960000"/>
            <wp:effectExtent l="0" t="0" r="15875" b="2540"/>
            <wp:wrapThrough wrapText="bothSides">
              <wp:wrapPolygon edited="0">
                <wp:start x="0" y="0"/>
                <wp:lineTo x="0" y="21510"/>
                <wp:lineTo x="21576" y="21510"/>
                <wp:lineTo x="21576" y="0"/>
                <wp:lineTo x="0" y="0"/>
              </wp:wrapPolygon>
            </wp:wrapThrough>
            <wp:docPr id="4" name="תרשים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6555FA" w:rsidRPr="00F77E2E">
        <w:rPr>
          <w:rFonts w:ascii="David" w:hAnsi="David" w:cs="David"/>
          <w:sz w:val="24"/>
          <w:szCs w:val="24"/>
          <w:rtl/>
        </w:rPr>
        <w:t xml:space="preserve">התשואה היומית הממוצעת של מניית </w:t>
      </w:r>
      <w:r w:rsidR="00C2113C" w:rsidRPr="00F77E2E">
        <w:rPr>
          <w:rFonts w:ascii="David" w:hAnsi="David" w:cs="David"/>
          <w:sz w:val="24"/>
          <w:szCs w:val="24"/>
          <w:rtl/>
        </w:rPr>
        <w:t xml:space="preserve">חברת </w:t>
      </w:r>
      <w:r w:rsidR="00F67E1B" w:rsidRPr="00F77E2E">
        <w:rPr>
          <w:rFonts w:ascii="David" w:hAnsi="David" w:cs="David"/>
          <w:sz w:val="24"/>
          <w:szCs w:val="24"/>
          <w:rtl/>
        </w:rPr>
        <w:t>"</w:t>
      </w:r>
      <w:proofErr w:type="spellStart"/>
      <w:r w:rsidR="00F67E1B" w:rsidRPr="00F77E2E">
        <w:rPr>
          <w:rFonts w:ascii="David" w:hAnsi="David" w:cs="David"/>
          <w:sz w:val="24"/>
          <w:szCs w:val="24"/>
          <w:rtl/>
        </w:rPr>
        <w:t>יונט</w:t>
      </w:r>
      <w:proofErr w:type="spellEnd"/>
      <w:r w:rsidR="00F67E1B" w:rsidRPr="00F77E2E">
        <w:rPr>
          <w:rFonts w:ascii="David" w:hAnsi="David" w:cs="David"/>
          <w:sz w:val="24"/>
          <w:szCs w:val="24"/>
          <w:rtl/>
        </w:rPr>
        <w:t xml:space="preserve"> קרדיט"</w:t>
      </w:r>
      <w:r w:rsidR="006555FA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2B7B83" w:rsidRPr="00F77E2E">
        <w:rPr>
          <w:rFonts w:ascii="David" w:hAnsi="David" w:cs="David"/>
          <w:sz w:val="24"/>
          <w:szCs w:val="24"/>
          <w:rtl/>
        </w:rPr>
        <w:t>ב</w:t>
      </w:r>
      <w:r w:rsidR="006555FA" w:rsidRPr="00F77E2E">
        <w:rPr>
          <w:rFonts w:ascii="David" w:hAnsi="David" w:cs="David"/>
          <w:sz w:val="24"/>
          <w:szCs w:val="24"/>
          <w:rtl/>
        </w:rPr>
        <w:t xml:space="preserve">ימים שבהם </w:t>
      </w:r>
      <w:r w:rsidR="00F67E1B" w:rsidRPr="00F77E2E">
        <w:rPr>
          <w:rFonts w:ascii="David" w:hAnsi="David" w:cs="David"/>
          <w:sz w:val="24"/>
          <w:szCs w:val="24"/>
          <w:rtl/>
        </w:rPr>
        <w:t xml:space="preserve">קרו </w:t>
      </w:r>
      <w:r w:rsidR="002B7B83" w:rsidRPr="00F77E2E">
        <w:rPr>
          <w:rFonts w:ascii="David" w:hAnsi="David" w:cs="David"/>
          <w:sz w:val="24"/>
          <w:szCs w:val="24"/>
          <w:rtl/>
        </w:rPr>
        <w:t>ה</w:t>
      </w:r>
      <w:r w:rsidR="006555FA" w:rsidRPr="00F77E2E">
        <w:rPr>
          <w:rFonts w:ascii="David" w:hAnsi="David" w:cs="David"/>
          <w:sz w:val="24"/>
          <w:szCs w:val="24"/>
          <w:rtl/>
        </w:rPr>
        <w:t xml:space="preserve">אירועים </w:t>
      </w:r>
      <w:r w:rsidR="002B7B83" w:rsidRPr="00F77E2E">
        <w:rPr>
          <w:rFonts w:ascii="David" w:hAnsi="David" w:cs="David"/>
          <w:sz w:val="24"/>
          <w:szCs w:val="24"/>
          <w:rtl/>
        </w:rPr>
        <w:t>ה</w:t>
      </w:r>
      <w:r w:rsidR="00C2113C" w:rsidRPr="00F77E2E">
        <w:rPr>
          <w:rFonts w:ascii="David" w:hAnsi="David" w:cs="David"/>
          <w:sz w:val="24"/>
          <w:szCs w:val="24"/>
          <w:rtl/>
        </w:rPr>
        <w:t>שליליים</w:t>
      </w:r>
      <w:r w:rsidR="002B7B83" w:rsidRPr="00F77E2E">
        <w:rPr>
          <w:rFonts w:ascii="David" w:hAnsi="David" w:cs="David"/>
          <w:sz w:val="24"/>
          <w:szCs w:val="24"/>
          <w:rtl/>
        </w:rPr>
        <w:t xml:space="preserve"> המשמעותיים הראשונים שזיהינו</w:t>
      </w:r>
      <w:r w:rsidR="00F67E1B" w:rsidRPr="00F77E2E">
        <w:rPr>
          <w:rFonts w:ascii="David" w:hAnsi="David" w:cs="David"/>
          <w:sz w:val="24"/>
          <w:szCs w:val="24"/>
          <w:rtl/>
        </w:rPr>
        <w:t>,</w:t>
      </w:r>
      <w:r w:rsidR="006555FA" w:rsidRPr="00F77E2E">
        <w:rPr>
          <w:rFonts w:ascii="David" w:hAnsi="David" w:cs="David"/>
          <w:sz w:val="24"/>
          <w:szCs w:val="24"/>
          <w:rtl/>
        </w:rPr>
        <w:t xml:space="preserve"> עמדה על</w:t>
      </w:r>
      <w:r w:rsidR="002B7B83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2B7B83" w:rsidRPr="00F77E2E">
        <w:rPr>
          <w:rFonts w:ascii="David" w:hAnsi="David" w:cs="David"/>
          <w:sz w:val="24"/>
          <w:szCs w:val="24"/>
        </w:rPr>
        <w:t>-17%</w:t>
      </w:r>
      <w:r w:rsidR="002B7B83" w:rsidRPr="00F77E2E">
        <w:rPr>
          <w:rFonts w:ascii="David" w:hAnsi="David" w:cs="David"/>
          <w:sz w:val="24"/>
          <w:szCs w:val="24"/>
          <w:rtl/>
        </w:rPr>
        <w:t xml:space="preserve"> בממוצע</w:t>
      </w:r>
      <w:r w:rsidR="006555FA" w:rsidRPr="00F77E2E">
        <w:rPr>
          <w:rFonts w:ascii="David" w:hAnsi="David" w:cs="David"/>
          <w:sz w:val="24"/>
          <w:szCs w:val="24"/>
          <w:rtl/>
        </w:rPr>
        <w:t>.</w:t>
      </w:r>
      <w:r w:rsidR="001F6A2A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2B7B83" w:rsidRPr="00F77E2E">
        <w:rPr>
          <w:rFonts w:ascii="David" w:hAnsi="David" w:cs="David"/>
          <w:sz w:val="24"/>
          <w:szCs w:val="24"/>
          <w:rtl/>
        </w:rPr>
        <w:t xml:space="preserve">מספר ימים לאחר מכן </w:t>
      </w:r>
      <w:r w:rsidR="00F67E1B" w:rsidRPr="00F77E2E">
        <w:rPr>
          <w:rFonts w:ascii="David" w:hAnsi="David" w:cs="David"/>
          <w:sz w:val="24"/>
          <w:szCs w:val="24"/>
          <w:rtl/>
        </w:rPr>
        <w:t xml:space="preserve">הופסק </w:t>
      </w:r>
      <w:r w:rsidR="002B7B83" w:rsidRPr="00F77E2E">
        <w:rPr>
          <w:rFonts w:ascii="David" w:hAnsi="David" w:cs="David"/>
          <w:sz w:val="24"/>
          <w:szCs w:val="24"/>
          <w:rtl/>
        </w:rPr>
        <w:t xml:space="preserve">המסחר במניית החברה </w:t>
      </w:r>
      <w:r w:rsidR="001F6A2A" w:rsidRPr="00F77E2E">
        <w:rPr>
          <w:rFonts w:ascii="David" w:hAnsi="David" w:cs="David"/>
          <w:sz w:val="24"/>
          <w:szCs w:val="24"/>
          <w:rtl/>
        </w:rPr>
        <w:t>ו</w:t>
      </w:r>
      <w:r w:rsidR="002B7B83" w:rsidRPr="00F77E2E">
        <w:rPr>
          <w:rFonts w:ascii="David" w:hAnsi="David" w:cs="David"/>
          <w:sz w:val="24"/>
          <w:szCs w:val="24"/>
          <w:rtl/>
        </w:rPr>
        <w:t>משזה התחדש</w:t>
      </w:r>
      <w:r w:rsidR="00F67E1B" w:rsidRPr="00F77E2E">
        <w:rPr>
          <w:rFonts w:ascii="David" w:hAnsi="David" w:cs="David"/>
          <w:sz w:val="24"/>
          <w:szCs w:val="24"/>
          <w:rtl/>
        </w:rPr>
        <w:t xml:space="preserve"> צנחה</w:t>
      </w:r>
      <w:r w:rsidR="002B7B83" w:rsidRPr="00F77E2E">
        <w:rPr>
          <w:rFonts w:ascii="David" w:hAnsi="David" w:cs="David"/>
          <w:sz w:val="24"/>
          <w:szCs w:val="24"/>
          <w:rtl/>
        </w:rPr>
        <w:t xml:space="preserve"> המניה </w:t>
      </w:r>
      <w:proofErr w:type="spellStart"/>
      <w:r w:rsidR="002B7B83" w:rsidRPr="00F77E2E">
        <w:rPr>
          <w:rFonts w:ascii="David" w:hAnsi="David" w:cs="David"/>
          <w:sz w:val="24"/>
          <w:szCs w:val="24"/>
          <w:rtl/>
        </w:rPr>
        <w:t>מי</w:t>
      </w:r>
      <w:r w:rsidR="00F67E1B" w:rsidRPr="00F77E2E">
        <w:rPr>
          <w:rFonts w:ascii="David" w:hAnsi="David" w:cs="David"/>
          <w:sz w:val="24"/>
          <w:szCs w:val="24"/>
          <w:rtl/>
        </w:rPr>
        <w:t>י</w:t>
      </w:r>
      <w:r w:rsidR="002B7B83" w:rsidRPr="00F77E2E">
        <w:rPr>
          <w:rFonts w:ascii="David" w:hAnsi="David" w:cs="David"/>
          <w:sz w:val="24"/>
          <w:szCs w:val="24"/>
          <w:rtl/>
        </w:rPr>
        <w:t>ד</w:t>
      </w:r>
      <w:proofErr w:type="spellEnd"/>
      <w:r w:rsidR="002B7B83" w:rsidRPr="00F77E2E">
        <w:rPr>
          <w:rFonts w:ascii="David" w:hAnsi="David" w:cs="David"/>
          <w:sz w:val="24"/>
          <w:szCs w:val="24"/>
          <w:rtl/>
        </w:rPr>
        <w:t xml:space="preserve"> ב-55</w:t>
      </w:r>
      <w:r w:rsidR="00F67E1B" w:rsidRPr="00F77E2E">
        <w:rPr>
          <w:rFonts w:ascii="David" w:hAnsi="David" w:cs="David"/>
          <w:sz w:val="24"/>
          <w:szCs w:val="24"/>
          <w:rtl/>
        </w:rPr>
        <w:t>%</w:t>
      </w:r>
      <w:r w:rsidR="002B7B83" w:rsidRPr="00F77E2E">
        <w:rPr>
          <w:rFonts w:ascii="David" w:hAnsi="David" w:cs="David"/>
          <w:sz w:val="24"/>
          <w:szCs w:val="24"/>
          <w:rtl/>
        </w:rPr>
        <w:t xml:space="preserve"> נוספים ולא חזרה להיסחר.</w:t>
      </w:r>
      <w:r w:rsidR="006555FA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1F6A2A" w:rsidRPr="00F77E2E">
        <w:rPr>
          <w:rFonts w:ascii="David" w:hAnsi="David" w:cs="David"/>
          <w:sz w:val="24"/>
          <w:szCs w:val="24"/>
          <w:rtl/>
        </w:rPr>
        <w:t xml:space="preserve">מניית </w:t>
      </w:r>
      <w:r w:rsidR="00F67E1B" w:rsidRPr="00F77E2E">
        <w:rPr>
          <w:rFonts w:ascii="David" w:hAnsi="David" w:cs="David"/>
          <w:sz w:val="24"/>
          <w:szCs w:val="24"/>
          <w:rtl/>
        </w:rPr>
        <w:t>"גיבוי אחזקות"</w:t>
      </w:r>
      <w:r w:rsidR="001F6A2A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814581" w:rsidRPr="00F77E2E">
        <w:rPr>
          <w:rFonts w:ascii="David" w:hAnsi="David" w:cs="David"/>
          <w:sz w:val="24"/>
          <w:szCs w:val="24"/>
          <w:rtl/>
        </w:rPr>
        <w:t xml:space="preserve">המשיכה </w:t>
      </w:r>
      <w:r w:rsidR="001F6A2A" w:rsidRPr="00F77E2E">
        <w:rPr>
          <w:rFonts w:ascii="David" w:hAnsi="David" w:cs="David"/>
          <w:sz w:val="24"/>
          <w:szCs w:val="24"/>
          <w:rtl/>
        </w:rPr>
        <w:t xml:space="preserve">דווקא להיסחר לאורך </w:t>
      </w:r>
      <w:r w:rsidR="00144C5F" w:rsidRPr="00F77E2E">
        <w:rPr>
          <w:rFonts w:ascii="David" w:hAnsi="David" w:cs="David"/>
          <w:sz w:val="24"/>
          <w:szCs w:val="24"/>
          <w:rtl/>
        </w:rPr>
        <w:t>רוב התקופה</w:t>
      </w:r>
      <w:r w:rsidR="00814581" w:rsidRPr="00F77E2E">
        <w:rPr>
          <w:rFonts w:ascii="David" w:hAnsi="David" w:cs="David"/>
          <w:sz w:val="24"/>
          <w:szCs w:val="24"/>
          <w:rtl/>
        </w:rPr>
        <w:t>.</w:t>
      </w:r>
      <w:r w:rsidR="00144C5F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1F6A2A" w:rsidRPr="00F77E2E">
        <w:rPr>
          <w:rFonts w:ascii="David" w:hAnsi="David" w:cs="David"/>
          <w:sz w:val="24"/>
          <w:szCs w:val="24"/>
          <w:rtl/>
        </w:rPr>
        <w:t>בשבעת האירועים השליליים האחרים שזיהינו בחודשים יולי-אוגוסט 2022</w:t>
      </w:r>
      <w:r w:rsidR="00814581" w:rsidRPr="00F77E2E">
        <w:rPr>
          <w:rFonts w:ascii="David" w:hAnsi="David" w:cs="David"/>
          <w:sz w:val="24"/>
          <w:szCs w:val="24"/>
          <w:rtl/>
        </w:rPr>
        <w:t>,</w:t>
      </w:r>
      <w:r w:rsidR="001F6A2A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0C3126" w:rsidRPr="00F77E2E">
        <w:rPr>
          <w:rFonts w:ascii="David" w:hAnsi="David" w:cs="David"/>
          <w:sz w:val="24"/>
          <w:szCs w:val="24"/>
          <w:rtl/>
        </w:rPr>
        <w:t xml:space="preserve">ירדה מניית החברה ביותר מ-20% בממוצע בתגובה לכל אירוע. </w:t>
      </w:r>
      <w:r w:rsidR="002B7B83" w:rsidRPr="00F77E2E">
        <w:rPr>
          <w:rFonts w:ascii="David" w:hAnsi="David" w:cs="David"/>
          <w:sz w:val="24"/>
          <w:szCs w:val="24"/>
          <w:rtl/>
        </w:rPr>
        <w:t>נראה, אם כן, ש</w:t>
      </w:r>
      <w:r w:rsidR="000F38E0" w:rsidRPr="00F77E2E">
        <w:rPr>
          <w:rFonts w:ascii="David" w:hAnsi="David" w:cs="David"/>
          <w:sz w:val="24"/>
          <w:szCs w:val="24"/>
          <w:rtl/>
        </w:rPr>
        <w:t xml:space="preserve">המשקיעים </w:t>
      </w:r>
      <w:r w:rsidR="002B7B83" w:rsidRPr="00F77E2E">
        <w:rPr>
          <w:rFonts w:ascii="David" w:hAnsi="David" w:cs="David"/>
          <w:sz w:val="24"/>
          <w:szCs w:val="24"/>
          <w:rtl/>
        </w:rPr>
        <w:t xml:space="preserve">אכן פירשו את האירועים </w:t>
      </w:r>
      <w:proofErr w:type="spellStart"/>
      <w:r w:rsidR="002B7B83" w:rsidRPr="00F77E2E">
        <w:rPr>
          <w:rFonts w:ascii="David" w:hAnsi="David" w:cs="David"/>
          <w:sz w:val="24"/>
          <w:szCs w:val="24"/>
          <w:rtl/>
        </w:rPr>
        <w:t>ב</w:t>
      </w:r>
      <w:r w:rsidR="00814581" w:rsidRPr="00F77E2E">
        <w:rPr>
          <w:rFonts w:ascii="David" w:hAnsi="David" w:cs="David"/>
          <w:sz w:val="24"/>
          <w:szCs w:val="24"/>
          <w:rtl/>
        </w:rPr>
        <w:t>"יונט</w:t>
      </w:r>
      <w:proofErr w:type="spellEnd"/>
      <w:r w:rsidR="00814581" w:rsidRPr="00F77E2E">
        <w:rPr>
          <w:rFonts w:ascii="David" w:hAnsi="David" w:cs="David"/>
          <w:sz w:val="24"/>
          <w:szCs w:val="24"/>
          <w:rtl/>
        </w:rPr>
        <w:t xml:space="preserve"> קרדיט" </w:t>
      </w:r>
      <w:proofErr w:type="spellStart"/>
      <w:r w:rsidR="00814581" w:rsidRPr="00F77E2E">
        <w:rPr>
          <w:rFonts w:ascii="David" w:hAnsi="David" w:cs="David"/>
          <w:sz w:val="24"/>
          <w:szCs w:val="24"/>
          <w:rtl/>
        </w:rPr>
        <w:t>וב"גיבוי</w:t>
      </w:r>
      <w:proofErr w:type="spellEnd"/>
      <w:r w:rsidR="00814581" w:rsidRPr="00F77E2E">
        <w:rPr>
          <w:rFonts w:ascii="David" w:hAnsi="David" w:cs="David"/>
          <w:sz w:val="24"/>
          <w:szCs w:val="24"/>
          <w:rtl/>
        </w:rPr>
        <w:t xml:space="preserve"> אחזקות"</w:t>
      </w:r>
      <w:r w:rsidR="002B7B83" w:rsidRPr="00F77E2E">
        <w:rPr>
          <w:rFonts w:ascii="David" w:hAnsi="David" w:cs="David"/>
          <w:sz w:val="24"/>
          <w:szCs w:val="24"/>
          <w:rtl/>
        </w:rPr>
        <w:t xml:space="preserve"> כהרסניים לערכ</w:t>
      </w:r>
      <w:r w:rsidR="000C3126" w:rsidRPr="00F77E2E">
        <w:rPr>
          <w:rFonts w:ascii="David" w:hAnsi="David" w:cs="David"/>
          <w:sz w:val="24"/>
          <w:szCs w:val="24"/>
          <w:rtl/>
        </w:rPr>
        <w:t>ן</w:t>
      </w:r>
      <w:r w:rsidR="002B7B83" w:rsidRPr="00F77E2E">
        <w:rPr>
          <w:rFonts w:ascii="David" w:hAnsi="David" w:cs="David"/>
          <w:sz w:val="24"/>
          <w:szCs w:val="24"/>
          <w:rtl/>
        </w:rPr>
        <w:t xml:space="preserve"> של החבר</w:t>
      </w:r>
      <w:r w:rsidR="000C3126" w:rsidRPr="00F77E2E">
        <w:rPr>
          <w:rFonts w:ascii="David" w:hAnsi="David" w:cs="David"/>
          <w:sz w:val="24"/>
          <w:szCs w:val="24"/>
          <w:rtl/>
        </w:rPr>
        <w:t>ות</w:t>
      </w:r>
      <w:r w:rsidR="000F38E0" w:rsidRPr="00F77E2E">
        <w:rPr>
          <w:rFonts w:ascii="David" w:hAnsi="David" w:cs="David"/>
          <w:sz w:val="24"/>
          <w:szCs w:val="24"/>
          <w:rtl/>
        </w:rPr>
        <w:t>.</w:t>
      </w:r>
      <w:r w:rsidR="00A106F3" w:rsidRPr="00F77E2E">
        <w:rPr>
          <w:rFonts w:ascii="David" w:hAnsi="David" w:cs="David"/>
          <w:sz w:val="24"/>
          <w:szCs w:val="24"/>
          <w:rtl/>
        </w:rPr>
        <w:t xml:space="preserve"> </w:t>
      </w:r>
    </w:p>
    <w:p w:rsidR="00534EBE" w:rsidRPr="00F77E2E" w:rsidRDefault="006F6D70" w:rsidP="004F27E1">
      <w:pPr>
        <w:pStyle w:val="1"/>
        <w:numPr>
          <w:ilvl w:val="0"/>
          <w:numId w:val="2"/>
        </w:numPr>
        <w:bidi/>
        <w:rPr>
          <w:rFonts w:ascii="David" w:hAnsi="David" w:cs="David"/>
          <w:color w:val="auto"/>
          <w:sz w:val="24"/>
          <w:szCs w:val="24"/>
          <w:rtl/>
        </w:rPr>
      </w:pPr>
      <w:r w:rsidRPr="00F77E2E">
        <w:rPr>
          <w:rFonts w:ascii="David" w:hAnsi="David" w:cs="David"/>
          <w:color w:val="auto"/>
          <w:sz w:val="24"/>
          <w:szCs w:val="24"/>
          <w:rtl/>
        </w:rPr>
        <w:t>ה</w:t>
      </w:r>
      <w:r w:rsidR="004F27E1" w:rsidRPr="00F77E2E">
        <w:rPr>
          <w:rFonts w:ascii="David" w:hAnsi="David" w:cs="David"/>
          <w:color w:val="auto"/>
          <w:sz w:val="24"/>
          <w:szCs w:val="24"/>
          <w:rtl/>
        </w:rPr>
        <w:t>מתודולוגיה וה</w:t>
      </w:r>
      <w:r w:rsidRPr="00F77E2E">
        <w:rPr>
          <w:rFonts w:ascii="David" w:hAnsi="David" w:cs="David"/>
          <w:color w:val="auto"/>
          <w:sz w:val="24"/>
          <w:szCs w:val="24"/>
          <w:rtl/>
        </w:rPr>
        <w:t>נתונים</w:t>
      </w:r>
      <w:r w:rsidR="00012C84" w:rsidRPr="00F77E2E">
        <w:rPr>
          <w:rFonts w:ascii="David" w:hAnsi="David" w:cs="David"/>
          <w:color w:val="auto"/>
          <w:sz w:val="24"/>
          <w:szCs w:val="24"/>
          <w:rtl/>
        </w:rPr>
        <w:t xml:space="preserve">   </w:t>
      </w:r>
    </w:p>
    <w:p w:rsidR="00534EBE" w:rsidRPr="00F77E2E" w:rsidRDefault="00534EBE" w:rsidP="00534EBE">
      <w:pPr>
        <w:pStyle w:val="1"/>
        <w:numPr>
          <w:ilvl w:val="1"/>
          <w:numId w:val="2"/>
        </w:numPr>
        <w:bidi/>
        <w:rPr>
          <w:rFonts w:ascii="David" w:hAnsi="David" w:cs="David"/>
          <w:color w:val="auto"/>
          <w:sz w:val="24"/>
          <w:szCs w:val="24"/>
          <w:rtl/>
        </w:rPr>
      </w:pPr>
      <w:r w:rsidRPr="00F77E2E">
        <w:rPr>
          <w:rFonts w:ascii="David" w:hAnsi="David" w:cs="David"/>
          <w:color w:val="auto"/>
          <w:sz w:val="24"/>
          <w:szCs w:val="24"/>
          <w:rtl/>
        </w:rPr>
        <w:t>הנתונים</w:t>
      </w:r>
    </w:p>
    <w:p w:rsidR="00193AC4" w:rsidRPr="00F77E2E" w:rsidRDefault="00193AC4" w:rsidP="00DD6CE4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9A772A" w:rsidRPr="00F77E2E" w:rsidRDefault="006F6D70" w:rsidP="00193AC4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77E2E">
        <w:rPr>
          <w:rFonts w:ascii="David" w:hAnsi="David" w:cs="David"/>
          <w:sz w:val="24"/>
          <w:szCs w:val="24"/>
          <w:rtl/>
        </w:rPr>
        <w:t xml:space="preserve">לכל </w:t>
      </w:r>
      <w:r w:rsidR="00EE1F3C" w:rsidRPr="00F77E2E">
        <w:rPr>
          <w:rFonts w:ascii="David" w:hAnsi="David" w:cs="David"/>
          <w:sz w:val="24"/>
          <w:szCs w:val="24"/>
          <w:rtl/>
        </w:rPr>
        <w:t>חברה בענף נותני האשראי ה</w:t>
      </w:r>
      <w:r w:rsidR="000D4A1A" w:rsidRPr="00F77E2E">
        <w:rPr>
          <w:rFonts w:ascii="David" w:hAnsi="David" w:cs="David"/>
          <w:sz w:val="24"/>
          <w:szCs w:val="24"/>
          <w:rtl/>
        </w:rPr>
        <w:t>חוץ-ב</w:t>
      </w:r>
      <w:r w:rsidR="00EE1F3C" w:rsidRPr="00F77E2E">
        <w:rPr>
          <w:rFonts w:ascii="David" w:hAnsi="David" w:cs="David"/>
          <w:sz w:val="24"/>
          <w:szCs w:val="24"/>
          <w:rtl/>
        </w:rPr>
        <w:t xml:space="preserve">נקאי </w:t>
      </w:r>
      <w:r w:rsidR="00CF5BFC" w:rsidRPr="00F77E2E">
        <w:rPr>
          <w:rFonts w:ascii="David" w:hAnsi="David" w:cs="David"/>
          <w:sz w:val="24"/>
          <w:szCs w:val="24"/>
          <w:rtl/>
        </w:rPr>
        <w:t>חושבה</w:t>
      </w:r>
      <w:r w:rsidRPr="00F77E2E">
        <w:rPr>
          <w:rFonts w:ascii="David" w:hAnsi="David" w:cs="David"/>
          <w:sz w:val="24"/>
          <w:szCs w:val="24"/>
          <w:rtl/>
        </w:rPr>
        <w:t xml:space="preserve"> </w:t>
      </w:r>
      <w:r w:rsidR="007B2C41" w:rsidRPr="00F77E2E">
        <w:rPr>
          <w:rFonts w:ascii="David" w:hAnsi="David" w:cs="David"/>
          <w:sz w:val="24"/>
          <w:szCs w:val="24"/>
          <w:rtl/>
        </w:rPr>
        <w:t>ה</w:t>
      </w:r>
      <w:r w:rsidRPr="00F77E2E">
        <w:rPr>
          <w:rFonts w:ascii="David" w:hAnsi="David" w:cs="David"/>
          <w:sz w:val="24"/>
          <w:szCs w:val="24"/>
          <w:rtl/>
        </w:rPr>
        <w:t>תשוא</w:t>
      </w:r>
      <w:r w:rsidR="007B2C41" w:rsidRPr="00F77E2E">
        <w:rPr>
          <w:rFonts w:ascii="David" w:hAnsi="David" w:cs="David"/>
          <w:sz w:val="24"/>
          <w:szCs w:val="24"/>
          <w:rtl/>
        </w:rPr>
        <w:t>ה</w:t>
      </w:r>
      <w:r w:rsidRPr="00F77E2E">
        <w:rPr>
          <w:rFonts w:ascii="David" w:hAnsi="David" w:cs="David"/>
          <w:sz w:val="24"/>
          <w:szCs w:val="24"/>
          <w:rtl/>
        </w:rPr>
        <w:t xml:space="preserve"> היומית</w:t>
      </w:r>
      <w:r w:rsidR="007B2C41" w:rsidRPr="00F77E2E">
        <w:rPr>
          <w:rFonts w:ascii="David" w:hAnsi="David" w:cs="David"/>
          <w:sz w:val="24"/>
          <w:szCs w:val="24"/>
          <w:rtl/>
        </w:rPr>
        <w:t xml:space="preserve"> של המניה</w:t>
      </w:r>
      <w:r w:rsidRPr="00F77E2E">
        <w:rPr>
          <w:rFonts w:ascii="David" w:hAnsi="David" w:cs="David"/>
          <w:sz w:val="24"/>
          <w:szCs w:val="24"/>
          <w:rtl/>
        </w:rPr>
        <w:t xml:space="preserve">, </w:t>
      </w:r>
      <w:r w:rsidR="00F933A8" w:rsidRPr="00F77E2E">
        <w:rPr>
          <w:rFonts w:ascii="David" w:hAnsi="David" w:cs="David"/>
          <w:sz w:val="24"/>
          <w:szCs w:val="24"/>
          <w:rtl/>
        </w:rPr>
        <w:t xml:space="preserve">שמותאמת לדיווידנדים </w:t>
      </w:r>
      <w:r w:rsidRPr="00F77E2E">
        <w:rPr>
          <w:rFonts w:ascii="David" w:hAnsi="David" w:cs="David"/>
          <w:sz w:val="24"/>
          <w:szCs w:val="24"/>
          <w:rtl/>
        </w:rPr>
        <w:t>ו</w:t>
      </w:r>
      <w:r w:rsidR="00F933A8" w:rsidRPr="00F77E2E">
        <w:rPr>
          <w:rFonts w:ascii="David" w:hAnsi="David" w:cs="David"/>
          <w:sz w:val="24"/>
          <w:szCs w:val="24"/>
          <w:rtl/>
        </w:rPr>
        <w:t>ל</w:t>
      </w:r>
      <w:r w:rsidRPr="00F77E2E">
        <w:rPr>
          <w:rFonts w:ascii="David" w:hAnsi="David" w:cs="David"/>
          <w:sz w:val="24"/>
          <w:szCs w:val="24"/>
          <w:rtl/>
        </w:rPr>
        <w:t xml:space="preserve">הטבות בכל יום בתקופה שסביב </w:t>
      </w:r>
      <w:r w:rsidR="00DD6CE4" w:rsidRPr="00F77E2E">
        <w:rPr>
          <w:rFonts w:ascii="David" w:hAnsi="David" w:cs="David"/>
          <w:sz w:val="24"/>
          <w:szCs w:val="24"/>
          <w:rtl/>
        </w:rPr>
        <w:t>ה</w:t>
      </w:r>
      <w:r w:rsidRPr="00F77E2E">
        <w:rPr>
          <w:rFonts w:ascii="David" w:hAnsi="David" w:cs="David"/>
          <w:sz w:val="24"/>
          <w:szCs w:val="24"/>
          <w:rtl/>
        </w:rPr>
        <w:t>אירועי</w:t>
      </w:r>
      <w:r w:rsidR="00DD6CE4" w:rsidRPr="00F77E2E">
        <w:rPr>
          <w:rFonts w:ascii="David" w:hAnsi="David" w:cs="David"/>
          <w:sz w:val="24"/>
          <w:szCs w:val="24"/>
          <w:rtl/>
        </w:rPr>
        <w:t>ם</w:t>
      </w:r>
      <w:r w:rsidRPr="00F77E2E">
        <w:rPr>
          <w:rFonts w:ascii="David" w:hAnsi="David" w:cs="David"/>
          <w:sz w:val="24"/>
          <w:szCs w:val="24"/>
          <w:rtl/>
        </w:rPr>
        <w:t xml:space="preserve"> </w:t>
      </w:r>
      <w:r w:rsidR="00F933A8" w:rsidRPr="00F77E2E">
        <w:rPr>
          <w:rFonts w:ascii="David" w:hAnsi="David" w:cs="David"/>
          <w:sz w:val="24"/>
          <w:szCs w:val="24"/>
          <w:rtl/>
        </w:rPr>
        <w:t xml:space="preserve">שמתוארים </w:t>
      </w:r>
      <w:r w:rsidRPr="00F77E2E">
        <w:rPr>
          <w:rFonts w:ascii="David" w:hAnsi="David" w:cs="David"/>
          <w:sz w:val="24"/>
          <w:szCs w:val="24"/>
          <w:rtl/>
        </w:rPr>
        <w:t xml:space="preserve">בקו הזמן </w:t>
      </w:r>
      <w:r w:rsidR="00FB24E1" w:rsidRPr="00F77E2E">
        <w:rPr>
          <w:rFonts w:ascii="David" w:hAnsi="David" w:cs="David"/>
          <w:sz w:val="24"/>
          <w:szCs w:val="24"/>
          <w:rtl/>
        </w:rPr>
        <w:t>ד</w:t>
      </w:r>
      <w:r w:rsidRPr="00F77E2E">
        <w:rPr>
          <w:rFonts w:ascii="David" w:hAnsi="David" w:cs="David"/>
          <w:sz w:val="24"/>
          <w:szCs w:val="24"/>
          <w:rtl/>
        </w:rPr>
        <w:t xml:space="preserve">לעיל. </w:t>
      </w:r>
      <w:r w:rsidR="00E87E76" w:rsidRPr="00F77E2E">
        <w:rPr>
          <w:rFonts w:ascii="David" w:hAnsi="David" w:cs="David"/>
          <w:sz w:val="24"/>
          <w:szCs w:val="24"/>
          <w:rtl/>
        </w:rPr>
        <w:t xml:space="preserve">בדיקות סטטיסטיות </w:t>
      </w:r>
      <w:r w:rsidR="00F933A8" w:rsidRPr="00F77E2E">
        <w:rPr>
          <w:rFonts w:ascii="David" w:hAnsi="David" w:cs="David"/>
          <w:sz w:val="24"/>
          <w:szCs w:val="24"/>
          <w:rtl/>
        </w:rPr>
        <w:t xml:space="preserve">שמתבססות </w:t>
      </w:r>
      <w:r w:rsidR="00E87E76" w:rsidRPr="00F77E2E">
        <w:rPr>
          <w:rFonts w:ascii="David" w:hAnsi="David" w:cs="David"/>
          <w:sz w:val="24"/>
          <w:szCs w:val="24"/>
          <w:rtl/>
        </w:rPr>
        <w:t xml:space="preserve">על בחינת ההשפעה של כל אירוע על המניות של כל </w:t>
      </w:r>
      <w:r w:rsidR="00EE1F3C" w:rsidRPr="00F77E2E">
        <w:rPr>
          <w:rFonts w:ascii="David" w:hAnsi="David" w:cs="David"/>
          <w:sz w:val="24"/>
          <w:szCs w:val="24"/>
          <w:rtl/>
        </w:rPr>
        <w:t>אחת מהחברות בענף</w:t>
      </w:r>
      <w:r w:rsidR="00A159C8" w:rsidRPr="00F77E2E">
        <w:rPr>
          <w:rFonts w:ascii="David" w:hAnsi="David" w:cs="David"/>
          <w:sz w:val="24"/>
          <w:szCs w:val="24"/>
          <w:rtl/>
        </w:rPr>
        <w:t xml:space="preserve"> בנפרד,</w:t>
      </w:r>
      <w:r w:rsidR="00E87E76" w:rsidRPr="00F77E2E">
        <w:rPr>
          <w:rFonts w:ascii="David" w:hAnsi="David" w:cs="David"/>
          <w:sz w:val="24"/>
          <w:szCs w:val="24"/>
          <w:rtl/>
        </w:rPr>
        <w:t xml:space="preserve"> עלולות להיות בעייתיות</w:t>
      </w:r>
      <w:r w:rsidR="00FB24E1" w:rsidRPr="00F77E2E">
        <w:rPr>
          <w:rFonts w:ascii="David" w:hAnsi="David" w:cs="David"/>
          <w:sz w:val="24"/>
          <w:szCs w:val="24"/>
          <w:rtl/>
        </w:rPr>
        <w:t>,</w:t>
      </w:r>
      <w:r w:rsidR="00E87E76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FB24E1" w:rsidRPr="00F77E2E">
        <w:rPr>
          <w:rFonts w:ascii="David" w:hAnsi="David" w:cs="David"/>
          <w:sz w:val="24"/>
          <w:szCs w:val="24"/>
          <w:rtl/>
        </w:rPr>
        <w:t xml:space="preserve">אם יש </w:t>
      </w:r>
      <w:r w:rsidR="00E87E76" w:rsidRPr="00F77E2E">
        <w:rPr>
          <w:rFonts w:ascii="David" w:hAnsi="David" w:cs="David"/>
          <w:sz w:val="24"/>
          <w:szCs w:val="24"/>
          <w:rtl/>
        </w:rPr>
        <w:t xml:space="preserve">מתאם בין המניות של </w:t>
      </w:r>
      <w:r w:rsidR="00EE1F3C" w:rsidRPr="00F77E2E">
        <w:rPr>
          <w:rFonts w:ascii="David" w:hAnsi="David" w:cs="David"/>
          <w:sz w:val="24"/>
          <w:szCs w:val="24"/>
          <w:rtl/>
        </w:rPr>
        <w:t xml:space="preserve">החברות </w:t>
      </w:r>
      <w:r w:rsidR="00E87E76" w:rsidRPr="00F77E2E">
        <w:rPr>
          <w:rFonts w:ascii="David" w:hAnsi="David" w:cs="David"/>
          <w:sz w:val="24"/>
          <w:szCs w:val="24"/>
          <w:rtl/>
        </w:rPr>
        <w:t xml:space="preserve">בכל אחד מהימים הנבחנים. כדי להתמודד עם חשש זה </w:t>
      </w:r>
      <w:r w:rsidR="00CF5BFC" w:rsidRPr="00F77E2E">
        <w:rPr>
          <w:rFonts w:ascii="David" w:hAnsi="David" w:cs="David"/>
          <w:sz w:val="24"/>
          <w:szCs w:val="24"/>
          <w:rtl/>
        </w:rPr>
        <w:t>נבחנה</w:t>
      </w:r>
      <w:r w:rsidR="00E87E76" w:rsidRPr="00F77E2E">
        <w:rPr>
          <w:rFonts w:ascii="David" w:hAnsi="David" w:cs="David"/>
          <w:sz w:val="24"/>
          <w:szCs w:val="24"/>
          <w:rtl/>
        </w:rPr>
        <w:t xml:space="preserve"> השפעת</w:t>
      </w:r>
      <w:r w:rsidR="00A159C8" w:rsidRPr="00F77E2E">
        <w:rPr>
          <w:rFonts w:ascii="David" w:hAnsi="David" w:cs="David"/>
          <w:sz w:val="24"/>
          <w:szCs w:val="24"/>
          <w:rtl/>
        </w:rPr>
        <w:t>ם של</w:t>
      </w:r>
      <w:r w:rsidR="00E87E76" w:rsidRPr="00F77E2E">
        <w:rPr>
          <w:rFonts w:ascii="David" w:hAnsi="David" w:cs="David"/>
          <w:sz w:val="24"/>
          <w:szCs w:val="24"/>
          <w:rtl/>
        </w:rPr>
        <w:t xml:space="preserve"> האירועים לא רק על המניות </w:t>
      </w:r>
      <w:r w:rsidR="004A53AF" w:rsidRPr="00F77E2E">
        <w:rPr>
          <w:rFonts w:ascii="David" w:hAnsi="David" w:cs="David"/>
          <w:sz w:val="24"/>
          <w:szCs w:val="24"/>
          <w:rtl/>
        </w:rPr>
        <w:t>של החברה הבודדת</w:t>
      </w:r>
      <w:r w:rsidR="00E87E76" w:rsidRPr="00F77E2E">
        <w:rPr>
          <w:rFonts w:ascii="David" w:hAnsi="David" w:cs="David"/>
          <w:sz w:val="24"/>
          <w:szCs w:val="24"/>
          <w:rtl/>
        </w:rPr>
        <w:t xml:space="preserve">, אלא גם על תיק משוקלל של </w:t>
      </w:r>
      <w:r w:rsidR="00EE1F3C" w:rsidRPr="00F77E2E">
        <w:rPr>
          <w:rFonts w:ascii="David" w:hAnsi="David" w:cs="David"/>
          <w:sz w:val="24"/>
          <w:szCs w:val="24"/>
          <w:rtl/>
        </w:rPr>
        <w:t>הענף</w:t>
      </w:r>
      <w:r w:rsidR="00E87E76" w:rsidRPr="00F77E2E">
        <w:rPr>
          <w:rFonts w:ascii="David" w:hAnsi="David" w:cs="David"/>
          <w:sz w:val="24"/>
          <w:szCs w:val="24"/>
          <w:rtl/>
        </w:rPr>
        <w:t>. לשם</w:t>
      </w:r>
      <w:r w:rsidR="00FB24E1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E87E76" w:rsidRPr="00F77E2E">
        <w:rPr>
          <w:rFonts w:ascii="David" w:hAnsi="David" w:cs="David"/>
          <w:sz w:val="24"/>
          <w:szCs w:val="24"/>
          <w:rtl/>
        </w:rPr>
        <w:t xml:space="preserve">כך </w:t>
      </w:r>
      <w:r w:rsidR="00CF5BFC" w:rsidRPr="00F77E2E">
        <w:rPr>
          <w:rFonts w:ascii="David" w:hAnsi="David" w:cs="David"/>
          <w:sz w:val="24"/>
          <w:szCs w:val="24"/>
          <w:rtl/>
        </w:rPr>
        <w:t>נבנו</w:t>
      </w:r>
      <w:r w:rsidR="00E87E76" w:rsidRPr="00F77E2E">
        <w:rPr>
          <w:rFonts w:ascii="David" w:hAnsi="David" w:cs="David"/>
          <w:sz w:val="24"/>
          <w:szCs w:val="24"/>
          <w:rtl/>
        </w:rPr>
        <w:t xml:space="preserve"> שני תיקים סינתטיים של </w:t>
      </w:r>
      <w:r w:rsidR="00EE1F3C" w:rsidRPr="00F77E2E">
        <w:rPr>
          <w:rFonts w:ascii="David" w:hAnsi="David" w:cs="David"/>
          <w:sz w:val="24"/>
          <w:szCs w:val="24"/>
          <w:rtl/>
        </w:rPr>
        <w:t>החברות בענף נותני האשראי ה</w:t>
      </w:r>
      <w:r w:rsidR="000D4A1A" w:rsidRPr="00F77E2E">
        <w:rPr>
          <w:rFonts w:ascii="David" w:hAnsi="David" w:cs="David"/>
          <w:sz w:val="24"/>
          <w:szCs w:val="24"/>
          <w:rtl/>
        </w:rPr>
        <w:t>חוץ-ב</w:t>
      </w:r>
      <w:r w:rsidR="00EE1F3C" w:rsidRPr="00F77E2E">
        <w:rPr>
          <w:rFonts w:ascii="David" w:hAnsi="David" w:cs="David"/>
          <w:sz w:val="24"/>
          <w:szCs w:val="24"/>
          <w:rtl/>
        </w:rPr>
        <w:t>נקאי</w:t>
      </w:r>
      <w:r w:rsidR="004A53AF" w:rsidRPr="00F77E2E">
        <w:rPr>
          <w:rFonts w:ascii="David" w:hAnsi="David" w:cs="David"/>
          <w:sz w:val="24"/>
          <w:szCs w:val="24"/>
          <w:rtl/>
        </w:rPr>
        <w:t>,</w:t>
      </w:r>
      <w:r w:rsidR="00EE1F3C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4A53AF" w:rsidRPr="00F77E2E">
        <w:rPr>
          <w:rFonts w:ascii="David" w:hAnsi="David" w:cs="David"/>
          <w:sz w:val="24"/>
          <w:szCs w:val="24"/>
          <w:rtl/>
        </w:rPr>
        <w:t>למעט</w:t>
      </w:r>
      <w:r w:rsidR="00F933A8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4A53AF" w:rsidRPr="00F77E2E">
        <w:rPr>
          <w:rFonts w:ascii="David" w:hAnsi="David" w:cs="David"/>
          <w:sz w:val="24"/>
          <w:szCs w:val="24"/>
          <w:rtl/>
        </w:rPr>
        <w:t>ה</w:t>
      </w:r>
      <w:r w:rsidR="00F933A8" w:rsidRPr="00F77E2E">
        <w:rPr>
          <w:rFonts w:ascii="David" w:hAnsi="David" w:cs="David"/>
          <w:sz w:val="24"/>
          <w:szCs w:val="24"/>
          <w:rtl/>
        </w:rPr>
        <w:t xml:space="preserve">חברות "גיבוי אחזקות" </w:t>
      </w:r>
      <w:proofErr w:type="spellStart"/>
      <w:r w:rsidR="00F933A8" w:rsidRPr="00F77E2E">
        <w:rPr>
          <w:rFonts w:ascii="David" w:hAnsi="David" w:cs="David"/>
          <w:sz w:val="24"/>
          <w:szCs w:val="24"/>
          <w:rtl/>
        </w:rPr>
        <w:t>ו"יונט</w:t>
      </w:r>
      <w:proofErr w:type="spellEnd"/>
      <w:r w:rsidR="00F933A8" w:rsidRPr="00F77E2E">
        <w:rPr>
          <w:rFonts w:ascii="David" w:hAnsi="David" w:cs="David"/>
          <w:sz w:val="24"/>
          <w:szCs w:val="24"/>
          <w:rtl/>
        </w:rPr>
        <w:t xml:space="preserve"> קרדיט"</w:t>
      </w:r>
      <w:r w:rsidR="008B143F" w:rsidRPr="00F77E2E">
        <w:rPr>
          <w:rFonts w:ascii="David" w:hAnsi="David" w:cs="David"/>
          <w:sz w:val="24"/>
          <w:szCs w:val="24"/>
          <w:rtl/>
        </w:rPr>
        <w:t>.</w:t>
      </w:r>
      <w:r w:rsidR="00E87E76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7B2C41" w:rsidRPr="00F77E2E">
        <w:rPr>
          <w:rFonts w:ascii="David" w:hAnsi="David" w:cs="David"/>
          <w:sz w:val="24"/>
          <w:szCs w:val="24"/>
          <w:rtl/>
        </w:rPr>
        <w:t>האחד</w:t>
      </w:r>
      <w:r w:rsidR="00E87E76" w:rsidRPr="00F77E2E">
        <w:rPr>
          <w:rFonts w:ascii="David" w:hAnsi="David" w:cs="David"/>
          <w:sz w:val="24"/>
          <w:szCs w:val="24"/>
          <w:rtl/>
        </w:rPr>
        <w:t xml:space="preserve"> מורכב מממוצע יומי פשוט של התשואה היומית </w:t>
      </w:r>
      <w:r w:rsidR="00EE1F3C" w:rsidRPr="00F77E2E">
        <w:rPr>
          <w:rFonts w:ascii="David" w:hAnsi="David" w:cs="David"/>
          <w:sz w:val="24"/>
          <w:szCs w:val="24"/>
          <w:rtl/>
        </w:rPr>
        <w:t>על החברות בענף</w:t>
      </w:r>
      <w:r w:rsidR="00E87E76" w:rsidRPr="00F77E2E">
        <w:rPr>
          <w:rFonts w:ascii="David" w:hAnsi="David" w:cs="David"/>
          <w:sz w:val="24"/>
          <w:szCs w:val="24"/>
          <w:rtl/>
        </w:rPr>
        <w:t xml:space="preserve"> ו</w:t>
      </w:r>
      <w:r w:rsidR="007B2C41" w:rsidRPr="00F77E2E">
        <w:rPr>
          <w:rFonts w:ascii="David" w:hAnsi="David" w:cs="David"/>
          <w:sz w:val="24"/>
          <w:szCs w:val="24"/>
          <w:rtl/>
        </w:rPr>
        <w:t>השני</w:t>
      </w:r>
      <w:r w:rsidR="00E87E76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FB24E1" w:rsidRPr="00F77E2E">
        <w:rPr>
          <w:rFonts w:ascii="David" w:hAnsi="David" w:cs="David"/>
          <w:sz w:val="24"/>
          <w:szCs w:val="24"/>
          <w:rtl/>
        </w:rPr>
        <w:t xml:space="preserve">הוא </w:t>
      </w:r>
      <w:r w:rsidR="00E87E76" w:rsidRPr="00F77E2E">
        <w:rPr>
          <w:rFonts w:ascii="David" w:hAnsi="David" w:cs="David"/>
          <w:sz w:val="24"/>
          <w:szCs w:val="24"/>
          <w:rtl/>
        </w:rPr>
        <w:t>ממוצע יומי</w:t>
      </w:r>
      <w:r w:rsidR="008C4475" w:rsidRPr="00F77E2E">
        <w:rPr>
          <w:rFonts w:ascii="David" w:hAnsi="David" w:cs="David"/>
          <w:sz w:val="24"/>
          <w:szCs w:val="24"/>
          <w:rtl/>
        </w:rPr>
        <w:t xml:space="preserve">, </w:t>
      </w:r>
      <w:r w:rsidR="00E87E76" w:rsidRPr="00F77E2E">
        <w:rPr>
          <w:rFonts w:ascii="David" w:hAnsi="David" w:cs="David"/>
          <w:sz w:val="24"/>
          <w:szCs w:val="24"/>
          <w:rtl/>
        </w:rPr>
        <w:t xml:space="preserve">משוקלל לפי שווי </w:t>
      </w:r>
      <w:r w:rsidR="00FB24E1" w:rsidRPr="00F77E2E">
        <w:rPr>
          <w:rFonts w:ascii="David" w:hAnsi="David" w:cs="David"/>
          <w:sz w:val="24"/>
          <w:szCs w:val="24"/>
          <w:rtl/>
        </w:rPr>
        <w:t>ה</w:t>
      </w:r>
      <w:r w:rsidR="00E87E76" w:rsidRPr="00F77E2E">
        <w:rPr>
          <w:rFonts w:ascii="David" w:hAnsi="David" w:cs="David"/>
          <w:sz w:val="24"/>
          <w:szCs w:val="24"/>
          <w:rtl/>
        </w:rPr>
        <w:t xml:space="preserve">שוק, של התשואה היומית על </w:t>
      </w:r>
      <w:r w:rsidR="00EE1F3C" w:rsidRPr="00F77E2E">
        <w:rPr>
          <w:rFonts w:ascii="David" w:hAnsi="David" w:cs="David"/>
          <w:sz w:val="24"/>
          <w:szCs w:val="24"/>
          <w:rtl/>
        </w:rPr>
        <w:t>החברות בענף</w:t>
      </w:r>
      <w:r w:rsidR="00FB24E1" w:rsidRPr="00F77E2E">
        <w:rPr>
          <w:rFonts w:ascii="David" w:hAnsi="David" w:cs="David"/>
          <w:sz w:val="24"/>
          <w:szCs w:val="24"/>
          <w:rtl/>
        </w:rPr>
        <w:t>.</w:t>
      </w:r>
    </w:p>
    <w:p w:rsidR="003021F9" w:rsidRPr="00F77E2E" w:rsidRDefault="004938EC" w:rsidP="00894B58">
      <w:pPr>
        <w:bidi/>
        <w:spacing w:line="360" w:lineRule="auto"/>
        <w:jc w:val="both"/>
        <w:rPr>
          <w:rFonts w:ascii="David" w:hAnsi="David" w:cs="David"/>
          <w:sz w:val="24"/>
          <w:szCs w:val="24"/>
          <w:highlight w:val="yellow"/>
          <w:rtl/>
        </w:rPr>
      </w:pPr>
      <w:r w:rsidRPr="00F77E2E">
        <w:rPr>
          <w:rFonts w:ascii="David" w:hAnsi="David" w:cs="David"/>
          <w:sz w:val="24"/>
          <w:szCs w:val="24"/>
          <w:rtl/>
        </w:rPr>
        <w:t xml:space="preserve">לוח </w:t>
      </w:r>
      <w:r w:rsidR="001B254B" w:rsidRPr="00F77E2E">
        <w:rPr>
          <w:rFonts w:ascii="David" w:hAnsi="David" w:cs="David"/>
          <w:sz w:val="24"/>
          <w:szCs w:val="24"/>
          <w:rtl/>
        </w:rPr>
        <w:t>1</w:t>
      </w:r>
      <w:r w:rsidR="005F14AC" w:rsidRPr="00F77E2E">
        <w:rPr>
          <w:rFonts w:ascii="David" w:hAnsi="David" w:cs="David"/>
          <w:sz w:val="24"/>
          <w:szCs w:val="24"/>
          <w:rtl/>
        </w:rPr>
        <w:t xml:space="preserve"> מציג</w:t>
      </w:r>
      <w:r w:rsidR="008C4475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5F14AC" w:rsidRPr="00F77E2E">
        <w:rPr>
          <w:rFonts w:ascii="David" w:hAnsi="David" w:cs="David"/>
          <w:sz w:val="24"/>
          <w:szCs w:val="24"/>
          <w:rtl/>
        </w:rPr>
        <w:t xml:space="preserve">את התשואות על התיקים </w:t>
      </w:r>
      <w:r w:rsidR="004A53AF" w:rsidRPr="00F77E2E">
        <w:rPr>
          <w:rFonts w:ascii="David" w:hAnsi="David" w:cs="David"/>
          <w:sz w:val="24"/>
          <w:szCs w:val="24"/>
          <w:rtl/>
        </w:rPr>
        <w:t xml:space="preserve">שמשלבים </w:t>
      </w:r>
      <w:r w:rsidR="005F14AC" w:rsidRPr="00F77E2E">
        <w:rPr>
          <w:rFonts w:ascii="David" w:hAnsi="David" w:cs="David"/>
          <w:sz w:val="24"/>
          <w:szCs w:val="24"/>
          <w:rtl/>
        </w:rPr>
        <w:t xml:space="preserve">את </w:t>
      </w:r>
      <w:r w:rsidR="004A53AF" w:rsidRPr="00F77E2E">
        <w:rPr>
          <w:rFonts w:ascii="David" w:hAnsi="David" w:cs="David"/>
          <w:sz w:val="24"/>
          <w:szCs w:val="24"/>
          <w:rtl/>
        </w:rPr>
        <w:t>ה</w:t>
      </w:r>
      <w:r w:rsidR="005F14AC" w:rsidRPr="00F77E2E">
        <w:rPr>
          <w:rFonts w:ascii="David" w:hAnsi="David" w:cs="David"/>
          <w:sz w:val="24"/>
          <w:szCs w:val="24"/>
          <w:rtl/>
        </w:rPr>
        <w:t>מניות</w:t>
      </w:r>
      <w:r w:rsidR="004A53AF" w:rsidRPr="00F77E2E">
        <w:rPr>
          <w:rFonts w:ascii="David" w:hAnsi="David" w:cs="David"/>
          <w:sz w:val="24"/>
          <w:szCs w:val="24"/>
          <w:rtl/>
        </w:rPr>
        <w:t xml:space="preserve"> של</w:t>
      </w:r>
      <w:r w:rsidR="005F14AC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3257D6" w:rsidRPr="00F77E2E">
        <w:rPr>
          <w:rFonts w:ascii="David" w:hAnsi="David" w:cs="David"/>
          <w:sz w:val="24"/>
          <w:szCs w:val="24"/>
          <w:rtl/>
        </w:rPr>
        <w:t>חברות האשראי ה</w:t>
      </w:r>
      <w:r w:rsidR="000D4A1A" w:rsidRPr="00F77E2E">
        <w:rPr>
          <w:rFonts w:ascii="David" w:hAnsi="David" w:cs="David"/>
          <w:sz w:val="24"/>
          <w:szCs w:val="24"/>
          <w:rtl/>
        </w:rPr>
        <w:t>חוץ-ב</w:t>
      </w:r>
      <w:r w:rsidR="003257D6" w:rsidRPr="00F77E2E">
        <w:rPr>
          <w:rFonts w:ascii="David" w:hAnsi="David" w:cs="David"/>
          <w:sz w:val="24"/>
          <w:szCs w:val="24"/>
          <w:rtl/>
        </w:rPr>
        <w:t xml:space="preserve">נקאי </w:t>
      </w:r>
      <w:r w:rsidR="004A53AF" w:rsidRPr="00F77E2E">
        <w:rPr>
          <w:rFonts w:ascii="David" w:hAnsi="David" w:cs="David"/>
          <w:sz w:val="24"/>
          <w:szCs w:val="24"/>
          <w:rtl/>
        </w:rPr>
        <w:t xml:space="preserve">שמתחרות </w:t>
      </w:r>
      <w:r w:rsidR="00F933A8" w:rsidRPr="00F77E2E">
        <w:rPr>
          <w:rFonts w:ascii="David" w:hAnsi="David" w:cs="David"/>
          <w:sz w:val="24"/>
          <w:szCs w:val="24"/>
          <w:rtl/>
        </w:rPr>
        <w:t>בחברות</w:t>
      </w:r>
      <w:r w:rsidR="003257D6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F933A8" w:rsidRPr="00F77E2E">
        <w:rPr>
          <w:rFonts w:ascii="David" w:hAnsi="David" w:cs="David"/>
          <w:sz w:val="24"/>
          <w:szCs w:val="24"/>
          <w:rtl/>
        </w:rPr>
        <w:t xml:space="preserve">"גיבוי אחזקות" </w:t>
      </w:r>
      <w:proofErr w:type="spellStart"/>
      <w:r w:rsidR="00F933A8" w:rsidRPr="00F77E2E">
        <w:rPr>
          <w:rFonts w:ascii="David" w:hAnsi="David" w:cs="David"/>
          <w:sz w:val="24"/>
          <w:szCs w:val="24"/>
          <w:rtl/>
        </w:rPr>
        <w:t>ו"יונט</w:t>
      </w:r>
      <w:proofErr w:type="spellEnd"/>
      <w:r w:rsidR="00F933A8" w:rsidRPr="00F77E2E">
        <w:rPr>
          <w:rFonts w:ascii="David" w:hAnsi="David" w:cs="David"/>
          <w:sz w:val="24"/>
          <w:szCs w:val="24"/>
          <w:rtl/>
        </w:rPr>
        <w:t xml:space="preserve"> קרדיט" </w:t>
      </w:r>
      <w:r w:rsidR="005F14AC" w:rsidRPr="00F77E2E">
        <w:rPr>
          <w:rFonts w:ascii="David" w:hAnsi="David" w:cs="David"/>
          <w:sz w:val="24"/>
          <w:szCs w:val="24"/>
          <w:rtl/>
        </w:rPr>
        <w:t xml:space="preserve">בכל אחד מהימים שבהם התרחש אירוע שהשפיע על ההסתברות </w:t>
      </w:r>
      <w:r w:rsidR="003257D6" w:rsidRPr="00F77E2E">
        <w:rPr>
          <w:rFonts w:ascii="David" w:hAnsi="David" w:cs="David"/>
          <w:sz w:val="24"/>
          <w:szCs w:val="24"/>
          <w:rtl/>
        </w:rPr>
        <w:t>לקריסת</w:t>
      </w:r>
      <w:r w:rsidR="00341F7F" w:rsidRPr="00F77E2E">
        <w:rPr>
          <w:rFonts w:ascii="David" w:hAnsi="David" w:cs="David"/>
          <w:sz w:val="24"/>
          <w:szCs w:val="24"/>
          <w:rtl/>
        </w:rPr>
        <w:t>ן</w:t>
      </w:r>
      <w:r w:rsidR="005F14AC" w:rsidRPr="00F77E2E">
        <w:rPr>
          <w:rFonts w:ascii="David" w:hAnsi="David" w:cs="David"/>
          <w:sz w:val="24"/>
          <w:szCs w:val="24"/>
          <w:rtl/>
        </w:rPr>
        <w:t xml:space="preserve">. </w:t>
      </w:r>
      <w:r w:rsidR="00C855FC" w:rsidRPr="00F77E2E">
        <w:rPr>
          <w:rFonts w:ascii="David" w:hAnsi="David" w:cs="David"/>
          <w:sz w:val="24"/>
          <w:szCs w:val="24"/>
          <w:rtl/>
        </w:rPr>
        <w:t xml:space="preserve">מהלוח </w:t>
      </w:r>
      <w:r w:rsidR="001B5E93" w:rsidRPr="00F77E2E">
        <w:rPr>
          <w:rFonts w:ascii="David" w:hAnsi="David" w:cs="David"/>
          <w:sz w:val="24"/>
          <w:szCs w:val="24"/>
          <w:rtl/>
        </w:rPr>
        <w:t xml:space="preserve">עולה שהתשואה היומית הממוצעת והחציונית על </w:t>
      </w:r>
      <w:r w:rsidR="004A53AF" w:rsidRPr="00F77E2E">
        <w:rPr>
          <w:rFonts w:ascii="David" w:hAnsi="David" w:cs="David"/>
          <w:sz w:val="24"/>
          <w:szCs w:val="24"/>
          <w:rtl/>
        </w:rPr>
        <w:t>ה</w:t>
      </w:r>
      <w:r w:rsidR="001B5E93" w:rsidRPr="00F77E2E">
        <w:rPr>
          <w:rFonts w:ascii="David" w:hAnsi="David" w:cs="David"/>
          <w:sz w:val="24"/>
          <w:szCs w:val="24"/>
          <w:rtl/>
        </w:rPr>
        <w:t>מניות</w:t>
      </w:r>
      <w:r w:rsidR="004A53AF" w:rsidRPr="00F77E2E">
        <w:rPr>
          <w:rFonts w:ascii="David" w:hAnsi="David" w:cs="David"/>
          <w:sz w:val="24"/>
          <w:szCs w:val="24"/>
          <w:rtl/>
        </w:rPr>
        <w:t xml:space="preserve"> של</w:t>
      </w:r>
      <w:r w:rsidR="001B5E93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3257D6" w:rsidRPr="00F77E2E">
        <w:rPr>
          <w:rFonts w:ascii="David" w:hAnsi="David" w:cs="David"/>
          <w:sz w:val="24"/>
          <w:szCs w:val="24"/>
          <w:rtl/>
        </w:rPr>
        <w:t>חברות האשראי ה</w:t>
      </w:r>
      <w:r w:rsidR="000D4A1A" w:rsidRPr="00F77E2E">
        <w:rPr>
          <w:rFonts w:ascii="David" w:hAnsi="David" w:cs="David"/>
          <w:sz w:val="24"/>
          <w:szCs w:val="24"/>
          <w:rtl/>
        </w:rPr>
        <w:t>חוץ-ב</w:t>
      </w:r>
      <w:r w:rsidR="003257D6" w:rsidRPr="00F77E2E">
        <w:rPr>
          <w:rFonts w:ascii="David" w:hAnsi="David" w:cs="David"/>
          <w:sz w:val="24"/>
          <w:szCs w:val="24"/>
          <w:rtl/>
        </w:rPr>
        <w:t>נקאי המתחרות</w:t>
      </w:r>
      <w:r w:rsidR="001B5E93" w:rsidRPr="00F77E2E">
        <w:rPr>
          <w:rFonts w:ascii="David" w:hAnsi="David" w:cs="David"/>
          <w:sz w:val="24"/>
          <w:szCs w:val="24"/>
          <w:rtl/>
        </w:rPr>
        <w:t xml:space="preserve"> ב</w:t>
      </w:r>
      <w:r w:rsidR="003257D6" w:rsidRPr="00F77E2E">
        <w:rPr>
          <w:rFonts w:ascii="David" w:hAnsi="David" w:cs="David"/>
          <w:sz w:val="24"/>
          <w:szCs w:val="24"/>
          <w:rtl/>
        </w:rPr>
        <w:t>-14</w:t>
      </w:r>
      <w:r w:rsidR="001B5E93" w:rsidRPr="00F77E2E">
        <w:rPr>
          <w:rFonts w:ascii="David" w:hAnsi="David" w:cs="David"/>
          <w:sz w:val="24"/>
          <w:szCs w:val="24"/>
          <w:rtl/>
        </w:rPr>
        <w:t xml:space="preserve"> האירועים </w:t>
      </w:r>
      <w:r w:rsidR="00DD6CE4" w:rsidRPr="00F77E2E">
        <w:rPr>
          <w:rFonts w:ascii="David" w:hAnsi="David" w:cs="David"/>
          <w:sz w:val="24"/>
          <w:szCs w:val="24"/>
          <w:rtl/>
        </w:rPr>
        <w:t>שהעידו על הרעה במצב החברות</w:t>
      </w:r>
      <w:r w:rsidR="004A53AF" w:rsidRPr="00F77E2E">
        <w:rPr>
          <w:rFonts w:ascii="David" w:hAnsi="David" w:cs="David"/>
          <w:sz w:val="24"/>
          <w:szCs w:val="24"/>
          <w:rtl/>
        </w:rPr>
        <w:t>,</w:t>
      </w:r>
      <w:r w:rsidR="001B5E93" w:rsidRPr="00F77E2E">
        <w:rPr>
          <w:rFonts w:ascii="David" w:hAnsi="David" w:cs="David"/>
          <w:sz w:val="24"/>
          <w:szCs w:val="24"/>
          <w:rtl/>
        </w:rPr>
        <w:t xml:space="preserve"> הייתה </w:t>
      </w:r>
      <w:r w:rsidR="003257D6" w:rsidRPr="00F77E2E">
        <w:rPr>
          <w:rFonts w:ascii="David" w:hAnsi="David" w:cs="David"/>
          <w:sz w:val="24"/>
          <w:szCs w:val="24"/>
          <w:rtl/>
        </w:rPr>
        <w:t>שלילית, אבל</w:t>
      </w:r>
      <w:r w:rsidR="001B5E93" w:rsidRPr="00F77E2E">
        <w:rPr>
          <w:rFonts w:ascii="David" w:hAnsi="David" w:cs="David"/>
          <w:sz w:val="24"/>
          <w:szCs w:val="24"/>
          <w:rtl/>
        </w:rPr>
        <w:t xml:space="preserve"> קרובה </w:t>
      </w:r>
      <w:r w:rsidR="003257D6" w:rsidRPr="00F77E2E">
        <w:rPr>
          <w:rFonts w:ascii="David" w:hAnsi="David" w:cs="David"/>
          <w:sz w:val="24"/>
          <w:szCs w:val="24"/>
          <w:rtl/>
        </w:rPr>
        <w:t>מאוד לאפס</w:t>
      </w:r>
      <w:r w:rsidR="001B5E93" w:rsidRPr="00F77E2E">
        <w:rPr>
          <w:rFonts w:ascii="David" w:hAnsi="David" w:cs="David"/>
          <w:sz w:val="24"/>
          <w:szCs w:val="24"/>
          <w:rtl/>
        </w:rPr>
        <w:t xml:space="preserve">. </w:t>
      </w:r>
      <w:r w:rsidR="000E6E83" w:rsidRPr="00F77E2E">
        <w:rPr>
          <w:rFonts w:ascii="David" w:hAnsi="David" w:cs="David"/>
          <w:b/>
          <w:bCs/>
          <w:sz w:val="24"/>
          <w:szCs w:val="24"/>
          <w:rtl/>
        </w:rPr>
        <w:t xml:space="preserve">סטטיסטיקה תיאורית פשוטה זו מהווה רמז לכך שהאירועים הדרמטיים שחוו </w:t>
      </w:r>
      <w:r w:rsidR="00F933A8" w:rsidRPr="00F77E2E">
        <w:rPr>
          <w:rFonts w:ascii="David" w:hAnsi="David" w:cs="David"/>
          <w:b/>
          <w:bCs/>
          <w:sz w:val="24"/>
          <w:szCs w:val="24"/>
          <w:rtl/>
        </w:rPr>
        <w:lastRenderedPageBreak/>
        <w:t xml:space="preserve">החברות "גיבוי אחזקות" </w:t>
      </w:r>
      <w:proofErr w:type="spellStart"/>
      <w:r w:rsidR="00F933A8" w:rsidRPr="00F77E2E">
        <w:rPr>
          <w:rFonts w:ascii="David" w:hAnsi="David" w:cs="David"/>
          <w:b/>
          <w:bCs/>
          <w:sz w:val="24"/>
          <w:szCs w:val="24"/>
          <w:rtl/>
        </w:rPr>
        <w:t>ו"יונט</w:t>
      </w:r>
      <w:proofErr w:type="spellEnd"/>
      <w:r w:rsidR="00F933A8" w:rsidRPr="00F77E2E">
        <w:rPr>
          <w:rFonts w:ascii="David" w:hAnsi="David" w:cs="David"/>
          <w:b/>
          <w:bCs/>
          <w:sz w:val="24"/>
          <w:szCs w:val="24"/>
          <w:rtl/>
        </w:rPr>
        <w:t xml:space="preserve"> קרדיט" </w:t>
      </w:r>
      <w:r w:rsidR="000E6E83" w:rsidRPr="00F77E2E">
        <w:rPr>
          <w:rFonts w:ascii="David" w:hAnsi="David" w:cs="David"/>
          <w:b/>
          <w:bCs/>
          <w:sz w:val="24"/>
          <w:szCs w:val="24"/>
          <w:rtl/>
        </w:rPr>
        <w:t xml:space="preserve">בחודשים </w:t>
      </w:r>
      <w:r w:rsidR="001A774F" w:rsidRPr="00F77E2E">
        <w:rPr>
          <w:rFonts w:ascii="David" w:hAnsi="David" w:cs="David"/>
          <w:b/>
          <w:bCs/>
          <w:sz w:val="24"/>
          <w:szCs w:val="24"/>
          <w:rtl/>
        </w:rPr>
        <w:t>מאי</w:t>
      </w:r>
      <w:r w:rsidR="000E6E83" w:rsidRPr="00F77E2E">
        <w:rPr>
          <w:rFonts w:ascii="David" w:hAnsi="David" w:cs="David"/>
          <w:b/>
          <w:bCs/>
          <w:sz w:val="24"/>
          <w:szCs w:val="24"/>
          <w:rtl/>
        </w:rPr>
        <w:t>-אוגוסט 2022 לא נתפסו</w:t>
      </w:r>
      <w:r w:rsidR="003B415A" w:rsidRPr="00F77E2E">
        <w:rPr>
          <w:rFonts w:ascii="David" w:hAnsi="David" w:cs="David"/>
          <w:b/>
          <w:bCs/>
          <w:sz w:val="24"/>
          <w:szCs w:val="24"/>
          <w:rtl/>
        </w:rPr>
        <w:t xml:space="preserve"> על-ידי המשקיעים</w:t>
      </w:r>
      <w:r w:rsidR="000E6E83" w:rsidRPr="00F77E2E">
        <w:rPr>
          <w:rFonts w:ascii="David" w:hAnsi="David" w:cs="David"/>
          <w:b/>
          <w:bCs/>
          <w:sz w:val="24"/>
          <w:szCs w:val="24"/>
          <w:rtl/>
        </w:rPr>
        <w:t xml:space="preserve"> כדרמטיים לכלל שוק האשראי ה</w:t>
      </w:r>
      <w:r w:rsidR="000D4A1A" w:rsidRPr="00F77E2E">
        <w:rPr>
          <w:rFonts w:ascii="David" w:hAnsi="David" w:cs="David"/>
          <w:b/>
          <w:bCs/>
          <w:sz w:val="24"/>
          <w:szCs w:val="24"/>
          <w:rtl/>
        </w:rPr>
        <w:t>חוץ-ב</w:t>
      </w:r>
      <w:r w:rsidR="000E6E83" w:rsidRPr="00F77E2E">
        <w:rPr>
          <w:rFonts w:ascii="David" w:hAnsi="David" w:cs="David"/>
          <w:b/>
          <w:bCs/>
          <w:sz w:val="24"/>
          <w:szCs w:val="24"/>
          <w:rtl/>
        </w:rPr>
        <w:t>נקאי.</w:t>
      </w:r>
      <w:r w:rsidR="0063705C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4A53AF" w:rsidRPr="00F77E2E">
        <w:rPr>
          <w:rFonts w:ascii="David" w:hAnsi="David" w:cs="David"/>
          <w:sz w:val="24"/>
          <w:szCs w:val="24"/>
          <w:rtl/>
        </w:rPr>
        <w:t>ה</w:t>
      </w:r>
      <w:r w:rsidR="00E3071B" w:rsidRPr="00F77E2E">
        <w:rPr>
          <w:rFonts w:ascii="David" w:hAnsi="David" w:cs="David"/>
          <w:sz w:val="24"/>
          <w:szCs w:val="24"/>
          <w:rtl/>
        </w:rPr>
        <w:t>מניות</w:t>
      </w:r>
      <w:r w:rsidR="004A53AF" w:rsidRPr="00F77E2E">
        <w:rPr>
          <w:rFonts w:ascii="David" w:hAnsi="David" w:cs="David"/>
          <w:sz w:val="24"/>
          <w:szCs w:val="24"/>
          <w:rtl/>
        </w:rPr>
        <w:t xml:space="preserve"> של</w:t>
      </w:r>
      <w:r w:rsidR="00E3071B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0E6E83" w:rsidRPr="00F77E2E">
        <w:rPr>
          <w:rFonts w:ascii="David" w:hAnsi="David" w:cs="David"/>
          <w:sz w:val="24"/>
          <w:szCs w:val="24"/>
          <w:rtl/>
        </w:rPr>
        <w:t>חברות האשראי ה</w:t>
      </w:r>
      <w:r w:rsidR="000D4A1A" w:rsidRPr="00F77E2E">
        <w:rPr>
          <w:rFonts w:ascii="David" w:hAnsi="David" w:cs="David"/>
          <w:sz w:val="24"/>
          <w:szCs w:val="24"/>
          <w:rtl/>
        </w:rPr>
        <w:t>חוץ-ב</w:t>
      </w:r>
      <w:r w:rsidR="000E6E83" w:rsidRPr="00F77E2E">
        <w:rPr>
          <w:rFonts w:ascii="David" w:hAnsi="David" w:cs="David"/>
          <w:sz w:val="24"/>
          <w:szCs w:val="24"/>
          <w:rtl/>
        </w:rPr>
        <w:t xml:space="preserve">נקאי </w:t>
      </w:r>
      <w:r w:rsidR="0052449E" w:rsidRPr="00F77E2E">
        <w:rPr>
          <w:rFonts w:ascii="David" w:hAnsi="David" w:cs="David"/>
          <w:sz w:val="24"/>
          <w:szCs w:val="24"/>
          <w:rtl/>
        </w:rPr>
        <w:t xml:space="preserve">שנסחרות </w:t>
      </w:r>
      <w:r w:rsidR="000E6E83" w:rsidRPr="00F77E2E">
        <w:rPr>
          <w:rFonts w:ascii="David" w:hAnsi="David" w:cs="David"/>
          <w:sz w:val="24"/>
          <w:szCs w:val="24"/>
          <w:rtl/>
        </w:rPr>
        <w:t xml:space="preserve">בבורסה </w:t>
      </w:r>
      <w:r w:rsidR="00E3071B" w:rsidRPr="00F77E2E">
        <w:rPr>
          <w:rFonts w:ascii="David" w:hAnsi="David" w:cs="David"/>
          <w:sz w:val="24"/>
          <w:szCs w:val="24"/>
          <w:rtl/>
        </w:rPr>
        <w:t xml:space="preserve">מושפעות לא רק </w:t>
      </w:r>
      <w:r w:rsidR="000E6E83" w:rsidRPr="00F77E2E">
        <w:rPr>
          <w:rFonts w:ascii="David" w:hAnsi="David" w:cs="David"/>
          <w:sz w:val="24"/>
          <w:szCs w:val="24"/>
          <w:rtl/>
        </w:rPr>
        <w:t>מהערכת</w:t>
      </w:r>
      <w:r w:rsidR="004A53AF" w:rsidRPr="00F77E2E">
        <w:rPr>
          <w:rFonts w:ascii="David" w:hAnsi="David" w:cs="David"/>
          <w:sz w:val="24"/>
          <w:szCs w:val="24"/>
          <w:rtl/>
        </w:rPr>
        <w:t>ם של</w:t>
      </w:r>
      <w:r w:rsidR="000E6E83" w:rsidRPr="00F77E2E">
        <w:rPr>
          <w:rFonts w:ascii="David" w:hAnsi="David" w:cs="David"/>
          <w:sz w:val="24"/>
          <w:szCs w:val="24"/>
          <w:rtl/>
        </w:rPr>
        <w:t xml:space="preserve"> המשקיעים לגבי חברות האשראי ה</w:t>
      </w:r>
      <w:r w:rsidR="000D4A1A" w:rsidRPr="00F77E2E">
        <w:rPr>
          <w:rFonts w:ascii="David" w:hAnsi="David" w:cs="David"/>
          <w:sz w:val="24"/>
          <w:szCs w:val="24"/>
          <w:rtl/>
        </w:rPr>
        <w:t>חוץ-ב</w:t>
      </w:r>
      <w:r w:rsidR="000E6E83" w:rsidRPr="00F77E2E">
        <w:rPr>
          <w:rFonts w:ascii="David" w:hAnsi="David" w:cs="David"/>
          <w:sz w:val="24"/>
          <w:szCs w:val="24"/>
          <w:rtl/>
        </w:rPr>
        <w:t>נקאי,</w:t>
      </w:r>
      <w:r w:rsidR="00E3071B" w:rsidRPr="00F77E2E">
        <w:rPr>
          <w:rFonts w:ascii="David" w:hAnsi="David" w:cs="David"/>
          <w:sz w:val="24"/>
          <w:szCs w:val="24"/>
          <w:rtl/>
        </w:rPr>
        <w:t xml:space="preserve"> אלא גם מאירועים מקרו-כלכליים ופיננסים שמשפיעים על הכלכלה הישראלית כולה. כדי לפקח על השפעה </w:t>
      </w:r>
      <w:r w:rsidR="00341F7F" w:rsidRPr="00F77E2E">
        <w:rPr>
          <w:rFonts w:ascii="David" w:hAnsi="David" w:cs="David"/>
          <w:sz w:val="24"/>
          <w:szCs w:val="24"/>
          <w:rtl/>
        </w:rPr>
        <w:t>זו</w:t>
      </w:r>
      <w:r w:rsidR="00E3071B" w:rsidRPr="00F77E2E">
        <w:rPr>
          <w:rFonts w:ascii="David" w:hAnsi="David" w:cs="David"/>
          <w:sz w:val="24"/>
          <w:szCs w:val="24"/>
          <w:rtl/>
        </w:rPr>
        <w:t xml:space="preserve"> ובהתאם למקובל במחקרי</w:t>
      </w:r>
      <w:r w:rsidR="00BA69C0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E3071B" w:rsidRPr="00F77E2E">
        <w:rPr>
          <w:rFonts w:ascii="David" w:hAnsi="David" w:cs="David"/>
          <w:sz w:val="24"/>
          <w:szCs w:val="24"/>
          <w:rtl/>
        </w:rPr>
        <w:t>חקר-אירוע (</w:t>
      </w:r>
      <w:proofErr w:type="spellStart"/>
      <w:r w:rsidR="00E3071B" w:rsidRPr="00F77E2E">
        <w:rPr>
          <w:rFonts w:ascii="David" w:hAnsi="David" w:cs="David"/>
          <w:sz w:val="24"/>
          <w:szCs w:val="24"/>
        </w:rPr>
        <w:t>MacKinlay</w:t>
      </w:r>
      <w:proofErr w:type="spellEnd"/>
      <w:r w:rsidR="00E3071B" w:rsidRPr="00F77E2E">
        <w:rPr>
          <w:rFonts w:ascii="David" w:hAnsi="David" w:cs="David"/>
          <w:sz w:val="24"/>
          <w:szCs w:val="24"/>
        </w:rPr>
        <w:t>, 1997</w:t>
      </w:r>
      <w:r w:rsidR="00E3071B" w:rsidRPr="00F77E2E">
        <w:rPr>
          <w:rFonts w:ascii="David" w:hAnsi="David" w:cs="David"/>
          <w:sz w:val="24"/>
          <w:szCs w:val="24"/>
          <w:rtl/>
        </w:rPr>
        <w:t>)</w:t>
      </w:r>
      <w:r w:rsidR="000E6E83" w:rsidRPr="00F77E2E">
        <w:rPr>
          <w:rFonts w:ascii="David" w:hAnsi="David" w:cs="David"/>
          <w:sz w:val="24"/>
          <w:szCs w:val="24"/>
          <w:rtl/>
        </w:rPr>
        <w:t>, נשתמש</w:t>
      </w:r>
      <w:r w:rsidR="00E3071B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0E6E83" w:rsidRPr="00F77E2E">
        <w:rPr>
          <w:rFonts w:ascii="David" w:hAnsi="David" w:cs="David"/>
          <w:sz w:val="24"/>
          <w:szCs w:val="24"/>
          <w:rtl/>
        </w:rPr>
        <w:t>בא</w:t>
      </w:r>
      <w:r w:rsidR="00E3071B" w:rsidRPr="00F77E2E">
        <w:rPr>
          <w:rFonts w:ascii="David" w:hAnsi="David" w:cs="David"/>
          <w:sz w:val="24"/>
          <w:szCs w:val="24"/>
          <w:rtl/>
        </w:rPr>
        <w:t>מידה</w:t>
      </w:r>
      <w:r w:rsidR="007C1A0A" w:rsidRPr="00F77E2E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0E6E83" w:rsidRPr="00F77E2E">
        <w:rPr>
          <w:rFonts w:ascii="David" w:hAnsi="David" w:cs="David"/>
          <w:sz w:val="24"/>
          <w:szCs w:val="24"/>
          <w:rtl/>
        </w:rPr>
        <w:t>אקונומטרית</w:t>
      </w:r>
      <w:proofErr w:type="spellEnd"/>
      <w:r w:rsidR="000E6E83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4A53AF" w:rsidRPr="00F77E2E">
        <w:rPr>
          <w:rFonts w:ascii="David" w:hAnsi="David" w:cs="David"/>
          <w:sz w:val="24"/>
          <w:szCs w:val="24"/>
          <w:rtl/>
        </w:rPr>
        <w:t xml:space="preserve">שמפקחת </w:t>
      </w:r>
      <w:r w:rsidR="000E6E83" w:rsidRPr="00F77E2E">
        <w:rPr>
          <w:rFonts w:ascii="David" w:hAnsi="David" w:cs="David"/>
          <w:sz w:val="24"/>
          <w:szCs w:val="24"/>
          <w:rtl/>
        </w:rPr>
        <w:t>על</w:t>
      </w:r>
      <w:r w:rsidR="00E3071B" w:rsidRPr="00F77E2E">
        <w:rPr>
          <w:rFonts w:ascii="David" w:hAnsi="David" w:cs="David"/>
          <w:sz w:val="24"/>
          <w:szCs w:val="24"/>
          <w:rtl/>
        </w:rPr>
        <w:t xml:space="preserve"> התשואה היומית של מדד המניות הראשי בבורסה לניירות ערך בתל</w:t>
      </w:r>
      <w:r w:rsidR="00A97D03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E3071B" w:rsidRPr="00F77E2E">
        <w:rPr>
          <w:rFonts w:ascii="David" w:hAnsi="David" w:cs="David"/>
          <w:sz w:val="24"/>
          <w:szCs w:val="24"/>
          <w:rtl/>
        </w:rPr>
        <w:t xml:space="preserve">אביב, ת"א </w:t>
      </w:r>
      <w:r w:rsidR="000E6E83" w:rsidRPr="00F77E2E">
        <w:rPr>
          <w:rFonts w:ascii="David" w:hAnsi="David" w:cs="David"/>
          <w:sz w:val="24"/>
          <w:szCs w:val="24"/>
          <w:rtl/>
        </w:rPr>
        <w:t>125</w:t>
      </w:r>
      <w:r w:rsidR="008B143F" w:rsidRPr="00F77E2E">
        <w:rPr>
          <w:rFonts w:ascii="David" w:hAnsi="David" w:cs="David"/>
          <w:sz w:val="24"/>
          <w:szCs w:val="24"/>
          <w:rtl/>
        </w:rPr>
        <w:t xml:space="preserve">. </w:t>
      </w:r>
      <w:r w:rsidR="000E6E83" w:rsidRPr="00F77E2E">
        <w:rPr>
          <w:rFonts w:ascii="David" w:hAnsi="David" w:cs="David"/>
          <w:sz w:val="24"/>
          <w:szCs w:val="24"/>
          <w:rtl/>
        </w:rPr>
        <w:t xml:space="preserve">בחלק מהמקרים </w:t>
      </w:r>
      <w:r w:rsidR="008B143F" w:rsidRPr="00F77E2E">
        <w:rPr>
          <w:rFonts w:ascii="David" w:hAnsi="David" w:cs="David"/>
          <w:sz w:val="24"/>
          <w:szCs w:val="24"/>
          <w:rtl/>
        </w:rPr>
        <w:t xml:space="preserve">האמידה מפקחת </w:t>
      </w:r>
      <w:r w:rsidR="000E6E83" w:rsidRPr="00F77E2E">
        <w:rPr>
          <w:rFonts w:ascii="David" w:hAnsi="David" w:cs="David"/>
          <w:sz w:val="24"/>
          <w:szCs w:val="24"/>
          <w:rtl/>
        </w:rPr>
        <w:t xml:space="preserve">גם על מדד המניות של הבורסה </w:t>
      </w:r>
      <w:r w:rsidR="00C522EA" w:rsidRPr="00F77E2E">
        <w:rPr>
          <w:rFonts w:ascii="David" w:hAnsi="David" w:cs="David"/>
          <w:sz w:val="24"/>
          <w:szCs w:val="24"/>
          <w:rtl/>
        </w:rPr>
        <w:t xml:space="preserve">שמתמקד </w:t>
      </w:r>
      <w:r w:rsidR="000E6E83" w:rsidRPr="00F77E2E">
        <w:rPr>
          <w:rFonts w:ascii="David" w:hAnsi="David" w:cs="David"/>
          <w:sz w:val="24"/>
          <w:szCs w:val="24"/>
          <w:rtl/>
        </w:rPr>
        <w:t>בחברות פיננסיות – מדד תל-אביב פיננסים.</w:t>
      </w:r>
    </w:p>
    <w:p w:rsidR="00193AC4" w:rsidRPr="00F77E2E" w:rsidRDefault="00193AC4" w:rsidP="00193AC4">
      <w:pPr>
        <w:bidi/>
        <w:spacing w:line="360" w:lineRule="auto"/>
        <w:jc w:val="both"/>
        <w:rPr>
          <w:rFonts w:ascii="David" w:hAnsi="David" w:cs="David"/>
          <w:sz w:val="24"/>
          <w:szCs w:val="24"/>
          <w:highlight w:val="yellow"/>
          <w:rtl/>
        </w:rPr>
      </w:pPr>
    </w:p>
    <w:p w:rsidR="00193AC4" w:rsidRPr="00F77E2E" w:rsidRDefault="00193AC4" w:rsidP="00193AC4">
      <w:pPr>
        <w:bidi/>
        <w:spacing w:line="360" w:lineRule="auto"/>
        <w:jc w:val="both"/>
        <w:rPr>
          <w:rFonts w:ascii="David" w:hAnsi="David" w:cs="David"/>
          <w:sz w:val="24"/>
          <w:szCs w:val="24"/>
          <w:highlight w:val="yellow"/>
        </w:rPr>
      </w:pPr>
    </w:p>
    <w:tbl>
      <w:tblPr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978"/>
        <w:gridCol w:w="851"/>
        <w:gridCol w:w="2976"/>
        <w:gridCol w:w="851"/>
        <w:gridCol w:w="1276"/>
        <w:gridCol w:w="861"/>
        <w:gridCol w:w="837"/>
      </w:tblGrid>
      <w:tr w:rsidR="00E90ADB" w:rsidRPr="00F77E2E" w:rsidTr="003E1397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20" w:rsidRPr="00F77E2E" w:rsidRDefault="00770D20" w:rsidP="00770D20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לוח 1: האירועים שהשפיעו לרעה על </w:t>
            </w:r>
            <w:r w:rsidR="00C522EA" w:rsidRPr="00F77E2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החברות "</w:t>
            </w:r>
            <w:r w:rsidRPr="00F77E2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גיבוי אחזקות</w:t>
            </w:r>
            <w:r w:rsidR="00C522EA" w:rsidRPr="00F77E2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"</w:t>
            </w:r>
            <w:r w:rsidRPr="00F77E2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F77E2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ו</w:t>
            </w:r>
            <w:r w:rsidR="00C522EA" w:rsidRPr="00F77E2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"</w:t>
            </w:r>
            <w:r w:rsidRPr="00F77E2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י</w:t>
            </w:r>
            <w:r w:rsidR="00C522EA" w:rsidRPr="00F77E2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ו</w:t>
            </w:r>
            <w:r w:rsidRPr="00F77E2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נט</w:t>
            </w:r>
            <w:proofErr w:type="spellEnd"/>
            <w:r w:rsidRPr="00F77E2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 קרדיט</w:t>
            </w:r>
            <w:r w:rsidR="00C522EA" w:rsidRPr="00F77E2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"</w:t>
            </w:r>
            <w:r w:rsidRPr="00F77E2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 ותשואות ענף נותני האשראי ה</w:t>
            </w:r>
            <w:r w:rsidR="000D4A1A" w:rsidRPr="00F77E2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חוץ-ב</w:t>
            </w:r>
            <w:r w:rsidRPr="00F77E2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נקאי בימים אלה</w:t>
            </w:r>
          </w:p>
        </w:tc>
      </w:tr>
      <w:tr w:rsidR="00E90ADB" w:rsidRPr="00F77E2E" w:rsidTr="00947186">
        <w:trPr>
          <w:trHeight w:val="255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חברה</w:t>
            </w:r>
          </w:p>
        </w:tc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תיאור אירוע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20" w:rsidRPr="00F77E2E" w:rsidRDefault="00770D20" w:rsidP="00770D20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מדד משוקלל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20" w:rsidRPr="00F77E2E" w:rsidRDefault="00770D20" w:rsidP="00770D20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מדד משקולות שוות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20" w:rsidRPr="00F77E2E" w:rsidRDefault="00C522EA" w:rsidP="00770D20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"</w:t>
            </w:r>
            <w:r w:rsidR="00770D20" w:rsidRPr="00F77E2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גיבוי אחזקות</w:t>
            </w:r>
            <w:r w:rsidRPr="00F77E2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20" w:rsidRPr="00F77E2E" w:rsidRDefault="00C522EA" w:rsidP="00770D20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"</w:t>
            </w:r>
            <w:proofErr w:type="spellStart"/>
            <w:r w:rsidR="00770D20" w:rsidRPr="00F77E2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יונט</w:t>
            </w:r>
            <w:proofErr w:type="spellEnd"/>
            <w:r w:rsidR="00770D20" w:rsidRPr="00F77E2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 קרדיט</w:t>
            </w:r>
            <w:r w:rsidRPr="00F77E2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"</w:t>
            </w:r>
          </w:p>
        </w:tc>
      </w:tr>
      <w:tr w:rsidR="00E90ADB" w:rsidRPr="00F77E2E" w:rsidTr="00947186">
        <w:trPr>
          <w:trHeight w:val="255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947186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09/05/2022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770D20" w:rsidRPr="00F77E2E" w:rsidRDefault="00770D20" w:rsidP="00947186">
            <w:pPr>
              <w:bidi/>
              <w:spacing w:after="0" w:line="24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יונט</w:t>
            </w:r>
            <w:proofErr w:type="spellEnd"/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קרדיט</w:t>
            </w:r>
          </w:p>
        </w:tc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20" w:rsidRPr="00F77E2E" w:rsidRDefault="00770D20" w:rsidP="00770D20">
            <w:pPr>
              <w:bidi/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בוצע שוד כספי של החברה בס</w:t>
            </w:r>
            <w:r w:rsidR="00B96929"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ך</w:t>
            </w: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3.5 מיליון </w:t>
            </w:r>
            <w:r w:rsidR="00D52DFD"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ש</w:t>
            </w:r>
            <w:r w:rsidR="00C522EA"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"</w:t>
            </w:r>
            <w:r w:rsidR="00D52DFD"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ח</w:t>
            </w:r>
            <w:r w:rsidR="00C522EA"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.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-3.54%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-4.21%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.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-11.15%</w:t>
            </w:r>
          </w:p>
        </w:tc>
      </w:tr>
      <w:tr w:rsidR="00E90ADB" w:rsidRPr="00F77E2E" w:rsidTr="00947186">
        <w:trPr>
          <w:trHeight w:val="255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947186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01/06/2022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770D20" w:rsidRPr="00F77E2E" w:rsidRDefault="00770D20" w:rsidP="00947186">
            <w:pPr>
              <w:bidi/>
              <w:spacing w:after="0" w:line="24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יונט</w:t>
            </w:r>
            <w:proofErr w:type="spellEnd"/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קרדיט</w:t>
            </w:r>
          </w:p>
        </w:tc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20" w:rsidRPr="00F77E2E" w:rsidRDefault="00770D20" w:rsidP="00770D20">
            <w:pPr>
              <w:bidi/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מונה בודק חיצוני בשל אי התאמות באחד מסניפי החברה ונדחה פרסום הדוחות הכספיים</w:t>
            </w:r>
            <w:r w:rsidR="00C522EA"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.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1.31%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0.97%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.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-22.28%</w:t>
            </w:r>
          </w:p>
        </w:tc>
      </w:tr>
      <w:tr w:rsidR="00E90ADB" w:rsidRPr="00F77E2E" w:rsidTr="00947186">
        <w:trPr>
          <w:trHeight w:val="255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947186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14/06/2022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770D20" w:rsidRPr="00F77E2E" w:rsidRDefault="00770D20" w:rsidP="00947186">
            <w:pPr>
              <w:bidi/>
              <w:spacing w:after="0" w:line="24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יונט</w:t>
            </w:r>
            <w:proofErr w:type="spellEnd"/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קרדיט</w:t>
            </w:r>
          </w:p>
        </w:tc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20" w:rsidRPr="00F77E2E" w:rsidRDefault="00770D20" w:rsidP="00770D20">
            <w:pPr>
              <w:bidi/>
              <w:spacing w:after="0" w:line="24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חתימה על נייר עקרונות לא מחייב למכירת 18% ממניות החברה לחברת גיזה ב-10 מיליון </w:t>
            </w:r>
            <w:r w:rsidR="00D52DFD" w:rsidRPr="00F77E2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ש</w:t>
            </w:r>
            <w:r w:rsidR="00C522EA" w:rsidRPr="00F77E2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"</w:t>
            </w:r>
            <w:r w:rsidR="00D52DFD" w:rsidRPr="00F77E2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ח</w:t>
            </w:r>
            <w:r w:rsidRPr="00F77E2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-0.32%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-0.66%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.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5.07%</w:t>
            </w:r>
          </w:p>
        </w:tc>
      </w:tr>
      <w:tr w:rsidR="00E90ADB" w:rsidRPr="00F77E2E" w:rsidTr="00947186">
        <w:trPr>
          <w:trHeight w:val="48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947186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16/06/2022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770D20" w:rsidRPr="00F77E2E" w:rsidRDefault="00770D20" w:rsidP="00947186">
            <w:pPr>
              <w:bidi/>
              <w:spacing w:after="0" w:line="24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יונט</w:t>
            </w:r>
            <w:proofErr w:type="spellEnd"/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קרדיט</w:t>
            </w:r>
          </w:p>
        </w:tc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20" w:rsidRPr="00F77E2E" w:rsidRDefault="00592ABB" w:rsidP="00770D20">
            <w:pPr>
              <w:bidi/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hAnsi="David" w:cs="David"/>
                <w:sz w:val="24"/>
                <w:szCs w:val="24"/>
                <w:rtl/>
              </w:rPr>
              <w:t>ממצאי הבודק החיצוני –לחברה</w:t>
            </w:r>
            <w:r w:rsidR="00C522EA" w:rsidRPr="00F77E2E">
              <w:rPr>
                <w:rFonts w:ascii="David" w:hAnsi="David" w:cs="David"/>
                <w:sz w:val="24"/>
                <w:szCs w:val="24"/>
                <w:rtl/>
              </w:rPr>
              <w:t xml:space="preserve"> יש</w:t>
            </w:r>
            <w:r w:rsidRPr="00F77E2E">
              <w:rPr>
                <w:rFonts w:ascii="David" w:hAnsi="David" w:cs="David"/>
                <w:sz w:val="24"/>
                <w:szCs w:val="24"/>
                <w:rtl/>
              </w:rPr>
              <w:t xml:space="preserve"> חשיפה גבוהה מכפי שהיה ידוע בגין הלוואות שהעמידה</w:t>
            </w:r>
            <w:r w:rsidR="00C522EA" w:rsidRPr="00F77E2E">
              <w:rPr>
                <w:rFonts w:ascii="David" w:hAnsi="David" w:cs="David"/>
                <w:sz w:val="24"/>
                <w:szCs w:val="24"/>
                <w:rtl/>
              </w:rPr>
              <w:t>.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-0.93%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-1.57%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.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0.00%</w:t>
            </w:r>
          </w:p>
        </w:tc>
      </w:tr>
      <w:tr w:rsidR="00E90ADB" w:rsidRPr="00F77E2E" w:rsidTr="00947186">
        <w:trPr>
          <w:trHeight w:val="255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947186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22/06/2022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770D20" w:rsidRPr="00F77E2E" w:rsidRDefault="00770D20" w:rsidP="00947186">
            <w:pPr>
              <w:bidi/>
              <w:spacing w:after="0" w:line="24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יונט</w:t>
            </w:r>
            <w:proofErr w:type="spellEnd"/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קרדיט</w:t>
            </w:r>
          </w:p>
        </w:tc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20" w:rsidRPr="00F77E2E" w:rsidRDefault="00770D20" w:rsidP="00770D20">
            <w:pPr>
              <w:bidi/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דיווח על אי הימצאות של המחאות בסך 10.6 מיליון </w:t>
            </w:r>
            <w:r w:rsidR="00D52DFD"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ש</w:t>
            </w:r>
            <w:r w:rsidR="00C522EA"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"</w:t>
            </w:r>
            <w:r w:rsidR="00D52DFD"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ח</w:t>
            </w: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וקיום של חשיפה ל-37 מיליון </w:t>
            </w:r>
            <w:r w:rsidR="00D52DFD"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ש</w:t>
            </w:r>
            <w:r w:rsidR="00C522EA"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"</w:t>
            </w:r>
            <w:r w:rsidR="00D52DFD"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ח</w:t>
            </w: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נוספים.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-0.38%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-0.38%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.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0.00%</w:t>
            </w:r>
          </w:p>
        </w:tc>
      </w:tr>
      <w:tr w:rsidR="00E90ADB" w:rsidRPr="00F77E2E" w:rsidTr="00947186">
        <w:trPr>
          <w:trHeight w:val="255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947186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23/06/2022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770D20" w:rsidRPr="00F77E2E" w:rsidRDefault="00770D20" w:rsidP="00947186">
            <w:pPr>
              <w:bidi/>
              <w:spacing w:after="0" w:line="24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יונט</w:t>
            </w:r>
            <w:proofErr w:type="spellEnd"/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קרדיט</w:t>
            </w:r>
          </w:p>
        </w:tc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20" w:rsidRPr="00F77E2E" w:rsidRDefault="00770D20" w:rsidP="00770D20">
            <w:pPr>
              <w:bidi/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בעלי השליטה מעדכנים שהמניות לא יימכרו לחברת גיזה.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0.77%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0.78%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.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0.00%</w:t>
            </w:r>
          </w:p>
        </w:tc>
      </w:tr>
      <w:tr w:rsidR="00E90ADB" w:rsidRPr="00F77E2E" w:rsidTr="00947186">
        <w:trPr>
          <w:trHeight w:val="48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947186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30/06/2022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770D20" w:rsidRPr="00F77E2E" w:rsidRDefault="00770D20" w:rsidP="00947186">
            <w:pPr>
              <w:bidi/>
              <w:spacing w:after="0" w:line="24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גיבוי אחזקות</w:t>
            </w:r>
          </w:p>
        </w:tc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20" w:rsidRPr="00F77E2E" w:rsidRDefault="00770D20" w:rsidP="00770D20">
            <w:pPr>
              <w:bidi/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הפסקת מסחר ומינוי בודק חיצוני לבחינת פעילות החברה לאור חשש להתנהלות לקויה בסניף הצפון של החברה.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-1.19%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-1.40%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0.00%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.</w:t>
            </w:r>
          </w:p>
        </w:tc>
      </w:tr>
      <w:tr w:rsidR="00E90ADB" w:rsidRPr="00F77E2E" w:rsidTr="00947186">
        <w:trPr>
          <w:trHeight w:val="255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947186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04/07/2022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770D20" w:rsidRPr="00F77E2E" w:rsidRDefault="00770D20" w:rsidP="00947186">
            <w:pPr>
              <w:bidi/>
              <w:spacing w:after="0" w:line="24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גיבוי אחזקות</w:t>
            </w:r>
          </w:p>
        </w:tc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20" w:rsidRPr="00F77E2E" w:rsidRDefault="00770D20" w:rsidP="00770D20">
            <w:pPr>
              <w:bidi/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פתיחה למסחר לצורך גריעה ממדדי הבורסה והורדת דירוג החברה </w:t>
            </w:r>
            <w:proofErr w:type="spellStart"/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והאג"ח</w:t>
            </w:r>
            <w:proofErr w:type="spellEnd"/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.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0.34%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-0.07%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-50.94%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.</w:t>
            </w:r>
          </w:p>
        </w:tc>
      </w:tr>
      <w:tr w:rsidR="00E90ADB" w:rsidRPr="00F77E2E" w:rsidTr="00947186">
        <w:trPr>
          <w:trHeight w:val="255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947186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12/07/2022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770D20" w:rsidRPr="00F77E2E" w:rsidRDefault="00770D20" w:rsidP="00947186">
            <w:pPr>
              <w:bidi/>
              <w:spacing w:after="0" w:line="24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גיבוי אחזקות</w:t>
            </w:r>
          </w:p>
        </w:tc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20" w:rsidRPr="00F77E2E" w:rsidRDefault="00770D20" w:rsidP="00770D20">
            <w:pPr>
              <w:bidi/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דיווח על התנהלות לקויה בסניף הצפון – חבר הנהלה לקח </w:t>
            </w: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lastRenderedPageBreak/>
              <w:t xml:space="preserve">הלוואה סיבובית של 2.5 מיליון </w:t>
            </w:r>
            <w:r w:rsidR="00D52DFD"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ש</w:t>
            </w:r>
            <w:r w:rsidR="00C522EA"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"</w:t>
            </w:r>
            <w:r w:rsidR="00D52DFD"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ח</w:t>
            </w: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.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lastRenderedPageBreak/>
              <w:t>-0.34%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-0.36%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-22.51%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.</w:t>
            </w:r>
          </w:p>
        </w:tc>
      </w:tr>
      <w:tr w:rsidR="00E90ADB" w:rsidRPr="00F77E2E" w:rsidTr="00947186">
        <w:trPr>
          <w:trHeight w:val="255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947186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13/07/2022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770D20" w:rsidRPr="00F77E2E" w:rsidRDefault="00770D20" w:rsidP="00947186">
            <w:pPr>
              <w:bidi/>
              <w:spacing w:after="0" w:line="24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יונט</w:t>
            </w:r>
            <w:proofErr w:type="spellEnd"/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קרדיט</w:t>
            </w:r>
          </w:p>
        </w:tc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0" w:rsidRPr="00F77E2E" w:rsidRDefault="00770D20" w:rsidP="00C522EA">
            <w:pPr>
              <w:bidi/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גילוי של אי סדרים נוספים בחברה.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-0.65%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-0.87%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.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0.00%</w:t>
            </w:r>
          </w:p>
        </w:tc>
      </w:tr>
      <w:tr w:rsidR="00E90ADB" w:rsidRPr="00F77E2E" w:rsidTr="00947186">
        <w:trPr>
          <w:trHeight w:val="255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947186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25/07/2022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770D20" w:rsidRPr="00F77E2E" w:rsidRDefault="00770D20" w:rsidP="00947186">
            <w:pPr>
              <w:bidi/>
              <w:spacing w:after="0" w:line="24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גיבוי אחזקות</w:t>
            </w:r>
          </w:p>
        </w:tc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20" w:rsidRPr="00F77E2E" w:rsidRDefault="00770D20" w:rsidP="00770D20">
            <w:pPr>
              <w:bidi/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דיווח על הלוואות בסך כ-2.2 מיליון </w:t>
            </w:r>
            <w:r w:rsidR="00D52DFD"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ש</w:t>
            </w:r>
            <w:r w:rsidR="00C522EA"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"</w:t>
            </w:r>
            <w:r w:rsidR="00D52DFD"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ח</w:t>
            </w: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שהועמדו לצדדים הקשורים למנהל סניף </w:t>
            </w:r>
            <w:r w:rsidR="00C522EA"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ה</w:t>
            </w: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צפון ללא אישורים.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0.20%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0.24%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-3.38%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.</w:t>
            </w:r>
          </w:p>
        </w:tc>
      </w:tr>
      <w:tr w:rsidR="00E90ADB" w:rsidRPr="00F77E2E" w:rsidTr="00947186">
        <w:trPr>
          <w:trHeight w:val="255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947186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14/08/2022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770D20" w:rsidRPr="00F77E2E" w:rsidRDefault="00770D20" w:rsidP="00947186">
            <w:pPr>
              <w:bidi/>
              <w:spacing w:after="0" w:line="24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גיבוי אחזקות</w:t>
            </w:r>
          </w:p>
        </w:tc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20" w:rsidRPr="00F77E2E" w:rsidRDefault="00770D20" w:rsidP="00770D20">
            <w:pPr>
              <w:bidi/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טיוטה ראשונה של הבודק החיצוני מוצאת שיש נכסים אבודים בשווי של בין 50 ל-100 מיליון </w:t>
            </w:r>
            <w:r w:rsidR="00D52DFD"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ש</w:t>
            </w:r>
            <w:r w:rsidR="00C522EA"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"</w:t>
            </w:r>
            <w:r w:rsidR="00D52DFD"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ח</w:t>
            </w: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.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0.75%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0.29%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-14.74%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.</w:t>
            </w:r>
          </w:p>
        </w:tc>
      </w:tr>
      <w:tr w:rsidR="00E90ADB" w:rsidRPr="00F77E2E" w:rsidTr="00947186">
        <w:trPr>
          <w:trHeight w:val="255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947186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22/08/2022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770D20" w:rsidRPr="00F77E2E" w:rsidRDefault="00770D20" w:rsidP="00947186">
            <w:pPr>
              <w:bidi/>
              <w:spacing w:after="0" w:line="24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גיבוי אחזקות</w:t>
            </w:r>
          </w:p>
        </w:tc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0" w:rsidRPr="00F77E2E" w:rsidRDefault="00770D20" w:rsidP="00C522EA">
            <w:pPr>
              <w:bidi/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הודעה על אי עמידה בפירעון חוב </w:t>
            </w:r>
            <w:proofErr w:type="spellStart"/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האג"ח</w:t>
            </w:r>
            <w:proofErr w:type="spellEnd"/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.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-1.09%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-0.97%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-36.76%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.</w:t>
            </w:r>
          </w:p>
        </w:tc>
      </w:tr>
      <w:tr w:rsidR="00E90ADB" w:rsidRPr="00F77E2E" w:rsidTr="00947186">
        <w:trPr>
          <w:trHeight w:val="255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947186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23/08/2022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770D20" w:rsidRPr="00F77E2E" w:rsidRDefault="00770D20" w:rsidP="00947186">
            <w:pPr>
              <w:bidi/>
              <w:spacing w:after="0" w:line="24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גיבוי אחזקות</w:t>
            </w:r>
          </w:p>
        </w:tc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20" w:rsidRPr="00F77E2E" w:rsidRDefault="00770D20" w:rsidP="00770D20">
            <w:pPr>
              <w:bidi/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חשש לביצוע מעילות של כ-6 מיליון </w:t>
            </w:r>
            <w:r w:rsidR="00D52DFD"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ש</w:t>
            </w:r>
            <w:r w:rsidR="00C522EA"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"</w:t>
            </w:r>
            <w:r w:rsidR="00D52DFD"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ח</w:t>
            </w: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בסניף </w:t>
            </w:r>
            <w:r w:rsidR="00C522EA"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הצפון </w:t>
            </w: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של החברה.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0.28%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0.40%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-1.78%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.</w:t>
            </w:r>
          </w:p>
        </w:tc>
      </w:tr>
      <w:tr w:rsidR="00E90ADB" w:rsidRPr="00F77E2E" w:rsidTr="00947186">
        <w:trPr>
          <w:trHeight w:val="255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947186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01/09/2022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770D20" w:rsidRPr="00F77E2E" w:rsidRDefault="00770D20" w:rsidP="00947186">
            <w:pPr>
              <w:bidi/>
              <w:spacing w:after="0" w:line="24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גיבוי אחזקות</w:t>
            </w:r>
          </w:p>
        </w:tc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D20" w:rsidRPr="00F77E2E" w:rsidRDefault="00770D20" w:rsidP="00770D20">
            <w:pPr>
              <w:bidi/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הפרשה חזויה להפסדי אשראי ברבעון השני של 2022 היא</w:t>
            </w:r>
            <w:r w:rsidR="00C522EA"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של</w:t>
            </w: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כ-80-100 מיליון </w:t>
            </w:r>
            <w:r w:rsidR="00D52DFD"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ש</w:t>
            </w:r>
            <w:r w:rsidR="00C522EA"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"</w:t>
            </w:r>
            <w:r w:rsidR="00D52DFD"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ח</w:t>
            </w: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-0.13%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-0.02%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-13.48%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0" w:rsidRPr="00F77E2E" w:rsidRDefault="00770D20" w:rsidP="00C522EA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</w:rPr>
              <w:t>.</w:t>
            </w:r>
          </w:p>
        </w:tc>
      </w:tr>
    </w:tbl>
    <w:p w:rsidR="007C1A0A" w:rsidRPr="00F77E2E" w:rsidRDefault="007C1A0A" w:rsidP="001E3FBB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77E2E">
        <w:rPr>
          <w:rFonts w:ascii="David" w:hAnsi="David" w:cs="David"/>
          <w:sz w:val="24"/>
          <w:szCs w:val="24"/>
          <w:rtl/>
        </w:rPr>
        <w:t xml:space="preserve">מקור: מערכת </w:t>
      </w:r>
      <w:r w:rsidR="00C522EA" w:rsidRPr="00F77E2E">
        <w:rPr>
          <w:rFonts w:ascii="David" w:hAnsi="David" w:cs="David"/>
          <w:sz w:val="24"/>
          <w:szCs w:val="24"/>
          <w:rtl/>
        </w:rPr>
        <w:t xml:space="preserve">"מאיה" </w:t>
      </w:r>
      <w:r w:rsidRPr="00F77E2E">
        <w:rPr>
          <w:rFonts w:ascii="David" w:hAnsi="David" w:cs="David"/>
          <w:sz w:val="24"/>
          <w:szCs w:val="24"/>
          <w:rtl/>
        </w:rPr>
        <w:t>לדיווחי החברות הציבוריות, ידיעות בתקשורת, נתוני הבורסה לניירות ערך ועיבודי בנק ישראל</w:t>
      </w:r>
      <w:r w:rsidR="001873EE" w:rsidRPr="00F77E2E">
        <w:rPr>
          <w:rFonts w:ascii="David" w:hAnsi="David" w:cs="David"/>
          <w:sz w:val="24"/>
          <w:szCs w:val="24"/>
          <w:rtl/>
        </w:rPr>
        <w:t>.</w:t>
      </w:r>
    </w:p>
    <w:p w:rsidR="00167C9C" w:rsidRPr="00F77E2E" w:rsidRDefault="00535ACF" w:rsidP="002337F6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77E2E">
        <w:rPr>
          <w:rFonts w:ascii="David" w:hAnsi="David" w:cs="David"/>
          <w:sz w:val="24"/>
          <w:szCs w:val="24"/>
          <w:rtl/>
        </w:rPr>
        <w:t xml:space="preserve">הלוח </w:t>
      </w:r>
      <w:r w:rsidR="00D31BFC" w:rsidRPr="00F77E2E">
        <w:rPr>
          <w:rFonts w:ascii="David" w:hAnsi="David" w:cs="David"/>
          <w:sz w:val="24"/>
          <w:szCs w:val="24"/>
          <w:rtl/>
        </w:rPr>
        <w:t xml:space="preserve">מציג את האירועים שזוהו כבעלי </w:t>
      </w:r>
      <w:r w:rsidR="001A55EB" w:rsidRPr="00F77E2E">
        <w:rPr>
          <w:rFonts w:ascii="David" w:hAnsi="David" w:cs="David"/>
          <w:sz w:val="24"/>
          <w:szCs w:val="24"/>
          <w:rtl/>
        </w:rPr>
        <w:t xml:space="preserve">פוטנציאל </w:t>
      </w:r>
      <w:r w:rsidR="00C522EA" w:rsidRPr="00F77E2E">
        <w:rPr>
          <w:rFonts w:ascii="David" w:hAnsi="David" w:cs="David"/>
          <w:sz w:val="24"/>
          <w:szCs w:val="24"/>
          <w:rtl/>
        </w:rPr>
        <w:t xml:space="preserve">להשפיע </w:t>
      </w:r>
      <w:r w:rsidR="00D31BFC" w:rsidRPr="00F77E2E">
        <w:rPr>
          <w:rFonts w:ascii="David" w:hAnsi="David" w:cs="David"/>
          <w:sz w:val="24"/>
          <w:szCs w:val="24"/>
          <w:rtl/>
        </w:rPr>
        <w:t xml:space="preserve">על </w:t>
      </w:r>
      <w:r w:rsidR="001A55EB" w:rsidRPr="00F77E2E">
        <w:rPr>
          <w:rFonts w:ascii="David" w:hAnsi="David" w:cs="David"/>
          <w:sz w:val="24"/>
          <w:szCs w:val="24"/>
          <w:rtl/>
        </w:rPr>
        <w:t>ענף נותני האשראי ה</w:t>
      </w:r>
      <w:r w:rsidR="000D4A1A" w:rsidRPr="00F77E2E">
        <w:rPr>
          <w:rFonts w:ascii="David" w:hAnsi="David" w:cs="David"/>
          <w:sz w:val="24"/>
          <w:szCs w:val="24"/>
          <w:rtl/>
        </w:rPr>
        <w:t>חוץ-ב</w:t>
      </w:r>
      <w:r w:rsidR="001A55EB" w:rsidRPr="00F77E2E">
        <w:rPr>
          <w:rFonts w:ascii="David" w:hAnsi="David" w:cs="David"/>
          <w:sz w:val="24"/>
          <w:szCs w:val="24"/>
          <w:rtl/>
        </w:rPr>
        <w:t xml:space="preserve">נקאי בעקבות התפתחויות בנוגע לחברות </w:t>
      </w:r>
      <w:r w:rsidR="005D3184" w:rsidRPr="00F77E2E">
        <w:rPr>
          <w:rFonts w:ascii="David" w:hAnsi="David" w:cs="David"/>
          <w:sz w:val="24"/>
          <w:szCs w:val="24"/>
          <w:rtl/>
        </w:rPr>
        <w:t>"</w:t>
      </w:r>
      <w:r w:rsidR="001A55EB" w:rsidRPr="00F77E2E">
        <w:rPr>
          <w:rFonts w:ascii="David" w:hAnsi="David" w:cs="David"/>
          <w:sz w:val="24"/>
          <w:szCs w:val="24"/>
          <w:rtl/>
        </w:rPr>
        <w:t>גיבוי אחזקות</w:t>
      </w:r>
      <w:r w:rsidR="005D3184" w:rsidRPr="00F77E2E">
        <w:rPr>
          <w:rFonts w:ascii="David" w:hAnsi="David" w:cs="David"/>
          <w:sz w:val="24"/>
          <w:szCs w:val="24"/>
          <w:rtl/>
        </w:rPr>
        <w:t>"</w:t>
      </w:r>
      <w:r w:rsidR="001A55EB" w:rsidRPr="00F77E2E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1A55EB" w:rsidRPr="00F77E2E">
        <w:rPr>
          <w:rFonts w:ascii="David" w:hAnsi="David" w:cs="David"/>
          <w:sz w:val="24"/>
          <w:szCs w:val="24"/>
          <w:rtl/>
        </w:rPr>
        <w:t>ו</w:t>
      </w:r>
      <w:r w:rsidR="005D3184" w:rsidRPr="00F77E2E">
        <w:rPr>
          <w:rFonts w:ascii="David" w:hAnsi="David" w:cs="David"/>
          <w:sz w:val="24"/>
          <w:szCs w:val="24"/>
          <w:rtl/>
        </w:rPr>
        <w:t>"</w:t>
      </w:r>
      <w:r w:rsidR="001A55EB" w:rsidRPr="00F77E2E">
        <w:rPr>
          <w:rFonts w:ascii="David" w:hAnsi="David" w:cs="David"/>
          <w:sz w:val="24"/>
          <w:szCs w:val="24"/>
          <w:rtl/>
        </w:rPr>
        <w:t>יונט</w:t>
      </w:r>
      <w:proofErr w:type="spellEnd"/>
      <w:r w:rsidR="001A55EB" w:rsidRPr="00F77E2E">
        <w:rPr>
          <w:rFonts w:ascii="David" w:hAnsi="David" w:cs="David"/>
          <w:sz w:val="24"/>
          <w:szCs w:val="24"/>
          <w:rtl/>
        </w:rPr>
        <w:t xml:space="preserve"> קרדיט</w:t>
      </w:r>
      <w:r w:rsidR="005D3184" w:rsidRPr="00F77E2E">
        <w:rPr>
          <w:rFonts w:ascii="David" w:hAnsi="David" w:cs="David"/>
          <w:sz w:val="24"/>
          <w:szCs w:val="24"/>
          <w:rtl/>
        </w:rPr>
        <w:t>"</w:t>
      </w:r>
      <w:r w:rsidR="00D31BFC" w:rsidRPr="00F77E2E">
        <w:rPr>
          <w:rFonts w:ascii="David" w:hAnsi="David" w:cs="David"/>
          <w:sz w:val="24"/>
          <w:szCs w:val="24"/>
          <w:rtl/>
        </w:rPr>
        <w:t xml:space="preserve">. </w:t>
      </w:r>
      <w:r w:rsidR="001A55EB" w:rsidRPr="00F77E2E">
        <w:rPr>
          <w:rFonts w:ascii="David" w:hAnsi="David" w:cs="David"/>
          <w:sz w:val="24"/>
          <w:szCs w:val="24"/>
          <w:rtl/>
        </w:rPr>
        <w:t>רוב ה</w:t>
      </w:r>
      <w:r w:rsidR="00D31BFC" w:rsidRPr="00F77E2E">
        <w:rPr>
          <w:rFonts w:ascii="David" w:hAnsi="David" w:cs="David"/>
          <w:sz w:val="24"/>
          <w:szCs w:val="24"/>
          <w:rtl/>
        </w:rPr>
        <w:t>אירוע</w:t>
      </w:r>
      <w:r w:rsidR="0063705C" w:rsidRPr="00F77E2E">
        <w:rPr>
          <w:rFonts w:ascii="David" w:hAnsi="David" w:cs="David"/>
          <w:sz w:val="24"/>
          <w:szCs w:val="24"/>
          <w:rtl/>
        </w:rPr>
        <w:t>ים</w:t>
      </w:r>
      <w:r w:rsidR="00D31BFC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63705C" w:rsidRPr="00F77E2E">
        <w:rPr>
          <w:rFonts w:ascii="David" w:hAnsi="David" w:cs="David"/>
          <w:sz w:val="24"/>
          <w:szCs w:val="24"/>
          <w:rtl/>
        </w:rPr>
        <w:t>צפויים</w:t>
      </w:r>
      <w:r w:rsidR="001A55EB" w:rsidRPr="00F77E2E">
        <w:rPr>
          <w:rFonts w:ascii="David" w:hAnsi="David" w:cs="David"/>
          <w:sz w:val="24"/>
          <w:szCs w:val="24"/>
          <w:rtl/>
        </w:rPr>
        <w:t xml:space="preserve"> להביא להשפעה שלילית, למעט אירוע חיובי </w:t>
      </w:r>
      <w:r w:rsidR="00F933A8" w:rsidRPr="00F77E2E">
        <w:rPr>
          <w:rFonts w:ascii="David" w:hAnsi="David" w:cs="David"/>
          <w:sz w:val="24"/>
          <w:szCs w:val="24"/>
          <w:rtl/>
        </w:rPr>
        <w:t xml:space="preserve">שמופיע </w:t>
      </w:r>
      <w:r w:rsidR="007128FA" w:rsidRPr="00F77E2E">
        <w:rPr>
          <w:rFonts w:ascii="David" w:hAnsi="David" w:cs="David"/>
          <w:b/>
          <w:bCs/>
          <w:sz w:val="24"/>
          <w:szCs w:val="24"/>
          <w:rtl/>
        </w:rPr>
        <w:t>ב</w:t>
      </w:r>
      <w:r w:rsidR="00C522EA" w:rsidRPr="00F77E2E">
        <w:rPr>
          <w:rFonts w:ascii="David" w:hAnsi="David" w:cs="David"/>
          <w:b/>
          <w:bCs/>
          <w:sz w:val="24"/>
          <w:szCs w:val="24"/>
          <w:rtl/>
        </w:rPr>
        <w:t>כתב מודגש</w:t>
      </w:r>
      <w:r w:rsidR="00D31BFC" w:rsidRPr="00F77E2E">
        <w:rPr>
          <w:rFonts w:ascii="David" w:hAnsi="David" w:cs="David"/>
          <w:sz w:val="24"/>
          <w:szCs w:val="24"/>
          <w:rtl/>
        </w:rPr>
        <w:t>. לצד כל אירוע מופיעה תשואת ההחזקה היומית</w:t>
      </w:r>
      <w:r w:rsidR="00900F9A" w:rsidRPr="00F77E2E">
        <w:rPr>
          <w:rFonts w:ascii="David" w:hAnsi="David" w:cs="David"/>
          <w:sz w:val="24"/>
          <w:szCs w:val="24"/>
          <w:rtl/>
        </w:rPr>
        <w:t xml:space="preserve"> (%)</w:t>
      </w:r>
      <w:r w:rsidR="00D31BFC" w:rsidRPr="00F77E2E">
        <w:rPr>
          <w:rFonts w:ascii="David" w:hAnsi="David" w:cs="David"/>
          <w:sz w:val="24"/>
          <w:szCs w:val="24"/>
          <w:rtl/>
        </w:rPr>
        <w:t xml:space="preserve"> של </w:t>
      </w:r>
      <w:r w:rsidR="00C522EA" w:rsidRPr="00F77E2E">
        <w:rPr>
          <w:rFonts w:ascii="David" w:hAnsi="David" w:cs="David"/>
          <w:sz w:val="24"/>
          <w:szCs w:val="24"/>
          <w:rtl/>
        </w:rPr>
        <w:t>החברות "</w:t>
      </w:r>
      <w:proofErr w:type="spellStart"/>
      <w:r w:rsidR="001A55EB" w:rsidRPr="00F77E2E">
        <w:rPr>
          <w:rFonts w:ascii="David" w:hAnsi="David" w:cs="David"/>
          <w:sz w:val="24"/>
          <w:szCs w:val="24"/>
          <w:rtl/>
        </w:rPr>
        <w:t>יונט</w:t>
      </w:r>
      <w:proofErr w:type="spellEnd"/>
      <w:r w:rsidR="001A55EB" w:rsidRPr="00F77E2E">
        <w:rPr>
          <w:rFonts w:ascii="David" w:hAnsi="David" w:cs="David"/>
          <w:sz w:val="24"/>
          <w:szCs w:val="24"/>
          <w:rtl/>
        </w:rPr>
        <w:t xml:space="preserve"> קרדיט</w:t>
      </w:r>
      <w:r w:rsidR="00C522EA" w:rsidRPr="00F77E2E">
        <w:rPr>
          <w:rFonts w:ascii="David" w:hAnsi="David" w:cs="David"/>
          <w:sz w:val="24"/>
          <w:szCs w:val="24"/>
          <w:rtl/>
        </w:rPr>
        <w:t>"</w:t>
      </w:r>
      <w:r w:rsidR="001A55EB" w:rsidRPr="00F77E2E">
        <w:rPr>
          <w:rFonts w:ascii="David" w:hAnsi="David" w:cs="David"/>
          <w:sz w:val="24"/>
          <w:szCs w:val="24"/>
          <w:rtl/>
        </w:rPr>
        <w:t xml:space="preserve"> ו</w:t>
      </w:r>
      <w:r w:rsidR="00C522EA" w:rsidRPr="00F77E2E">
        <w:rPr>
          <w:rFonts w:ascii="David" w:hAnsi="David" w:cs="David"/>
          <w:sz w:val="24"/>
          <w:szCs w:val="24"/>
          <w:rtl/>
        </w:rPr>
        <w:t>"</w:t>
      </w:r>
      <w:r w:rsidR="001A55EB" w:rsidRPr="00F77E2E">
        <w:rPr>
          <w:rFonts w:ascii="David" w:hAnsi="David" w:cs="David"/>
          <w:sz w:val="24"/>
          <w:szCs w:val="24"/>
          <w:rtl/>
        </w:rPr>
        <w:t>גיבוי</w:t>
      </w:r>
      <w:r w:rsidR="00C522EA" w:rsidRPr="00F77E2E">
        <w:rPr>
          <w:rFonts w:ascii="David" w:hAnsi="David" w:cs="David"/>
          <w:sz w:val="24"/>
          <w:szCs w:val="24"/>
          <w:rtl/>
        </w:rPr>
        <w:t xml:space="preserve"> אחזקות"</w:t>
      </w:r>
      <w:r w:rsidR="00D31BFC" w:rsidRPr="00F77E2E">
        <w:rPr>
          <w:rFonts w:ascii="David" w:hAnsi="David" w:cs="David"/>
          <w:sz w:val="24"/>
          <w:szCs w:val="24"/>
          <w:rtl/>
        </w:rPr>
        <w:t xml:space="preserve"> (טורים </w:t>
      </w:r>
      <w:r w:rsidRPr="00F77E2E">
        <w:rPr>
          <w:rFonts w:ascii="David" w:hAnsi="David" w:cs="David"/>
          <w:sz w:val="24"/>
          <w:szCs w:val="24"/>
          <w:rtl/>
        </w:rPr>
        <w:t>6,7</w:t>
      </w:r>
      <w:r w:rsidR="00D31BFC" w:rsidRPr="00F77E2E">
        <w:rPr>
          <w:rFonts w:ascii="David" w:hAnsi="David" w:cs="David"/>
          <w:sz w:val="24"/>
          <w:szCs w:val="24"/>
          <w:rtl/>
        </w:rPr>
        <w:t xml:space="preserve">), תיק של התשואה של </w:t>
      </w:r>
      <w:r w:rsidR="001A55EB" w:rsidRPr="00F77E2E">
        <w:rPr>
          <w:rFonts w:ascii="David" w:hAnsi="David" w:cs="David"/>
          <w:sz w:val="24"/>
          <w:szCs w:val="24"/>
          <w:rtl/>
        </w:rPr>
        <w:t>החברות בענף נותני האשראי ה</w:t>
      </w:r>
      <w:r w:rsidR="000D4A1A" w:rsidRPr="00F77E2E">
        <w:rPr>
          <w:rFonts w:ascii="David" w:hAnsi="David" w:cs="David"/>
          <w:sz w:val="24"/>
          <w:szCs w:val="24"/>
          <w:rtl/>
        </w:rPr>
        <w:t>חוץ-ב</w:t>
      </w:r>
      <w:r w:rsidR="001A55EB" w:rsidRPr="00F77E2E">
        <w:rPr>
          <w:rFonts w:ascii="David" w:hAnsi="David" w:cs="David"/>
          <w:sz w:val="24"/>
          <w:szCs w:val="24"/>
          <w:rtl/>
        </w:rPr>
        <w:t>נקאי</w:t>
      </w:r>
      <w:r w:rsidR="00C522EA" w:rsidRPr="00F77E2E">
        <w:rPr>
          <w:rFonts w:ascii="David" w:hAnsi="David" w:cs="David"/>
          <w:sz w:val="24"/>
          <w:szCs w:val="24"/>
          <w:rtl/>
        </w:rPr>
        <w:t>,</w:t>
      </w:r>
      <w:r w:rsidR="001A55EB" w:rsidRPr="00F77E2E">
        <w:rPr>
          <w:rFonts w:ascii="David" w:hAnsi="David" w:cs="David"/>
          <w:sz w:val="24"/>
          <w:szCs w:val="24"/>
          <w:rtl/>
        </w:rPr>
        <w:t xml:space="preserve"> למעט</w:t>
      </w:r>
      <w:r w:rsidR="00C522EA" w:rsidRPr="00F77E2E">
        <w:rPr>
          <w:rFonts w:ascii="David" w:hAnsi="David" w:cs="David"/>
          <w:sz w:val="24"/>
          <w:szCs w:val="24"/>
          <w:rtl/>
        </w:rPr>
        <w:t xml:space="preserve"> החברות</w:t>
      </w:r>
      <w:r w:rsidR="001A55EB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5D3184" w:rsidRPr="00F77E2E">
        <w:rPr>
          <w:rFonts w:ascii="David" w:hAnsi="David" w:cs="David"/>
          <w:sz w:val="24"/>
          <w:szCs w:val="24"/>
          <w:rtl/>
        </w:rPr>
        <w:t xml:space="preserve">"גיבוי אחזקות" </w:t>
      </w:r>
      <w:proofErr w:type="spellStart"/>
      <w:r w:rsidR="005D3184" w:rsidRPr="00F77E2E">
        <w:rPr>
          <w:rFonts w:ascii="David" w:hAnsi="David" w:cs="David"/>
          <w:sz w:val="24"/>
          <w:szCs w:val="24"/>
          <w:rtl/>
        </w:rPr>
        <w:t>ו"יונט</w:t>
      </w:r>
      <w:proofErr w:type="spellEnd"/>
      <w:r w:rsidR="005D3184" w:rsidRPr="00F77E2E">
        <w:rPr>
          <w:rFonts w:ascii="David" w:hAnsi="David" w:cs="David"/>
          <w:sz w:val="24"/>
          <w:szCs w:val="24"/>
          <w:rtl/>
        </w:rPr>
        <w:t xml:space="preserve"> קרדיט"</w:t>
      </w:r>
      <w:r w:rsidR="00C522EA" w:rsidRPr="00F77E2E">
        <w:rPr>
          <w:rFonts w:ascii="David" w:hAnsi="David" w:cs="David"/>
          <w:sz w:val="24"/>
          <w:szCs w:val="24"/>
          <w:rtl/>
        </w:rPr>
        <w:t>,</w:t>
      </w:r>
      <w:r w:rsidR="005D3184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C522EA" w:rsidRPr="00F77E2E">
        <w:rPr>
          <w:rFonts w:ascii="David" w:hAnsi="David" w:cs="David"/>
          <w:sz w:val="24"/>
          <w:szCs w:val="24"/>
          <w:rtl/>
        </w:rPr>
        <w:t>ש</w:t>
      </w:r>
      <w:r w:rsidR="00D31BFC" w:rsidRPr="00F77E2E">
        <w:rPr>
          <w:rFonts w:ascii="David" w:hAnsi="David" w:cs="David"/>
          <w:sz w:val="24"/>
          <w:szCs w:val="24"/>
          <w:rtl/>
        </w:rPr>
        <w:t>משוקללת לפי שווי השוק שלה</w:t>
      </w:r>
      <w:r w:rsidR="001A55EB" w:rsidRPr="00F77E2E">
        <w:rPr>
          <w:rFonts w:ascii="David" w:hAnsi="David" w:cs="David"/>
          <w:sz w:val="24"/>
          <w:szCs w:val="24"/>
          <w:rtl/>
        </w:rPr>
        <w:t>ן</w:t>
      </w:r>
      <w:r w:rsidR="00D31BFC" w:rsidRPr="00F77E2E">
        <w:rPr>
          <w:rFonts w:ascii="David" w:hAnsi="David" w:cs="David"/>
          <w:sz w:val="24"/>
          <w:szCs w:val="24"/>
          <w:rtl/>
        </w:rPr>
        <w:t xml:space="preserve"> (טור </w:t>
      </w:r>
      <w:r w:rsidR="001A55EB" w:rsidRPr="00F77E2E">
        <w:rPr>
          <w:rFonts w:ascii="David" w:hAnsi="David" w:cs="David"/>
          <w:sz w:val="24"/>
          <w:szCs w:val="24"/>
          <w:rtl/>
        </w:rPr>
        <w:t>4</w:t>
      </w:r>
      <w:r w:rsidR="00D31BFC" w:rsidRPr="00F77E2E">
        <w:rPr>
          <w:rFonts w:ascii="David" w:hAnsi="David" w:cs="David"/>
          <w:sz w:val="24"/>
          <w:szCs w:val="24"/>
          <w:rtl/>
        </w:rPr>
        <w:t>) ותיק התשואה של</w:t>
      </w:r>
      <w:r w:rsidR="001A55EB" w:rsidRPr="00F77E2E">
        <w:rPr>
          <w:rFonts w:ascii="David" w:hAnsi="David" w:cs="David"/>
          <w:sz w:val="24"/>
          <w:szCs w:val="24"/>
          <w:rtl/>
        </w:rPr>
        <w:t xml:space="preserve">הן </w:t>
      </w:r>
      <w:r w:rsidR="00D31BFC" w:rsidRPr="00F77E2E">
        <w:rPr>
          <w:rFonts w:ascii="David" w:hAnsi="David" w:cs="David"/>
          <w:sz w:val="24"/>
          <w:szCs w:val="24"/>
          <w:rtl/>
        </w:rPr>
        <w:t>לפי ממוצע פשוט של תשואות</w:t>
      </w:r>
      <w:r w:rsidRPr="00F77E2E">
        <w:rPr>
          <w:rFonts w:ascii="David" w:hAnsi="David" w:cs="David"/>
          <w:sz w:val="24"/>
          <w:szCs w:val="24"/>
          <w:rtl/>
        </w:rPr>
        <w:t>יה</w:t>
      </w:r>
      <w:r w:rsidR="001A55EB" w:rsidRPr="00F77E2E">
        <w:rPr>
          <w:rFonts w:ascii="David" w:hAnsi="David" w:cs="David"/>
          <w:sz w:val="24"/>
          <w:szCs w:val="24"/>
          <w:rtl/>
        </w:rPr>
        <w:t>ן</w:t>
      </w:r>
      <w:r w:rsidR="000B1729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D31BFC" w:rsidRPr="00F77E2E">
        <w:rPr>
          <w:rFonts w:ascii="David" w:hAnsi="David" w:cs="David"/>
          <w:sz w:val="24"/>
          <w:szCs w:val="24"/>
          <w:rtl/>
        </w:rPr>
        <w:t xml:space="preserve">(טור </w:t>
      </w:r>
      <w:r w:rsidR="001A55EB" w:rsidRPr="00F77E2E">
        <w:rPr>
          <w:rFonts w:ascii="David" w:hAnsi="David" w:cs="David"/>
          <w:sz w:val="24"/>
          <w:szCs w:val="24"/>
          <w:rtl/>
        </w:rPr>
        <w:t>5</w:t>
      </w:r>
      <w:r w:rsidR="00D31BFC" w:rsidRPr="00F77E2E">
        <w:rPr>
          <w:rFonts w:ascii="David" w:hAnsi="David" w:cs="David"/>
          <w:sz w:val="24"/>
          <w:szCs w:val="24"/>
          <w:rtl/>
        </w:rPr>
        <w:t>).</w:t>
      </w:r>
    </w:p>
    <w:p w:rsidR="00534EBE" w:rsidRPr="00F77E2E" w:rsidRDefault="00534EBE" w:rsidP="00534EBE">
      <w:pPr>
        <w:pStyle w:val="1"/>
        <w:numPr>
          <w:ilvl w:val="1"/>
          <w:numId w:val="2"/>
        </w:numPr>
        <w:bidi/>
        <w:rPr>
          <w:rFonts w:ascii="David" w:hAnsi="David" w:cs="David"/>
          <w:color w:val="auto"/>
          <w:sz w:val="24"/>
          <w:szCs w:val="24"/>
          <w:rtl/>
        </w:rPr>
      </w:pPr>
      <w:r w:rsidRPr="00F77E2E">
        <w:rPr>
          <w:rFonts w:ascii="David" w:hAnsi="David" w:cs="David"/>
          <w:color w:val="auto"/>
          <w:sz w:val="24"/>
          <w:szCs w:val="24"/>
          <w:rtl/>
        </w:rPr>
        <w:t>מתודולוגיה</w:t>
      </w:r>
    </w:p>
    <w:p w:rsidR="004F27E1" w:rsidRPr="00F77E2E" w:rsidRDefault="004F27E1" w:rsidP="000510FB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77E2E">
        <w:rPr>
          <w:rFonts w:ascii="David" w:hAnsi="David" w:cs="David"/>
          <w:sz w:val="24"/>
          <w:szCs w:val="24"/>
          <w:rtl/>
        </w:rPr>
        <w:t xml:space="preserve">כדי לבחון את השפעת האירועים </w:t>
      </w:r>
      <w:r w:rsidR="005D3184" w:rsidRPr="00F77E2E">
        <w:rPr>
          <w:rFonts w:ascii="David" w:hAnsi="David" w:cs="David"/>
          <w:sz w:val="24"/>
          <w:szCs w:val="24"/>
          <w:rtl/>
        </w:rPr>
        <w:t xml:space="preserve">בחברות "גיבוי אחזקות" </w:t>
      </w:r>
      <w:proofErr w:type="spellStart"/>
      <w:r w:rsidR="005D3184" w:rsidRPr="00F77E2E">
        <w:rPr>
          <w:rFonts w:ascii="David" w:hAnsi="David" w:cs="David"/>
          <w:sz w:val="24"/>
          <w:szCs w:val="24"/>
          <w:rtl/>
        </w:rPr>
        <w:t>ו"יונט</w:t>
      </w:r>
      <w:proofErr w:type="spellEnd"/>
      <w:r w:rsidR="005D3184" w:rsidRPr="00F77E2E">
        <w:rPr>
          <w:rFonts w:ascii="David" w:hAnsi="David" w:cs="David"/>
          <w:sz w:val="24"/>
          <w:szCs w:val="24"/>
          <w:rtl/>
        </w:rPr>
        <w:t xml:space="preserve"> קרדיט" </w:t>
      </w:r>
      <w:r w:rsidRPr="00F77E2E">
        <w:rPr>
          <w:rFonts w:ascii="David" w:hAnsi="David" w:cs="David"/>
          <w:sz w:val="24"/>
          <w:szCs w:val="24"/>
          <w:rtl/>
        </w:rPr>
        <w:t>על החברות האחרות בשוק האשראי ה</w:t>
      </w:r>
      <w:r w:rsidR="000D4A1A" w:rsidRPr="00F77E2E">
        <w:rPr>
          <w:rFonts w:ascii="David" w:hAnsi="David" w:cs="David"/>
          <w:sz w:val="24"/>
          <w:szCs w:val="24"/>
          <w:rtl/>
        </w:rPr>
        <w:t>חוץ-ב</w:t>
      </w:r>
      <w:r w:rsidRPr="00F77E2E">
        <w:rPr>
          <w:rFonts w:ascii="David" w:hAnsi="David" w:cs="David"/>
          <w:sz w:val="24"/>
          <w:szCs w:val="24"/>
          <w:rtl/>
        </w:rPr>
        <w:t xml:space="preserve">נקאי, כפי שהיא הוערכה על ידי השווקים הפיננסים בזמן אמת, נעשה שימוש בשיטה של </w:t>
      </w:r>
      <w:r w:rsidR="00D82DC5" w:rsidRPr="00F77E2E">
        <w:rPr>
          <w:rFonts w:ascii="David" w:hAnsi="David" w:cs="David"/>
          <w:sz w:val="24"/>
          <w:szCs w:val="24"/>
          <w:rtl/>
        </w:rPr>
        <w:t>"</w:t>
      </w:r>
      <w:r w:rsidRPr="00F77E2E">
        <w:rPr>
          <w:rFonts w:ascii="David" w:hAnsi="David" w:cs="David"/>
          <w:sz w:val="24"/>
          <w:szCs w:val="24"/>
          <w:rtl/>
        </w:rPr>
        <w:t>חקר</w:t>
      </w:r>
      <w:r w:rsidR="00D82DC5" w:rsidRPr="00F77E2E">
        <w:rPr>
          <w:rFonts w:ascii="David" w:hAnsi="David" w:cs="David"/>
          <w:sz w:val="24"/>
          <w:szCs w:val="24"/>
          <w:rtl/>
        </w:rPr>
        <w:t xml:space="preserve"> </w:t>
      </w:r>
      <w:r w:rsidRPr="00F77E2E">
        <w:rPr>
          <w:rFonts w:ascii="David" w:hAnsi="David" w:cs="David"/>
          <w:sz w:val="24"/>
          <w:szCs w:val="24"/>
          <w:rtl/>
        </w:rPr>
        <w:t>אירוע</w:t>
      </w:r>
      <w:r w:rsidR="00D82DC5" w:rsidRPr="00F77E2E">
        <w:rPr>
          <w:rFonts w:ascii="David" w:hAnsi="David" w:cs="David"/>
          <w:sz w:val="24"/>
          <w:szCs w:val="24"/>
          <w:rtl/>
        </w:rPr>
        <w:t>"</w:t>
      </w:r>
      <w:r w:rsidRPr="00F77E2E">
        <w:rPr>
          <w:rFonts w:ascii="David" w:hAnsi="David" w:cs="David"/>
          <w:sz w:val="24"/>
          <w:szCs w:val="24"/>
          <w:rtl/>
        </w:rPr>
        <w:t xml:space="preserve"> (</w:t>
      </w:r>
      <w:r w:rsidRPr="00F77E2E">
        <w:rPr>
          <w:rFonts w:ascii="David" w:hAnsi="David" w:cs="David"/>
          <w:sz w:val="24"/>
          <w:szCs w:val="24"/>
        </w:rPr>
        <w:t>event study</w:t>
      </w:r>
      <w:r w:rsidRPr="00F77E2E">
        <w:rPr>
          <w:rFonts w:ascii="David" w:hAnsi="David" w:cs="David"/>
          <w:sz w:val="24"/>
          <w:szCs w:val="24"/>
          <w:rtl/>
        </w:rPr>
        <w:t>). מסייעת העובדה שהאירועים אשר תוארו בקו</w:t>
      </w:r>
      <w:r w:rsidR="00D82DC5" w:rsidRPr="00F77E2E">
        <w:rPr>
          <w:rFonts w:ascii="David" w:hAnsi="David" w:cs="David"/>
          <w:sz w:val="24"/>
          <w:szCs w:val="24"/>
          <w:rtl/>
        </w:rPr>
        <w:t xml:space="preserve"> </w:t>
      </w:r>
      <w:r w:rsidRPr="00F77E2E">
        <w:rPr>
          <w:rFonts w:ascii="David" w:hAnsi="David" w:cs="David"/>
          <w:sz w:val="24"/>
          <w:szCs w:val="24"/>
          <w:rtl/>
        </w:rPr>
        <w:t xml:space="preserve">הזמן לעיל לא היו צפויים מראש וכל אחד מהם השפיע בצורה משמעותית </w:t>
      </w:r>
      <w:r w:rsidR="00200163" w:rsidRPr="00F77E2E">
        <w:rPr>
          <w:rFonts w:ascii="David" w:hAnsi="David" w:cs="David"/>
          <w:sz w:val="24"/>
          <w:szCs w:val="24"/>
          <w:rtl/>
        </w:rPr>
        <w:t xml:space="preserve">על </w:t>
      </w:r>
      <w:r w:rsidRPr="00F77E2E">
        <w:rPr>
          <w:rFonts w:ascii="David" w:hAnsi="David" w:cs="David"/>
          <w:sz w:val="24"/>
          <w:szCs w:val="24"/>
          <w:rtl/>
        </w:rPr>
        <w:t xml:space="preserve">ההסתברות לקריסת החברות </w:t>
      </w:r>
      <w:r w:rsidR="005D3184" w:rsidRPr="00F77E2E">
        <w:rPr>
          <w:rFonts w:ascii="David" w:hAnsi="David" w:cs="David"/>
          <w:sz w:val="24"/>
          <w:szCs w:val="24"/>
          <w:rtl/>
        </w:rPr>
        <w:t xml:space="preserve">"גיבוי אחזקות" </w:t>
      </w:r>
      <w:proofErr w:type="spellStart"/>
      <w:r w:rsidR="005D3184" w:rsidRPr="00F77E2E">
        <w:rPr>
          <w:rFonts w:ascii="David" w:hAnsi="David" w:cs="David"/>
          <w:sz w:val="24"/>
          <w:szCs w:val="24"/>
          <w:rtl/>
        </w:rPr>
        <w:t>ו"יונט</w:t>
      </w:r>
      <w:proofErr w:type="spellEnd"/>
      <w:r w:rsidR="005D3184" w:rsidRPr="00F77E2E">
        <w:rPr>
          <w:rFonts w:ascii="David" w:hAnsi="David" w:cs="David"/>
          <w:sz w:val="24"/>
          <w:szCs w:val="24"/>
          <w:rtl/>
        </w:rPr>
        <w:t xml:space="preserve"> קרדיט"</w:t>
      </w:r>
      <w:r w:rsidRPr="00F77E2E">
        <w:rPr>
          <w:rFonts w:ascii="David" w:hAnsi="David" w:cs="David"/>
          <w:sz w:val="24"/>
          <w:szCs w:val="24"/>
          <w:rtl/>
        </w:rPr>
        <w:t>. מוקד העניין שלנו בתיבה זו אינו בבחינת</w:t>
      </w:r>
      <w:r w:rsidR="00D82DC5" w:rsidRPr="00F77E2E">
        <w:rPr>
          <w:rFonts w:ascii="David" w:hAnsi="David" w:cs="David"/>
          <w:sz w:val="24"/>
          <w:szCs w:val="24"/>
          <w:rtl/>
        </w:rPr>
        <w:t>ה של</w:t>
      </w:r>
      <w:r w:rsidRPr="00F77E2E">
        <w:rPr>
          <w:rFonts w:ascii="David" w:hAnsi="David" w:cs="David"/>
          <w:sz w:val="24"/>
          <w:szCs w:val="24"/>
          <w:rtl/>
        </w:rPr>
        <w:t xml:space="preserve"> ההשפעה השלילית על החברות המעורבות עצמן, אלא בשאלה</w:t>
      </w:r>
      <w:r w:rsidR="00D82DC5" w:rsidRPr="00F77E2E">
        <w:rPr>
          <w:rFonts w:ascii="David" w:hAnsi="David" w:cs="David"/>
          <w:sz w:val="24"/>
          <w:szCs w:val="24"/>
          <w:rtl/>
        </w:rPr>
        <w:t>,</w:t>
      </w:r>
      <w:r w:rsidRPr="00F77E2E">
        <w:rPr>
          <w:rFonts w:ascii="David" w:hAnsi="David" w:cs="David"/>
          <w:sz w:val="24"/>
          <w:szCs w:val="24"/>
          <w:rtl/>
        </w:rPr>
        <w:t xml:space="preserve"> האם ובאיזו מידה</w:t>
      </w:r>
      <w:r w:rsidR="00D82DC5" w:rsidRPr="00F77E2E">
        <w:rPr>
          <w:rFonts w:ascii="David" w:hAnsi="David" w:cs="David"/>
          <w:sz w:val="24"/>
          <w:szCs w:val="24"/>
          <w:rtl/>
        </w:rPr>
        <w:t xml:space="preserve"> משקפים</w:t>
      </w:r>
      <w:r w:rsidRPr="00F77E2E">
        <w:rPr>
          <w:rFonts w:ascii="David" w:hAnsi="David" w:cs="David"/>
          <w:sz w:val="24"/>
          <w:szCs w:val="24"/>
          <w:rtl/>
        </w:rPr>
        <w:t xml:space="preserve"> האירועים השליליים בשתי החברות הללו בעיות רוחב בענף האשראי ה</w:t>
      </w:r>
      <w:r w:rsidR="000D4A1A" w:rsidRPr="00F77E2E">
        <w:rPr>
          <w:rFonts w:ascii="David" w:hAnsi="David" w:cs="David"/>
          <w:sz w:val="24"/>
          <w:szCs w:val="24"/>
          <w:rtl/>
        </w:rPr>
        <w:t>חוץ-ב</w:t>
      </w:r>
      <w:r w:rsidRPr="00F77E2E">
        <w:rPr>
          <w:rFonts w:ascii="David" w:hAnsi="David" w:cs="David"/>
          <w:sz w:val="24"/>
          <w:szCs w:val="24"/>
          <w:rtl/>
        </w:rPr>
        <w:t>נקאי</w:t>
      </w:r>
      <w:r w:rsidRPr="00F77E2E">
        <w:rPr>
          <w:rStyle w:val="ac"/>
          <w:rFonts w:ascii="David" w:hAnsi="David" w:cs="David"/>
          <w:sz w:val="24"/>
          <w:szCs w:val="24"/>
          <w:rtl/>
        </w:rPr>
        <w:footnoteReference w:id="22"/>
      </w:r>
      <w:r w:rsidR="00D82DC5" w:rsidRPr="00F77E2E">
        <w:rPr>
          <w:rFonts w:ascii="David" w:hAnsi="David" w:cs="David"/>
          <w:sz w:val="24"/>
          <w:szCs w:val="24"/>
          <w:rtl/>
        </w:rPr>
        <w:t>.</w:t>
      </w:r>
    </w:p>
    <w:p w:rsidR="004F27E1" w:rsidRPr="00F77E2E" w:rsidRDefault="004F27E1" w:rsidP="00894B58">
      <w:pPr>
        <w:bidi/>
        <w:spacing w:line="360" w:lineRule="auto"/>
        <w:jc w:val="both"/>
        <w:rPr>
          <w:rFonts w:ascii="David" w:hAnsi="David" w:cs="David"/>
          <w:sz w:val="24"/>
          <w:szCs w:val="24"/>
          <w:highlight w:val="yellow"/>
          <w:rtl/>
        </w:rPr>
      </w:pPr>
      <w:r w:rsidRPr="00F77E2E">
        <w:rPr>
          <w:rFonts w:ascii="David" w:hAnsi="David" w:cs="David"/>
          <w:sz w:val="24"/>
          <w:szCs w:val="24"/>
          <w:rtl/>
        </w:rPr>
        <w:lastRenderedPageBreak/>
        <w:t>תגובה שלילית של מניות החברות המתחרות להרעה במצב</w:t>
      </w:r>
      <w:r w:rsidR="005D3184" w:rsidRPr="00F77E2E">
        <w:rPr>
          <w:rFonts w:ascii="David" w:hAnsi="David" w:cs="David"/>
          <w:sz w:val="24"/>
          <w:szCs w:val="24"/>
          <w:rtl/>
        </w:rPr>
        <w:t xml:space="preserve"> החברות</w:t>
      </w:r>
      <w:r w:rsidRPr="00F77E2E">
        <w:rPr>
          <w:rFonts w:ascii="David" w:hAnsi="David" w:cs="David"/>
          <w:sz w:val="24"/>
          <w:szCs w:val="24"/>
          <w:rtl/>
        </w:rPr>
        <w:t xml:space="preserve"> </w:t>
      </w:r>
      <w:r w:rsidR="005D3184" w:rsidRPr="00F77E2E">
        <w:rPr>
          <w:rFonts w:ascii="David" w:hAnsi="David" w:cs="David"/>
          <w:sz w:val="24"/>
          <w:szCs w:val="24"/>
          <w:rtl/>
        </w:rPr>
        <w:t xml:space="preserve">"גיבוי אחזקות" </w:t>
      </w:r>
      <w:proofErr w:type="spellStart"/>
      <w:r w:rsidR="005D3184" w:rsidRPr="00F77E2E">
        <w:rPr>
          <w:rFonts w:ascii="David" w:hAnsi="David" w:cs="David"/>
          <w:sz w:val="24"/>
          <w:szCs w:val="24"/>
          <w:rtl/>
        </w:rPr>
        <w:t>ו"יונט</w:t>
      </w:r>
      <w:proofErr w:type="spellEnd"/>
      <w:r w:rsidR="005D3184" w:rsidRPr="00F77E2E">
        <w:rPr>
          <w:rFonts w:ascii="David" w:hAnsi="David" w:cs="David"/>
          <w:sz w:val="24"/>
          <w:szCs w:val="24"/>
          <w:rtl/>
        </w:rPr>
        <w:t xml:space="preserve"> קרדיט" </w:t>
      </w:r>
      <w:r w:rsidRPr="00F77E2E">
        <w:rPr>
          <w:rFonts w:ascii="David" w:hAnsi="David" w:cs="David"/>
          <w:sz w:val="24"/>
          <w:szCs w:val="24"/>
          <w:rtl/>
        </w:rPr>
        <w:t>יכולה לנבוע מהערכ</w:t>
      </w:r>
      <w:r w:rsidR="00200163" w:rsidRPr="00F77E2E">
        <w:rPr>
          <w:rFonts w:ascii="David" w:hAnsi="David" w:cs="David"/>
          <w:sz w:val="24"/>
          <w:szCs w:val="24"/>
          <w:rtl/>
        </w:rPr>
        <w:t>ת</w:t>
      </w:r>
      <w:r w:rsidRPr="00F77E2E">
        <w:rPr>
          <w:rFonts w:ascii="David" w:hAnsi="David" w:cs="David"/>
          <w:sz w:val="24"/>
          <w:szCs w:val="24"/>
          <w:rtl/>
        </w:rPr>
        <w:t xml:space="preserve"> המשקיעים </w:t>
      </w:r>
      <w:r w:rsidR="00200163" w:rsidRPr="00F77E2E">
        <w:rPr>
          <w:rFonts w:ascii="David" w:hAnsi="David" w:cs="David"/>
          <w:sz w:val="24"/>
          <w:szCs w:val="24"/>
          <w:rtl/>
        </w:rPr>
        <w:t>ש</w:t>
      </w:r>
      <w:r w:rsidRPr="00F77E2E">
        <w:rPr>
          <w:rFonts w:ascii="David" w:hAnsi="David" w:cs="David"/>
          <w:sz w:val="24"/>
          <w:szCs w:val="24"/>
          <w:rtl/>
        </w:rPr>
        <w:t>הבעיות מהוות אינדיקציה לבעיות רחבות יותר בשוק האשראי ה</w:t>
      </w:r>
      <w:r w:rsidR="000D4A1A" w:rsidRPr="00F77E2E">
        <w:rPr>
          <w:rFonts w:ascii="David" w:hAnsi="David" w:cs="David"/>
          <w:sz w:val="24"/>
          <w:szCs w:val="24"/>
          <w:rtl/>
        </w:rPr>
        <w:t>חוץ-ב</w:t>
      </w:r>
      <w:r w:rsidRPr="00F77E2E">
        <w:rPr>
          <w:rFonts w:ascii="David" w:hAnsi="David" w:cs="David"/>
          <w:sz w:val="24"/>
          <w:szCs w:val="24"/>
          <w:rtl/>
        </w:rPr>
        <w:t xml:space="preserve">נקאי ו/או מהערכה </w:t>
      </w:r>
      <w:r w:rsidR="008B143F" w:rsidRPr="00F77E2E">
        <w:rPr>
          <w:rFonts w:ascii="David" w:hAnsi="David" w:cs="David"/>
          <w:sz w:val="24"/>
          <w:szCs w:val="24"/>
          <w:rtl/>
        </w:rPr>
        <w:t>שהן</w:t>
      </w:r>
      <w:r w:rsidRPr="00F77E2E">
        <w:rPr>
          <w:rFonts w:ascii="David" w:hAnsi="David" w:cs="David"/>
          <w:sz w:val="24"/>
          <w:szCs w:val="24"/>
          <w:rtl/>
        </w:rPr>
        <w:t xml:space="preserve"> יובילו להחמרה </w:t>
      </w:r>
      <w:r w:rsidR="00D82DC5" w:rsidRPr="00F77E2E">
        <w:rPr>
          <w:rFonts w:ascii="David" w:hAnsi="David" w:cs="David"/>
          <w:sz w:val="24"/>
          <w:szCs w:val="24"/>
          <w:rtl/>
        </w:rPr>
        <w:t xml:space="preserve">באסדרה </w:t>
      </w:r>
      <w:r w:rsidRPr="00F77E2E">
        <w:rPr>
          <w:rFonts w:ascii="David" w:hAnsi="David" w:cs="David"/>
          <w:sz w:val="24"/>
          <w:szCs w:val="24"/>
          <w:rtl/>
        </w:rPr>
        <w:t>או בתנאי השוק עבור החברות האחרות בענף. לעומת</w:t>
      </w:r>
      <w:r w:rsidR="00D82DC5" w:rsidRPr="00F77E2E">
        <w:rPr>
          <w:rFonts w:ascii="David" w:hAnsi="David" w:cs="David"/>
          <w:sz w:val="24"/>
          <w:szCs w:val="24"/>
          <w:rtl/>
        </w:rPr>
        <w:t xml:space="preserve"> </w:t>
      </w:r>
      <w:r w:rsidRPr="00F77E2E">
        <w:rPr>
          <w:rFonts w:ascii="David" w:hAnsi="David" w:cs="David"/>
          <w:sz w:val="24"/>
          <w:szCs w:val="24"/>
          <w:rtl/>
        </w:rPr>
        <w:t xml:space="preserve">זאת, תגובה חיובית של מניות החברות המתחרות להרעה במצב </w:t>
      </w:r>
      <w:r w:rsidR="005D3184" w:rsidRPr="00F77E2E">
        <w:rPr>
          <w:rFonts w:ascii="David" w:hAnsi="David" w:cs="David"/>
          <w:sz w:val="24"/>
          <w:szCs w:val="24"/>
          <w:rtl/>
        </w:rPr>
        <w:t>החברות</w:t>
      </w:r>
      <w:r w:rsidRPr="00F77E2E">
        <w:rPr>
          <w:rFonts w:ascii="David" w:hAnsi="David" w:cs="David"/>
          <w:sz w:val="24"/>
          <w:szCs w:val="24"/>
          <w:rtl/>
        </w:rPr>
        <w:t xml:space="preserve"> </w:t>
      </w:r>
      <w:r w:rsidR="005D3184" w:rsidRPr="00F77E2E">
        <w:rPr>
          <w:rFonts w:ascii="David" w:hAnsi="David" w:cs="David"/>
          <w:sz w:val="24"/>
          <w:szCs w:val="24"/>
          <w:rtl/>
        </w:rPr>
        <w:t xml:space="preserve">"גיבוי אחזקות" </w:t>
      </w:r>
      <w:proofErr w:type="spellStart"/>
      <w:r w:rsidR="005D3184" w:rsidRPr="00F77E2E">
        <w:rPr>
          <w:rFonts w:ascii="David" w:hAnsi="David" w:cs="David"/>
          <w:sz w:val="24"/>
          <w:szCs w:val="24"/>
          <w:rtl/>
        </w:rPr>
        <w:t>ו"יונט</w:t>
      </w:r>
      <w:proofErr w:type="spellEnd"/>
      <w:r w:rsidR="005D3184" w:rsidRPr="00F77E2E">
        <w:rPr>
          <w:rFonts w:ascii="David" w:hAnsi="David" w:cs="David"/>
          <w:sz w:val="24"/>
          <w:szCs w:val="24"/>
          <w:rtl/>
        </w:rPr>
        <w:t xml:space="preserve"> קרדיט"</w:t>
      </w:r>
      <w:r w:rsidR="00D82DC5" w:rsidRPr="00F77E2E">
        <w:rPr>
          <w:rFonts w:ascii="David" w:hAnsi="David" w:cs="David"/>
          <w:sz w:val="24"/>
          <w:szCs w:val="24"/>
          <w:rtl/>
        </w:rPr>
        <w:t>,</w:t>
      </w:r>
      <w:r w:rsidR="005D3184" w:rsidRPr="00F77E2E">
        <w:rPr>
          <w:rFonts w:ascii="David" w:hAnsi="David" w:cs="David"/>
          <w:sz w:val="24"/>
          <w:szCs w:val="24"/>
          <w:rtl/>
        </w:rPr>
        <w:t xml:space="preserve"> </w:t>
      </w:r>
      <w:r w:rsidRPr="00F77E2E">
        <w:rPr>
          <w:rFonts w:ascii="David" w:hAnsi="David" w:cs="David"/>
          <w:sz w:val="24"/>
          <w:szCs w:val="24"/>
          <w:rtl/>
        </w:rPr>
        <w:t>יכולה לנבוע מהערכ</w:t>
      </w:r>
      <w:r w:rsidR="008B143F" w:rsidRPr="00F77E2E">
        <w:rPr>
          <w:rFonts w:ascii="David" w:hAnsi="David" w:cs="David"/>
          <w:sz w:val="24"/>
          <w:szCs w:val="24"/>
          <w:rtl/>
        </w:rPr>
        <w:t>ת</w:t>
      </w:r>
      <w:r w:rsidRPr="00F77E2E">
        <w:rPr>
          <w:rFonts w:ascii="David" w:hAnsi="David" w:cs="David"/>
          <w:sz w:val="24"/>
          <w:szCs w:val="24"/>
          <w:rtl/>
        </w:rPr>
        <w:t xml:space="preserve"> המשקיעים כי רמת התחרות בשוק האשראי ה</w:t>
      </w:r>
      <w:r w:rsidR="000D4A1A" w:rsidRPr="00F77E2E">
        <w:rPr>
          <w:rFonts w:ascii="David" w:hAnsi="David" w:cs="David"/>
          <w:sz w:val="24"/>
          <w:szCs w:val="24"/>
          <w:rtl/>
        </w:rPr>
        <w:t>חוץ-ב</w:t>
      </w:r>
      <w:r w:rsidRPr="00F77E2E">
        <w:rPr>
          <w:rFonts w:ascii="David" w:hAnsi="David" w:cs="David"/>
          <w:sz w:val="24"/>
          <w:szCs w:val="24"/>
          <w:rtl/>
        </w:rPr>
        <w:t>נקאי תרד</w:t>
      </w:r>
      <w:r w:rsidR="00D82DC5" w:rsidRPr="00F77E2E">
        <w:rPr>
          <w:rFonts w:ascii="David" w:hAnsi="David" w:cs="David"/>
          <w:sz w:val="24"/>
          <w:szCs w:val="24"/>
          <w:rtl/>
        </w:rPr>
        <w:t>,</w:t>
      </w:r>
      <w:r w:rsidRPr="00F77E2E">
        <w:rPr>
          <w:rFonts w:ascii="David" w:hAnsi="David" w:cs="David"/>
          <w:sz w:val="24"/>
          <w:szCs w:val="24"/>
          <w:rtl/>
        </w:rPr>
        <w:t xml:space="preserve"> עקב התמוטטותן של שתיים מהמתחרות והדבר יוביל לגידול ברווחיותן של החברות האחרות בשוק.</w:t>
      </w:r>
    </w:p>
    <w:p w:rsidR="00261025" w:rsidRPr="00F77E2E" w:rsidRDefault="00261025" w:rsidP="001E3FBB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77E2E">
        <w:rPr>
          <w:rFonts w:ascii="David" w:hAnsi="David" w:cs="David"/>
          <w:sz w:val="24"/>
          <w:szCs w:val="24"/>
          <w:rtl/>
        </w:rPr>
        <w:t xml:space="preserve">כדי לבחון את השפעת </w:t>
      </w:r>
      <w:r w:rsidR="00D000F1" w:rsidRPr="00F77E2E">
        <w:rPr>
          <w:rFonts w:ascii="David" w:hAnsi="David" w:cs="David"/>
          <w:sz w:val="24"/>
          <w:szCs w:val="24"/>
          <w:rtl/>
        </w:rPr>
        <w:t xml:space="preserve">נפילתן של </w:t>
      </w:r>
      <w:r w:rsidR="005D3184" w:rsidRPr="00F77E2E">
        <w:rPr>
          <w:rFonts w:ascii="David" w:hAnsi="David" w:cs="David"/>
          <w:sz w:val="24"/>
          <w:szCs w:val="24"/>
          <w:rtl/>
        </w:rPr>
        <w:t xml:space="preserve">החברות "גיבוי אחזקות" </w:t>
      </w:r>
      <w:proofErr w:type="spellStart"/>
      <w:r w:rsidR="005D3184" w:rsidRPr="00F77E2E">
        <w:rPr>
          <w:rFonts w:ascii="David" w:hAnsi="David" w:cs="David"/>
          <w:sz w:val="24"/>
          <w:szCs w:val="24"/>
          <w:rtl/>
        </w:rPr>
        <w:t>ו"יונט</w:t>
      </w:r>
      <w:proofErr w:type="spellEnd"/>
      <w:r w:rsidR="005D3184" w:rsidRPr="00F77E2E">
        <w:rPr>
          <w:rFonts w:ascii="David" w:hAnsi="David" w:cs="David"/>
          <w:sz w:val="24"/>
          <w:szCs w:val="24"/>
          <w:rtl/>
        </w:rPr>
        <w:t xml:space="preserve"> קרדיט" </w:t>
      </w:r>
      <w:r w:rsidRPr="00F77E2E">
        <w:rPr>
          <w:rFonts w:ascii="David" w:hAnsi="David" w:cs="David"/>
          <w:sz w:val="24"/>
          <w:szCs w:val="24"/>
          <w:rtl/>
        </w:rPr>
        <w:t xml:space="preserve">על </w:t>
      </w:r>
      <w:r w:rsidR="00D000F1" w:rsidRPr="00F77E2E">
        <w:rPr>
          <w:rFonts w:ascii="David" w:hAnsi="David" w:cs="David"/>
          <w:sz w:val="24"/>
          <w:szCs w:val="24"/>
          <w:rtl/>
        </w:rPr>
        <w:t>הערכת המשקיעים ל</w:t>
      </w:r>
      <w:r w:rsidR="00D82DC5" w:rsidRPr="00F77E2E">
        <w:rPr>
          <w:rFonts w:ascii="David" w:hAnsi="David" w:cs="David"/>
          <w:sz w:val="24"/>
          <w:szCs w:val="24"/>
          <w:rtl/>
        </w:rPr>
        <w:t xml:space="preserve">גבי </w:t>
      </w:r>
      <w:r w:rsidR="00D000F1" w:rsidRPr="00F77E2E">
        <w:rPr>
          <w:rFonts w:ascii="David" w:hAnsi="David" w:cs="David"/>
          <w:sz w:val="24"/>
          <w:szCs w:val="24"/>
          <w:rtl/>
        </w:rPr>
        <w:t xml:space="preserve">מצבן של חברות האשראי החוץ-בנקאי </w:t>
      </w:r>
      <w:r w:rsidR="008118CB" w:rsidRPr="00F77E2E">
        <w:rPr>
          <w:rFonts w:ascii="David" w:hAnsi="David" w:cs="David"/>
          <w:sz w:val="24"/>
          <w:szCs w:val="24"/>
          <w:rtl/>
        </w:rPr>
        <w:t>המתחרות</w:t>
      </w:r>
      <w:r w:rsidR="00D000F1" w:rsidRPr="00F77E2E">
        <w:rPr>
          <w:rFonts w:ascii="David" w:hAnsi="David" w:cs="David"/>
          <w:sz w:val="24"/>
          <w:szCs w:val="24"/>
          <w:rtl/>
        </w:rPr>
        <w:t>,</w:t>
      </w:r>
      <w:r w:rsidRPr="00F77E2E">
        <w:rPr>
          <w:rFonts w:ascii="David" w:hAnsi="David" w:cs="David"/>
          <w:sz w:val="24"/>
          <w:szCs w:val="24"/>
          <w:rtl/>
        </w:rPr>
        <w:t xml:space="preserve"> </w:t>
      </w:r>
      <w:r w:rsidR="00D000F1" w:rsidRPr="00F77E2E">
        <w:rPr>
          <w:rFonts w:ascii="David" w:hAnsi="David" w:cs="David"/>
          <w:sz w:val="24"/>
          <w:szCs w:val="24"/>
          <w:rtl/>
        </w:rPr>
        <w:t>בדקנו</w:t>
      </w:r>
      <w:r w:rsidR="00F8777F" w:rsidRPr="00F77E2E">
        <w:rPr>
          <w:rFonts w:ascii="David" w:hAnsi="David" w:cs="David"/>
          <w:sz w:val="24"/>
          <w:szCs w:val="24"/>
          <w:rtl/>
        </w:rPr>
        <w:t xml:space="preserve"> </w:t>
      </w:r>
      <w:r w:rsidRPr="00F77E2E">
        <w:rPr>
          <w:rFonts w:ascii="David" w:hAnsi="David" w:cs="David"/>
          <w:sz w:val="24"/>
          <w:szCs w:val="24"/>
          <w:rtl/>
        </w:rPr>
        <w:t xml:space="preserve">את </w:t>
      </w:r>
      <w:r w:rsidR="00200163" w:rsidRPr="00F77E2E">
        <w:rPr>
          <w:rFonts w:ascii="David" w:hAnsi="David" w:cs="David"/>
          <w:sz w:val="24"/>
          <w:szCs w:val="24"/>
          <w:rtl/>
        </w:rPr>
        <w:t>תגובת</w:t>
      </w:r>
      <w:r w:rsidRPr="00F77E2E">
        <w:rPr>
          <w:rFonts w:ascii="David" w:hAnsi="David" w:cs="David"/>
          <w:sz w:val="24"/>
          <w:szCs w:val="24"/>
          <w:rtl/>
        </w:rPr>
        <w:t xml:space="preserve"> התיקים המשוקללים של מניות </w:t>
      </w:r>
      <w:r w:rsidR="00CF5187" w:rsidRPr="00F77E2E">
        <w:rPr>
          <w:rFonts w:ascii="David" w:hAnsi="David" w:cs="David"/>
          <w:sz w:val="24"/>
          <w:szCs w:val="24"/>
          <w:rtl/>
        </w:rPr>
        <w:t>ה</w:t>
      </w:r>
      <w:r w:rsidR="00D000F1" w:rsidRPr="00F77E2E">
        <w:rPr>
          <w:rFonts w:ascii="David" w:hAnsi="David" w:cs="David"/>
          <w:sz w:val="24"/>
          <w:szCs w:val="24"/>
          <w:rtl/>
        </w:rPr>
        <w:t>חברות המתחרות</w:t>
      </w:r>
      <w:r w:rsidR="00200163" w:rsidRPr="00F77E2E">
        <w:rPr>
          <w:rFonts w:ascii="David" w:hAnsi="David" w:cs="David"/>
          <w:sz w:val="24"/>
          <w:szCs w:val="24"/>
          <w:rtl/>
        </w:rPr>
        <w:t xml:space="preserve"> לאירועים</w:t>
      </w:r>
      <w:r w:rsidRPr="00F77E2E">
        <w:rPr>
          <w:rFonts w:ascii="David" w:hAnsi="David" w:cs="David"/>
          <w:sz w:val="24"/>
          <w:szCs w:val="24"/>
          <w:rtl/>
        </w:rPr>
        <w:t xml:space="preserve">, תוך שליטה על מדדי הסמן </w:t>
      </w:r>
      <w:r w:rsidR="00D82DC5" w:rsidRPr="00F77E2E">
        <w:rPr>
          <w:rFonts w:ascii="David" w:hAnsi="David" w:cs="David"/>
          <w:sz w:val="24"/>
          <w:szCs w:val="24"/>
          <w:rtl/>
        </w:rPr>
        <w:t>המתאימים</w:t>
      </w:r>
      <w:r w:rsidRPr="00F77E2E">
        <w:rPr>
          <w:rFonts w:ascii="David" w:hAnsi="David" w:cs="David"/>
          <w:sz w:val="24"/>
          <w:szCs w:val="24"/>
          <w:rtl/>
        </w:rPr>
        <w:t>. לשם</w:t>
      </w:r>
      <w:r w:rsidR="005038A0" w:rsidRPr="00F77E2E">
        <w:rPr>
          <w:rFonts w:ascii="David" w:hAnsi="David" w:cs="David"/>
          <w:sz w:val="24"/>
          <w:szCs w:val="24"/>
          <w:rtl/>
        </w:rPr>
        <w:t xml:space="preserve"> </w:t>
      </w:r>
      <w:r w:rsidRPr="00F77E2E">
        <w:rPr>
          <w:rFonts w:ascii="David" w:hAnsi="David" w:cs="David"/>
          <w:sz w:val="24"/>
          <w:szCs w:val="24"/>
          <w:rtl/>
        </w:rPr>
        <w:t xml:space="preserve">כך </w:t>
      </w:r>
      <w:r w:rsidR="0096692C" w:rsidRPr="00F77E2E">
        <w:rPr>
          <w:rFonts w:ascii="David" w:hAnsi="David" w:cs="David"/>
          <w:sz w:val="24"/>
          <w:szCs w:val="24"/>
          <w:rtl/>
        </w:rPr>
        <w:t>אומצה</w:t>
      </w:r>
      <w:r w:rsidRPr="00F77E2E">
        <w:rPr>
          <w:rFonts w:ascii="David" w:hAnsi="David" w:cs="David"/>
          <w:sz w:val="24"/>
          <w:szCs w:val="24"/>
          <w:rtl/>
        </w:rPr>
        <w:t xml:space="preserve"> </w:t>
      </w:r>
      <w:r w:rsidR="005038A0" w:rsidRPr="00F77E2E">
        <w:rPr>
          <w:rFonts w:ascii="David" w:hAnsi="David" w:cs="David"/>
          <w:sz w:val="24"/>
          <w:szCs w:val="24"/>
          <w:rtl/>
        </w:rPr>
        <w:t xml:space="preserve">השיטה </w:t>
      </w:r>
      <w:r w:rsidRPr="00F77E2E">
        <w:rPr>
          <w:rFonts w:ascii="David" w:hAnsi="David" w:cs="David"/>
          <w:sz w:val="24"/>
          <w:szCs w:val="24"/>
          <w:rtl/>
        </w:rPr>
        <w:t xml:space="preserve">ששימשה </w:t>
      </w:r>
      <w:r w:rsidR="005038A0" w:rsidRPr="00F77E2E">
        <w:rPr>
          <w:rFonts w:ascii="David" w:hAnsi="David" w:cs="David"/>
          <w:sz w:val="24"/>
          <w:szCs w:val="24"/>
          <w:rtl/>
        </w:rPr>
        <w:t xml:space="preserve">לדוגמה </w:t>
      </w:r>
      <w:r w:rsidRPr="00F77E2E">
        <w:rPr>
          <w:rFonts w:ascii="David" w:hAnsi="David" w:cs="David"/>
          <w:sz w:val="24"/>
          <w:szCs w:val="24"/>
          <w:rtl/>
        </w:rPr>
        <w:t xml:space="preserve">את </w:t>
      </w:r>
      <w:r w:rsidRPr="00F77E2E">
        <w:rPr>
          <w:rFonts w:ascii="David" w:hAnsi="David" w:cs="David"/>
          <w:sz w:val="24"/>
          <w:szCs w:val="24"/>
        </w:rPr>
        <w:t>Wan and Wong (Journal of Corporate Finance, 2009)</w:t>
      </w:r>
      <w:r w:rsidR="004F27E1" w:rsidRPr="00F77E2E">
        <w:rPr>
          <w:rFonts w:ascii="David" w:hAnsi="David" w:cs="David"/>
          <w:sz w:val="24"/>
          <w:szCs w:val="24"/>
          <w:rtl/>
        </w:rPr>
        <w:t xml:space="preserve">. בפרט, </w:t>
      </w:r>
      <w:r w:rsidR="00D000F1" w:rsidRPr="00F77E2E">
        <w:rPr>
          <w:rFonts w:ascii="David" w:hAnsi="David" w:cs="David"/>
          <w:sz w:val="24"/>
          <w:szCs w:val="24"/>
          <w:rtl/>
        </w:rPr>
        <w:t>אמדנו</w:t>
      </w:r>
      <w:r w:rsidRPr="00F77E2E">
        <w:rPr>
          <w:rFonts w:ascii="David" w:hAnsi="David" w:cs="David"/>
          <w:sz w:val="24"/>
          <w:szCs w:val="24"/>
          <w:rtl/>
        </w:rPr>
        <w:t xml:space="preserve"> את המשוואה הבאה:</w:t>
      </w:r>
    </w:p>
    <w:p w:rsidR="00261025" w:rsidRPr="00F77E2E" w:rsidRDefault="004C5E01" w:rsidP="00D000F1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1</m:t>
                  </m:r>
                </m:e>
              </m:d>
              <m:r>
                <w:rPr>
                  <w:rFonts w:ascii="Cambria Math" w:hAnsi="Cambria Math" w:cs="David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=α+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m</m:t>
              </m:r>
            </m:sub>
          </m:sSub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m,t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fin</m:t>
              </m:r>
            </m:sub>
          </m:sSub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fin,t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+γ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ε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t</m:t>
              </m:r>
            </m:sub>
          </m:sSub>
        </m:oMath>
      </m:oMathPara>
    </w:p>
    <w:p w:rsidR="00DD7BBB" w:rsidRPr="00F77E2E" w:rsidRDefault="00261025" w:rsidP="00636753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77E2E">
        <w:rPr>
          <w:rFonts w:ascii="David" w:hAnsi="David" w:cs="David"/>
          <w:sz w:val="24"/>
          <w:szCs w:val="24"/>
          <w:rtl/>
        </w:rPr>
        <w:t xml:space="preserve">כאשר </w:t>
      </w:r>
      <w:proofErr w:type="spellStart"/>
      <w:r w:rsidRPr="00F77E2E">
        <w:rPr>
          <w:rFonts w:ascii="David" w:hAnsi="David" w:cs="David"/>
          <w:i/>
          <w:iCs/>
          <w:sz w:val="24"/>
          <w:szCs w:val="24"/>
        </w:rPr>
        <w:t>R</w:t>
      </w:r>
      <w:r w:rsidRPr="00F77E2E">
        <w:rPr>
          <w:rFonts w:ascii="David" w:hAnsi="David" w:cs="David"/>
          <w:i/>
          <w:iCs/>
          <w:sz w:val="24"/>
          <w:szCs w:val="24"/>
          <w:vertAlign w:val="subscript"/>
        </w:rPr>
        <w:t>t</w:t>
      </w:r>
      <w:proofErr w:type="spellEnd"/>
      <w:r w:rsidRPr="00F77E2E">
        <w:rPr>
          <w:rFonts w:ascii="David" w:hAnsi="David" w:cs="David"/>
          <w:sz w:val="24"/>
          <w:szCs w:val="24"/>
          <w:rtl/>
        </w:rPr>
        <w:t xml:space="preserve"> </w:t>
      </w:r>
      <w:r w:rsidR="002F0B48" w:rsidRPr="00F77E2E">
        <w:rPr>
          <w:rFonts w:ascii="David" w:hAnsi="David" w:cs="David"/>
          <w:sz w:val="24"/>
          <w:szCs w:val="24"/>
          <w:rtl/>
        </w:rPr>
        <w:t>היא התשואה על תיק במשקלות שווים/</w:t>
      </w:r>
      <w:r w:rsidR="00ED3631" w:rsidRPr="00F77E2E">
        <w:rPr>
          <w:rFonts w:ascii="David" w:hAnsi="David" w:cs="David"/>
          <w:sz w:val="24"/>
          <w:szCs w:val="24"/>
          <w:rtl/>
        </w:rPr>
        <w:t xml:space="preserve">משוקללים </w:t>
      </w:r>
      <w:r w:rsidR="002F0B48" w:rsidRPr="00F77E2E">
        <w:rPr>
          <w:rFonts w:ascii="David" w:hAnsi="David" w:cs="David"/>
          <w:sz w:val="24"/>
          <w:szCs w:val="24"/>
          <w:rtl/>
        </w:rPr>
        <w:t xml:space="preserve">לפי שווי </w:t>
      </w:r>
      <w:r w:rsidR="005038A0" w:rsidRPr="00F77E2E">
        <w:rPr>
          <w:rFonts w:ascii="David" w:hAnsi="David" w:cs="David"/>
          <w:sz w:val="24"/>
          <w:szCs w:val="24"/>
          <w:rtl/>
        </w:rPr>
        <w:t>ה</w:t>
      </w:r>
      <w:r w:rsidR="002F0B48" w:rsidRPr="00F77E2E">
        <w:rPr>
          <w:rFonts w:ascii="David" w:hAnsi="David" w:cs="David"/>
          <w:sz w:val="24"/>
          <w:szCs w:val="24"/>
          <w:rtl/>
        </w:rPr>
        <w:t xml:space="preserve">שוק של מניות </w:t>
      </w:r>
      <w:r w:rsidR="00D000F1" w:rsidRPr="00F77E2E">
        <w:rPr>
          <w:rFonts w:ascii="David" w:hAnsi="David" w:cs="David"/>
          <w:sz w:val="24"/>
          <w:szCs w:val="24"/>
          <w:rtl/>
        </w:rPr>
        <w:t xml:space="preserve">חברות האשראי החוץ-בנקאי </w:t>
      </w:r>
      <w:r w:rsidR="008118CB" w:rsidRPr="00F77E2E">
        <w:rPr>
          <w:rFonts w:ascii="David" w:hAnsi="David" w:cs="David"/>
          <w:sz w:val="24"/>
          <w:szCs w:val="24"/>
          <w:rtl/>
        </w:rPr>
        <w:t>המתחרות</w:t>
      </w:r>
      <w:r w:rsidR="002F0B48" w:rsidRPr="00F77E2E">
        <w:rPr>
          <w:rFonts w:ascii="David" w:hAnsi="David" w:cs="David"/>
          <w:sz w:val="24"/>
          <w:szCs w:val="24"/>
          <w:rtl/>
        </w:rPr>
        <w:t xml:space="preserve">; </w:t>
      </w:r>
      <w:proofErr w:type="spellStart"/>
      <w:r w:rsidR="002F0B48" w:rsidRPr="00F77E2E">
        <w:rPr>
          <w:rFonts w:ascii="David" w:hAnsi="David" w:cs="David"/>
          <w:i/>
          <w:iCs/>
          <w:sz w:val="24"/>
          <w:szCs w:val="24"/>
        </w:rPr>
        <w:t>R</w:t>
      </w:r>
      <w:r w:rsidR="002F0B48" w:rsidRPr="00F77E2E">
        <w:rPr>
          <w:rFonts w:ascii="David" w:hAnsi="David" w:cs="David"/>
          <w:i/>
          <w:iCs/>
          <w:sz w:val="24"/>
          <w:szCs w:val="24"/>
          <w:vertAlign w:val="subscript"/>
        </w:rPr>
        <w:t>m,t</w:t>
      </w:r>
      <w:proofErr w:type="spellEnd"/>
      <w:r w:rsidR="002F0B48" w:rsidRPr="00F77E2E">
        <w:rPr>
          <w:rFonts w:ascii="David" w:hAnsi="David" w:cs="David"/>
          <w:sz w:val="24"/>
          <w:szCs w:val="24"/>
          <w:rtl/>
        </w:rPr>
        <w:t xml:space="preserve"> </w:t>
      </w:r>
      <w:r w:rsidRPr="00F77E2E">
        <w:rPr>
          <w:rFonts w:ascii="David" w:hAnsi="David" w:cs="David"/>
          <w:sz w:val="24"/>
          <w:szCs w:val="24"/>
          <w:vertAlign w:val="subscript"/>
          <w:rtl/>
        </w:rPr>
        <w:t xml:space="preserve"> </w:t>
      </w:r>
      <w:r w:rsidR="002F0B48" w:rsidRPr="00F77E2E">
        <w:rPr>
          <w:rFonts w:ascii="David" w:hAnsi="David" w:cs="David"/>
          <w:sz w:val="24"/>
          <w:szCs w:val="24"/>
          <w:rtl/>
        </w:rPr>
        <w:t xml:space="preserve">היא התשואה על מדד ת"א </w:t>
      </w:r>
      <w:r w:rsidR="00D000F1" w:rsidRPr="00F77E2E">
        <w:rPr>
          <w:rFonts w:ascii="David" w:hAnsi="David" w:cs="David"/>
          <w:sz w:val="24"/>
          <w:szCs w:val="24"/>
          <w:rtl/>
        </w:rPr>
        <w:t>125</w:t>
      </w:r>
      <w:r w:rsidR="002F0B48" w:rsidRPr="00F77E2E">
        <w:rPr>
          <w:rFonts w:ascii="David" w:hAnsi="David" w:cs="David"/>
          <w:sz w:val="24"/>
          <w:szCs w:val="24"/>
          <w:rtl/>
        </w:rPr>
        <w:t xml:space="preserve"> ביום</w:t>
      </w:r>
      <w:r w:rsidR="00CF5187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2F0B48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2F0B48" w:rsidRPr="00F77E2E">
        <w:rPr>
          <w:rFonts w:ascii="David" w:hAnsi="David" w:cs="David"/>
          <w:i/>
          <w:iCs/>
          <w:sz w:val="24"/>
          <w:szCs w:val="24"/>
        </w:rPr>
        <w:t>t</w:t>
      </w:r>
      <w:r w:rsidR="002F0B48" w:rsidRPr="00F77E2E">
        <w:rPr>
          <w:rFonts w:ascii="David" w:hAnsi="David" w:cs="David"/>
          <w:sz w:val="24"/>
          <w:szCs w:val="24"/>
          <w:rtl/>
        </w:rPr>
        <w:t xml:space="preserve">; </w:t>
      </w:r>
      <w:r w:rsidRPr="00F77E2E">
        <w:rPr>
          <w:rFonts w:ascii="David" w:hAnsi="David" w:cs="David"/>
          <w:i/>
          <w:iCs/>
          <w:sz w:val="24"/>
          <w:szCs w:val="24"/>
          <w:vertAlign w:val="subscript"/>
          <w:rtl/>
        </w:rPr>
        <w:t xml:space="preserve"> </w:t>
      </w:r>
      <w:proofErr w:type="spellStart"/>
      <w:r w:rsidR="002F0B48" w:rsidRPr="00F77E2E">
        <w:rPr>
          <w:rFonts w:ascii="David" w:hAnsi="David" w:cs="David"/>
          <w:i/>
          <w:iCs/>
          <w:sz w:val="24"/>
          <w:szCs w:val="24"/>
        </w:rPr>
        <w:t>R</w:t>
      </w:r>
      <w:r w:rsidR="00D000F1" w:rsidRPr="00F77E2E">
        <w:rPr>
          <w:rFonts w:ascii="David" w:hAnsi="David" w:cs="David"/>
          <w:i/>
          <w:iCs/>
          <w:sz w:val="24"/>
          <w:szCs w:val="24"/>
          <w:vertAlign w:val="subscript"/>
        </w:rPr>
        <w:t>fin</w:t>
      </w:r>
      <w:r w:rsidR="002F0B48" w:rsidRPr="00F77E2E">
        <w:rPr>
          <w:rFonts w:ascii="David" w:hAnsi="David" w:cs="David"/>
          <w:i/>
          <w:iCs/>
          <w:sz w:val="24"/>
          <w:szCs w:val="24"/>
          <w:vertAlign w:val="subscript"/>
        </w:rPr>
        <w:t>,t</w:t>
      </w:r>
      <w:proofErr w:type="spellEnd"/>
      <w:r w:rsidR="002F0B48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2F0B48" w:rsidRPr="00F77E2E">
        <w:rPr>
          <w:rFonts w:ascii="David" w:hAnsi="David" w:cs="David"/>
          <w:sz w:val="24"/>
          <w:szCs w:val="24"/>
          <w:vertAlign w:val="subscript"/>
          <w:rtl/>
        </w:rPr>
        <w:t xml:space="preserve"> </w:t>
      </w:r>
      <w:r w:rsidR="002F0B48" w:rsidRPr="00F77E2E">
        <w:rPr>
          <w:rFonts w:ascii="David" w:hAnsi="David" w:cs="David"/>
          <w:sz w:val="24"/>
          <w:szCs w:val="24"/>
          <w:rtl/>
        </w:rPr>
        <w:t xml:space="preserve">היא התשואה על מדד ת"א </w:t>
      </w:r>
      <w:r w:rsidR="00D000F1" w:rsidRPr="00F77E2E">
        <w:rPr>
          <w:rFonts w:ascii="David" w:hAnsi="David" w:cs="David"/>
          <w:sz w:val="24"/>
          <w:szCs w:val="24"/>
          <w:rtl/>
        </w:rPr>
        <w:t>פיננסים</w:t>
      </w:r>
      <w:r w:rsidR="002F0B48" w:rsidRPr="00F77E2E">
        <w:rPr>
          <w:rFonts w:ascii="David" w:hAnsi="David" w:cs="David"/>
          <w:sz w:val="24"/>
          <w:szCs w:val="24"/>
          <w:rtl/>
        </w:rPr>
        <w:t xml:space="preserve"> ביום </w:t>
      </w:r>
      <w:r w:rsidR="002F0B48" w:rsidRPr="00F77E2E">
        <w:rPr>
          <w:rFonts w:ascii="David" w:hAnsi="David" w:cs="David"/>
          <w:i/>
          <w:iCs/>
          <w:sz w:val="24"/>
          <w:szCs w:val="24"/>
        </w:rPr>
        <w:t>t</w:t>
      </w:r>
      <w:r w:rsidR="002F0B48" w:rsidRPr="00F77E2E">
        <w:rPr>
          <w:rFonts w:ascii="David" w:hAnsi="David" w:cs="David"/>
          <w:sz w:val="24"/>
          <w:szCs w:val="24"/>
          <w:rtl/>
        </w:rPr>
        <w:t xml:space="preserve">; </w:t>
      </w:r>
      <w:r w:rsidR="002F0B48" w:rsidRPr="00F77E2E">
        <w:rPr>
          <w:rFonts w:ascii="David" w:hAnsi="David" w:cs="David"/>
          <w:i/>
          <w:iCs/>
          <w:sz w:val="24"/>
          <w:szCs w:val="24"/>
        </w:rPr>
        <w:t>D</w:t>
      </w:r>
      <w:r w:rsidR="002F0B48" w:rsidRPr="00F77E2E">
        <w:rPr>
          <w:rFonts w:ascii="David" w:hAnsi="David" w:cs="David"/>
          <w:i/>
          <w:iCs/>
          <w:sz w:val="24"/>
          <w:szCs w:val="24"/>
          <w:vertAlign w:val="subscript"/>
        </w:rPr>
        <w:t>t</w:t>
      </w:r>
      <w:r w:rsidR="002F0B48" w:rsidRPr="00F77E2E">
        <w:rPr>
          <w:rFonts w:ascii="David" w:hAnsi="David" w:cs="David"/>
          <w:i/>
          <w:iCs/>
          <w:sz w:val="24"/>
          <w:szCs w:val="24"/>
          <w:rtl/>
        </w:rPr>
        <w:t xml:space="preserve"> </w:t>
      </w:r>
      <w:r w:rsidR="002F0B48" w:rsidRPr="00F77E2E">
        <w:rPr>
          <w:rFonts w:ascii="David" w:hAnsi="David" w:cs="David"/>
          <w:sz w:val="24"/>
          <w:szCs w:val="24"/>
          <w:rtl/>
        </w:rPr>
        <w:t xml:space="preserve">הוא משתנה קטגורי שמקבל את הערך 1 בכל אחד </w:t>
      </w:r>
      <w:r w:rsidR="00D000F1" w:rsidRPr="00F77E2E">
        <w:rPr>
          <w:rFonts w:ascii="David" w:hAnsi="David" w:cs="David"/>
          <w:sz w:val="24"/>
          <w:szCs w:val="24"/>
          <w:rtl/>
        </w:rPr>
        <w:t>מ-14</w:t>
      </w:r>
      <w:r w:rsidR="002F0B48" w:rsidRPr="00F77E2E">
        <w:rPr>
          <w:rFonts w:ascii="David" w:hAnsi="David" w:cs="David"/>
          <w:sz w:val="24"/>
          <w:szCs w:val="24"/>
          <w:rtl/>
        </w:rPr>
        <w:t xml:space="preserve"> הימים שבהם זיהי</w:t>
      </w:r>
      <w:r w:rsidR="00D000F1" w:rsidRPr="00F77E2E">
        <w:rPr>
          <w:rFonts w:ascii="David" w:hAnsi="David" w:cs="David"/>
          <w:sz w:val="24"/>
          <w:szCs w:val="24"/>
          <w:rtl/>
        </w:rPr>
        <w:t>נו</w:t>
      </w:r>
      <w:r w:rsidR="002F0B48" w:rsidRPr="00F77E2E">
        <w:rPr>
          <w:rFonts w:ascii="David" w:hAnsi="David" w:cs="David"/>
          <w:sz w:val="24"/>
          <w:szCs w:val="24"/>
          <w:rtl/>
        </w:rPr>
        <w:t xml:space="preserve"> אירועים </w:t>
      </w:r>
      <w:r w:rsidR="00D000F1" w:rsidRPr="00F77E2E">
        <w:rPr>
          <w:rFonts w:ascii="David" w:hAnsi="David" w:cs="David"/>
          <w:sz w:val="24"/>
          <w:szCs w:val="24"/>
          <w:rtl/>
        </w:rPr>
        <w:t>שהצביעו על החמרת מצב</w:t>
      </w:r>
      <w:r w:rsidR="001509F2" w:rsidRPr="00F77E2E">
        <w:rPr>
          <w:rFonts w:ascii="David" w:hAnsi="David" w:cs="David"/>
          <w:sz w:val="24"/>
          <w:szCs w:val="24"/>
          <w:rtl/>
        </w:rPr>
        <w:t>ן של</w:t>
      </w:r>
      <w:r w:rsidR="00CF5187" w:rsidRPr="00F77E2E">
        <w:rPr>
          <w:rFonts w:ascii="David" w:hAnsi="David" w:cs="David"/>
          <w:sz w:val="24"/>
          <w:szCs w:val="24"/>
          <w:rtl/>
        </w:rPr>
        <w:t xml:space="preserve"> ה</w:t>
      </w:r>
      <w:r w:rsidR="00D000F1" w:rsidRPr="00F77E2E">
        <w:rPr>
          <w:rFonts w:ascii="David" w:hAnsi="David" w:cs="David"/>
          <w:sz w:val="24"/>
          <w:szCs w:val="24"/>
          <w:rtl/>
        </w:rPr>
        <w:t>חבר</w:t>
      </w:r>
      <w:r w:rsidR="00CF5187" w:rsidRPr="00F77E2E">
        <w:rPr>
          <w:rFonts w:ascii="David" w:hAnsi="David" w:cs="David"/>
          <w:sz w:val="24"/>
          <w:szCs w:val="24"/>
          <w:rtl/>
        </w:rPr>
        <w:t>ו</w:t>
      </w:r>
      <w:r w:rsidR="00D000F1" w:rsidRPr="00F77E2E">
        <w:rPr>
          <w:rFonts w:ascii="David" w:hAnsi="David" w:cs="David"/>
          <w:sz w:val="24"/>
          <w:szCs w:val="24"/>
          <w:rtl/>
        </w:rPr>
        <w:t>ת</w:t>
      </w:r>
      <w:r w:rsidR="005D3184" w:rsidRPr="00F77E2E">
        <w:rPr>
          <w:rFonts w:ascii="David" w:hAnsi="David" w:cs="David"/>
          <w:sz w:val="24"/>
          <w:szCs w:val="24"/>
          <w:rtl/>
        </w:rPr>
        <w:t xml:space="preserve"> "גיבוי אחזקות" או "</w:t>
      </w:r>
      <w:proofErr w:type="spellStart"/>
      <w:r w:rsidR="005D3184" w:rsidRPr="00F77E2E">
        <w:rPr>
          <w:rFonts w:ascii="David" w:hAnsi="David" w:cs="David"/>
          <w:sz w:val="24"/>
          <w:szCs w:val="24"/>
          <w:rtl/>
        </w:rPr>
        <w:t>יונט</w:t>
      </w:r>
      <w:proofErr w:type="spellEnd"/>
      <w:r w:rsidR="005D3184" w:rsidRPr="00F77E2E">
        <w:rPr>
          <w:rFonts w:ascii="David" w:hAnsi="David" w:cs="David"/>
          <w:sz w:val="24"/>
          <w:szCs w:val="24"/>
          <w:rtl/>
        </w:rPr>
        <w:t xml:space="preserve"> קרדיט" </w:t>
      </w:r>
      <w:r w:rsidR="002F0B48" w:rsidRPr="00F77E2E">
        <w:rPr>
          <w:rFonts w:ascii="David" w:hAnsi="David" w:cs="David"/>
          <w:sz w:val="24"/>
          <w:szCs w:val="24"/>
          <w:rtl/>
        </w:rPr>
        <w:t>וערך 0 אחרת. לפיכך</w:t>
      </w:r>
      <w:r w:rsidR="00D82DC5" w:rsidRPr="00F77E2E">
        <w:rPr>
          <w:rFonts w:ascii="David" w:hAnsi="David" w:cs="David"/>
          <w:sz w:val="24"/>
          <w:szCs w:val="24"/>
          <w:rtl/>
        </w:rPr>
        <w:t>,</w:t>
      </w:r>
      <w:r w:rsidR="002F0B48" w:rsidRPr="00F77E2E">
        <w:rPr>
          <w:rFonts w:ascii="David" w:hAnsi="David" w:cs="David"/>
          <w:sz w:val="24"/>
          <w:szCs w:val="24"/>
          <w:rtl/>
        </w:rPr>
        <w:t xml:space="preserve"> המקדם </w:t>
      </w:r>
      <m:oMath>
        <m:r>
          <w:rPr>
            <w:rFonts w:ascii="Cambria Math" w:hAnsi="Cambria Math" w:cs="David"/>
            <w:sz w:val="24"/>
            <w:szCs w:val="24"/>
          </w:rPr>
          <m:t>γ</m:t>
        </m:r>
      </m:oMath>
      <w:r w:rsidR="00356D5E" w:rsidRPr="00F77E2E">
        <w:rPr>
          <w:rFonts w:ascii="David" w:eastAsiaTheme="minorEastAsia" w:hAnsi="David" w:cs="David"/>
          <w:sz w:val="24"/>
          <w:szCs w:val="24"/>
          <w:rtl/>
        </w:rPr>
        <w:t xml:space="preserve"> צפוי לאמוד את ההשפעה הממוצעת של גידול </w:t>
      </w:r>
      <w:r w:rsidR="00A60BE4" w:rsidRPr="00F77E2E">
        <w:rPr>
          <w:rFonts w:ascii="David" w:eastAsiaTheme="minorEastAsia" w:hAnsi="David" w:cs="David"/>
          <w:sz w:val="24"/>
          <w:szCs w:val="24"/>
          <w:rtl/>
        </w:rPr>
        <w:t xml:space="preserve">ההסתברות </w:t>
      </w:r>
      <w:r w:rsidR="00D000F1" w:rsidRPr="00F77E2E">
        <w:rPr>
          <w:rFonts w:ascii="David" w:eastAsiaTheme="minorEastAsia" w:hAnsi="David" w:cs="David"/>
          <w:sz w:val="24"/>
          <w:szCs w:val="24"/>
          <w:rtl/>
        </w:rPr>
        <w:t>לנפיל</w:t>
      </w:r>
      <w:r w:rsidR="00CF5187" w:rsidRPr="00F77E2E">
        <w:rPr>
          <w:rFonts w:ascii="David" w:eastAsiaTheme="minorEastAsia" w:hAnsi="David" w:cs="David"/>
          <w:sz w:val="24"/>
          <w:szCs w:val="24"/>
          <w:rtl/>
        </w:rPr>
        <w:t>ת</w:t>
      </w:r>
      <w:r w:rsidR="00D82DC5" w:rsidRPr="00F77E2E">
        <w:rPr>
          <w:rFonts w:ascii="David" w:eastAsiaTheme="minorEastAsia" w:hAnsi="David" w:cs="David"/>
          <w:sz w:val="24"/>
          <w:szCs w:val="24"/>
          <w:rtl/>
        </w:rPr>
        <w:t>ן של</w:t>
      </w:r>
      <w:r w:rsidR="00D000F1" w:rsidRPr="00F77E2E">
        <w:rPr>
          <w:rFonts w:ascii="David" w:eastAsiaTheme="minorEastAsia" w:hAnsi="David" w:cs="David"/>
          <w:sz w:val="24"/>
          <w:szCs w:val="24"/>
          <w:rtl/>
        </w:rPr>
        <w:t xml:space="preserve"> </w:t>
      </w:r>
      <w:r w:rsidR="005D3184" w:rsidRPr="00F77E2E">
        <w:rPr>
          <w:rFonts w:ascii="David" w:hAnsi="David" w:cs="David"/>
          <w:sz w:val="24"/>
          <w:szCs w:val="24"/>
          <w:rtl/>
        </w:rPr>
        <w:t>החברות "גיבוי אחזקות" או "</w:t>
      </w:r>
      <w:proofErr w:type="spellStart"/>
      <w:r w:rsidR="005D3184" w:rsidRPr="00F77E2E">
        <w:rPr>
          <w:rFonts w:ascii="David" w:hAnsi="David" w:cs="David"/>
          <w:sz w:val="24"/>
          <w:szCs w:val="24"/>
          <w:rtl/>
        </w:rPr>
        <w:t>יונט</w:t>
      </w:r>
      <w:proofErr w:type="spellEnd"/>
      <w:r w:rsidR="005D3184" w:rsidRPr="00F77E2E">
        <w:rPr>
          <w:rFonts w:ascii="David" w:hAnsi="David" w:cs="David"/>
          <w:sz w:val="24"/>
          <w:szCs w:val="24"/>
          <w:rtl/>
        </w:rPr>
        <w:t xml:space="preserve"> קרדיט" </w:t>
      </w:r>
      <w:r w:rsidR="00356D5E" w:rsidRPr="00F77E2E">
        <w:rPr>
          <w:rFonts w:ascii="David" w:eastAsiaTheme="minorEastAsia" w:hAnsi="David" w:cs="David"/>
          <w:sz w:val="24"/>
          <w:szCs w:val="24"/>
          <w:rtl/>
        </w:rPr>
        <w:t xml:space="preserve">על </w:t>
      </w:r>
      <w:r w:rsidR="00D82DC5" w:rsidRPr="00F77E2E">
        <w:rPr>
          <w:rFonts w:ascii="David" w:eastAsiaTheme="minorEastAsia" w:hAnsi="David" w:cs="David"/>
          <w:sz w:val="24"/>
          <w:szCs w:val="24"/>
          <w:rtl/>
        </w:rPr>
        <w:t>ה</w:t>
      </w:r>
      <w:r w:rsidR="00356D5E" w:rsidRPr="00F77E2E">
        <w:rPr>
          <w:rFonts w:ascii="David" w:eastAsiaTheme="minorEastAsia" w:hAnsi="David" w:cs="David"/>
          <w:sz w:val="24"/>
          <w:szCs w:val="24"/>
          <w:rtl/>
        </w:rPr>
        <w:t>מניות</w:t>
      </w:r>
      <w:r w:rsidR="00D82DC5" w:rsidRPr="00F77E2E">
        <w:rPr>
          <w:rFonts w:ascii="David" w:eastAsiaTheme="minorEastAsia" w:hAnsi="David" w:cs="David"/>
          <w:sz w:val="24"/>
          <w:szCs w:val="24"/>
          <w:rtl/>
        </w:rPr>
        <w:t xml:space="preserve"> של החברות</w:t>
      </w:r>
      <w:r w:rsidR="00356D5E" w:rsidRPr="00F77E2E">
        <w:rPr>
          <w:rFonts w:ascii="David" w:eastAsiaTheme="minorEastAsia" w:hAnsi="David" w:cs="David"/>
          <w:sz w:val="24"/>
          <w:szCs w:val="24"/>
          <w:rtl/>
        </w:rPr>
        <w:t xml:space="preserve"> </w:t>
      </w:r>
      <w:r w:rsidR="00D000F1" w:rsidRPr="00F77E2E">
        <w:rPr>
          <w:rFonts w:ascii="David" w:eastAsiaTheme="minorEastAsia" w:hAnsi="David" w:cs="David"/>
          <w:sz w:val="24"/>
          <w:szCs w:val="24"/>
          <w:rtl/>
        </w:rPr>
        <w:t>המתחרות</w:t>
      </w:r>
      <w:r w:rsidR="00356D5E" w:rsidRPr="00F77E2E">
        <w:rPr>
          <w:rFonts w:ascii="David" w:eastAsiaTheme="minorEastAsia" w:hAnsi="David" w:cs="David"/>
          <w:sz w:val="24"/>
          <w:szCs w:val="24"/>
          <w:rtl/>
        </w:rPr>
        <w:t>.</w:t>
      </w:r>
    </w:p>
    <w:p w:rsidR="006F6D70" w:rsidRPr="00F77E2E" w:rsidRDefault="006F6D70" w:rsidP="007A634D">
      <w:pPr>
        <w:pStyle w:val="1"/>
        <w:numPr>
          <w:ilvl w:val="0"/>
          <w:numId w:val="2"/>
        </w:numPr>
        <w:bidi/>
        <w:rPr>
          <w:rFonts w:ascii="David" w:hAnsi="David" w:cs="David"/>
          <w:color w:val="auto"/>
          <w:sz w:val="24"/>
          <w:szCs w:val="24"/>
          <w:rtl/>
        </w:rPr>
      </w:pPr>
      <w:r w:rsidRPr="00F77E2E">
        <w:rPr>
          <w:rFonts w:ascii="David" w:hAnsi="David" w:cs="David"/>
          <w:color w:val="auto"/>
          <w:sz w:val="24"/>
          <w:szCs w:val="24"/>
          <w:rtl/>
        </w:rPr>
        <w:t>השפעת</w:t>
      </w:r>
      <w:r w:rsidR="00D82DC5" w:rsidRPr="00F77E2E">
        <w:rPr>
          <w:rFonts w:ascii="David" w:hAnsi="David" w:cs="David"/>
          <w:color w:val="auto"/>
          <w:sz w:val="24"/>
          <w:szCs w:val="24"/>
          <w:rtl/>
        </w:rPr>
        <w:t>ה של</w:t>
      </w:r>
      <w:r w:rsidRPr="00F77E2E">
        <w:rPr>
          <w:rFonts w:ascii="David" w:hAnsi="David" w:cs="David"/>
          <w:color w:val="auto"/>
          <w:sz w:val="24"/>
          <w:szCs w:val="24"/>
          <w:rtl/>
        </w:rPr>
        <w:t xml:space="preserve"> </w:t>
      </w:r>
      <w:r w:rsidR="007A634D" w:rsidRPr="00F77E2E">
        <w:rPr>
          <w:rFonts w:ascii="David" w:hAnsi="David" w:cs="David"/>
          <w:color w:val="auto"/>
          <w:sz w:val="24"/>
          <w:szCs w:val="24"/>
          <w:rtl/>
        </w:rPr>
        <w:t xml:space="preserve">נפילת </w:t>
      </w:r>
      <w:r w:rsidR="005D3184" w:rsidRPr="00F77E2E">
        <w:rPr>
          <w:rFonts w:ascii="David" w:hAnsi="David" w:cs="David"/>
          <w:color w:val="auto"/>
          <w:sz w:val="24"/>
          <w:szCs w:val="24"/>
          <w:rtl/>
        </w:rPr>
        <w:t>החברות "</w:t>
      </w:r>
      <w:proofErr w:type="spellStart"/>
      <w:r w:rsidR="00C00307" w:rsidRPr="00F77E2E">
        <w:rPr>
          <w:rFonts w:ascii="David" w:hAnsi="David" w:cs="David"/>
          <w:color w:val="auto"/>
          <w:sz w:val="24"/>
          <w:szCs w:val="24"/>
          <w:rtl/>
        </w:rPr>
        <w:t>יונט</w:t>
      </w:r>
      <w:proofErr w:type="spellEnd"/>
      <w:r w:rsidR="005D3184" w:rsidRPr="00F77E2E">
        <w:rPr>
          <w:rFonts w:ascii="David" w:hAnsi="David" w:cs="David"/>
          <w:color w:val="auto"/>
          <w:sz w:val="24"/>
          <w:szCs w:val="24"/>
          <w:rtl/>
        </w:rPr>
        <w:t xml:space="preserve"> קרדיט"</w:t>
      </w:r>
      <w:r w:rsidR="007A634D" w:rsidRPr="00F77E2E">
        <w:rPr>
          <w:rFonts w:ascii="David" w:hAnsi="David" w:cs="David"/>
          <w:color w:val="auto"/>
          <w:sz w:val="24"/>
          <w:szCs w:val="24"/>
          <w:rtl/>
        </w:rPr>
        <w:t xml:space="preserve"> ו</w:t>
      </w:r>
      <w:r w:rsidR="005D3184" w:rsidRPr="00F77E2E">
        <w:rPr>
          <w:rFonts w:ascii="David" w:hAnsi="David" w:cs="David"/>
          <w:color w:val="auto"/>
          <w:sz w:val="24"/>
          <w:szCs w:val="24"/>
          <w:rtl/>
        </w:rPr>
        <w:t>"</w:t>
      </w:r>
      <w:r w:rsidR="007A634D" w:rsidRPr="00F77E2E">
        <w:rPr>
          <w:rFonts w:ascii="David" w:hAnsi="David" w:cs="David"/>
          <w:color w:val="auto"/>
          <w:sz w:val="24"/>
          <w:szCs w:val="24"/>
          <w:rtl/>
        </w:rPr>
        <w:t>גיבוי</w:t>
      </w:r>
      <w:r w:rsidR="005D3184" w:rsidRPr="00F77E2E">
        <w:rPr>
          <w:rFonts w:ascii="David" w:hAnsi="David" w:cs="David"/>
          <w:color w:val="auto"/>
          <w:sz w:val="24"/>
          <w:szCs w:val="24"/>
          <w:rtl/>
        </w:rPr>
        <w:t xml:space="preserve"> אחזקות"</w:t>
      </w:r>
      <w:r w:rsidR="007A634D" w:rsidRPr="00F77E2E">
        <w:rPr>
          <w:rFonts w:ascii="David" w:hAnsi="David" w:cs="David"/>
          <w:color w:val="auto"/>
          <w:sz w:val="24"/>
          <w:szCs w:val="24"/>
          <w:rtl/>
        </w:rPr>
        <w:t xml:space="preserve"> על המתחרים</w:t>
      </w:r>
      <w:r w:rsidR="00524A87" w:rsidRPr="00F77E2E">
        <w:rPr>
          <w:rFonts w:ascii="David" w:hAnsi="David" w:cs="David"/>
          <w:color w:val="auto"/>
          <w:sz w:val="24"/>
          <w:szCs w:val="24"/>
          <w:rtl/>
        </w:rPr>
        <w:t xml:space="preserve"> – תוצאות האמידה</w:t>
      </w:r>
    </w:p>
    <w:p w:rsidR="0047206F" w:rsidRPr="00F77E2E" w:rsidRDefault="00F7014C" w:rsidP="00894B58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77E2E">
        <w:rPr>
          <w:rFonts w:ascii="David" w:hAnsi="David" w:cs="David"/>
          <w:sz w:val="24"/>
          <w:szCs w:val="24"/>
          <w:rtl/>
        </w:rPr>
        <w:t xml:space="preserve">לוח </w:t>
      </w:r>
      <w:r w:rsidR="008A1E2C" w:rsidRPr="00F77E2E">
        <w:rPr>
          <w:rFonts w:ascii="David" w:hAnsi="David" w:cs="David"/>
          <w:sz w:val="24"/>
          <w:szCs w:val="24"/>
          <w:rtl/>
        </w:rPr>
        <w:t xml:space="preserve">2 </w:t>
      </w:r>
      <w:r w:rsidR="0006181B" w:rsidRPr="00F77E2E">
        <w:rPr>
          <w:rFonts w:ascii="David" w:hAnsi="David" w:cs="David"/>
          <w:sz w:val="24"/>
          <w:szCs w:val="24"/>
          <w:rtl/>
        </w:rPr>
        <w:t>מציג</w:t>
      </w:r>
      <w:r w:rsidRPr="00F77E2E">
        <w:rPr>
          <w:rFonts w:ascii="David" w:hAnsi="David" w:cs="David"/>
          <w:sz w:val="24"/>
          <w:szCs w:val="24"/>
          <w:rtl/>
        </w:rPr>
        <w:t xml:space="preserve"> </w:t>
      </w:r>
      <w:r w:rsidR="0006181B" w:rsidRPr="00F77E2E">
        <w:rPr>
          <w:rFonts w:ascii="David" w:hAnsi="David" w:cs="David"/>
          <w:sz w:val="24"/>
          <w:szCs w:val="24"/>
          <w:rtl/>
        </w:rPr>
        <w:t xml:space="preserve">את תוצאות האמידה של משוואה (1) </w:t>
      </w:r>
      <w:r w:rsidRPr="00F77E2E">
        <w:rPr>
          <w:rFonts w:ascii="David" w:hAnsi="David" w:cs="David"/>
          <w:sz w:val="24"/>
          <w:szCs w:val="24"/>
          <w:rtl/>
        </w:rPr>
        <w:t>על</w:t>
      </w:r>
      <w:r w:rsidR="00A60BE4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D82DC5" w:rsidRPr="00F77E2E">
        <w:rPr>
          <w:rFonts w:ascii="David" w:hAnsi="David" w:cs="David"/>
          <w:sz w:val="24"/>
          <w:szCs w:val="24"/>
          <w:rtl/>
        </w:rPr>
        <w:t xml:space="preserve">פני </w:t>
      </w:r>
      <w:r w:rsidR="0006181B" w:rsidRPr="00F77E2E">
        <w:rPr>
          <w:rFonts w:ascii="David" w:hAnsi="David" w:cs="David"/>
          <w:sz w:val="24"/>
          <w:szCs w:val="24"/>
          <w:rtl/>
        </w:rPr>
        <w:t xml:space="preserve">תקופה של </w:t>
      </w:r>
      <w:r w:rsidR="00A134BA" w:rsidRPr="00F77E2E">
        <w:rPr>
          <w:rFonts w:ascii="David" w:hAnsi="David" w:cs="David"/>
          <w:sz w:val="24"/>
          <w:szCs w:val="24"/>
          <w:rtl/>
        </w:rPr>
        <w:t>246</w:t>
      </w:r>
      <w:r w:rsidR="0006181B" w:rsidRPr="00F77E2E">
        <w:rPr>
          <w:rFonts w:ascii="David" w:hAnsi="David" w:cs="David"/>
          <w:sz w:val="24"/>
          <w:szCs w:val="24"/>
          <w:rtl/>
        </w:rPr>
        <w:t xml:space="preserve"> ימי</w:t>
      </w:r>
      <w:r w:rsidR="00A134BA" w:rsidRPr="00F77E2E">
        <w:rPr>
          <w:rFonts w:ascii="David" w:hAnsi="David" w:cs="David"/>
          <w:sz w:val="24"/>
          <w:szCs w:val="24"/>
          <w:rtl/>
        </w:rPr>
        <w:t xml:space="preserve"> מסחר</w:t>
      </w:r>
      <w:r w:rsidR="00D82DC5" w:rsidRPr="00F77E2E">
        <w:rPr>
          <w:rFonts w:ascii="David" w:hAnsi="David" w:cs="David"/>
          <w:sz w:val="24"/>
          <w:szCs w:val="24"/>
          <w:rtl/>
        </w:rPr>
        <w:t>,</w:t>
      </w:r>
      <w:r w:rsidR="00A134BA" w:rsidRPr="00F77E2E">
        <w:rPr>
          <w:rFonts w:ascii="David" w:hAnsi="David" w:cs="David"/>
          <w:sz w:val="24"/>
          <w:szCs w:val="24"/>
          <w:rtl/>
        </w:rPr>
        <w:t xml:space="preserve"> מתחילת ספטמבר 2021 ועד סוף אוגוסט 2022</w:t>
      </w:r>
      <w:r w:rsidR="0006181B" w:rsidRPr="00F77E2E">
        <w:rPr>
          <w:rFonts w:ascii="David" w:hAnsi="David" w:cs="David"/>
          <w:sz w:val="24"/>
          <w:szCs w:val="24"/>
          <w:rtl/>
        </w:rPr>
        <w:t xml:space="preserve">. </w:t>
      </w:r>
      <w:r w:rsidRPr="00F77E2E">
        <w:rPr>
          <w:rFonts w:ascii="David" w:hAnsi="David" w:cs="David"/>
          <w:sz w:val="24"/>
          <w:szCs w:val="24"/>
          <w:rtl/>
        </w:rPr>
        <w:t xml:space="preserve">הלוח </w:t>
      </w:r>
      <w:r w:rsidR="004D58BA" w:rsidRPr="00F77E2E">
        <w:rPr>
          <w:rFonts w:ascii="David" w:hAnsi="David" w:cs="David"/>
          <w:sz w:val="24"/>
          <w:szCs w:val="24"/>
          <w:rtl/>
        </w:rPr>
        <w:t xml:space="preserve">מציג את </w:t>
      </w:r>
      <w:r w:rsidR="00D82DC5" w:rsidRPr="00F77E2E">
        <w:rPr>
          <w:rFonts w:ascii="David" w:hAnsi="David" w:cs="David"/>
          <w:sz w:val="24"/>
          <w:szCs w:val="24"/>
          <w:rtl/>
        </w:rPr>
        <w:t xml:space="preserve">השפעתם </w:t>
      </w:r>
      <w:r w:rsidR="004D58BA" w:rsidRPr="00F77E2E">
        <w:rPr>
          <w:rFonts w:ascii="David" w:hAnsi="David" w:cs="David"/>
          <w:sz w:val="24"/>
          <w:szCs w:val="24"/>
          <w:rtl/>
        </w:rPr>
        <w:t xml:space="preserve">של האירועים </w:t>
      </w:r>
      <w:r w:rsidR="00D82DC5" w:rsidRPr="00F77E2E">
        <w:rPr>
          <w:rFonts w:ascii="David" w:hAnsi="David" w:cs="David"/>
          <w:sz w:val="24"/>
          <w:szCs w:val="24"/>
          <w:rtl/>
        </w:rPr>
        <w:t xml:space="preserve">שהשליכו </w:t>
      </w:r>
      <w:r w:rsidR="004D58BA" w:rsidRPr="00F77E2E">
        <w:rPr>
          <w:rFonts w:ascii="David" w:hAnsi="David" w:cs="David"/>
          <w:sz w:val="24"/>
          <w:szCs w:val="24"/>
          <w:rtl/>
        </w:rPr>
        <w:t xml:space="preserve">על </w:t>
      </w:r>
      <w:r w:rsidR="00A134BA" w:rsidRPr="00F77E2E">
        <w:rPr>
          <w:rFonts w:ascii="David" w:hAnsi="David" w:cs="David"/>
          <w:sz w:val="24"/>
          <w:szCs w:val="24"/>
          <w:rtl/>
        </w:rPr>
        <w:t xml:space="preserve">גורלן של החברות </w:t>
      </w:r>
      <w:r w:rsidR="005D3184" w:rsidRPr="00F77E2E">
        <w:rPr>
          <w:rFonts w:ascii="David" w:hAnsi="David" w:cs="David"/>
          <w:sz w:val="24"/>
          <w:szCs w:val="24"/>
          <w:rtl/>
        </w:rPr>
        <w:t xml:space="preserve">"גיבוי אחזקות" </w:t>
      </w:r>
      <w:proofErr w:type="spellStart"/>
      <w:r w:rsidR="005D3184" w:rsidRPr="00F77E2E">
        <w:rPr>
          <w:rFonts w:ascii="David" w:hAnsi="David" w:cs="David"/>
          <w:sz w:val="24"/>
          <w:szCs w:val="24"/>
          <w:rtl/>
        </w:rPr>
        <w:t>ו"יונט</w:t>
      </w:r>
      <w:proofErr w:type="spellEnd"/>
      <w:r w:rsidR="005D3184" w:rsidRPr="00F77E2E">
        <w:rPr>
          <w:rFonts w:ascii="David" w:hAnsi="David" w:cs="David"/>
          <w:sz w:val="24"/>
          <w:szCs w:val="24"/>
          <w:rtl/>
        </w:rPr>
        <w:t xml:space="preserve"> קרדיט"</w:t>
      </w:r>
      <w:r w:rsidR="004D58BA" w:rsidRPr="00F77E2E">
        <w:rPr>
          <w:rFonts w:ascii="David" w:hAnsi="David" w:cs="David"/>
          <w:sz w:val="24"/>
          <w:szCs w:val="24"/>
          <w:rtl/>
        </w:rPr>
        <w:t xml:space="preserve"> על </w:t>
      </w:r>
      <w:r w:rsidRPr="00F77E2E">
        <w:rPr>
          <w:rFonts w:ascii="David" w:hAnsi="David" w:cs="David"/>
          <w:sz w:val="24"/>
          <w:szCs w:val="24"/>
          <w:rtl/>
        </w:rPr>
        <w:t xml:space="preserve">תשואת התיק </w:t>
      </w:r>
      <w:r w:rsidR="004D58BA" w:rsidRPr="00F77E2E">
        <w:rPr>
          <w:rFonts w:ascii="David" w:hAnsi="David" w:cs="David"/>
          <w:sz w:val="24"/>
          <w:szCs w:val="24"/>
          <w:rtl/>
        </w:rPr>
        <w:t xml:space="preserve">הממוצע של </w:t>
      </w:r>
      <w:r w:rsidR="00A134BA" w:rsidRPr="00F77E2E">
        <w:rPr>
          <w:rFonts w:ascii="David" w:hAnsi="David" w:cs="David"/>
          <w:sz w:val="24"/>
          <w:szCs w:val="24"/>
          <w:rtl/>
        </w:rPr>
        <w:t>חברות האשראי ה</w:t>
      </w:r>
      <w:r w:rsidR="000D4A1A" w:rsidRPr="00F77E2E">
        <w:rPr>
          <w:rFonts w:ascii="David" w:hAnsi="David" w:cs="David"/>
          <w:sz w:val="24"/>
          <w:szCs w:val="24"/>
          <w:rtl/>
        </w:rPr>
        <w:t>חוץ-ב</w:t>
      </w:r>
      <w:r w:rsidR="00A134BA" w:rsidRPr="00F77E2E">
        <w:rPr>
          <w:rFonts w:ascii="David" w:hAnsi="David" w:cs="David"/>
          <w:sz w:val="24"/>
          <w:szCs w:val="24"/>
          <w:rtl/>
        </w:rPr>
        <w:t xml:space="preserve">נקאי </w:t>
      </w:r>
      <w:r w:rsidR="008118CB" w:rsidRPr="00F77E2E">
        <w:rPr>
          <w:rFonts w:ascii="David" w:hAnsi="David" w:cs="David"/>
          <w:sz w:val="24"/>
          <w:szCs w:val="24"/>
          <w:rtl/>
        </w:rPr>
        <w:t>המתחרות</w:t>
      </w:r>
      <w:r w:rsidR="004D58BA" w:rsidRPr="00F77E2E">
        <w:rPr>
          <w:rFonts w:ascii="David" w:hAnsi="David" w:cs="David"/>
          <w:sz w:val="24"/>
          <w:szCs w:val="24"/>
          <w:rtl/>
        </w:rPr>
        <w:t>.</w:t>
      </w:r>
      <w:r w:rsidR="008A1E2C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5969B8" w:rsidRPr="00F77E2E">
        <w:rPr>
          <w:rFonts w:ascii="David" w:hAnsi="David" w:cs="David"/>
          <w:sz w:val="24"/>
          <w:szCs w:val="24"/>
          <w:rtl/>
        </w:rPr>
        <w:t>מ</w:t>
      </w:r>
      <w:r w:rsidR="008A1E2C" w:rsidRPr="00F77E2E">
        <w:rPr>
          <w:rFonts w:ascii="David" w:hAnsi="David" w:cs="David"/>
          <w:sz w:val="24"/>
          <w:szCs w:val="24"/>
          <w:rtl/>
        </w:rPr>
        <w:t>ה</w:t>
      </w:r>
      <w:r w:rsidR="005969B8" w:rsidRPr="00F77E2E">
        <w:rPr>
          <w:rFonts w:ascii="David" w:hAnsi="David" w:cs="David"/>
          <w:sz w:val="24"/>
          <w:szCs w:val="24"/>
          <w:rtl/>
        </w:rPr>
        <w:t>לוח</w:t>
      </w:r>
      <w:r w:rsidR="00CF5187" w:rsidRPr="00F77E2E">
        <w:rPr>
          <w:rFonts w:ascii="David" w:hAnsi="David" w:cs="David"/>
          <w:sz w:val="24"/>
          <w:szCs w:val="24"/>
          <w:rtl/>
        </w:rPr>
        <w:t xml:space="preserve"> ע</w:t>
      </w:r>
      <w:r w:rsidR="004D58BA" w:rsidRPr="00F77E2E">
        <w:rPr>
          <w:rFonts w:ascii="David" w:hAnsi="David" w:cs="David"/>
          <w:sz w:val="24"/>
          <w:szCs w:val="24"/>
          <w:rtl/>
        </w:rPr>
        <w:t xml:space="preserve">ולה בבירור </w:t>
      </w:r>
      <w:r w:rsidR="00FA3E3B" w:rsidRPr="00F77E2E">
        <w:rPr>
          <w:rFonts w:ascii="David" w:hAnsi="David" w:cs="David"/>
          <w:sz w:val="24"/>
          <w:szCs w:val="24"/>
          <w:rtl/>
        </w:rPr>
        <w:t>של</w:t>
      </w:r>
      <w:r w:rsidR="00BD74F3" w:rsidRPr="00F77E2E">
        <w:rPr>
          <w:rFonts w:ascii="David" w:hAnsi="David" w:cs="David"/>
          <w:sz w:val="24"/>
          <w:szCs w:val="24"/>
          <w:rtl/>
        </w:rPr>
        <w:t>אירועים החמורים</w:t>
      </w:r>
      <w:r w:rsidR="00F933A8" w:rsidRPr="00F77E2E">
        <w:rPr>
          <w:rFonts w:ascii="David" w:hAnsi="David" w:cs="David"/>
          <w:sz w:val="24"/>
          <w:szCs w:val="24"/>
          <w:rtl/>
        </w:rPr>
        <w:t xml:space="preserve"> ב</w:t>
      </w:r>
      <w:r w:rsidR="005D3184" w:rsidRPr="00F77E2E">
        <w:rPr>
          <w:rFonts w:ascii="David" w:hAnsi="David" w:cs="David"/>
          <w:sz w:val="24"/>
          <w:szCs w:val="24"/>
          <w:rtl/>
        </w:rPr>
        <w:t xml:space="preserve">חברות "גיבוי אחזקות" </w:t>
      </w:r>
      <w:proofErr w:type="spellStart"/>
      <w:r w:rsidR="005D3184" w:rsidRPr="00F77E2E">
        <w:rPr>
          <w:rFonts w:ascii="David" w:hAnsi="David" w:cs="David"/>
          <w:sz w:val="24"/>
          <w:szCs w:val="24"/>
          <w:rtl/>
        </w:rPr>
        <w:t>ו"יונט</w:t>
      </w:r>
      <w:proofErr w:type="spellEnd"/>
      <w:r w:rsidR="005D3184" w:rsidRPr="00F77E2E">
        <w:rPr>
          <w:rFonts w:ascii="David" w:hAnsi="David" w:cs="David"/>
          <w:sz w:val="24"/>
          <w:szCs w:val="24"/>
          <w:rtl/>
        </w:rPr>
        <w:t xml:space="preserve"> קרדיט" </w:t>
      </w:r>
      <w:r w:rsidR="00BD74F3" w:rsidRPr="00F77E2E">
        <w:rPr>
          <w:rFonts w:ascii="David" w:hAnsi="David" w:cs="David"/>
          <w:sz w:val="24"/>
          <w:szCs w:val="24"/>
          <w:rtl/>
        </w:rPr>
        <w:t>לא הייתה השפעה מובהקת סטטיסטית</w:t>
      </w:r>
      <w:r w:rsidR="008A1E2C" w:rsidRPr="00F77E2E">
        <w:rPr>
          <w:rFonts w:ascii="David" w:hAnsi="David" w:cs="David"/>
          <w:sz w:val="24"/>
          <w:szCs w:val="24"/>
          <w:rtl/>
        </w:rPr>
        <w:t xml:space="preserve"> או כלכלית</w:t>
      </w:r>
      <w:r w:rsidR="00BD74F3" w:rsidRPr="00F77E2E">
        <w:rPr>
          <w:rFonts w:ascii="David" w:hAnsi="David" w:cs="David"/>
          <w:sz w:val="24"/>
          <w:szCs w:val="24"/>
          <w:rtl/>
        </w:rPr>
        <w:t xml:space="preserve"> על </w:t>
      </w:r>
      <w:r w:rsidR="008118CB" w:rsidRPr="00F77E2E">
        <w:rPr>
          <w:rFonts w:ascii="David" w:hAnsi="David" w:cs="David"/>
          <w:sz w:val="24"/>
          <w:szCs w:val="24"/>
          <w:rtl/>
        </w:rPr>
        <w:t>ה</w:t>
      </w:r>
      <w:r w:rsidR="00BD74F3" w:rsidRPr="00F77E2E">
        <w:rPr>
          <w:rFonts w:ascii="David" w:hAnsi="David" w:cs="David"/>
          <w:sz w:val="24"/>
          <w:szCs w:val="24"/>
          <w:rtl/>
        </w:rPr>
        <w:t>מניות</w:t>
      </w:r>
      <w:r w:rsidR="008118CB" w:rsidRPr="00F77E2E">
        <w:rPr>
          <w:rFonts w:ascii="David" w:hAnsi="David" w:cs="David"/>
          <w:sz w:val="24"/>
          <w:szCs w:val="24"/>
          <w:rtl/>
        </w:rPr>
        <w:t xml:space="preserve"> של</w:t>
      </w:r>
      <w:r w:rsidR="00BD74F3" w:rsidRPr="00F77E2E">
        <w:rPr>
          <w:rFonts w:ascii="David" w:hAnsi="David" w:cs="David"/>
          <w:sz w:val="24"/>
          <w:szCs w:val="24"/>
          <w:rtl/>
        </w:rPr>
        <w:t xml:space="preserve"> חברות האשראי ה</w:t>
      </w:r>
      <w:r w:rsidR="000D4A1A" w:rsidRPr="00F77E2E">
        <w:rPr>
          <w:rFonts w:ascii="David" w:hAnsi="David" w:cs="David"/>
          <w:sz w:val="24"/>
          <w:szCs w:val="24"/>
          <w:rtl/>
        </w:rPr>
        <w:t>חוץ-ב</w:t>
      </w:r>
      <w:r w:rsidR="00BD74F3" w:rsidRPr="00F77E2E">
        <w:rPr>
          <w:rFonts w:ascii="David" w:hAnsi="David" w:cs="David"/>
          <w:sz w:val="24"/>
          <w:szCs w:val="24"/>
          <w:rtl/>
        </w:rPr>
        <w:t>נקאי המתחרות</w:t>
      </w:r>
      <w:r w:rsidR="00FA3E3B" w:rsidRPr="00F77E2E">
        <w:rPr>
          <w:rFonts w:ascii="David" w:hAnsi="David" w:cs="David"/>
          <w:sz w:val="24"/>
          <w:szCs w:val="24"/>
          <w:rtl/>
        </w:rPr>
        <w:t xml:space="preserve">, באף אחת מן </w:t>
      </w:r>
      <w:proofErr w:type="spellStart"/>
      <w:r w:rsidR="00FA3E3B" w:rsidRPr="00F77E2E">
        <w:rPr>
          <w:rFonts w:ascii="David" w:hAnsi="David" w:cs="David"/>
          <w:sz w:val="24"/>
          <w:szCs w:val="24"/>
          <w:rtl/>
        </w:rPr>
        <w:t>הספסיפיקציות</w:t>
      </w:r>
      <w:proofErr w:type="spellEnd"/>
      <w:r w:rsidR="00FA3E3B" w:rsidRPr="00F77E2E">
        <w:rPr>
          <w:rFonts w:ascii="David" w:hAnsi="David" w:cs="David"/>
          <w:sz w:val="24"/>
          <w:szCs w:val="24"/>
          <w:rtl/>
        </w:rPr>
        <w:t xml:space="preserve"> שנבחנו</w:t>
      </w:r>
      <w:r w:rsidR="008A1E2C" w:rsidRPr="00F77E2E">
        <w:rPr>
          <w:rStyle w:val="ac"/>
          <w:rFonts w:ascii="David" w:hAnsi="David" w:cs="David"/>
          <w:sz w:val="24"/>
          <w:szCs w:val="24"/>
          <w:rtl/>
        </w:rPr>
        <w:footnoteReference w:id="23"/>
      </w:r>
      <w:r w:rsidR="00BD74F3" w:rsidRPr="00F77E2E">
        <w:rPr>
          <w:rFonts w:ascii="David" w:hAnsi="David" w:cs="David"/>
          <w:sz w:val="24"/>
          <w:szCs w:val="24"/>
          <w:rtl/>
        </w:rPr>
        <w:t>.</w:t>
      </w:r>
      <w:r w:rsidR="004D58BA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BD74F3" w:rsidRPr="00F77E2E">
        <w:rPr>
          <w:rFonts w:ascii="David" w:hAnsi="David" w:cs="David"/>
          <w:sz w:val="24"/>
          <w:szCs w:val="24"/>
          <w:rtl/>
        </w:rPr>
        <w:t>שאר המקדמים הם בכיוון הצפוי ובפרט מניות חברות האשראי החוץ-בנקאי מתואמות מאוד עם מדד המניות הראשי ת"א 125</w:t>
      </w:r>
      <w:r w:rsidR="008A1E2C" w:rsidRPr="00F77E2E">
        <w:rPr>
          <w:rFonts w:ascii="David" w:hAnsi="David" w:cs="David"/>
          <w:sz w:val="24"/>
          <w:szCs w:val="24"/>
          <w:rtl/>
        </w:rPr>
        <w:t>.</w:t>
      </w:r>
      <w:r w:rsidR="0047206F" w:rsidRPr="00F77E2E">
        <w:rPr>
          <w:rFonts w:ascii="David" w:hAnsi="David" w:cs="David"/>
          <w:sz w:val="24"/>
          <w:szCs w:val="24"/>
          <w:rtl/>
        </w:rPr>
        <w:t xml:space="preserve"> לצד זאת, מההשוואה בין </w:t>
      </w:r>
      <w:proofErr w:type="spellStart"/>
      <w:r w:rsidR="00FA3E3B" w:rsidRPr="00F77E2E">
        <w:rPr>
          <w:rFonts w:ascii="David" w:hAnsi="David" w:cs="David"/>
          <w:sz w:val="24"/>
          <w:szCs w:val="24"/>
          <w:rtl/>
        </w:rPr>
        <w:t>הספסיפיקציות</w:t>
      </w:r>
      <w:proofErr w:type="spellEnd"/>
      <w:r w:rsidR="00F933A8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47206F" w:rsidRPr="00F77E2E">
        <w:rPr>
          <w:rFonts w:ascii="David" w:hAnsi="David" w:cs="David"/>
          <w:sz w:val="24"/>
          <w:szCs w:val="24"/>
          <w:rtl/>
        </w:rPr>
        <w:t>השונ</w:t>
      </w:r>
      <w:r w:rsidR="00FA3E3B" w:rsidRPr="00F77E2E">
        <w:rPr>
          <w:rFonts w:ascii="David" w:hAnsi="David" w:cs="David"/>
          <w:sz w:val="24"/>
          <w:szCs w:val="24"/>
          <w:rtl/>
        </w:rPr>
        <w:t>ות</w:t>
      </w:r>
      <w:r w:rsidR="0047206F" w:rsidRPr="00F77E2E">
        <w:rPr>
          <w:rFonts w:ascii="David" w:hAnsi="David" w:cs="David"/>
          <w:sz w:val="24"/>
          <w:szCs w:val="24"/>
          <w:rtl/>
        </w:rPr>
        <w:t xml:space="preserve"> עולה שהאירועים השליליים ב</w:t>
      </w:r>
      <w:r w:rsidR="005D3184" w:rsidRPr="00F77E2E">
        <w:rPr>
          <w:rFonts w:ascii="David" w:hAnsi="David" w:cs="David"/>
          <w:sz w:val="24"/>
          <w:szCs w:val="24"/>
          <w:rtl/>
        </w:rPr>
        <w:t xml:space="preserve">חברות "גיבוי אחזקות" </w:t>
      </w:r>
      <w:proofErr w:type="spellStart"/>
      <w:r w:rsidR="005D3184" w:rsidRPr="00F77E2E">
        <w:rPr>
          <w:rFonts w:ascii="David" w:hAnsi="David" w:cs="David"/>
          <w:sz w:val="24"/>
          <w:szCs w:val="24"/>
          <w:rtl/>
        </w:rPr>
        <w:t>ו"יונט</w:t>
      </w:r>
      <w:proofErr w:type="spellEnd"/>
      <w:r w:rsidR="005D3184" w:rsidRPr="00F77E2E">
        <w:rPr>
          <w:rFonts w:ascii="David" w:hAnsi="David" w:cs="David"/>
          <w:sz w:val="24"/>
          <w:szCs w:val="24"/>
          <w:rtl/>
        </w:rPr>
        <w:t xml:space="preserve"> קרדיט" </w:t>
      </w:r>
      <w:r w:rsidR="0047206F" w:rsidRPr="00F77E2E">
        <w:rPr>
          <w:rFonts w:ascii="David" w:hAnsi="David" w:cs="David"/>
          <w:sz w:val="24"/>
          <w:szCs w:val="24"/>
          <w:rtl/>
        </w:rPr>
        <w:t xml:space="preserve">נטו להשפיע בצורה שלילית על </w:t>
      </w:r>
      <w:r w:rsidR="0047206F" w:rsidRPr="00F77E2E">
        <w:rPr>
          <w:rFonts w:ascii="David" w:hAnsi="David" w:cs="David"/>
          <w:sz w:val="24"/>
          <w:szCs w:val="24"/>
          <w:rtl/>
        </w:rPr>
        <w:lastRenderedPageBreak/>
        <w:t>המתחרות הקטנות שלהן (כפי שעולה מהשימוש בממוצע הפשוט בטורים 2 ו-4), אך בצורה חיובית על המתחרות הגדולות יותר (כפי שעולה מהשימוש בממוצע המשוקלל בטורים 1 ו-3)</w:t>
      </w:r>
      <w:r w:rsidR="0047206F" w:rsidRPr="00F77E2E">
        <w:rPr>
          <w:rStyle w:val="ac"/>
          <w:rFonts w:ascii="David" w:hAnsi="David" w:cs="David"/>
          <w:sz w:val="24"/>
          <w:szCs w:val="24"/>
          <w:rtl/>
        </w:rPr>
        <w:footnoteReference w:id="24"/>
      </w:r>
      <w:r w:rsidR="008118CB" w:rsidRPr="00F77E2E">
        <w:rPr>
          <w:rFonts w:ascii="David" w:hAnsi="David" w:cs="David"/>
          <w:sz w:val="24"/>
          <w:szCs w:val="24"/>
          <w:rtl/>
        </w:rPr>
        <w:t>.</w:t>
      </w:r>
      <w:r w:rsidR="0047206F" w:rsidRPr="00F77E2E">
        <w:rPr>
          <w:rFonts w:ascii="David" w:hAnsi="David" w:cs="David"/>
          <w:sz w:val="24"/>
          <w:szCs w:val="24"/>
          <w:rtl/>
        </w:rPr>
        <w:t xml:space="preserve"> הבדלים אלה עשויים ללמד </w:t>
      </w:r>
      <w:r w:rsidR="000D788C" w:rsidRPr="00F77E2E">
        <w:rPr>
          <w:rFonts w:ascii="David" w:hAnsi="David" w:cs="David"/>
          <w:sz w:val="24"/>
          <w:szCs w:val="24"/>
          <w:rtl/>
        </w:rPr>
        <w:t>שההתמוטטות</w:t>
      </w:r>
      <w:r w:rsidR="005D3184" w:rsidRPr="00F77E2E">
        <w:rPr>
          <w:rFonts w:ascii="David" w:hAnsi="David" w:cs="David"/>
          <w:sz w:val="24"/>
          <w:szCs w:val="24"/>
          <w:rtl/>
        </w:rPr>
        <w:t xml:space="preserve"> החברות "גיבוי אחזקות" </w:t>
      </w:r>
      <w:proofErr w:type="spellStart"/>
      <w:r w:rsidR="005D3184" w:rsidRPr="00F77E2E">
        <w:rPr>
          <w:rFonts w:ascii="David" w:hAnsi="David" w:cs="David"/>
          <w:sz w:val="24"/>
          <w:szCs w:val="24"/>
          <w:rtl/>
        </w:rPr>
        <w:t>ו"יונט</w:t>
      </w:r>
      <w:proofErr w:type="spellEnd"/>
      <w:r w:rsidR="005D3184" w:rsidRPr="00F77E2E">
        <w:rPr>
          <w:rFonts w:ascii="David" w:hAnsi="David" w:cs="David"/>
          <w:sz w:val="24"/>
          <w:szCs w:val="24"/>
          <w:rtl/>
        </w:rPr>
        <w:t xml:space="preserve"> קרדיט" </w:t>
      </w:r>
      <w:r w:rsidR="008118CB" w:rsidRPr="00F77E2E">
        <w:rPr>
          <w:rFonts w:ascii="David" w:hAnsi="David" w:cs="David"/>
          <w:sz w:val="24"/>
          <w:szCs w:val="24"/>
          <w:rtl/>
        </w:rPr>
        <w:t>א</w:t>
      </w:r>
      <w:r w:rsidR="0047206F" w:rsidRPr="00F77E2E">
        <w:rPr>
          <w:rFonts w:ascii="David" w:hAnsi="David" w:cs="David"/>
          <w:sz w:val="24"/>
          <w:szCs w:val="24"/>
          <w:rtl/>
        </w:rPr>
        <w:t xml:space="preserve">כן </w:t>
      </w:r>
      <w:r w:rsidR="000D788C" w:rsidRPr="00F77E2E">
        <w:rPr>
          <w:rFonts w:ascii="David" w:hAnsi="David" w:cs="David"/>
          <w:sz w:val="24"/>
          <w:szCs w:val="24"/>
          <w:rtl/>
        </w:rPr>
        <w:t xml:space="preserve">העלו </w:t>
      </w:r>
      <w:r w:rsidR="0047206F" w:rsidRPr="00F77E2E">
        <w:rPr>
          <w:rFonts w:ascii="David" w:hAnsi="David" w:cs="David"/>
          <w:sz w:val="24"/>
          <w:szCs w:val="24"/>
          <w:rtl/>
        </w:rPr>
        <w:t>במידה מתונה את החששות ליציבות</w:t>
      </w:r>
      <w:r w:rsidR="008118CB" w:rsidRPr="00F77E2E">
        <w:rPr>
          <w:rFonts w:ascii="David" w:hAnsi="David" w:cs="David"/>
          <w:sz w:val="24"/>
          <w:szCs w:val="24"/>
          <w:rtl/>
        </w:rPr>
        <w:t>ן של</w:t>
      </w:r>
      <w:r w:rsidR="0047206F" w:rsidRPr="00F77E2E">
        <w:rPr>
          <w:rFonts w:ascii="David" w:hAnsi="David" w:cs="David"/>
          <w:sz w:val="24"/>
          <w:szCs w:val="24"/>
          <w:rtl/>
        </w:rPr>
        <w:t xml:space="preserve"> חברות האשראי ה</w:t>
      </w:r>
      <w:r w:rsidR="000D4A1A" w:rsidRPr="00F77E2E">
        <w:rPr>
          <w:rFonts w:ascii="David" w:hAnsi="David" w:cs="David"/>
          <w:sz w:val="24"/>
          <w:szCs w:val="24"/>
          <w:rtl/>
        </w:rPr>
        <w:t>חוץ-ב</w:t>
      </w:r>
      <w:r w:rsidR="0047206F" w:rsidRPr="00F77E2E">
        <w:rPr>
          <w:rFonts w:ascii="David" w:hAnsi="David" w:cs="David"/>
          <w:sz w:val="24"/>
          <w:szCs w:val="24"/>
          <w:rtl/>
        </w:rPr>
        <w:t>נקאי הקטנות, בעוד שהמשקיעים לא חששו ליציבות</w:t>
      </w:r>
      <w:r w:rsidR="008118CB" w:rsidRPr="00F77E2E">
        <w:rPr>
          <w:rFonts w:ascii="David" w:hAnsi="David" w:cs="David"/>
          <w:sz w:val="24"/>
          <w:szCs w:val="24"/>
          <w:rtl/>
        </w:rPr>
        <w:t>ן של</w:t>
      </w:r>
      <w:r w:rsidR="0047206F" w:rsidRPr="00F77E2E">
        <w:rPr>
          <w:rFonts w:ascii="David" w:hAnsi="David" w:cs="David"/>
          <w:sz w:val="24"/>
          <w:szCs w:val="24"/>
          <w:rtl/>
        </w:rPr>
        <w:t xml:space="preserve"> החברות הגדולות יותר בענף</w:t>
      </w:r>
      <w:r w:rsidR="008B143F" w:rsidRPr="00F77E2E">
        <w:rPr>
          <w:rFonts w:ascii="David" w:hAnsi="David" w:cs="David"/>
          <w:sz w:val="24"/>
          <w:szCs w:val="24"/>
          <w:rtl/>
        </w:rPr>
        <w:t xml:space="preserve">. ייתכן שהם </w:t>
      </w:r>
      <w:r w:rsidR="0047206F" w:rsidRPr="00F77E2E">
        <w:rPr>
          <w:rFonts w:ascii="David" w:hAnsi="David" w:cs="David"/>
          <w:sz w:val="24"/>
          <w:szCs w:val="24"/>
          <w:rtl/>
        </w:rPr>
        <w:t>אף העריכו כי הן י</w:t>
      </w:r>
      <w:r w:rsidR="00567660" w:rsidRPr="00F77E2E">
        <w:rPr>
          <w:rFonts w:ascii="David" w:hAnsi="David" w:cs="David"/>
          <w:sz w:val="24"/>
          <w:szCs w:val="24"/>
          <w:rtl/>
        </w:rPr>
        <w:t>י</w:t>
      </w:r>
      <w:r w:rsidR="0047206F" w:rsidRPr="00F77E2E">
        <w:rPr>
          <w:rFonts w:ascii="David" w:hAnsi="David" w:cs="David"/>
          <w:sz w:val="24"/>
          <w:szCs w:val="24"/>
          <w:rtl/>
        </w:rPr>
        <w:t xml:space="preserve">הנו במידה מתונה מהירידה ברמת התחרות ו/או מהחמרת דרישות </w:t>
      </w:r>
      <w:r w:rsidR="008118CB" w:rsidRPr="00F77E2E">
        <w:rPr>
          <w:rFonts w:ascii="David" w:hAnsi="David" w:cs="David"/>
          <w:sz w:val="24"/>
          <w:szCs w:val="24"/>
          <w:rtl/>
        </w:rPr>
        <w:t xml:space="preserve">האסדרה </w:t>
      </w:r>
      <w:r w:rsidR="0047206F" w:rsidRPr="00F77E2E">
        <w:rPr>
          <w:rFonts w:ascii="David" w:hAnsi="David" w:cs="David"/>
          <w:sz w:val="24"/>
          <w:szCs w:val="24"/>
          <w:rtl/>
        </w:rPr>
        <w:t>בענף.</w:t>
      </w:r>
    </w:p>
    <w:p w:rsidR="00193002" w:rsidRPr="00F77E2E" w:rsidDel="00193002" w:rsidRDefault="00CF5187" w:rsidP="008118CB">
      <w:pPr>
        <w:pStyle w:val="ae"/>
        <w:keepNext/>
        <w:bidi/>
        <w:spacing w:line="360" w:lineRule="auto"/>
        <w:jc w:val="center"/>
        <w:rPr>
          <w:rFonts w:ascii="David" w:hAnsi="David" w:cs="David"/>
          <w:i w:val="0"/>
          <w:iCs w:val="0"/>
          <w:noProof/>
          <w:color w:val="auto"/>
          <w:sz w:val="24"/>
          <w:szCs w:val="24"/>
          <w:rtl/>
        </w:rPr>
      </w:pPr>
      <w:r w:rsidRPr="00F77E2E">
        <w:rPr>
          <w:rFonts w:ascii="David" w:hAnsi="David" w:cs="David"/>
          <w:i w:val="0"/>
          <w:iCs w:val="0"/>
          <w:color w:val="auto"/>
          <w:sz w:val="24"/>
          <w:szCs w:val="24"/>
          <w:rtl/>
        </w:rPr>
        <w:t xml:space="preserve">לוח </w:t>
      </w:r>
      <w:r w:rsidRPr="00F77E2E">
        <w:rPr>
          <w:rFonts w:ascii="David" w:hAnsi="David" w:cs="David"/>
          <w:i w:val="0"/>
          <w:iCs w:val="0"/>
          <w:noProof/>
          <w:color w:val="auto"/>
          <w:sz w:val="24"/>
          <w:szCs w:val="24"/>
        </w:rPr>
        <w:t>2</w:t>
      </w:r>
      <w:r w:rsidRPr="00F77E2E">
        <w:rPr>
          <w:rFonts w:ascii="David" w:hAnsi="David" w:cs="David"/>
          <w:i w:val="0"/>
          <w:iCs w:val="0"/>
          <w:noProof/>
          <w:color w:val="auto"/>
          <w:sz w:val="24"/>
          <w:szCs w:val="24"/>
          <w:rtl/>
        </w:rPr>
        <w:t>: הקשר בין האירועים ב</w:t>
      </w:r>
      <w:r w:rsidR="005D3184" w:rsidRPr="00F77E2E">
        <w:rPr>
          <w:rFonts w:ascii="David" w:hAnsi="David" w:cs="David"/>
          <w:i w:val="0"/>
          <w:iCs w:val="0"/>
          <w:noProof/>
          <w:color w:val="auto"/>
          <w:sz w:val="24"/>
          <w:szCs w:val="24"/>
          <w:rtl/>
        </w:rPr>
        <w:t>חברות "</w:t>
      </w:r>
      <w:r w:rsidRPr="00F77E2E">
        <w:rPr>
          <w:rFonts w:ascii="David" w:hAnsi="David" w:cs="David"/>
          <w:i w:val="0"/>
          <w:iCs w:val="0"/>
          <w:noProof/>
          <w:color w:val="auto"/>
          <w:sz w:val="24"/>
          <w:szCs w:val="24"/>
          <w:rtl/>
        </w:rPr>
        <w:t>יונט</w:t>
      </w:r>
      <w:r w:rsidR="005D3184" w:rsidRPr="00F77E2E">
        <w:rPr>
          <w:rFonts w:ascii="David" w:hAnsi="David" w:cs="David"/>
          <w:i w:val="0"/>
          <w:iCs w:val="0"/>
          <w:noProof/>
          <w:color w:val="auto"/>
          <w:sz w:val="24"/>
          <w:szCs w:val="24"/>
          <w:rtl/>
        </w:rPr>
        <w:t xml:space="preserve"> קרדיט</w:t>
      </w:r>
      <w:r w:rsidRPr="00F77E2E">
        <w:rPr>
          <w:rFonts w:ascii="David" w:hAnsi="David" w:cs="David"/>
          <w:i w:val="0"/>
          <w:iCs w:val="0"/>
          <w:noProof/>
          <w:color w:val="auto"/>
          <w:sz w:val="24"/>
          <w:szCs w:val="24"/>
          <w:rtl/>
        </w:rPr>
        <w:t xml:space="preserve"> ו</w:t>
      </w:r>
      <w:r w:rsidR="005D3184" w:rsidRPr="00F77E2E">
        <w:rPr>
          <w:rFonts w:ascii="David" w:hAnsi="David" w:cs="David"/>
          <w:i w:val="0"/>
          <w:iCs w:val="0"/>
          <w:noProof/>
          <w:color w:val="auto"/>
          <w:sz w:val="24"/>
          <w:szCs w:val="24"/>
          <w:rtl/>
        </w:rPr>
        <w:t>"</w:t>
      </w:r>
      <w:r w:rsidRPr="00F77E2E">
        <w:rPr>
          <w:rFonts w:ascii="David" w:hAnsi="David" w:cs="David"/>
          <w:i w:val="0"/>
          <w:iCs w:val="0"/>
          <w:noProof/>
          <w:color w:val="auto"/>
          <w:sz w:val="24"/>
          <w:szCs w:val="24"/>
          <w:rtl/>
        </w:rPr>
        <w:t>גיבוי</w:t>
      </w:r>
      <w:r w:rsidR="005D3184" w:rsidRPr="00F77E2E">
        <w:rPr>
          <w:rFonts w:ascii="David" w:hAnsi="David" w:cs="David"/>
          <w:i w:val="0"/>
          <w:iCs w:val="0"/>
          <w:noProof/>
          <w:color w:val="auto"/>
          <w:sz w:val="24"/>
          <w:szCs w:val="24"/>
          <w:rtl/>
        </w:rPr>
        <w:t xml:space="preserve"> אחזקות"</w:t>
      </w:r>
      <w:r w:rsidRPr="00F77E2E">
        <w:rPr>
          <w:rFonts w:ascii="David" w:hAnsi="David" w:cs="David"/>
          <w:i w:val="0"/>
          <w:iCs w:val="0"/>
          <w:noProof/>
          <w:color w:val="auto"/>
          <w:sz w:val="24"/>
          <w:szCs w:val="24"/>
          <w:rtl/>
        </w:rPr>
        <w:t xml:space="preserve"> ל</w:t>
      </w:r>
      <w:r w:rsidR="008118CB" w:rsidRPr="00F77E2E">
        <w:rPr>
          <w:rFonts w:ascii="David" w:hAnsi="David" w:cs="David"/>
          <w:i w:val="0"/>
          <w:iCs w:val="0"/>
          <w:noProof/>
          <w:color w:val="auto"/>
          <w:sz w:val="24"/>
          <w:szCs w:val="24"/>
          <w:rtl/>
        </w:rPr>
        <w:t xml:space="preserve">בין </w:t>
      </w:r>
      <w:r w:rsidRPr="00F77E2E">
        <w:rPr>
          <w:rFonts w:ascii="David" w:hAnsi="David" w:cs="David"/>
          <w:i w:val="0"/>
          <w:iCs w:val="0"/>
          <w:noProof/>
          <w:color w:val="auto"/>
          <w:sz w:val="24"/>
          <w:szCs w:val="24"/>
          <w:rtl/>
        </w:rPr>
        <w:t>תשואת המניות של החברות המתחרות (%)</w:t>
      </w:r>
    </w:p>
    <w:tbl>
      <w:tblPr>
        <w:bidiVisual/>
        <w:tblW w:w="6020" w:type="dxa"/>
        <w:tblInd w:w="1356" w:type="dxa"/>
        <w:tblLook w:val="04A0" w:firstRow="1" w:lastRow="0" w:firstColumn="1" w:lastColumn="0" w:noHBand="0" w:noVBand="1"/>
      </w:tblPr>
      <w:tblGrid>
        <w:gridCol w:w="1700"/>
        <w:gridCol w:w="1080"/>
        <w:gridCol w:w="1080"/>
        <w:gridCol w:w="1080"/>
        <w:gridCol w:w="1080"/>
      </w:tblGrid>
      <w:tr w:rsidR="00E90ADB" w:rsidRPr="00F77E2E" w:rsidTr="00947186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3002" w:rsidRPr="00F77E2E" w:rsidRDefault="00193002" w:rsidP="00F70C38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3002" w:rsidRPr="00F77E2E" w:rsidRDefault="00193002" w:rsidP="00F70C38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(1)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3002" w:rsidRPr="00F77E2E" w:rsidRDefault="00193002" w:rsidP="00F70C38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(2)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3002" w:rsidRPr="00F77E2E" w:rsidRDefault="00193002" w:rsidP="00F70C38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(3)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3002" w:rsidRPr="00F77E2E" w:rsidRDefault="00193002" w:rsidP="00F70C38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(4)</w:t>
            </w:r>
          </w:p>
        </w:tc>
      </w:tr>
      <w:tr w:rsidR="00E90ADB" w:rsidRPr="00F77E2E" w:rsidTr="00947186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002" w:rsidRPr="00F77E2E" w:rsidRDefault="00193002" w:rsidP="00F70C38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אירוע שלילי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002" w:rsidRPr="00F77E2E" w:rsidRDefault="00193002" w:rsidP="00F70C38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0.085%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002" w:rsidRPr="00F77E2E" w:rsidRDefault="00193002" w:rsidP="00F70C38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-0.084%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002" w:rsidRPr="00F77E2E" w:rsidRDefault="00193002" w:rsidP="00F70C38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0.076%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002" w:rsidRPr="00F77E2E" w:rsidRDefault="00193002" w:rsidP="00F70C38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-0.091%</w:t>
            </w:r>
          </w:p>
        </w:tc>
      </w:tr>
      <w:tr w:rsidR="00E90ADB" w:rsidRPr="00F77E2E" w:rsidTr="00947186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002" w:rsidRPr="00F77E2E" w:rsidRDefault="00193002" w:rsidP="00F70C38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ת"א 125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002" w:rsidRPr="00F77E2E" w:rsidRDefault="00193002" w:rsidP="00F70C38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0.771***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002" w:rsidRPr="00F77E2E" w:rsidRDefault="00193002" w:rsidP="00F70C38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0.747***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002" w:rsidRPr="00F77E2E" w:rsidRDefault="00193002" w:rsidP="00F70C38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0.653***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002" w:rsidRPr="00F77E2E" w:rsidRDefault="00193002" w:rsidP="00F70C38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0.669***</w:t>
            </w:r>
          </w:p>
        </w:tc>
      </w:tr>
      <w:tr w:rsidR="00E90ADB" w:rsidRPr="00F77E2E" w:rsidTr="00947186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002" w:rsidRPr="00F77E2E" w:rsidRDefault="00193002" w:rsidP="00F70C38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ת"א פיננסים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002" w:rsidRPr="00F77E2E" w:rsidRDefault="00193002" w:rsidP="00F70C38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002" w:rsidRPr="00F77E2E" w:rsidRDefault="00193002" w:rsidP="00F70C38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002" w:rsidRPr="00F77E2E" w:rsidRDefault="00193002" w:rsidP="00F70C38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0.110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002" w:rsidRPr="00F77E2E" w:rsidRDefault="00193002" w:rsidP="00F70C38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0.0724</w:t>
            </w:r>
          </w:p>
        </w:tc>
      </w:tr>
      <w:tr w:rsidR="00E90ADB" w:rsidRPr="00F77E2E" w:rsidTr="00947186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3002" w:rsidRPr="00F77E2E" w:rsidRDefault="00193002" w:rsidP="00F70C38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קבוע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3002" w:rsidRPr="00F77E2E" w:rsidRDefault="00193002" w:rsidP="00F70C38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0.001%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3002" w:rsidRPr="00F77E2E" w:rsidRDefault="00193002" w:rsidP="00F70C38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-0.049%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3002" w:rsidRPr="00F77E2E" w:rsidRDefault="00193002" w:rsidP="00F70C38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-0.002%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3002" w:rsidRPr="00F77E2E" w:rsidRDefault="00193002" w:rsidP="00F70C38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-0.050%</w:t>
            </w:r>
          </w:p>
        </w:tc>
      </w:tr>
      <w:tr w:rsidR="00E90ADB" w:rsidRPr="00F77E2E" w:rsidTr="00947186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002" w:rsidRPr="00F77E2E" w:rsidRDefault="00193002" w:rsidP="00F70C38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מספר תצפיות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002" w:rsidRPr="00F77E2E" w:rsidRDefault="00193002" w:rsidP="00F70C38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002" w:rsidRPr="00F77E2E" w:rsidRDefault="00193002" w:rsidP="00F70C38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002" w:rsidRPr="00F77E2E" w:rsidRDefault="00193002" w:rsidP="00F70C38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002" w:rsidRPr="00F77E2E" w:rsidRDefault="00193002" w:rsidP="00F70C38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246</w:t>
            </w:r>
          </w:p>
        </w:tc>
      </w:tr>
      <w:tr w:rsidR="00E90ADB" w:rsidRPr="00F77E2E" w:rsidTr="00947186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002" w:rsidRPr="00F77E2E" w:rsidRDefault="00193002" w:rsidP="00F70C38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R</w:t>
            </w:r>
            <w:r w:rsidRPr="00F77E2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 בריבוע מתואם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002" w:rsidRPr="00F77E2E" w:rsidRDefault="00193002" w:rsidP="00F70C38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63.3%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002" w:rsidRPr="00F77E2E" w:rsidRDefault="00193002" w:rsidP="00F70C38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60.8%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002" w:rsidRPr="00F77E2E" w:rsidRDefault="00193002" w:rsidP="00F70C38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63.5%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002" w:rsidRPr="00F77E2E" w:rsidRDefault="00193002" w:rsidP="00F70C38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60.8%</w:t>
            </w:r>
          </w:p>
        </w:tc>
      </w:tr>
    </w:tbl>
    <w:p w:rsidR="00CF5187" w:rsidRPr="00F77E2E" w:rsidRDefault="00CF5187" w:rsidP="00CF5187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</w:p>
    <w:p w:rsidR="00CF5187" w:rsidRPr="00F77E2E" w:rsidRDefault="00CF5187" w:rsidP="001E3FBB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77E2E">
        <w:rPr>
          <w:rFonts w:ascii="David" w:hAnsi="David" w:cs="David"/>
          <w:sz w:val="24"/>
          <w:szCs w:val="24"/>
          <w:rtl/>
        </w:rPr>
        <w:t xml:space="preserve">מקור: מערכת </w:t>
      </w:r>
      <w:r w:rsidR="008118CB" w:rsidRPr="00F77E2E">
        <w:rPr>
          <w:rFonts w:ascii="David" w:hAnsi="David" w:cs="David"/>
          <w:sz w:val="24"/>
          <w:szCs w:val="24"/>
          <w:rtl/>
        </w:rPr>
        <w:t xml:space="preserve">"מאיה" </w:t>
      </w:r>
      <w:r w:rsidRPr="00F77E2E">
        <w:rPr>
          <w:rFonts w:ascii="David" w:hAnsi="David" w:cs="David"/>
          <w:sz w:val="24"/>
          <w:szCs w:val="24"/>
          <w:rtl/>
        </w:rPr>
        <w:t>לדיווחי החברות הציבוריות, ידיעות בתקשורת, נתוני הבורסה לניירות ערך ועיבודי בנק ישראל.</w:t>
      </w:r>
    </w:p>
    <w:p w:rsidR="00CF5187" w:rsidRPr="00F77E2E" w:rsidRDefault="00CF5187" w:rsidP="00636753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77E2E">
        <w:rPr>
          <w:rFonts w:ascii="David" w:hAnsi="David" w:cs="David"/>
          <w:sz w:val="24"/>
          <w:szCs w:val="24"/>
          <w:rtl/>
        </w:rPr>
        <w:t xml:space="preserve">הלוח מציג את תוצאות האמידה של משוואה (1) לתקופה של 246 ימי מסחר, מתחילת ספטמבר 2021 ועד לסוף אוגוסט 2022. הלוח מציג את ההשפעה של האירועים בדרך לנפילתן של </w:t>
      </w:r>
      <w:r w:rsidR="008118CB" w:rsidRPr="00F77E2E">
        <w:rPr>
          <w:rFonts w:ascii="David" w:hAnsi="David" w:cs="David"/>
          <w:sz w:val="24"/>
          <w:szCs w:val="24"/>
          <w:rtl/>
        </w:rPr>
        <w:t>החברות "</w:t>
      </w:r>
      <w:proofErr w:type="spellStart"/>
      <w:r w:rsidRPr="00F77E2E">
        <w:rPr>
          <w:rFonts w:ascii="David" w:hAnsi="David" w:cs="David"/>
          <w:sz w:val="24"/>
          <w:szCs w:val="24"/>
          <w:rtl/>
        </w:rPr>
        <w:t>יונט</w:t>
      </w:r>
      <w:proofErr w:type="spellEnd"/>
      <w:r w:rsidR="008118CB" w:rsidRPr="00F77E2E">
        <w:rPr>
          <w:rFonts w:ascii="David" w:hAnsi="David" w:cs="David"/>
          <w:sz w:val="24"/>
          <w:szCs w:val="24"/>
          <w:rtl/>
        </w:rPr>
        <w:t xml:space="preserve"> קרדיט"</w:t>
      </w:r>
      <w:r w:rsidRPr="00F77E2E">
        <w:rPr>
          <w:rFonts w:ascii="David" w:hAnsi="David" w:cs="David"/>
          <w:sz w:val="24"/>
          <w:szCs w:val="24"/>
          <w:rtl/>
        </w:rPr>
        <w:t xml:space="preserve"> ו</w:t>
      </w:r>
      <w:r w:rsidR="008118CB" w:rsidRPr="00F77E2E">
        <w:rPr>
          <w:rFonts w:ascii="David" w:hAnsi="David" w:cs="David"/>
          <w:sz w:val="24"/>
          <w:szCs w:val="24"/>
          <w:rtl/>
        </w:rPr>
        <w:t>"</w:t>
      </w:r>
      <w:r w:rsidRPr="00F77E2E">
        <w:rPr>
          <w:rFonts w:ascii="David" w:hAnsi="David" w:cs="David"/>
          <w:sz w:val="24"/>
          <w:szCs w:val="24"/>
          <w:rtl/>
        </w:rPr>
        <w:t>גיבוי</w:t>
      </w:r>
      <w:r w:rsidR="008118CB" w:rsidRPr="00F77E2E">
        <w:rPr>
          <w:rFonts w:ascii="David" w:hAnsi="David" w:cs="David"/>
          <w:sz w:val="24"/>
          <w:szCs w:val="24"/>
          <w:rtl/>
        </w:rPr>
        <w:t xml:space="preserve"> א</w:t>
      </w:r>
      <w:r w:rsidR="00312614" w:rsidRPr="00F77E2E">
        <w:rPr>
          <w:rFonts w:ascii="David" w:hAnsi="David" w:cs="David"/>
          <w:sz w:val="24"/>
          <w:szCs w:val="24"/>
          <w:rtl/>
        </w:rPr>
        <w:t>ח</w:t>
      </w:r>
      <w:r w:rsidR="008118CB" w:rsidRPr="00F77E2E">
        <w:rPr>
          <w:rFonts w:ascii="David" w:hAnsi="David" w:cs="David"/>
          <w:sz w:val="24"/>
          <w:szCs w:val="24"/>
          <w:rtl/>
        </w:rPr>
        <w:t>זקות"</w:t>
      </w:r>
      <w:r w:rsidRPr="00F77E2E">
        <w:rPr>
          <w:rFonts w:ascii="David" w:hAnsi="David" w:cs="David"/>
          <w:sz w:val="24"/>
          <w:szCs w:val="24"/>
          <w:rtl/>
        </w:rPr>
        <w:t xml:space="preserve"> על התשואה (%) לתיק ממוצע של חברות האשראי החוץ-בנקאי </w:t>
      </w:r>
      <w:r w:rsidR="008118CB" w:rsidRPr="00F77E2E">
        <w:rPr>
          <w:rFonts w:ascii="David" w:hAnsi="David" w:cs="David"/>
          <w:sz w:val="24"/>
          <w:szCs w:val="24"/>
          <w:rtl/>
        </w:rPr>
        <w:t>המתחרות</w:t>
      </w:r>
      <w:r w:rsidRPr="00F77E2E">
        <w:rPr>
          <w:rFonts w:ascii="David" w:hAnsi="David" w:cs="David"/>
          <w:sz w:val="24"/>
          <w:szCs w:val="24"/>
          <w:rtl/>
        </w:rPr>
        <w:t xml:space="preserve">. בטור 1 ובטור 2 מפוקחת התשואה של מדד ת"א 125 ובטורים 3 ו-4 מפוקחת, נוסף על תשואת מדד ת"א 125,  גם התשואה של מדד ת"א פיננסים. טורים 1 ו-3 מציגים את ההשפעה של האירועים </w:t>
      </w:r>
      <w:r w:rsidR="00312614" w:rsidRPr="00F77E2E">
        <w:rPr>
          <w:rFonts w:ascii="David" w:hAnsi="David" w:cs="David"/>
          <w:sz w:val="24"/>
          <w:szCs w:val="24"/>
          <w:rtl/>
        </w:rPr>
        <w:t>בחברות "</w:t>
      </w:r>
      <w:proofErr w:type="spellStart"/>
      <w:r w:rsidR="00312614" w:rsidRPr="00F77E2E">
        <w:rPr>
          <w:rFonts w:ascii="David" w:hAnsi="David" w:cs="David"/>
          <w:sz w:val="24"/>
          <w:szCs w:val="24"/>
          <w:rtl/>
        </w:rPr>
        <w:t>יונט</w:t>
      </w:r>
      <w:proofErr w:type="spellEnd"/>
      <w:r w:rsidR="00312614" w:rsidRPr="00F77E2E">
        <w:rPr>
          <w:rFonts w:ascii="David" w:hAnsi="David" w:cs="David"/>
          <w:sz w:val="24"/>
          <w:szCs w:val="24"/>
          <w:rtl/>
        </w:rPr>
        <w:t xml:space="preserve"> קרדיט" ו"גיבוי אחזקות" </w:t>
      </w:r>
      <w:r w:rsidRPr="00F77E2E">
        <w:rPr>
          <w:rFonts w:ascii="David" w:hAnsi="David" w:cs="David"/>
          <w:sz w:val="24"/>
          <w:szCs w:val="24"/>
          <w:rtl/>
        </w:rPr>
        <w:t xml:space="preserve">על התשואה המשוקללת לפי שווי שוק של מניות החברות המתחרות וטורים 2 ו-4 מציגים את ההשפעה של האירועים </w:t>
      </w:r>
      <w:r w:rsidR="00312614" w:rsidRPr="00F77E2E">
        <w:rPr>
          <w:rFonts w:ascii="David" w:hAnsi="David" w:cs="David"/>
          <w:sz w:val="24"/>
          <w:szCs w:val="24"/>
          <w:rtl/>
        </w:rPr>
        <w:t>בחברות "</w:t>
      </w:r>
      <w:proofErr w:type="spellStart"/>
      <w:r w:rsidR="00312614" w:rsidRPr="00F77E2E">
        <w:rPr>
          <w:rFonts w:ascii="David" w:hAnsi="David" w:cs="David"/>
          <w:sz w:val="24"/>
          <w:szCs w:val="24"/>
          <w:rtl/>
        </w:rPr>
        <w:t>יונט</w:t>
      </w:r>
      <w:proofErr w:type="spellEnd"/>
      <w:r w:rsidR="00312614" w:rsidRPr="00F77E2E">
        <w:rPr>
          <w:rFonts w:ascii="David" w:hAnsi="David" w:cs="David"/>
          <w:sz w:val="24"/>
          <w:szCs w:val="24"/>
          <w:rtl/>
        </w:rPr>
        <w:t xml:space="preserve"> קרדיט" ו"גיבוי אחזקות" </w:t>
      </w:r>
      <w:r w:rsidRPr="00F77E2E">
        <w:rPr>
          <w:rFonts w:ascii="David" w:hAnsi="David" w:cs="David"/>
          <w:sz w:val="24"/>
          <w:szCs w:val="24"/>
          <w:rtl/>
        </w:rPr>
        <w:t xml:space="preserve">על התשואה הממוצעת הפשוטה של מניות החברות המתחרות. *, **, *** מסמנים כי המקדם הנבחן שונה מאפס במובהקות סטטיסטית של 10%, 5% ו-1%, בהתאמה לפי מבחן </w:t>
      </w:r>
      <w:r w:rsidRPr="00F77E2E">
        <w:rPr>
          <w:rFonts w:ascii="David" w:hAnsi="David" w:cs="David"/>
          <w:sz w:val="24"/>
          <w:szCs w:val="24"/>
        </w:rPr>
        <w:t>t</w:t>
      </w:r>
      <w:r w:rsidRPr="00F77E2E">
        <w:rPr>
          <w:rFonts w:ascii="David" w:hAnsi="David" w:cs="David"/>
          <w:sz w:val="24"/>
          <w:szCs w:val="24"/>
          <w:rtl/>
        </w:rPr>
        <w:t xml:space="preserve">, עם סטיות תקן עמידות </w:t>
      </w:r>
      <w:proofErr w:type="spellStart"/>
      <w:r w:rsidRPr="00F77E2E">
        <w:rPr>
          <w:rFonts w:ascii="David" w:hAnsi="David" w:cs="David"/>
          <w:sz w:val="24"/>
          <w:szCs w:val="24"/>
          <w:rtl/>
        </w:rPr>
        <w:t>ל</w:t>
      </w:r>
      <w:r w:rsidR="00312614" w:rsidRPr="00F77E2E">
        <w:rPr>
          <w:rFonts w:ascii="David" w:hAnsi="David" w:cs="David"/>
          <w:sz w:val="24"/>
          <w:szCs w:val="24"/>
          <w:rtl/>
        </w:rPr>
        <w:t>הטרוסקדסטיות</w:t>
      </w:r>
      <w:proofErr w:type="spellEnd"/>
      <w:r w:rsidRPr="00F77E2E">
        <w:rPr>
          <w:rFonts w:ascii="David" w:hAnsi="David" w:cs="David"/>
          <w:sz w:val="24"/>
          <w:szCs w:val="24"/>
          <w:rtl/>
        </w:rPr>
        <w:t>.</w:t>
      </w:r>
    </w:p>
    <w:p w:rsidR="00427551" w:rsidRPr="00F77E2E" w:rsidRDefault="00247DF7" w:rsidP="00FA3E3B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77E2E">
        <w:rPr>
          <w:rFonts w:ascii="David" w:hAnsi="David" w:cs="David"/>
          <w:sz w:val="24"/>
          <w:szCs w:val="24"/>
          <w:rtl/>
        </w:rPr>
        <w:t>לבסוף השתמשנו באמידה בשני שלבים כדי לבחון את התשואה העודפת (</w:t>
      </w:r>
      <w:r w:rsidR="000461A3" w:rsidRPr="00F77E2E">
        <w:rPr>
          <w:rFonts w:ascii="David" w:hAnsi="David" w:cs="David"/>
          <w:sz w:val="24"/>
          <w:szCs w:val="24"/>
          <w:rtl/>
        </w:rPr>
        <w:t>מעבר לצפוי)</w:t>
      </w:r>
      <w:r w:rsidRPr="00F77E2E">
        <w:rPr>
          <w:rFonts w:ascii="David" w:hAnsi="David" w:cs="David"/>
          <w:sz w:val="24"/>
          <w:szCs w:val="24"/>
          <w:rtl/>
        </w:rPr>
        <w:t xml:space="preserve"> של כל חברת אשראי </w:t>
      </w:r>
      <w:r w:rsidR="000D4A1A" w:rsidRPr="00F77E2E">
        <w:rPr>
          <w:rFonts w:ascii="David" w:hAnsi="David" w:cs="David"/>
          <w:sz w:val="24"/>
          <w:szCs w:val="24"/>
          <w:rtl/>
        </w:rPr>
        <w:t>חוץ-ב</w:t>
      </w:r>
      <w:r w:rsidRPr="00F77E2E">
        <w:rPr>
          <w:rFonts w:ascii="David" w:hAnsi="David" w:cs="David"/>
          <w:sz w:val="24"/>
          <w:szCs w:val="24"/>
          <w:rtl/>
        </w:rPr>
        <w:t xml:space="preserve">נקאי </w:t>
      </w:r>
      <w:r w:rsidR="008118CB" w:rsidRPr="00F77E2E">
        <w:rPr>
          <w:rFonts w:ascii="David" w:hAnsi="David" w:cs="David"/>
          <w:sz w:val="24"/>
          <w:szCs w:val="24"/>
          <w:rtl/>
        </w:rPr>
        <w:t xml:space="preserve">"אחרת" </w:t>
      </w:r>
      <w:r w:rsidRPr="00F77E2E">
        <w:rPr>
          <w:rFonts w:ascii="David" w:hAnsi="David" w:cs="David"/>
          <w:sz w:val="24"/>
          <w:szCs w:val="24"/>
          <w:rtl/>
        </w:rPr>
        <w:t xml:space="preserve">בתאריכים </w:t>
      </w:r>
      <w:r w:rsidR="00A15C3F" w:rsidRPr="00F77E2E">
        <w:rPr>
          <w:rFonts w:ascii="David" w:hAnsi="David" w:cs="David"/>
          <w:sz w:val="24"/>
          <w:szCs w:val="24"/>
          <w:rtl/>
        </w:rPr>
        <w:t>ה</w:t>
      </w:r>
      <w:r w:rsidR="000461A3" w:rsidRPr="00F77E2E">
        <w:rPr>
          <w:rFonts w:ascii="David" w:hAnsi="David" w:cs="David"/>
          <w:sz w:val="24"/>
          <w:szCs w:val="24"/>
          <w:rtl/>
        </w:rPr>
        <w:t>שלילי</w:t>
      </w:r>
      <w:r w:rsidR="00A15C3F" w:rsidRPr="00F77E2E">
        <w:rPr>
          <w:rFonts w:ascii="David" w:hAnsi="David" w:cs="David"/>
          <w:sz w:val="24"/>
          <w:szCs w:val="24"/>
          <w:rtl/>
        </w:rPr>
        <w:t>ים</w:t>
      </w:r>
      <w:r w:rsidR="000461A3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312614" w:rsidRPr="00F77E2E">
        <w:rPr>
          <w:rFonts w:ascii="David" w:hAnsi="David" w:cs="David"/>
          <w:sz w:val="24"/>
          <w:szCs w:val="24"/>
          <w:rtl/>
        </w:rPr>
        <w:t>בחברות "</w:t>
      </w:r>
      <w:proofErr w:type="spellStart"/>
      <w:r w:rsidR="00312614" w:rsidRPr="00F77E2E">
        <w:rPr>
          <w:rFonts w:ascii="David" w:hAnsi="David" w:cs="David"/>
          <w:sz w:val="24"/>
          <w:szCs w:val="24"/>
          <w:rtl/>
        </w:rPr>
        <w:t>יונט</w:t>
      </w:r>
      <w:proofErr w:type="spellEnd"/>
      <w:r w:rsidR="00312614" w:rsidRPr="00F77E2E">
        <w:rPr>
          <w:rFonts w:ascii="David" w:hAnsi="David" w:cs="David"/>
          <w:sz w:val="24"/>
          <w:szCs w:val="24"/>
          <w:rtl/>
        </w:rPr>
        <w:t xml:space="preserve"> קרדיט" או "גיבוי אחזקות"</w:t>
      </w:r>
      <w:r w:rsidR="000461A3" w:rsidRPr="00F77E2E">
        <w:rPr>
          <w:rFonts w:ascii="David" w:hAnsi="David" w:cs="David"/>
          <w:sz w:val="24"/>
          <w:szCs w:val="24"/>
          <w:rtl/>
        </w:rPr>
        <w:t xml:space="preserve">. </w:t>
      </w:r>
      <w:r w:rsidR="00B57D58" w:rsidRPr="00F77E2E">
        <w:rPr>
          <w:rFonts w:ascii="David" w:hAnsi="David" w:cs="David"/>
          <w:sz w:val="24"/>
          <w:szCs w:val="24"/>
          <w:rtl/>
        </w:rPr>
        <w:t xml:space="preserve">באמצעות </w:t>
      </w:r>
      <w:r w:rsidR="000461A3" w:rsidRPr="00F77E2E">
        <w:rPr>
          <w:rFonts w:ascii="David" w:hAnsi="David" w:cs="David"/>
          <w:sz w:val="24"/>
          <w:szCs w:val="24"/>
          <w:rtl/>
        </w:rPr>
        <w:t>מספר מבחנים סטטיסטיים</w:t>
      </w:r>
      <w:r w:rsidR="00B57D58" w:rsidRPr="00F77E2E">
        <w:rPr>
          <w:rFonts w:ascii="David" w:hAnsi="David" w:cs="David"/>
          <w:sz w:val="24"/>
          <w:szCs w:val="24"/>
          <w:rtl/>
        </w:rPr>
        <w:t xml:space="preserve"> בחנו את ההשערה שהתשואה העודפת של מניות חברות האשראי החוץ-בנקאי המתחרות ביום האירוע</w:t>
      </w:r>
      <w:r w:rsidR="00312614" w:rsidRPr="00F77E2E">
        <w:rPr>
          <w:rFonts w:ascii="David" w:hAnsi="David" w:cs="David"/>
          <w:sz w:val="24"/>
          <w:szCs w:val="24"/>
          <w:rtl/>
        </w:rPr>
        <w:t>,</w:t>
      </w:r>
      <w:r w:rsidR="00B57D58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312614" w:rsidRPr="00F77E2E">
        <w:rPr>
          <w:rFonts w:ascii="David" w:hAnsi="David" w:cs="David"/>
          <w:sz w:val="24"/>
          <w:szCs w:val="24"/>
          <w:rtl/>
        </w:rPr>
        <w:t xml:space="preserve">לא </w:t>
      </w:r>
      <w:r w:rsidR="00B57D58" w:rsidRPr="00F77E2E">
        <w:rPr>
          <w:rFonts w:ascii="David" w:hAnsi="David" w:cs="David"/>
          <w:sz w:val="24"/>
          <w:szCs w:val="24"/>
          <w:rtl/>
        </w:rPr>
        <w:t xml:space="preserve">שונה באופן מובהק מאפס. </w:t>
      </w:r>
      <w:r w:rsidR="000461A3" w:rsidRPr="00F77E2E">
        <w:rPr>
          <w:rFonts w:ascii="David" w:hAnsi="David" w:cs="David"/>
          <w:sz w:val="24"/>
          <w:szCs w:val="24"/>
          <w:rtl/>
        </w:rPr>
        <w:t xml:space="preserve">אולם, </w:t>
      </w:r>
      <w:r w:rsidR="00427551" w:rsidRPr="00F77E2E">
        <w:rPr>
          <w:rFonts w:ascii="David" w:hAnsi="David" w:cs="David"/>
          <w:sz w:val="24"/>
          <w:szCs w:val="24"/>
          <w:rtl/>
        </w:rPr>
        <w:t xml:space="preserve">כפי שניתן לראות בלוח </w:t>
      </w:r>
      <w:r w:rsidR="00CF5187" w:rsidRPr="00F77E2E">
        <w:rPr>
          <w:rFonts w:ascii="David" w:hAnsi="David" w:cs="David"/>
          <w:sz w:val="24"/>
          <w:szCs w:val="24"/>
          <w:rtl/>
        </w:rPr>
        <w:t>3</w:t>
      </w:r>
      <w:r w:rsidR="00427551" w:rsidRPr="00F77E2E">
        <w:rPr>
          <w:rFonts w:ascii="David" w:hAnsi="David" w:cs="David"/>
          <w:sz w:val="24"/>
          <w:szCs w:val="24"/>
          <w:rtl/>
        </w:rPr>
        <w:t xml:space="preserve">, </w:t>
      </w:r>
      <w:r w:rsidR="00897AF4" w:rsidRPr="00F77E2E">
        <w:rPr>
          <w:rFonts w:ascii="David" w:hAnsi="David" w:cs="David"/>
          <w:sz w:val="24"/>
          <w:szCs w:val="24"/>
          <w:rtl/>
        </w:rPr>
        <w:lastRenderedPageBreak/>
        <w:t xml:space="preserve">בדומה לתוצאות הקודמות, גם האמידה בשיטה זו, המקובלת </w:t>
      </w:r>
      <w:r w:rsidR="00A37E99" w:rsidRPr="00F77E2E">
        <w:rPr>
          <w:rFonts w:ascii="David" w:hAnsi="David" w:cs="David"/>
          <w:sz w:val="24"/>
          <w:szCs w:val="24"/>
          <w:rtl/>
        </w:rPr>
        <w:t xml:space="preserve">גם היא </w:t>
      </w:r>
      <w:r w:rsidR="00897AF4" w:rsidRPr="00F77E2E">
        <w:rPr>
          <w:rFonts w:ascii="David" w:hAnsi="David" w:cs="David"/>
          <w:sz w:val="24"/>
          <w:szCs w:val="24"/>
          <w:rtl/>
        </w:rPr>
        <w:t>ל</w:t>
      </w:r>
      <w:r w:rsidR="00312614" w:rsidRPr="00F77E2E">
        <w:rPr>
          <w:rFonts w:ascii="David" w:hAnsi="David" w:cs="David"/>
          <w:sz w:val="24"/>
          <w:szCs w:val="24"/>
          <w:rtl/>
        </w:rPr>
        <w:t>"</w:t>
      </w:r>
      <w:r w:rsidR="00897AF4" w:rsidRPr="00F77E2E">
        <w:rPr>
          <w:rFonts w:ascii="David" w:hAnsi="David" w:cs="David"/>
          <w:sz w:val="24"/>
          <w:szCs w:val="24"/>
          <w:rtl/>
        </w:rPr>
        <w:t>חקר</w:t>
      </w:r>
      <w:r w:rsidR="00312614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897AF4" w:rsidRPr="00F77E2E">
        <w:rPr>
          <w:rFonts w:ascii="David" w:hAnsi="David" w:cs="David"/>
          <w:sz w:val="24"/>
          <w:szCs w:val="24"/>
          <w:rtl/>
        </w:rPr>
        <w:t>אירוע</w:t>
      </w:r>
      <w:r w:rsidR="00312614" w:rsidRPr="00F77E2E">
        <w:rPr>
          <w:rFonts w:ascii="David" w:hAnsi="David" w:cs="David"/>
          <w:sz w:val="24"/>
          <w:szCs w:val="24"/>
          <w:rtl/>
        </w:rPr>
        <w:t>"</w:t>
      </w:r>
      <w:r w:rsidR="00897AF4" w:rsidRPr="00F77E2E">
        <w:rPr>
          <w:rFonts w:ascii="David" w:hAnsi="David" w:cs="David"/>
          <w:sz w:val="24"/>
          <w:szCs w:val="24"/>
          <w:rtl/>
        </w:rPr>
        <w:t xml:space="preserve">, </w:t>
      </w:r>
      <w:r w:rsidR="00312614" w:rsidRPr="00F77E2E">
        <w:rPr>
          <w:rFonts w:ascii="David" w:hAnsi="David" w:cs="David"/>
          <w:sz w:val="24"/>
          <w:szCs w:val="24"/>
          <w:rtl/>
        </w:rPr>
        <w:t xml:space="preserve">לא </w:t>
      </w:r>
      <w:r w:rsidR="00897AF4" w:rsidRPr="00F77E2E">
        <w:rPr>
          <w:rFonts w:ascii="David" w:hAnsi="David" w:cs="David"/>
          <w:sz w:val="24"/>
          <w:szCs w:val="24"/>
          <w:rtl/>
        </w:rPr>
        <w:t xml:space="preserve">מניבה תוצאה </w:t>
      </w:r>
      <w:r w:rsidR="00312614" w:rsidRPr="00F77E2E">
        <w:rPr>
          <w:rFonts w:ascii="David" w:hAnsi="David" w:cs="David"/>
          <w:sz w:val="24"/>
          <w:szCs w:val="24"/>
          <w:rtl/>
        </w:rPr>
        <w:t xml:space="preserve">ששונה </w:t>
      </w:r>
      <w:r w:rsidR="00897AF4" w:rsidRPr="00F77E2E">
        <w:rPr>
          <w:rFonts w:ascii="David" w:hAnsi="David" w:cs="David"/>
          <w:sz w:val="24"/>
          <w:szCs w:val="24"/>
          <w:rtl/>
        </w:rPr>
        <w:t>באופן מובהק סטטיסטית מאפס</w:t>
      </w:r>
      <w:r w:rsidR="000461A3" w:rsidRPr="00F77E2E">
        <w:rPr>
          <w:rFonts w:ascii="David" w:hAnsi="David" w:cs="David"/>
          <w:sz w:val="24"/>
          <w:szCs w:val="24"/>
          <w:rtl/>
        </w:rPr>
        <w:t xml:space="preserve"> באף </w:t>
      </w:r>
      <w:r w:rsidR="00FA3E3B" w:rsidRPr="00F77E2E">
        <w:rPr>
          <w:rFonts w:ascii="David" w:hAnsi="David" w:cs="David"/>
          <w:sz w:val="24"/>
          <w:szCs w:val="24"/>
          <w:rtl/>
        </w:rPr>
        <w:t>אחת</w:t>
      </w:r>
      <w:r w:rsidR="00312614" w:rsidRPr="00F77E2E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F933A8" w:rsidRPr="00F77E2E">
        <w:rPr>
          <w:rFonts w:ascii="David" w:hAnsi="David" w:cs="David"/>
          <w:sz w:val="24"/>
          <w:szCs w:val="24"/>
          <w:rtl/>
        </w:rPr>
        <w:t>מה</w:t>
      </w:r>
      <w:r w:rsidR="00FA3E3B" w:rsidRPr="00F77E2E">
        <w:rPr>
          <w:rFonts w:ascii="David" w:hAnsi="David" w:cs="David"/>
          <w:sz w:val="24"/>
          <w:szCs w:val="24"/>
          <w:rtl/>
        </w:rPr>
        <w:t>ספסיפיקציות</w:t>
      </w:r>
      <w:proofErr w:type="spellEnd"/>
      <w:r w:rsidR="00F933A8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897AF4" w:rsidRPr="00F77E2E">
        <w:rPr>
          <w:rFonts w:ascii="David" w:hAnsi="David" w:cs="David"/>
          <w:sz w:val="24"/>
          <w:szCs w:val="24"/>
          <w:rtl/>
        </w:rPr>
        <w:t>שנבחנו.</w:t>
      </w:r>
    </w:p>
    <w:p w:rsidR="001A26EB" w:rsidRPr="00F77E2E" w:rsidDel="001A26EB" w:rsidRDefault="007D76B1" w:rsidP="00596B33">
      <w:pPr>
        <w:pStyle w:val="ae"/>
        <w:keepNext/>
        <w:bidi/>
        <w:jc w:val="center"/>
        <w:rPr>
          <w:rFonts w:ascii="David" w:hAnsi="David" w:cs="David"/>
          <w:i w:val="0"/>
          <w:iCs w:val="0"/>
          <w:noProof/>
          <w:color w:val="auto"/>
          <w:sz w:val="24"/>
          <w:szCs w:val="24"/>
          <w:rtl/>
        </w:rPr>
      </w:pPr>
      <w:r w:rsidRPr="00F77E2E">
        <w:rPr>
          <w:rFonts w:ascii="David" w:hAnsi="David" w:cs="David"/>
          <w:i w:val="0"/>
          <w:iCs w:val="0"/>
          <w:color w:val="auto"/>
          <w:sz w:val="24"/>
          <w:szCs w:val="24"/>
          <w:rtl/>
        </w:rPr>
        <w:t>לוח</w:t>
      </w:r>
      <w:r w:rsidRPr="00F77E2E">
        <w:rPr>
          <w:rFonts w:ascii="David" w:hAnsi="David" w:cs="David"/>
          <w:i w:val="0"/>
          <w:iCs w:val="0"/>
          <w:color w:val="auto"/>
          <w:sz w:val="24"/>
          <w:szCs w:val="24"/>
        </w:rPr>
        <w:t xml:space="preserve"> </w:t>
      </w:r>
      <w:r w:rsidR="00CF5187" w:rsidRPr="00F77E2E">
        <w:rPr>
          <w:rFonts w:ascii="David" w:hAnsi="David" w:cs="David"/>
          <w:i w:val="0"/>
          <w:iCs w:val="0"/>
          <w:color w:val="auto"/>
          <w:sz w:val="24"/>
          <w:szCs w:val="24"/>
          <w:rtl/>
        </w:rPr>
        <w:t>3</w:t>
      </w:r>
      <w:r w:rsidR="00B106AC" w:rsidRPr="00F77E2E">
        <w:rPr>
          <w:rFonts w:ascii="David" w:hAnsi="David" w:cs="David"/>
          <w:i w:val="0"/>
          <w:iCs w:val="0"/>
          <w:noProof/>
          <w:color w:val="auto"/>
          <w:sz w:val="24"/>
          <w:szCs w:val="24"/>
          <w:rtl/>
        </w:rPr>
        <w:t xml:space="preserve">: התשואה העודפת של מניות </w:t>
      </w:r>
      <w:r w:rsidR="00D64219" w:rsidRPr="00F77E2E">
        <w:rPr>
          <w:rFonts w:ascii="David" w:hAnsi="David" w:cs="David"/>
          <w:i w:val="0"/>
          <w:iCs w:val="0"/>
          <w:noProof/>
          <w:color w:val="auto"/>
          <w:sz w:val="24"/>
          <w:szCs w:val="24"/>
          <w:rtl/>
        </w:rPr>
        <w:t>החברות</w:t>
      </w:r>
      <w:r w:rsidR="00B106AC" w:rsidRPr="00F77E2E">
        <w:rPr>
          <w:rFonts w:ascii="David" w:hAnsi="David" w:cs="David"/>
          <w:i w:val="0"/>
          <w:iCs w:val="0"/>
          <w:noProof/>
          <w:color w:val="auto"/>
          <w:sz w:val="24"/>
          <w:szCs w:val="24"/>
          <w:rtl/>
        </w:rPr>
        <w:t xml:space="preserve"> המתחר</w:t>
      </w:r>
      <w:r w:rsidR="00D64219" w:rsidRPr="00F77E2E">
        <w:rPr>
          <w:rFonts w:ascii="David" w:hAnsi="David" w:cs="David"/>
          <w:i w:val="0"/>
          <w:iCs w:val="0"/>
          <w:noProof/>
          <w:color w:val="auto"/>
          <w:sz w:val="24"/>
          <w:szCs w:val="24"/>
          <w:rtl/>
        </w:rPr>
        <w:t>ות</w:t>
      </w:r>
      <w:r w:rsidR="00B106AC" w:rsidRPr="00F77E2E">
        <w:rPr>
          <w:rFonts w:ascii="David" w:hAnsi="David" w:cs="David"/>
          <w:i w:val="0"/>
          <w:iCs w:val="0"/>
          <w:noProof/>
          <w:color w:val="auto"/>
          <w:sz w:val="24"/>
          <w:szCs w:val="24"/>
          <w:rtl/>
        </w:rPr>
        <w:t xml:space="preserve"> ברמת ה</w:t>
      </w:r>
      <w:r w:rsidR="00D64219" w:rsidRPr="00F77E2E">
        <w:rPr>
          <w:rFonts w:ascii="David" w:hAnsi="David" w:cs="David"/>
          <w:i w:val="0"/>
          <w:iCs w:val="0"/>
          <w:noProof/>
          <w:color w:val="auto"/>
          <w:sz w:val="24"/>
          <w:szCs w:val="24"/>
          <w:rtl/>
        </w:rPr>
        <w:t>חברה</w:t>
      </w:r>
      <w:r w:rsidR="00B106AC" w:rsidRPr="00F77E2E">
        <w:rPr>
          <w:rFonts w:ascii="David" w:hAnsi="David" w:cs="David"/>
          <w:i w:val="0"/>
          <w:iCs w:val="0"/>
          <w:noProof/>
          <w:color w:val="auto"/>
          <w:sz w:val="24"/>
          <w:szCs w:val="24"/>
          <w:rtl/>
        </w:rPr>
        <w:t xml:space="preserve"> הבודד</w:t>
      </w:r>
      <w:r w:rsidR="00D64219" w:rsidRPr="00F77E2E">
        <w:rPr>
          <w:rFonts w:ascii="David" w:hAnsi="David" w:cs="David"/>
          <w:i w:val="0"/>
          <w:iCs w:val="0"/>
          <w:noProof/>
          <w:color w:val="auto"/>
          <w:sz w:val="24"/>
          <w:szCs w:val="24"/>
          <w:rtl/>
        </w:rPr>
        <w:t>ת</w:t>
      </w:r>
      <w:r w:rsidR="00427551" w:rsidRPr="00F77E2E">
        <w:rPr>
          <w:rFonts w:ascii="David" w:hAnsi="David" w:cs="David"/>
          <w:i w:val="0"/>
          <w:iCs w:val="0"/>
          <w:noProof/>
          <w:color w:val="auto"/>
          <w:sz w:val="24"/>
          <w:szCs w:val="24"/>
          <w:rtl/>
        </w:rPr>
        <w:t xml:space="preserve"> (%)</w:t>
      </w:r>
    </w:p>
    <w:tbl>
      <w:tblPr>
        <w:bidiVisual/>
        <w:tblW w:w="7905" w:type="dxa"/>
        <w:tblLook w:val="04A0" w:firstRow="1" w:lastRow="0" w:firstColumn="1" w:lastColumn="0" w:noHBand="0" w:noVBand="1"/>
      </w:tblPr>
      <w:tblGrid>
        <w:gridCol w:w="1577"/>
        <w:gridCol w:w="1400"/>
        <w:gridCol w:w="842"/>
        <w:gridCol w:w="842"/>
        <w:gridCol w:w="1644"/>
        <w:gridCol w:w="1600"/>
      </w:tblGrid>
      <w:tr w:rsidR="00E90ADB" w:rsidRPr="00F77E2E" w:rsidTr="00947186">
        <w:trPr>
          <w:trHeight w:val="331"/>
        </w:trPr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26EB" w:rsidRPr="00F77E2E" w:rsidRDefault="001A26EB" w:rsidP="001A26EB">
            <w:pPr>
              <w:bidi/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26EB" w:rsidRPr="00F77E2E" w:rsidRDefault="001A26EB" w:rsidP="001A26EB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מספר תצפיות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26EB" w:rsidRPr="00F77E2E" w:rsidRDefault="001A26EB" w:rsidP="001A26EB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ממוצע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26EB" w:rsidRPr="00F77E2E" w:rsidRDefault="001A26EB" w:rsidP="001A26EB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חציון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26EB" w:rsidRPr="00F77E2E" w:rsidRDefault="001A26EB" w:rsidP="001A26EB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תצפיות שליליות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26EB" w:rsidRPr="00F77E2E" w:rsidRDefault="001A26EB" w:rsidP="001A26EB">
            <w:pPr>
              <w:bidi/>
              <w:spacing w:after="0" w:line="24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תצפיות חיוביות</w:t>
            </w:r>
          </w:p>
        </w:tc>
      </w:tr>
      <w:tr w:rsidR="00E90ADB" w:rsidRPr="00F77E2E" w:rsidTr="00947186">
        <w:trPr>
          <w:trHeight w:val="331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26EB" w:rsidRPr="00F77E2E" w:rsidRDefault="001A26EB" w:rsidP="001A26EB">
            <w:pPr>
              <w:bidi/>
              <w:spacing w:after="0" w:line="24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תשואה עודפת 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26EB" w:rsidRPr="00F77E2E" w:rsidRDefault="001A26EB" w:rsidP="00596B33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238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26EB" w:rsidRPr="00F77E2E" w:rsidRDefault="001A26EB" w:rsidP="001A26EB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0.00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26EB" w:rsidRPr="00F77E2E" w:rsidRDefault="001A26EB" w:rsidP="001A26EB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0.00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26EB" w:rsidRPr="00F77E2E" w:rsidRDefault="001A26EB" w:rsidP="00596B33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122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26EB" w:rsidRPr="00F77E2E" w:rsidRDefault="001A26EB" w:rsidP="001A26EB">
            <w:pPr>
              <w:bidi/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116</w:t>
            </w:r>
          </w:p>
        </w:tc>
      </w:tr>
      <w:tr w:rsidR="00E90ADB" w:rsidRPr="00F77E2E" w:rsidTr="00947186">
        <w:trPr>
          <w:trHeight w:val="331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26EB" w:rsidRPr="00F77E2E" w:rsidRDefault="001A26EB" w:rsidP="001A26EB">
            <w:pPr>
              <w:bidi/>
              <w:spacing w:after="0" w:line="24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תשואה עודפת 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26EB" w:rsidRPr="00F77E2E" w:rsidRDefault="001A26EB" w:rsidP="001A26EB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238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26EB" w:rsidRPr="00F77E2E" w:rsidRDefault="001A26EB" w:rsidP="001A26EB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0.0001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26EB" w:rsidRPr="00F77E2E" w:rsidRDefault="001A26EB" w:rsidP="001A26EB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0.0012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26EB" w:rsidRPr="00F77E2E" w:rsidRDefault="001A26EB" w:rsidP="001A26EB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113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26EB" w:rsidRPr="00F77E2E" w:rsidRDefault="001A26EB" w:rsidP="001A26EB">
            <w:pPr>
              <w:bidi/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F77E2E">
              <w:rPr>
                <w:rFonts w:ascii="David" w:eastAsia="Times New Roman" w:hAnsi="David" w:cs="David"/>
                <w:sz w:val="24"/>
                <w:szCs w:val="24"/>
                <w:rtl/>
              </w:rPr>
              <w:t>125</w:t>
            </w:r>
          </w:p>
        </w:tc>
      </w:tr>
    </w:tbl>
    <w:p w:rsidR="001873EE" w:rsidRPr="00F77E2E" w:rsidRDefault="001873EE" w:rsidP="00D64219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</w:p>
    <w:p w:rsidR="001873EE" w:rsidRPr="00F77E2E" w:rsidRDefault="001873EE" w:rsidP="000461A3">
      <w:pPr>
        <w:bidi/>
        <w:spacing w:after="120" w:line="240" w:lineRule="auto"/>
        <w:jc w:val="both"/>
        <w:rPr>
          <w:rFonts w:ascii="David" w:hAnsi="David" w:cs="David"/>
          <w:sz w:val="24"/>
          <w:szCs w:val="24"/>
          <w:rtl/>
        </w:rPr>
      </w:pPr>
      <w:r w:rsidRPr="00F77E2E">
        <w:rPr>
          <w:rFonts w:ascii="David" w:hAnsi="David" w:cs="David"/>
          <w:sz w:val="24"/>
          <w:szCs w:val="24"/>
          <w:rtl/>
        </w:rPr>
        <w:t xml:space="preserve">מקור: מערכת </w:t>
      </w:r>
      <w:r w:rsidR="008118CB" w:rsidRPr="00F77E2E">
        <w:rPr>
          <w:rFonts w:ascii="David" w:hAnsi="David" w:cs="David"/>
          <w:sz w:val="24"/>
          <w:szCs w:val="24"/>
          <w:rtl/>
        </w:rPr>
        <w:t xml:space="preserve">"מאיה" </w:t>
      </w:r>
      <w:r w:rsidRPr="00F77E2E">
        <w:rPr>
          <w:rFonts w:ascii="David" w:hAnsi="David" w:cs="David"/>
          <w:sz w:val="24"/>
          <w:szCs w:val="24"/>
          <w:rtl/>
        </w:rPr>
        <w:t>לדיווחי החברות הציבוריות, ידיעות ב</w:t>
      </w:r>
      <w:r w:rsidR="000461A3" w:rsidRPr="00F77E2E">
        <w:rPr>
          <w:rFonts w:ascii="David" w:hAnsi="David" w:cs="David"/>
          <w:sz w:val="24"/>
          <w:szCs w:val="24"/>
          <w:rtl/>
        </w:rPr>
        <w:t>תקשורת, נתוני הבורסה לני"</w:t>
      </w:r>
      <w:r w:rsidR="00312614" w:rsidRPr="00F77E2E">
        <w:rPr>
          <w:rFonts w:ascii="David" w:hAnsi="David" w:cs="David"/>
          <w:sz w:val="24"/>
          <w:szCs w:val="24"/>
          <w:rtl/>
        </w:rPr>
        <w:t xml:space="preserve">ע </w:t>
      </w:r>
      <w:r w:rsidRPr="00F77E2E">
        <w:rPr>
          <w:rFonts w:ascii="David" w:hAnsi="David" w:cs="David"/>
          <w:sz w:val="24"/>
          <w:szCs w:val="24"/>
          <w:rtl/>
        </w:rPr>
        <w:t>בת</w:t>
      </w:r>
      <w:r w:rsidR="000461A3" w:rsidRPr="00F77E2E">
        <w:rPr>
          <w:rFonts w:ascii="David" w:hAnsi="David" w:cs="David"/>
          <w:sz w:val="24"/>
          <w:szCs w:val="24"/>
          <w:rtl/>
        </w:rPr>
        <w:t>"א</w:t>
      </w:r>
      <w:r w:rsidRPr="00F77E2E">
        <w:rPr>
          <w:rFonts w:ascii="David" w:hAnsi="David" w:cs="David"/>
          <w:sz w:val="24"/>
          <w:szCs w:val="24"/>
          <w:rtl/>
        </w:rPr>
        <w:t xml:space="preserve"> ועיבודי בנק ישראל.</w:t>
      </w:r>
    </w:p>
    <w:p w:rsidR="000461A3" w:rsidRPr="00F77E2E" w:rsidRDefault="007D76B1" w:rsidP="000461A3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77E2E">
        <w:rPr>
          <w:rFonts w:ascii="David" w:hAnsi="David" w:cs="David"/>
          <w:sz w:val="24"/>
          <w:szCs w:val="24"/>
          <w:rtl/>
        </w:rPr>
        <w:t xml:space="preserve">הלוח מסכם </w:t>
      </w:r>
      <w:r w:rsidR="00A134CA" w:rsidRPr="00F77E2E">
        <w:rPr>
          <w:rFonts w:ascii="David" w:hAnsi="David" w:cs="David"/>
          <w:sz w:val="24"/>
          <w:szCs w:val="24"/>
          <w:rtl/>
        </w:rPr>
        <w:t xml:space="preserve">את התשואות העודפות </w:t>
      </w:r>
      <w:r w:rsidR="00900F9A" w:rsidRPr="00F77E2E">
        <w:rPr>
          <w:rFonts w:ascii="David" w:hAnsi="David" w:cs="David"/>
          <w:sz w:val="24"/>
          <w:szCs w:val="24"/>
          <w:rtl/>
        </w:rPr>
        <w:t xml:space="preserve">(%) </w:t>
      </w:r>
      <w:r w:rsidR="00A134CA" w:rsidRPr="00F77E2E">
        <w:rPr>
          <w:rFonts w:ascii="David" w:hAnsi="David" w:cs="David"/>
          <w:sz w:val="24"/>
          <w:szCs w:val="24"/>
          <w:rtl/>
        </w:rPr>
        <w:t xml:space="preserve">של </w:t>
      </w:r>
      <w:r w:rsidR="00D64219" w:rsidRPr="00F77E2E">
        <w:rPr>
          <w:rFonts w:ascii="David" w:hAnsi="David" w:cs="David"/>
          <w:sz w:val="24"/>
          <w:szCs w:val="24"/>
          <w:rtl/>
        </w:rPr>
        <w:t>חברות האשראי החוץ-בנקאי</w:t>
      </w:r>
      <w:r w:rsidR="00A134CA" w:rsidRPr="00F77E2E">
        <w:rPr>
          <w:rFonts w:ascii="David" w:hAnsi="David" w:cs="David"/>
          <w:sz w:val="24"/>
          <w:szCs w:val="24"/>
          <w:rtl/>
        </w:rPr>
        <w:t xml:space="preserve"> המתחר</w:t>
      </w:r>
      <w:r w:rsidR="00D64219" w:rsidRPr="00F77E2E">
        <w:rPr>
          <w:rFonts w:ascii="David" w:hAnsi="David" w:cs="David"/>
          <w:sz w:val="24"/>
          <w:szCs w:val="24"/>
          <w:rtl/>
        </w:rPr>
        <w:t>ות</w:t>
      </w:r>
      <w:r w:rsidR="00A134CA" w:rsidRPr="00F77E2E">
        <w:rPr>
          <w:rFonts w:ascii="David" w:hAnsi="David" w:cs="David"/>
          <w:sz w:val="24"/>
          <w:szCs w:val="24"/>
          <w:rtl/>
        </w:rPr>
        <w:t xml:space="preserve"> בימים שבהם </w:t>
      </w:r>
      <w:r w:rsidRPr="00F77E2E">
        <w:rPr>
          <w:rFonts w:ascii="David" w:hAnsi="David" w:cs="David"/>
          <w:sz w:val="24"/>
          <w:szCs w:val="24"/>
          <w:rtl/>
        </w:rPr>
        <w:t>התרחש</w:t>
      </w:r>
      <w:r w:rsidR="00D64219" w:rsidRPr="00F77E2E">
        <w:rPr>
          <w:rFonts w:ascii="David" w:hAnsi="David" w:cs="David"/>
          <w:sz w:val="24"/>
          <w:szCs w:val="24"/>
          <w:rtl/>
        </w:rPr>
        <w:t>ו</w:t>
      </w:r>
      <w:r w:rsidRPr="00F77E2E">
        <w:rPr>
          <w:rFonts w:ascii="David" w:hAnsi="David" w:cs="David"/>
          <w:sz w:val="24"/>
          <w:szCs w:val="24"/>
          <w:rtl/>
        </w:rPr>
        <w:t xml:space="preserve"> </w:t>
      </w:r>
      <w:r w:rsidR="00A134CA" w:rsidRPr="00F77E2E">
        <w:rPr>
          <w:rFonts w:ascii="David" w:hAnsi="David" w:cs="David"/>
          <w:sz w:val="24"/>
          <w:szCs w:val="24"/>
          <w:rtl/>
        </w:rPr>
        <w:t>אירוע</w:t>
      </w:r>
      <w:r w:rsidR="00D64219" w:rsidRPr="00F77E2E">
        <w:rPr>
          <w:rFonts w:ascii="David" w:hAnsi="David" w:cs="David"/>
          <w:sz w:val="24"/>
          <w:szCs w:val="24"/>
          <w:rtl/>
        </w:rPr>
        <w:t>ים שליליים משמעותיים ב</w:t>
      </w:r>
      <w:r w:rsidR="00312614" w:rsidRPr="00F77E2E">
        <w:rPr>
          <w:rFonts w:ascii="David" w:hAnsi="David" w:cs="David"/>
          <w:sz w:val="24"/>
          <w:szCs w:val="24"/>
          <w:rtl/>
        </w:rPr>
        <w:t>חברות "</w:t>
      </w:r>
      <w:proofErr w:type="spellStart"/>
      <w:r w:rsidR="00312614" w:rsidRPr="00F77E2E">
        <w:rPr>
          <w:rFonts w:ascii="David" w:hAnsi="David" w:cs="David"/>
          <w:sz w:val="24"/>
          <w:szCs w:val="24"/>
          <w:rtl/>
        </w:rPr>
        <w:t>יונט</w:t>
      </w:r>
      <w:proofErr w:type="spellEnd"/>
      <w:r w:rsidR="00312614" w:rsidRPr="00F77E2E">
        <w:rPr>
          <w:rFonts w:ascii="David" w:hAnsi="David" w:cs="David"/>
          <w:sz w:val="24"/>
          <w:szCs w:val="24"/>
          <w:rtl/>
        </w:rPr>
        <w:t xml:space="preserve"> קרדיט" ו"גיבוי אחזקות"</w:t>
      </w:r>
      <w:r w:rsidR="00A134CA" w:rsidRPr="00F77E2E">
        <w:rPr>
          <w:rFonts w:ascii="David" w:hAnsi="David" w:cs="David"/>
          <w:sz w:val="24"/>
          <w:szCs w:val="24"/>
          <w:rtl/>
        </w:rPr>
        <w:t xml:space="preserve">. התשואה העודפת לכל תצפית </w:t>
      </w:r>
      <w:r w:rsidR="00D64219" w:rsidRPr="00F77E2E">
        <w:rPr>
          <w:rFonts w:ascii="David" w:hAnsi="David" w:cs="David"/>
          <w:sz w:val="24"/>
          <w:szCs w:val="24"/>
          <w:rtl/>
        </w:rPr>
        <w:t>חברה</w:t>
      </w:r>
      <w:r w:rsidR="00A134CA" w:rsidRPr="00F77E2E">
        <w:rPr>
          <w:rFonts w:ascii="David" w:hAnsi="David" w:cs="David"/>
          <w:sz w:val="24"/>
          <w:szCs w:val="24"/>
          <w:rtl/>
        </w:rPr>
        <w:t xml:space="preserve">-אירוע נאמדה כפער בין התשואה של מניית </w:t>
      </w:r>
      <w:r w:rsidR="00D64219" w:rsidRPr="00F77E2E">
        <w:rPr>
          <w:rFonts w:ascii="David" w:hAnsi="David" w:cs="David"/>
          <w:sz w:val="24"/>
          <w:szCs w:val="24"/>
          <w:rtl/>
        </w:rPr>
        <w:t>החברה ביום האירוע לתשואה הצפויה שלה</w:t>
      </w:r>
      <w:r w:rsidR="00A134CA" w:rsidRPr="00F77E2E">
        <w:rPr>
          <w:rFonts w:ascii="David" w:hAnsi="David" w:cs="David"/>
          <w:sz w:val="24"/>
          <w:szCs w:val="24"/>
          <w:rtl/>
        </w:rPr>
        <w:t xml:space="preserve"> על</w:t>
      </w:r>
      <w:r w:rsidRPr="00F77E2E">
        <w:rPr>
          <w:rFonts w:ascii="David" w:hAnsi="David" w:cs="David"/>
          <w:sz w:val="24"/>
          <w:szCs w:val="24"/>
          <w:rtl/>
        </w:rPr>
        <w:t xml:space="preserve"> </w:t>
      </w:r>
      <w:r w:rsidR="00A134CA" w:rsidRPr="00F77E2E">
        <w:rPr>
          <w:rFonts w:ascii="David" w:hAnsi="David" w:cs="David"/>
          <w:sz w:val="24"/>
          <w:szCs w:val="24"/>
          <w:rtl/>
        </w:rPr>
        <w:t xml:space="preserve">בסיס המקדמים שהתקבלו מאמידת </w:t>
      </w:r>
      <w:r w:rsidR="000461A3" w:rsidRPr="00F77E2E">
        <w:rPr>
          <w:rFonts w:ascii="David" w:hAnsi="David" w:cs="David"/>
          <w:sz w:val="24"/>
          <w:szCs w:val="24"/>
          <w:rtl/>
        </w:rPr>
        <w:t>ה</w:t>
      </w:r>
      <w:r w:rsidR="00A134CA" w:rsidRPr="00F77E2E">
        <w:rPr>
          <w:rFonts w:ascii="David" w:hAnsi="David" w:cs="David"/>
          <w:sz w:val="24"/>
          <w:szCs w:val="24"/>
          <w:rtl/>
        </w:rPr>
        <w:t>משוואה</w:t>
      </w:r>
      <w:r w:rsidR="000461A3" w:rsidRPr="00F77E2E">
        <w:rPr>
          <w:rFonts w:ascii="David" w:hAnsi="David" w:cs="David"/>
          <w:sz w:val="24"/>
          <w:szCs w:val="24"/>
          <w:rtl/>
        </w:rPr>
        <w:t xml:space="preserve"> הבאה</w:t>
      </w:r>
      <w:r w:rsidR="00A134CA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0461A3" w:rsidRPr="00F77E2E">
        <w:rPr>
          <w:rFonts w:ascii="David" w:hAnsi="David" w:cs="David"/>
          <w:sz w:val="24"/>
          <w:szCs w:val="24"/>
          <w:rtl/>
        </w:rPr>
        <w:t xml:space="preserve">לאורך </w:t>
      </w:r>
      <w:r w:rsidR="008118CB" w:rsidRPr="00F77E2E">
        <w:rPr>
          <w:rFonts w:ascii="David" w:hAnsi="David" w:cs="David"/>
          <w:sz w:val="24"/>
          <w:szCs w:val="24"/>
          <w:rtl/>
        </w:rPr>
        <w:t>"תקופת אמידה"</w:t>
      </w:r>
      <w:r w:rsidRPr="00F77E2E">
        <w:rPr>
          <w:rFonts w:ascii="David" w:hAnsi="David" w:cs="David"/>
          <w:sz w:val="24"/>
          <w:szCs w:val="24"/>
          <w:rtl/>
        </w:rPr>
        <w:t>,</w:t>
      </w:r>
      <w:r w:rsidR="00A134CA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F933A8" w:rsidRPr="00F77E2E">
        <w:rPr>
          <w:rFonts w:ascii="David" w:hAnsi="David" w:cs="David"/>
          <w:sz w:val="24"/>
          <w:szCs w:val="24"/>
          <w:rtl/>
        </w:rPr>
        <w:t xml:space="preserve">שמתחילה </w:t>
      </w:r>
      <w:r w:rsidR="00D64219" w:rsidRPr="00F77E2E">
        <w:rPr>
          <w:rFonts w:ascii="David" w:hAnsi="David" w:cs="David"/>
          <w:sz w:val="24"/>
          <w:szCs w:val="24"/>
          <w:rtl/>
        </w:rPr>
        <w:t>בתחילת מאי 2021 ומסתיימת בסוף אפריל 2022</w:t>
      </w:r>
      <w:r w:rsidR="000461A3" w:rsidRPr="00F77E2E">
        <w:rPr>
          <w:rFonts w:ascii="David" w:hAnsi="David" w:cs="David"/>
          <w:sz w:val="24"/>
          <w:szCs w:val="24"/>
          <w:rtl/>
        </w:rPr>
        <w:t>:</w:t>
      </w:r>
    </w:p>
    <w:p w:rsidR="000461A3" w:rsidRPr="00F77E2E" w:rsidRDefault="004C5E01" w:rsidP="000461A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m:oMathPara>
        <m:oMath>
          <m:sSub>
            <m:sSub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David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2</m:t>
                  </m:r>
                </m:e>
              </m:d>
              <m:r>
                <w:rPr>
                  <w:rFonts w:ascii="Cambria Math" w:hAnsi="Cambria Math" w:cs="David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,</m:t>
              </m:r>
              <m:r>
                <w:rPr>
                  <w:rFonts w:ascii="Cambria Math" w:hAnsi="Cambria Math" w:cs="David"/>
                  <w:sz w:val="24"/>
                  <w:szCs w:val="24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,</m:t>
              </m:r>
              <m:r>
                <w:rPr>
                  <w:rFonts w:ascii="Cambria Math" w:hAnsi="Cambria Math" w:cs="David"/>
                  <w:sz w:val="24"/>
                  <w:szCs w:val="24"/>
                </w:rPr>
                <m:t>m</m:t>
              </m:r>
            </m:sub>
          </m:sSub>
          <m:sSub>
            <m:sSub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,</m:t>
              </m:r>
              <m:r>
                <w:rPr>
                  <w:rFonts w:ascii="Cambria Math" w:hAnsi="Cambria Math" w:cs="David"/>
                  <w:sz w:val="24"/>
                  <w:szCs w:val="24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,</m:t>
              </m:r>
              <m:r>
                <w:rPr>
                  <w:rFonts w:ascii="Cambria Math" w:hAnsi="Cambria Math" w:cs="David"/>
                  <w:sz w:val="24"/>
                  <w:szCs w:val="24"/>
                </w:rPr>
                <m:t>fin</m:t>
              </m:r>
            </m:sub>
          </m:sSub>
          <m:sSub>
            <m:sSub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fin</m:t>
              </m:r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,</m:t>
              </m:r>
              <m:r>
                <w:rPr>
                  <w:rFonts w:ascii="Cambria Math" w:hAnsi="Cambria Math" w:cs="David"/>
                  <w:sz w:val="24"/>
                  <w:szCs w:val="24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ε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t</m:t>
              </m:r>
            </m:sub>
          </m:sSub>
        </m:oMath>
      </m:oMathPara>
    </w:p>
    <w:p w:rsidR="000461A3" w:rsidRPr="00F77E2E" w:rsidRDefault="000461A3" w:rsidP="000461A3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77E2E">
        <w:rPr>
          <w:rFonts w:ascii="David" w:hAnsi="David" w:cs="David"/>
          <w:sz w:val="24"/>
          <w:szCs w:val="24"/>
          <w:rtl/>
        </w:rPr>
        <w:t xml:space="preserve">השתמשנו במקדמים </w:t>
      </w:r>
      <w:r w:rsidR="00F933A8" w:rsidRPr="00F77E2E">
        <w:rPr>
          <w:rFonts w:ascii="David" w:hAnsi="David" w:cs="David"/>
          <w:sz w:val="24"/>
          <w:szCs w:val="24"/>
          <w:rtl/>
        </w:rPr>
        <w:t xml:space="preserve">שמתקבלים </w:t>
      </w:r>
      <w:r w:rsidRPr="00F77E2E">
        <w:rPr>
          <w:rFonts w:ascii="David" w:hAnsi="David" w:cs="David"/>
          <w:sz w:val="24"/>
          <w:szCs w:val="24"/>
          <w:rtl/>
        </w:rPr>
        <w:t xml:space="preserve">מאמידה זאת כבסיס לחיזוי התשואה הצפויה בימים שבהם התרחש אירוע שלילי </w:t>
      </w:r>
      <w:r w:rsidR="00312614" w:rsidRPr="00F77E2E">
        <w:rPr>
          <w:rFonts w:ascii="David" w:hAnsi="David" w:cs="David"/>
          <w:sz w:val="24"/>
          <w:szCs w:val="24"/>
          <w:rtl/>
        </w:rPr>
        <w:t>בחברות "</w:t>
      </w:r>
      <w:proofErr w:type="spellStart"/>
      <w:r w:rsidR="00312614" w:rsidRPr="00F77E2E">
        <w:rPr>
          <w:rFonts w:ascii="David" w:hAnsi="David" w:cs="David"/>
          <w:sz w:val="24"/>
          <w:szCs w:val="24"/>
          <w:rtl/>
        </w:rPr>
        <w:t>יונט</w:t>
      </w:r>
      <w:proofErr w:type="spellEnd"/>
      <w:r w:rsidR="00312614" w:rsidRPr="00F77E2E">
        <w:rPr>
          <w:rFonts w:ascii="David" w:hAnsi="David" w:cs="David"/>
          <w:sz w:val="24"/>
          <w:szCs w:val="24"/>
          <w:rtl/>
        </w:rPr>
        <w:t xml:space="preserve"> קרדיט" או "גיבוי אחזקות" </w:t>
      </w:r>
      <w:r w:rsidRPr="00F77E2E">
        <w:rPr>
          <w:rFonts w:ascii="David" w:hAnsi="David" w:cs="David"/>
          <w:sz w:val="24"/>
          <w:szCs w:val="24"/>
          <w:rtl/>
        </w:rPr>
        <w:t xml:space="preserve">וחישבנו את ההשפעה </w:t>
      </w:r>
      <w:r w:rsidR="008118CB" w:rsidRPr="00F77E2E">
        <w:rPr>
          <w:rFonts w:ascii="David" w:hAnsi="David" w:cs="David"/>
          <w:sz w:val="24"/>
          <w:szCs w:val="24"/>
          <w:rtl/>
        </w:rPr>
        <w:t xml:space="preserve">"מעבר לצפוי" </w:t>
      </w:r>
      <w:r w:rsidRPr="00F77E2E">
        <w:rPr>
          <w:rFonts w:ascii="David" w:hAnsi="David" w:cs="David"/>
          <w:sz w:val="24"/>
          <w:szCs w:val="24"/>
          <w:rtl/>
        </w:rPr>
        <w:t>(</w:t>
      </w:r>
      <w:r w:rsidRPr="00F77E2E">
        <w:rPr>
          <w:rFonts w:ascii="David" w:hAnsi="David" w:cs="David"/>
          <w:sz w:val="24"/>
          <w:szCs w:val="24"/>
        </w:rPr>
        <w:t>AR=abnormal return</w:t>
      </w:r>
      <w:r w:rsidRPr="00F77E2E">
        <w:rPr>
          <w:rFonts w:ascii="David" w:hAnsi="David" w:cs="David"/>
          <w:sz w:val="24"/>
          <w:szCs w:val="24"/>
          <w:rtl/>
        </w:rPr>
        <w:t>) של כל אירוע על תשואת</w:t>
      </w:r>
      <w:r w:rsidR="001509F2" w:rsidRPr="00F77E2E">
        <w:rPr>
          <w:rFonts w:ascii="David" w:hAnsi="David" w:cs="David"/>
          <w:sz w:val="24"/>
          <w:szCs w:val="24"/>
          <w:rtl/>
        </w:rPr>
        <w:t>ן של</w:t>
      </w:r>
      <w:r w:rsidRPr="00F77E2E">
        <w:rPr>
          <w:rFonts w:ascii="David" w:hAnsi="David" w:cs="David"/>
          <w:sz w:val="24"/>
          <w:szCs w:val="24"/>
          <w:rtl/>
        </w:rPr>
        <w:t xml:space="preserve"> חברות האשראי החוץ-בנקאי המתחרות באמצעות המשוואה:</w:t>
      </w:r>
    </w:p>
    <w:p w:rsidR="000461A3" w:rsidRPr="00F77E2E" w:rsidRDefault="004C5E01" w:rsidP="000461A3">
      <w:pPr>
        <w:spacing w:line="360" w:lineRule="auto"/>
        <w:jc w:val="both"/>
        <w:rPr>
          <w:rFonts w:ascii="David" w:hAnsi="David" w:cs="David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David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3</m:t>
                  </m:r>
                </m:e>
              </m:d>
              <m:r>
                <w:rPr>
                  <w:rFonts w:ascii="Cambria Math" w:hAnsi="Cambria Math" w:cs="David"/>
                  <w:sz w:val="24"/>
                  <w:szCs w:val="24"/>
                </w:rPr>
                <m:t>AR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,</m:t>
              </m:r>
              <m:r>
                <w:rPr>
                  <w:rFonts w:ascii="Cambria Math" w:hAnsi="Cambria Math" w:cs="David"/>
                  <w:sz w:val="24"/>
                  <w:szCs w:val="24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,</m:t>
              </m:r>
              <m:r>
                <w:rPr>
                  <w:rFonts w:ascii="Cambria Math" w:hAnsi="Cambria Math" w:cs="David"/>
                  <w:sz w:val="24"/>
                  <w:szCs w:val="24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 xml:space="preserve">- </m:t>
          </m:r>
          <m:acc>
            <m:acc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David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α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i</m:t>
                  </m:r>
                </m:sub>
              </m:sSub>
            </m:e>
          </m:acc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 xml:space="preserve">- </m:t>
          </m:r>
          <m:acc>
            <m:acc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David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,</m:t>
                  </m:r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m</m:t>
                  </m:r>
                </m:sub>
              </m:sSub>
            </m:e>
          </m:acc>
          <m:sSub>
            <m:sSub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,</m:t>
              </m:r>
              <m:r>
                <w:rPr>
                  <w:rFonts w:ascii="Cambria Math" w:hAnsi="Cambria Math" w:cs="David"/>
                  <w:sz w:val="24"/>
                  <w:szCs w:val="24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>-</m:t>
          </m:r>
          <m:acc>
            <m:acc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David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,</m:t>
                  </m:r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fin</m:t>
                  </m:r>
                </m:sub>
              </m:sSub>
            </m:e>
          </m:acc>
          <m:sSub>
            <m:sSub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fin</m:t>
              </m:r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,</m:t>
              </m:r>
              <m:r>
                <w:rPr>
                  <w:rFonts w:ascii="Cambria Math" w:hAnsi="Cambria Math" w:cs="David"/>
                  <w:sz w:val="24"/>
                  <w:szCs w:val="24"/>
                </w:rPr>
                <m:t>t</m:t>
              </m:r>
            </m:sub>
          </m:sSub>
        </m:oMath>
      </m:oMathPara>
    </w:p>
    <w:p w:rsidR="00403322" w:rsidRPr="00F77E2E" w:rsidRDefault="000461A3" w:rsidP="002434EE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77E2E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="00F70C38" w:rsidRPr="00F77E2E">
        <w:rPr>
          <w:rFonts w:ascii="David" w:hAnsi="David" w:cs="David"/>
          <w:sz w:val="24"/>
          <w:szCs w:val="24"/>
          <w:u w:val="single"/>
          <w:rtl/>
        </w:rPr>
        <w:t>תשואה עודפת 1</w:t>
      </w:r>
      <w:r w:rsidR="00A134CA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E14FE8" w:rsidRPr="00F77E2E">
        <w:rPr>
          <w:rFonts w:ascii="David" w:hAnsi="David" w:cs="David"/>
          <w:sz w:val="24"/>
          <w:szCs w:val="24"/>
          <w:rtl/>
        </w:rPr>
        <w:t>היא</w:t>
      </w:r>
      <w:r w:rsidR="00F404EF" w:rsidRPr="00F77E2E">
        <w:rPr>
          <w:rFonts w:ascii="David" w:hAnsi="David" w:cs="David"/>
          <w:sz w:val="24"/>
          <w:szCs w:val="24"/>
          <w:rtl/>
        </w:rPr>
        <w:t xml:space="preserve"> התשוא</w:t>
      </w:r>
      <w:r w:rsidR="00E14FE8" w:rsidRPr="00F77E2E">
        <w:rPr>
          <w:rFonts w:ascii="David" w:hAnsi="David" w:cs="David"/>
          <w:sz w:val="24"/>
          <w:szCs w:val="24"/>
          <w:rtl/>
        </w:rPr>
        <w:t>ה</w:t>
      </w:r>
      <w:r w:rsidR="00F404EF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A134CA" w:rsidRPr="00F77E2E">
        <w:rPr>
          <w:rFonts w:ascii="David" w:hAnsi="David" w:cs="David"/>
          <w:sz w:val="24"/>
          <w:szCs w:val="24"/>
          <w:rtl/>
        </w:rPr>
        <w:t xml:space="preserve">העודפת </w:t>
      </w:r>
      <w:r w:rsidR="00567660" w:rsidRPr="00F77E2E">
        <w:rPr>
          <w:rFonts w:ascii="David" w:hAnsi="David" w:cs="David"/>
          <w:sz w:val="24"/>
          <w:szCs w:val="24"/>
          <w:rtl/>
        </w:rPr>
        <w:t xml:space="preserve">שמבוססת </w:t>
      </w:r>
      <w:r w:rsidR="00A134CA" w:rsidRPr="00F77E2E">
        <w:rPr>
          <w:rFonts w:ascii="David" w:hAnsi="David" w:cs="David"/>
          <w:sz w:val="24"/>
          <w:szCs w:val="24"/>
          <w:rtl/>
        </w:rPr>
        <w:t xml:space="preserve">על אמידת משוואה (2) עם משתנה מסביר אחד </w:t>
      </w:r>
      <w:r w:rsidR="007D76B1" w:rsidRPr="00F77E2E">
        <w:rPr>
          <w:rFonts w:ascii="David" w:hAnsi="David" w:cs="David"/>
          <w:sz w:val="24"/>
          <w:szCs w:val="24"/>
          <w:rtl/>
        </w:rPr>
        <w:t xml:space="preserve">– </w:t>
      </w:r>
      <w:r w:rsidR="00A134CA" w:rsidRPr="00F77E2E">
        <w:rPr>
          <w:rFonts w:ascii="David" w:hAnsi="David" w:cs="David"/>
          <w:sz w:val="24"/>
          <w:szCs w:val="24"/>
          <w:rtl/>
        </w:rPr>
        <w:t xml:space="preserve">מדד ת"א </w:t>
      </w:r>
      <w:r w:rsidR="00E14FE8" w:rsidRPr="00F77E2E">
        <w:rPr>
          <w:rFonts w:ascii="David" w:hAnsi="David" w:cs="David"/>
          <w:sz w:val="24"/>
          <w:szCs w:val="24"/>
          <w:rtl/>
        </w:rPr>
        <w:t>125</w:t>
      </w:r>
      <w:r w:rsidR="00A134CA" w:rsidRPr="00F77E2E">
        <w:rPr>
          <w:rFonts w:ascii="David" w:hAnsi="David" w:cs="David"/>
          <w:sz w:val="24"/>
          <w:szCs w:val="24"/>
          <w:u w:val="single"/>
          <w:rtl/>
        </w:rPr>
        <w:t xml:space="preserve">. </w:t>
      </w:r>
      <w:r w:rsidR="00F70C38" w:rsidRPr="00F77E2E">
        <w:rPr>
          <w:rFonts w:ascii="David" w:hAnsi="David" w:cs="David"/>
          <w:sz w:val="24"/>
          <w:szCs w:val="24"/>
          <w:u w:val="single"/>
          <w:rtl/>
        </w:rPr>
        <w:t>תשואה עודפת 2</w:t>
      </w:r>
      <w:r w:rsidR="00F404EF" w:rsidRPr="00F77E2E">
        <w:rPr>
          <w:rFonts w:ascii="David" w:hAnsi="David" w:cs="David"/>
          <w:sz w:val="24"/>
          <w:szCs w:val="24"/>
          <w:rtl/>
        </w:rPr>
        <w:t xml:space="preserve"> ה</w:t>
      </w:r>
      <w:r w:rsidR="00E14FE8" w:rsidRPr="00F77E2E">
        <w:rPr>
          <w:rFonts w:ascii="David" w:hAnsi="David" w:cs="David"/>
          <w:sz w:val="24"/>
          <w:szCs w:val="24"/>
          <w:rtl/>
        </w:rPr>
        <w:t>יא</w:t>
      </w:r>
      <w:r w:rsidR="00F404EF" w:rsidRPr="00F77E2E">
        <w:rPr>
          <w:rFonts w:ascii="David" w:hAnsi="David" w:cs="David"/>
          <w:sz w:val="24"/>
          <w:szCs w:val="24"/>
          <w:rtl/>
        </w:rPr>
        <w:t xml:space="preserve"> התשוא</w:t>
      </w:r>
      <w:r w:rsidR="00E14FE8" w:rsidRPr="00F77E2E">
        <w:rPr>
          <w:rFonts w:ascii="David" w:hAnsi="David" w:cs="David"/>
          <w:sz w:val="24"/>
          <w:szCs w:val="24"/>
          <w:rtl/>
        </w:rPr>
        <w:t>ה</w:t>
      </w:r>
      <w:r w:rsidR="00F404EF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A134CA" w:rsidRPr="00F77E2E">
        <w:rPr>
          <w:rFonts w:ascii="David" w:hAnsi="David" w:cs="David"/>
          <w:sz w:val="24"/>
          <w:szCs w:val="24"/>
          <w:rtl/>
        </w:rPr>
        <w:t xml:space="preserve">העודפת </w:t>
      </w:r>
      <w:r w:rsidR="00567660" w:rsidRPr="00F77E2E">
        <w:rPr>
          <w:rFonts w:ascii="David" w:hAnsi="David" w:cs="David"/>
          <w:sz w:val="24"/>
          <w:szCs w:val="24"/>
          <w:rtl/>
        </w:rPr>
        <w:t xml:space="preserve">שמבוססת </w:t>
      </w:r>
      <w:r w:rsidR="00A134CA" w:rsidRPr="00F77E2E">
        <w:rPr>
          <w:rFonts w:ascii="David" w:hAnsi="David" w:cs="David"/>
          <w:sz w:val="24"/>
          <w:szCs w:val="24"/>
          <w:rtl/>
        </w:rPr>
        <w:t xml:space="preserve">על אמידת משוואה (2) עם מדד ת"א </w:t>
      </w:r>
      <w:r w:rsidR="00E14FE8" w:rsidRPr="00F77E2E">
        <w:rPr>
          <w:rFonts w:ascii="David" w:hAnsi="David" w:cs="David"/>
          <w:sz w:val="24"/>
          <w:szCs w:val="24"/>
          <w:rtl/>
        </w:rPr>
        <w:t>125 ומדד ת"א פיננסים</w:t>
      </w:r>
      <w:r w:rsidR="00F404EF" w:rsidRPr="00F77E2E">
        <w:rPr>
          <w:rFonts w:ascii="David" w:hAnsi="David" w:cs="David"/>
          <w:sz w:val="24"/>
          <w:szCs w:val="24"/>
          <w:rtl/>
        </w:rPr>
        <w:t xml:space="preserve">. </w:t>
      </w:r>
      <w:r w:rsidR="00A134CA" w:rsidRPr="00F77E2E">
        <w:rPr>
          <w:rFonts w:ascii="David" w:hAnsi="David" w:cs="David"/>
          <w:sz w:val="24"/>
          <w:szCs w:val="24"/>
          <w:rtl/>
        </w:rPr>
        <w:t>טור (2) מציג את מ</w:t>
      </w:r>
      <w:r w:rsidR="00897AF4" w:rsidRPr="00F77E2E">
        <w:rPr>
          <w:rFonts w:ascii="David" w:hAnsi="David" w:cs="David"/>
          <w:sz w:val="24"/>
          <w:szCs w:val="24"/>
          <w:rtl/>
        </w:rPr>
        <w:t xml:space="preserve">ספר התצפיות </w:t>
      </w:r>
      <w:r w:rsidR="00567660" w:rsidRPr="00F77E2E">
        <w:rPr>
          <w:rFonts w:ascii="David" w:hAnsi="David" w:cs="David"/>
          <w:sz w:val="24"/>
          <w:szCs w:val="24"/>
          <w:rtl/>
        </w:rPr>
        <w:t xml:space="preserve">שמשמשות </w:t>
      </w:r>
      <w:r w:rsidR="00897AF4" w:rsidRPr="00F77E2E">
        <w:rPr>
          <w:rFonts w:ascii="David" w:hAnsi="David" w:cs="David"/>
          <w:sz w:val="24"/>
          <w:szCs w:val="24"/>
          <w:rtl/>
        </w:rPr>
        <w:t>לאמידה ששוות</w:t>
      </w:r>
      <w:r w:rsidR="00A134CA" w:rsidRPr="00F77E2E">
        <w:rPr>
          <w:rFonts w:ascii="David" w:hAnsi="David" w:cs="David"/>
          <w:sz w:val="24"/>
          <w:szCs w:val="24"/>
          <w:rtl/>
        </w:rPr>
        <w:t xml:space="preserve"> למספר האירועים כפול מספר </w:t>
      </w:r>
      <w:r w:rsidR="00897AF4" w:rsidRPr="00F77E2E">
        <w:rPr>
          <w:rFonts w:ascii="David" w:hAnsi="David" w:cs="David"/>
          <w:sz w:val="24"/>
          <w:szCs w:val="24"/>
          <w:rtl/>
        </w:rPr>
        <w:t>החברות הנבחנות</w:t>
      </w:r>
      <w:r w:rsidR="00A134CA" w:rsidRPr="00F77E2E">
        <w:rPr>
          <w:rFonts w:ascii="David" w:hAnsi="David" w:cs="David"/>
          <w:sz w:val="24"/>
          <w:szCs w:val="24"/>
          <w:rtl/>
        </w:rPr>
        <w:t xml:space="preserve">. טור (3) מציג את ממוצע התשואות העודפות, כאשר המובהקות מתבססת על מבחן </w:t>
      </w:r>
      <w:r w:rsidR="00A134CA" w:rsidRPr="00F77E2E">
        <w:rPr>
          <w:rFonts w:ascii="David" w:hAnsi="David" w:cs="David"/>
          <w:sz w:val="24"/>
          <w:szCs w:val="24"/>
        </w:rPr>
        <w:t>t</w:t>
      </w:r>
      <w:r w:rsidR="00A134CA" w:rsidRPr="00F77E2E">
        <w:rPr>
          <w:rFonts w:ascii="David" w:hAnsi="David" w:cs="David"/>
          <w:sz w:val="24"/>
          <w:szCs w:val="24"/>
          <w:rtl/>
        </w:rPr>
        <w:t xml:space="preserve"> דו-צדדי להשערה שהתשואה העודפת הממוצעת שווה לאפס. טור (4) מציג את חציון התשואות העודפות, כאשר המובהקות מתבססת על מבחן </w:t>
      </w:r>
      <w:r w:rsidR="00A134CA" w:rsidRPr="00F77E2E">
        <w:rPr>
          <w:rFonts w:ascii="David" w:hAnsi="David" w:cs="David"/>
          <w:sz w:val="24"/>
          <w:szCs w:val="24"/>
        </w:rPr>
        <w:t>Wilcoxon</w:t>
      </w:r>
      <w:r w:rsidR="00A134CA" w:rsidRPr="00F77E2E">
        <w:rPr>
          <w:rFonts w:ascii="David" w:hAnsi="David" w:cs="David"/>
          <w:sz w:val="24"/>
          <w:szCs w:val="24"/>
          <w:rtl/>
        </w:rPr>
        <w:t xml:space="preserve"> דו-צדדי להשערה שהתשואה העודפת החציונית שווה לאפס. טורים (5) ו-(6) מציגים את מספר התצפיות </w:t>
      </w:r>
      <w:r w:rsidR="001F6AF1" w:rsidRPr="00F77E2E">
        <w:rPr>
          <w:rFonts w:ascii="David" w:hAnsi="David" w:cs="David"/>
          <w:sz w:val="24"/>
          <w:szCs w:val="24"/>
          <w:rtl/>
        </w:rPr>
        <w:t>חברה</w:t>
      </w:r>
      <w:r w:rsidR="00A134CA" w:rsidRPr="00F77E2E">
        <w:rPr>
          <w:rFonts w:ascii="David" w:hAnsi="David" w:cs="David"/>
          <w:sz w:val="24"/>
          <w:szCs w:val="24"/>
          <w:rtl/>
        </w:rPr>
        <w:t>-אירוע עם תשו</w:t>
      </w:r>
      <w:r w:rsidR="006F5FEC" w:rsidRPr="00F77E2E">
        <w:rPr>
          <w:rFonts w:ascii="David" w:hAnsi="David" w:cs="David"/>
          <w:sz w:val="24"/>
          <w:szCs w:val="24"/>
          <w:rtl/>
        </w:rPr>
        <w:t xml:space="preserve">אה עודפת שלילית וחיובית, בהתאמה, כאשר המובהקות מתבססת על </w:t>
      </w:r>
      <w:r w:rsidR="00683309" w:rsidRPr="00F77E2E">
        <w:rPr>
          <w:rFonts w:ascii="David" w:hAnsi="David" w:cs="David"/>
          <w:sz w:val="24"/>
          <w:szCs w:val="24"/>
          <w:rtl/>
        </w:rPr>
        <w:t>מבחן הסימן</w:t>
      </w:r>
      <w:r w:rsidR="00853F35" w:rsidRPr="00F77E2E">
        <w:rPr>
          <w:rFonts w:ascii="David" w:hAnsi="David" w:cs="David"/>
          <w:sz w:val="24"/>
          <w:szCs w:val="24"/>
          <w:rtl/>
        </w:rPr>
        <w:t>.</w:t>
      </w:r>
    </w:p>
    <w:p w:rsidR="00644D62" w:rsidRPr="00F77E2E" w:rsidRDefault="00644D62" w:rsidP="009D7E55">
      <w:pPr>
        <w:pStyle w:val="1"/>
        <w:numPr>
          <w:ilvl w:val="0"/>
          <w:numId w:val="2"/>
        </w:numPr>
        <w:bidi/>
        <w:rPr>
          <w:rFonts w:ascii="David" w:hAnsi="David" w:cs="David"/>
          <w:color w:val="auto"/>
          <w:sz w:val="24"/>
          <w:szCs w:val="24"/>
          <w:rtl/>
        </w:rPr>
      </w:pPr>
      <w:r w:rsidRPr="00F77E2E">
        <w:rPr>
          <w:rFonts w:ascii="David" w:hAnsi="David" w:cs="David"/>
          <w:color w:val="auto"/>
          <w:sz w:val="24"/>
          <w:szCs w:val="24"/>
          <w:rtl/>
        </w:rPr>
        <w:t>סיכום</w:t>
      </w:r>
    </w:p>
    <w:p w:rsidR="00E24C6A" w:rsidRPr="00F77E2E" w:rsidRDefault="00A93EFC" w:rsidP="0031764A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77E2E">
        <w:rPr>
          <w:rFonts w:ascii="David" w:hAnsi="David" w:cs="David"/>
          <w:sz w:val="24"/>
          <w:szCs w:val="24"/>
          <w:rtl/>
        </w:rPr>
        <w:t>שוק האשראי ה</w:t>
      </w:r>
      <w:r w:rsidR="000D4A1A" w:rsidRPr="00F77E2E">
        <w:rPr>
          <w:rFonts w:ascii="David" w:hAnsi="David" w:cs="David"/>
          <w:sz w:val="24"/>
          <w:szCs w:val="24"/>
          <w:rtl/>
        </w:rPr>
        <w:t>חוץ-ב</w:t>
      </w:r>
      <w:r w:rsidRPr="00F77E2E">
        <w:rPr>
          <w:rFonts w:ascii="David" w:hAnsi="David" w:cs="David"/>
          <w:sz w:val="24"/>
          <w:szCs w:val="24"/>
          <w:rtl/>
        </w:rPr>
        <w:t xml:space="preserve">נקאי צמח </w:t>
      </w:r>
      <w:r w:rsidR="00567660" w:rsidRPr="00F77E2E">
        <w:rPr>
          <w:rFonts w:ascii="David" w:hAnsi="David" w:cs="David"/>
          <w:sz w:val="24"/>
          <w:szCs w:val="24"/>
          <w:rtl/>
        </w:rPr>
        <w:t xml:space="preserve">בשנים האחרונות </w:t>
      </w:r>
      <w:r w:rsidRPr="00F77E2E">
        <w:rPr>
          <w:rFonts w:ascii="David" w:hAnsi="David" w:cs="David"/>
          <w:sz w:val="24"/>
          <w:szCs w:val="24"/>
          <w:rtl/>
        </w:rPr>
        <w:t xml:space="preserve">בקצב מהיר, אבל על-רקע </w:t>
      </w:r>
      <w:r w:rsidR="00567660" w:rsidRPr="00F77E2E">
        <w:rPr>
          <w:rFonts w:ascii="David" w:hAnsi="David" w:cs="David"/>
          <w:sz w:val="24"/>
          <w:szCs w:val="24"/>
          <w:rtl/>
        </w:rPr>
        <w:t xml:space="preserve">אסדרה </w:t>
      </w:r>
      <w:proofErr w:type="spellStart"/>
      <w:r w:rsidRPr="00F77E2E">
        <w:rPr>
          <w:rFonts w:ascii="David" w:hAnsi="David" w:cs="David"/>
          <w:sz w:val="24"/>
          <w:szCs w:val="24"/>
          <w:rtl/>
        </w:rPr>
        <w:t>יציבותית</w:t>
      </w:r>
      <w:proofErr w:type="spellEnd"/>
      <w:r w:rsidRPr="00F77E2E">
        <w:rPr>
          <w:rFonts w:ascii="David" w:hAnsi="David" w:cs="David"/>
          <w:sz w:val="24"/>
          <w:szCs w:val="24"/>
          <w:rtl/>
        </w:rPr>
        <w:t xml:space="preserve"> מעטה</w:t>
      </w:r>
      <w:r w:rsidR="00567660" w:rsidRPr="00F77E2E">
        <w:rPr>
          <w:rFonts w:ascii="David" w:hAnsi="David" w:cs="David"/>
          <w:sz w:val="24"/>
          <w:szCs w:val="24"/>
          <w:rtl/>
        </w:rPr>
        <w:t>,</w:t>
      </w:r>
      <w:r w:rsidRPr="00F77E2E">
        <w:rPr>
          <w:rFonts w:ascii="David" w:hAnsi="David" w:cs="David"/>
          <w:sz w:val="24"/>
          <w:szCs w:val="24"/>
          <w:rtl/>
        </w:rPr>
        <w:t xml:space="preserve"> עלו גם חששות ליציבותן של החברות בתחום זה. חששות אלה גברו עם </w:t>
      </w:r>
      <w:r w:rsidR="00567660" w:rsidRPr="00F77E2E">
        <w:rPr>
          <w:rFonts w:ascii="David" w:hAnsi="David" w:cs="David"/>
          <w:sz w:val="24"/>
          <w:szCs w:val="24"/>
          <w:rtl/>
        </w:rPr>
        <w:t xml:space="preserve">חשיפתן </w:t>
      </w:r>
      <w:r w:rsidRPr="00F77E2E">
        <w:rPr>
          <w:rFonts w:ascii="David" w:hAnsi="David" w:cs="David"/>
          <w:sz w:val="24"/>
          <w:szCs w:val="24"/>
          <w:rtl/>
        </w:rPr>
        <w:t xml:space="preserve">של עדויות להתנהלות </w:t>
      </w:r>
      <w:r w:rsidRPr="00F77E2E">
        <w:rPr>
          <w:rFonts w:ascii="David" w:hAnsi="David" w:cs="David"/>
          <w:sz w:val="24"/>
          <w:szCs w:val="24"/>
          <w:rtl/>
        </w:rPr>
        <w:lastRenderedPageBreak/>
        <w:t xml:space="preserve">לקויה מאוד בחברות </w:t>
      </w:r>
      <w:r w:rsidR="00567660" w:rsidRPr="00F77E2E">
        <w:rPr>
          <w:rFonts w:ascii="David" w:hAnsi="David" w:cs="David"/>
          <w:sz w:val="24"/>
          <w:szCs w:val="24"/>
          <w:rtl/>
        </w:rPr>
        <w:t>"</w:t>
      </w:r>
      <w:proofErr w:type="spellStart"/>
      <w:r w:rsidRPr="00F77E2E">
        <w:rPr>
          <w:rFonts w:ascii="David" w:hAnsi="David" w:cs="David"/>
          <w:sz w:val="24"/>
          <w:szCs w:val="24"/>
          <w:rtl/>
        </w:rPr>
        <w:t>יונט</w:t>
      </w:r>
      <w:proofErr w:type="spellEnd"/>
      <w:r w:rsidRPr="00F77E2E">
        <w:rPr>
          <w:rFonts w:ascii="David" w:hAnsi="David" w:cs="David"/>
          <w:sz w:val="24"/>
          <w:szCs w:val="24"/>
          <w:rtl/>
        </w:rPr>
        <w:t xml:space="preserve"> קרדיט</w:t>
      </w:r>
      <w:r w:rsidR="00567660" w:rsidRPr="00F77E2E">
        <w:rPr>
          <w:rFonts w:ascii="David" w:hAnsi="David" w:cs="David"/>
          <w:sz w:val="24"/>
          <w:szCs w:val="24"/>
          <w:rtl/>
        </w:rPr>
        <w:t>"</w:t>
      </w:r>
      <w:r w:rsidRPr="00F77E2E">
        <w:rPr>
          <w:rFonts w:ascii="David" w:hAnsi="David" w:cs="David"/>
          <w:sz w:val="24"/>
          <w:szCs w:val="24"/>
          <w:rtl/>
        </w:rPr>
        <w:t xml:space="preserve"> ו</w:t>
      </w:r>
      <w:r w:rsidR="00567660" w:rsidRPr="00F77E2E">
        <w:rPr>
          <w:rFonts w:ascii="David" w:hAnsi="David" w:cs="David"/>
          <w:sz w:val="24"/>
          <w:szCs w:val="24"/>
          <w:rtl/>
        </w:rPr>
        <w:t>"</w:t>
      </w:r>
      <w:r w:rsidRPr="00F77E2E">
        <w:rPr>
          <w:rFonts w:ascii="David" w:hAnsi="David" w:cs="David"/>
          <w:sz w:val="24"/>
          <w:szCs w:val="24"/>
          <w:rtl/>
        </w:rPr>
        <w:t>גיבוי אחזקות</w:t>
      </w:r>
      <w:r w:rsidR="00567660" w:rsidRPr="00F77E2E">
        <w:rPr>
          <w:rFonts w:ascii="David" w:hAnsi="David" w:cs="David"/>
          <w:sz w:val="24"/>
          <w:szCs w:val="24"/>
          <w:rtl/>
        </w:rPr>
        <w:t>"</w:t>
      </w:r>
      <w:r w:rsidRPr="00F77E2E">
        <w:rPr>
          <w:rFonts w:ascii="David" w:hAnsi="David" w:cs="David"/>
          <w:sz w:val="24"/>
          <w:szCs w:val="24"/>
          <w:rtl/>
        </w:rPr>
        <w:t xml:space="preserve"> באביב-קיץ 2022</w:t>
      </w:r>
      <w:r w:rsidR="000D788C" w:rsidRPr="00F77E2E">
        <w:rPr>
          <w:rStyle w:val="ac"/>
          <w:rFonts w:ascii="David" w:hAnsi="David" w:cs="David"/>
          <w:sz w:val="24"/>
          <w:szCs w:val="24"/>
          <w:rtl/>
        </w:rPr>
        <w:footnoteReference w:id="25"/>
      </w:r>
      <w:r w:rsidRPr="00F77E2E">
        <w:rPr>
          <w:rFonts w:ascii="David" w:hAnsi="David" w:cs="David"/>
          <w:sz w:val="24"/>
          <w:szCs w:val="24"/>
          <w:rtl/>
        </w:rPr>
        <w:t xml:space="preserve">. בפרט </w:t>
      </w:r>
      <w:r w:rsidR="00E24C6A" w:rsidRPr="00F77E2E">
        <w:rPr>
          <w:rFonts w:ascii="David" w:hAnsi="David" w:cs="David"/>
          <w:sz w:val="24"/>
          <w:szCs w:val="24"/>
          <w:rtl/>
        </w:rPr>
        <w:t>עולה</w:t>
      </w:r>
      <w:r w:rsidRPr="00F77E2E">
        <w:rPr>
          <w:rFonts w:ascii="David" w:hAnsi="David" w:cs="David"/>
          <w:sz w:val="24"/>
          <w:szCs w:val="24"/>
          <w:rtl/>
        </w:rPr>
        <w:t xml:space="preserve"> השאלה</w:t>
      </w:r>
      <w:r w:rsidR="00567660" w:rsidRPr="00F77E2E">
        <w:rPr>
          <w:rFonts w:ascii="David" w:hAnsi="David" w:cs="David"/>
          <w:sz w:val="24"/>
          <w:szCs w:val="24"/>
          <w:rtl/>
        </w:rPr>
        <w:t>,</w:t>
      </w:r>
      <w:r w:rsidRPr="00F77E2E">
        <w:rPr>
          <w:rFonts w:ascii="David" w:hAnsi="David" w:cs="David"/>
          <w:sz w:val="24"/>
          <w:szCs w:val="24"/>
          <w:rtl/>
        </w:rPr>
        <w:t xml:space="preserve"> האם האירועים הבעייתיים הללו הם נחלת</w:t>
      </w:r>
      <w:r w:rsidR="0031764A" w:rsidRPr="00F77E2E">
        <w:rPr>
          <w:rFonts w:ascii="David" w:hAnsi="David" w:cs="David"/>
          <w:sz w:val="24"/>
          <w:szCs w:val="24"/>
          <w:rtl/>
        </w:rPr>
        <w:t>ן</w:t>
      </w:r>
      <w:r w:rsidRPr="00F77E2E">
        <w:rPr>
          <w:rFonts w:ascii="David" w:hAnsi="David" w:cs="David"/>
          <w:sz w:val="24"/>
          <w:szCs w:val="24"/>
          <w:rtl/>
        </w:rPr>
        <w:t xml:space="preserve"> של שתי חברות </w:t>
      </w:r>
      <w:r w:rsidR="00F933A8" w:rsidRPr="00F77E2E">
        <w:rPr>
          <w:rFonts w:ascii="David" w:hAnsi="David" w:cs="David"/>
          <w:sz w:val="24"/>
          <w:szCs w:val="24"/>
          <w:rtl/>
        </w:rPr>
        <w:t xml:space="preserve">מסוימות </w:t>
      </w:r>
      <w:r w:rsidRPr="00F77E2E">
        <w:rPr>
          <w:rFonts w:ascii="David" w:hAnsi="David" w:cs="David"/>
          <w:sz w:val="24"/>
          <w:szCs w:val="24"/>
          <w:rtl/>
        </w:rPr>
        <w:t>או שהם מלמדים על בעי</w:t>
      </w:r>
      <w:r w:rsidR="00E24C6A" w:rsidRPr="00F77E2E">
        <w:rPr>
          <w:rFonts w:ascii="David" w:hAnsi="David" w:cs="David"/>
          <w:sz w:val="24"/>
          <w:szCs w:val="24"/>
          <w:rtl/>
        </w:rPr>
        <w:t>ה רוחבית בענף האשראי ה</w:t>
      </w:r>
      <w:r w:rsidR="000D4A1A" w:rsidRPr="00F77E2E">
        <w:rPr>
          <w:rFonts w:ascii="David" w:hAnsi="David" w:cs="David"/>
          <w:sz w:val="24"/>
          <w:szCs w:val="24"/>
          <w:rtl/>
        </w:rPr>
        <w:t>חוץ-ב</w:t>
      </w:r>
      <w:r w:rsidR="00E24C6A" w:rsidRPr="00F77E2E">
        <w:rPr>
          <w:rFonts w:ascii="David" w:hAnsi="David" w:cs="David"/>
          <w:sz w:val="24"/>
          <w:szCs w:val="24"/>
          <w:rtl/>
        </w:rPr>
        <w:t>נקאי</w:t>
      </w:r>
      <w:r w:rsidR="008B143F" w:rsidRPr="00F77E2E">
        <w:rPr>
          <w:rFonts w:ascii="David" w:hAnsi="David" w:cs="David"/>
          <w:sz w:val="24"/>
          <w:szCs w:val="24"/>
          <w:rtl/>
        </w:rPr>
        <w:t>.</w:t>
      </w:r>
      <w:r w:rsidRPr="00F77E2E">
        <w:rPr>
          <w:rFonts w:ascii="David" w:hAnsi="David" w:cs="David"/>
          <w:sz w:val="24"/>
          <w:szCs w:val="24"/>
          <w:rtl/>
        </w:rPr>
        <w:t xml:space="preserve"> </w:t>
      </w:r>
      <w:r w:rsidR="00E24C6A" w:rsidRPr="00F77E2E">
        <w:rPr>
          <w:rFonts w:ascii="David" w:hAnsi="David" w:cs="David"/>
          <w:sz w:val="24"/>
          <w:szCs w:val="24"/>
          <w:rtl/>
        </w:rPr>
        <w:t xml:space="preserve">ייתכן שהכשלים שהתגלו </w:t>
      </w:r>
      <w:r w:rsidR="00567660" w:rsidRPr="00F77E2E">
        <w:rPr>
          <w:rFonts w:ascii="David" w:hAnsi="David" w:cs="David"/>
          <w:sz w:val="24"/>
          <w:szCs w:val="24"/>
          <w:rtl/>
        </w:rPr>
        <w:t>בחברות "</w:t>
      </w:r>
      <w:proofErr w:type="spellStart"/>
      <w:r w:rsidR="00567660" w:rsidRPr="00F77E2E">
        <w:rPr>
          <w:rFonts w:ascii="David" w:hAnsi="David" w:cs="David"/>
          <w:sz w:val="24"/>
          <w:szCs w:val="24"/>
          <w:rtl/>
        </w:rPr>
        <w:t>יונט</w:t>
      </w:r>
      <w:proofErr w:type="spellEnd"/>
      <w:r w:rsidR="00567660" w:rsidRPr="00F77E2E">
        <w:rPr>
          <w:rFonts w:ascii="David" w:hAnsi="David" w:cs="David"/>
          <w:sz w:val="24"/>
          <w:szCs w:val="24"/>
          <w:rtl/>
        </w:rPr>
        <w:t xml:space="preserve"> קרדיט" ו"גיבוי אחזקות" </w:t>
      </w:r>
      <w:r w:rsidR="00E24C6A" w:rsidRPr="00F77E2E">
        <w:rPr>
          <w:rFonts w:ascii="David" w:hAnsi="David" w:cs="David"/>
          <w:sz w:val="24"/>
          <w:szCs w:val="24"/>
          <w:rtl/>
        </w:rPr>
        <w:t xml:space="preserve">מלמדים על כשלים דומים גם בחברות אחרות בענף, כשלים שעלולים להוביל לבעיות גם בחברות אלה ו/או </w:t>
      </w:r>
      <w:r w:rsidR="00567660" w:rsidRPr="00F77E2E">
        <w:rPr>
          <w:rFonts w:ascii="David" w:hAnsi="David" w:cs="David"/>
          <w:sz w:val="24"/>
          <w:szCs w:val="24"/>
          <w:rtl/>
        </w:rPr>
        <w:t xml:space="preserve">להידוקה </w:t>
      </w:r>
      <w:r w:rsidR="00E24C6A" w:rsidRPr="00F77E2E">
        <w:rPr>
          <w:rFonts w:ascii="David" w:hAnsi="David" w:cs="David"/>
          <w:sz w:val="24"/>
          <w:szCs w:val="24"/>
          <w:rtl/>
        </w:rPr>
        <w:t xml:space="preserve">של </w:t>
      </w:r>
      <w:r w:rsidR="00567660" w:rsidRPr="00F77E2E">
        <w:rPr>
          <w:rFonts w:ascii="David" w:hAnsi="David" w:cs="David"/>
          <w:sz w:val="24"/>
          <w:szCs w:val="24"/>
          <w:rtl/>
        </w:rPr>
        <w:t xml:space="preserve">האסדרה </w:t>
      </w:r>
      <w:r w:rsidR="00E24C6A" w:rsidRPr="00F77E2E">
        <w:rPr>
          <w:rFonts w:ascii="David" w:hAnsi="David" w:cs="David"/>
          <w:sz w:val="24"/>
          <w:szCs w:val="24"/>
          <w:rtl/>
        </w:rPr>
        <w:t>עליהן</w:t>
      </w:r>
      <w:r w:rsidR="00567660" w:rsidRPr="00F77E2E">
        <w:rPr>
          <w:rFonts w:ascii="David" w:hAnsi="David" w:cs="David"/>
          <w:sz w:val="24"/>
          <w:szCs w:val="24"/>
          <w:rtl/>
        </w:rPr>
        <w:t>,</w:t>
      </w:r>
      <w:r w:rsidR="00E24C6A" w:rsidRPr="00F77E2E">
        <w:rPr>
          <w:rFonts w:ascii="David" w:hAnsi="David" w:cs="David"/>
          <w:sz w:val="24"/>
          <w:szCs w:val="24"/>
          <w:rtl/>
        </w:rPr>
        <w:t xml:space="preserve"> שכרוכה בעלויות לבעלי</w:t>
      </w:r>
      <w:r w:rsidR="00567660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E24C6A" w:rsidRPr="00F77E2E">
        <w:rPr>
          <w:rFonts w:ascii="David" w:hAnsi="David" w:cs="David"/>
          <w:sz w:val="24"/>
          <w:szCs w:val="24"/>
          <w:rtl/>
        </w:rPr>
        <w:t xml:space="preserve">המניות. נקודת מבט זו התבטאה לא רק בדיון הציבורי, אלא גם בהנחיות חדשות ומחמירות של </w:t>
      </w:r>
      <w:r w:rsidR="00967C10" w:rsidRPr="00F77E2E">
        <w:rPr>
          <w:rFonts w:ascii="David" w:hAnsi="David" w:cs="David"/>
          <w:sz w:val="24"/>
          <w:szCs w:val="24"/>
          <w:rtl/>
        </w:rPr>
        <w:t>ה</w:t>
      </w:r>
      <w:r w:rsidR="00E24C6A" w:rsidRPr="00F77E2E">
        <w:rPr>
          <w:rFonts w:ascii="David" w:hAnsi="David" w:cs="David"/>
          <w:sz w:val="24"/>
          <w:szCs w:val="24"/>
          <w:rtl/>
        </w:rPr>
        <w:t xml:space="preserve">רשות </w:t>
      </w:r>
      <w:r w:rsidR="00967C10" w:rsidRPr="00F77E2E">
        <w:rPr>
          <w:rFonts w:ascii="David" w:hAnsi="David" w:cs="David"/>
          <w:sz w:val="24"/>
          <w:szCs w:val="24"/>
          <w:rtl/>
        </w:rPr>
        <w:t>ל</w:t>
      </w:r>
      <w:r w:rsidR="00E24C6A" w:rsidRPr="00F77E2E">
        <w:rPr>
          <w:rFonts w:ascii="David" w:hAnsi="David" w:cs="David"/>
          <w:sz w:val="24"/>
          <w:szCs w:val="24"/>
          <w:rtl/>
        </w:rPr>
        <w:t xml:space="preserve">ניירות ערך. מנגד, אם האירועים </w:t>
      </w:r>
      <w:r w:rsidR="00567660" w:rsidRPr="00F77E2E">
        <w:rPr>
          <w:rFonts w:ascii="David" w:hAnsi="David" w:cs="David"/>
          <w:sz w:val="24"/>
          <w:szCs w:val="24"/>
          <w:rtl/>
        </w:rPr>
        <w:t>בחברות "</w:t>
      </w:r>
      <w:proofErr w:type="spellStart"/>
      <w:r w:rsidR="00567660" w:rsidRPr="00F77E2E">
        <w:rPr>
          <w:rFonts w:ascii="David" w:hAnsi="David" w:cs="David"/>
          <w:sz w:val="24"/>
          <w:szCs w:val="24"/>
          <w:rtl/>
        </w:rPr>
        <w:t>יונט</w:t>
      </w:r>
      <w:proofErr w:type="spellEnd"/>
      <w:r w:rsidR="00567660" w:rsidRPr="00F77E2E">
        <w:rPr>
          <w:rFonts w:ascii="David" w:hAnsi="David" w:cs="David"/>
          <w:sz w:val="24"/>
          <w:szCs w:val="24"/>
          <w:rtl/>
        </w:rPr>
        <w:t xml:space="preserve"> קרדיט" ו"גיבוי אחזקות"</w:t>
      </w:r>
      <w:r w:rsidR="00E24C6A" w:rsidRPr="00F77E2E">
        <w:rPr>
          <w:rFonts w:ascii="David" w:hAnsi="David" w:cs="David"/>
          <w:sz w:val="24"/>
          <w:szCs w:val="24"/>
          <w:rtl/>
        </w:rPr>
        <w:t xml:space="preserve"> נתפסו כ</w:t>
      </w:r>
      <w:r w:rsidR="00567660" w:rsidRPr="00F77E2E">
        <w:rPr>
          <w:rFonts w:ascii="David" w:hAnsi="David" w:cs="David"/>
          <w:sz w:val="24"/>
          <w:szCs w:val="24"/>
          <w:rtl/>
        </w:rPr>
        <w:t xml:space="preserve">אירועים </w:t>
      </w:r>
      <w:r w:rsidR="00E24C6A" w:rsidRPr="00F77E2E">
        <w:rPr>
          <w:rFonts w:ascii="David" w:hAnsi="David" w:cs="David"/>
          <w:sz w:val="24"/>
          <w:szCs w:val="24"/>
          <w:rtl/>
        </w:rPr>
        <w:t xml:space="preserve">נקודתיים לחברות הללו וללא השפעה רוחבית על הענף ככלל, אזי עצם קריסתן של שתי </w:t>
      </w:r>
      <w:r w:rsidR="00567660" w:rsidRPr="00F77E2E">
        <w:rPr>
          <w:rFonts w:ascii="David" w:hAnsi="David" w:cs="David"/>
          <w:sz w:val="24"/>
          <w:szCs w:val="24"/>
          <w:rtl/>
        </w:rPr>
        <w:t>ה</w:t>
      </w:r>
      <w:r w:rsidR="00E24C6A" w:rsidRPr="00F77E2E">
        <w:rPr>
          <w:rFonts w:ascii="David" w:hAnsi="David" w:cs="David"/>
          <w:sz w:val="24"/>
          <w:szCs w:val="24"/>
          <w:rtl/>
        </w:rPr>
        <w:t>חברות</w:t>
      </w:r>
      <w:r w:rsidR="00567660" w:rsidRPr="00F77E2E">
        <w:rPr>
          <w:rFonts w:ascii="David" w:hAnsi="David" w:cs="David"/>
          <w:sz w:val="24"/>
          <w:szCs w:val="24"/>
          <w:rtl/>
        </w:rPr>
        <w:t xml:space="preserve"> הללו</w:t>
      </w:r>
      <w:r w:rsidR="00E24C6A" w:rsidRPr="00F77E2E">
        <w:rPr>
          <w:rFonts w:ascii="David" w:hAnsi="David" w:cs="David"/>
          <w:sz w:val="24"/>
          <w:szCs w:val="24"/>
          <w:rtl/>
        </w:rPr>
        <w:t xml:space="preserve"> עשויה לסייע למתחרותיהן.</w:t>
      </w:r>
    </w:p>
    <w:p w:rsidR="003450A1" w:rsidRPr="00F77E2E" w:rsidRDefault="00E24C6A" w:rsidP="00A22382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77E2E">
        <w:rPr>
          <w:rFonts w:ascii="David" w:hAnsi="David" w:cs="David"/>
          <w:sz w:val="24"/>
          <w:szCs w:val="24"/>
          <w:rtl/>
        </w:rPr>
        <w:t>בחנו את מניות החברות</w:t>
      </w:r>
      <w:r w:rsidR="00567660" w:rsidRPr="00F77E2E">
        <w:rPr>
          <w:rFonts w:ascii="David" w:hAnsi="David" w:cs="David"/>
          <w:sz w:val="24"/>
          <w:szCs w:val="24"/>
          <w:rtl/>
        </w:rPr>
        <w:t xml:space="preserve"> "</w:t>
      </w:r>
      <w:proofErr w:type="spellStart"/>
      <w:r w:rsidR="00567660" w:rsidRPr="00F77E2E">
        <w:rPr>
          <w:rFonts w:ascii="David" w:hAnsi="David" w:cs="David"/>
          <w:sz w:val="24"/>
          <w:szCs w:val="24"/>
          <w:rtl/>
        </w:rPr>
        <w:t>יונט</w:t>
      </w:r>
      <w:proofErr w:type="spellEnd"/>
      <w:r w:rsidR="00567660" w:rsidRPr="00F77E2E">
        <w:rPr>
          <w:rFonts w:ascii="David" w:hAnsi="David" w:cs="David"/>
          <w:sz w:val="24"/>
          <w:szCs w:val="24"/>
          <w:rtl/>
        </w:rPr>
        <w:t xml:space="preserve"> קרדיט" ו"גיבוי אחזקות" </w:t>
      </w:r>
      <w:r w:rsidRPr="00F77E2E">
        <w:rPr>
          <w:rFonts w:ascii="David" w:hAnsi="David" w:cs="David"/>
          <w:sz w:val="24"/>
          <w:szCs w:val="24"/>
          <w:rtl/>
        </w:rPr>
        <w:t xml:space="preserve">וראינו כי המשקיעים אכן פירשו את האירועים בחברות אלה כשליליים מאוד מבחינת שוויין. לנוכח שתי </w:t>
      </w:r>
      <w:r w:rsidR="003450A1" w:rsidRPr="00F77E2E">
        <w:rPr>
          <w:rFonts w:ascii="David" w:hAnsi="David" w:cs="David"/>
          <w:sz w:val="24"/>
          <w:szCs w:val="24"/>
          <w:rtl/>
        </w:rPr>
        <w:t>ה</w:t>
      </w:r>
      <w:r w:rsidRPr="00F77E2E">
        <w:rPr>
          <w:rFonts w:ascii="David" w:hAnsi="David" w:cs="David"/>
          <w:sz w:val="24"/>
          <w:szCs w:val="24"/>
          <w:rtl/>
        </w:rPr>
        <w:t xml:space="preserve">השערות </w:t>
      </w:r>
      <w:r w:rsidR="003450A1" w:rsidRPr="00F77E2E">
        <w:rPr>
          <w:rFonts w:ascii="David" w:hAnsi="David" w:cs="David"/>
          <w:sz w:val="24"/>
          <w:szCs w:val="24"/>
          <w:rtl/>
        </w:rPr>
        <w:t>המנוגדות</w:t>
      </w:r>
      <w:r w:rsidRPr="00F77E2E">
        <w:rPr>
          <w:rFonts w:ascii="David" w:hAnsi="David" w:cs="David"/>
          <w:sz w:val="24"/>
          <w:szCs w:val="24"/>
          <w:rtl/>
        </w:rPr>
        <w:t xml:space="preserve"> </w:t>
      </w:r>
      <w:r w:rsidR="003450A1" w:rsidRPr="00F77E2E">
        <w:rPr>
          <w:rFonts w:ascii="David" w:hAnsi="David" w:cs="David"/>
          <w:sz w:val="24"/>
          <w:szCs w:val="24"/>
          <w:rtl/>
        </w:rPr>
        <w:t>לגבי ההשפעה על החברות המתחרות</w:t>
      </w:r>
      <w:r w:rsidRPr="00F77E2E">
        <w:rPr>
          <w:rFonts w:ascii="David" w:hAnsi="David" w:cs="David"/>
          <w:sz w:val="24"/>
          <w:szCs w:val="24"/>
          <w:rtl/>
        </w:rPr>
        <w:t xml:space="preserve">, </w:t>
      </w:r>
      <w:r w:rsidR="00A93EFC" w:rsidRPr="00F77E2E">
        <w:rPr>
          <w:rFonts w:ascii="David" w:hAnsi="David" w:cs="David"/>
          <w:sz w:val="24"/>
          <w:szCs w:val="24"/>
          <w:rtl/>
        </w:rPr>
        <w:t xml:space="preserve">מחקר זה בוחן </w:t>
      </w:r>
      <w:r w:rsidR="00B45CE3" w:rsidRPr="00F77E2E">
        <w:rPr>
          <w:rFonts w:ascii="David" w:hAnsi="David" w:cs="David"/>
          <w:sz w:val="24"/>
          <w:szCs w:val="24"/>
          <w:rtl/>
        </w:rPr>
        <w:t xml:space="preserve">את </w:t>
      </w:r>
      <w:r w:rsidR="00A93EFC" w:rsidRPr="00F77E2E">
        <w:rPr>
          <w:rFonts w:ascii="David" w:hAnsi="David" w:cs="David"/>
          <w:sz w:val="24"/>
          <w:szCs w:val="24"/>
          <w:rtl/>
        </w:rPr>
        <w:t>הערכת</w:t>
      </w:r>
      <w:r w:rsidR="00567660" w:rsidRPr="00F77E2E">
        <w:rPr>
          <w:rFonts w:ascii="David" w:hAnsi="David" w:cs="David"/>
          <w:sz w:val="24"/>
          <w:szCs w:val="24"/>
          <w:rtl/>
        </w:rPr>
        <w:t>ו של</w:t>
      </w:r>
      <w:r w:rsidR="00A93EFC" w:rsidRPr="00F77E2E">
        <w:rPr>
          <w:rFonts w:ascii="David" w:hAnsi="David" w:cs="David"/>
          <w:sz w:val="24"/>
          <w:szCs w:val="24"/>
          <w:rtl/>
        </w:rPr>
        <w:t xml:space="preserve"> שוק המניות להשפעת האירועים בחברות </w:t>
      </w:r>
      <w:r w:rsidR="008118CB" w:rsidRPr="00F77E2E">
        <w:rPr>
          <w:rFonts w:ascii="David" w:hAnsi="David" w:cs="David"/>
          <w:sz w:val="24"/>
          <w:szCs w:val="24"/>
          <w:rtl/>
        </w:rPr>
        <w:t>"</w:t>
      </w:r>
      <w:proofErr w:type="spellStart"/>
      <w:r w:rsidR="00A93EFC" w:rsidRPr="00F77E2E">
        <w:rPr>
          <w:rFonts w:ascii="David" w:hAnsi="David" w:cs="David"/>
          <w:sz w:val="24"/>
          <w:szCs w:val="24"/>
          <w:rtl/>
        </w:rPr>
        <w:t>יונט</w:t>
      </w:r>
      <w:proofErr w:type="spellEnd"/>
      <w:r w:rsidR="008118CB" w:rsidRPr="00F77E2E">
        <w:rPr>
          <w:rFonts w:ascii="David" w:hAnsi="David" w:cs="David"/>
          <w:sz w:val="24"/>
          <w:szCs w:val="24"/>
          <w:rtl/>
        </w:rPr>
        <w:t xml:space="preserve"> קרדיט"</w:t>
      </w:r>
      <w:r w:rsidR="00A93EFC" w:rsidRPr="00F77E2E">
        <w:rPr>
          <w:rFonts w:ascii="David" w:hAnsi="David" w:cs="David"/>
          <w:sz w:val="24"/>
          <w:szCs w:val="24"/>
          <w:rtl/>
        </w:rPr>
        <w:t xml:space="preserve"> ו</w:t>
      </w:r>
      <w:r w:rsidR="008118CB" w:rsidRPr="00F77E2E">
        <w:rPr>
          <w:rFonts w:ascii="David" w:hAnsi="David" w:cs="David"/>
          <w:sz w:val="24"/>
          <w:szCs w:val="24"/>
          <w:rtl/>
        </w:rPr>
        <w:t>"</w:t>
      </w:r>
      <w:r w:rsidR="00A93EFC" w:rsidRPr="00F77E2E">
        <w:rPr>
          <w:rFonts w:ascii="David" w:hAnsi="David" w:cs="David"/>
          <w:sz w:val="24"/>
          <w:szCs w:val="24"/>
          <w:rtl/>
        </w:rPr>
        <w:t>גיבוי</w:t>
      </w:r>
      <w:r w:rsidR="008118CB" w:rsidRPr="00F77E2E">
        <w:rPr>
          <w:rFonts w:ascii="David" w:hAnsi="David" w:cs="David"/>
          <w:sz w:val="24"/>
          <w:szCs w:val="24"/>
          <w:rtl/>
        </w:rPr>
        <w:t xml:space="preserve"> אחזקות"</w:t>
      </w:r>
      <w:r w:rsidR="00A93EFC" w:rsidRPr="00F77E2E">
        <w:rPr>
          <w:rFonts w:ascii="David" w:hAnsi="David" w:cs="David"/>
          <w:sz w:val="24"/>
          <w:szCs w:val="24"/>
          <w:rtl/>
        </w:rPr>
        <w:t xml:space="preserve"> על החברות האחרות בענף האשראי ה</w:t>
      </w:r>
      <w:r w:rsidR="000D4A1A" w:rsidRPr="00F77E2E">
        <w:rPr>
          <w:rFonts w:ascii="David" w:hAnsi="David" w:cs="David"/>
          <w:sz w:val="24"/>
          <w:szCs w:val="24"/>
          <w:rtl/>
        </w:rPr>
        <w:t>חוץ-ב</w:t>
      </w:r>
      <w:r w:rsidR="00A93EFC" w:rsidRPr="00F77E2E">
        <w:rPr>
          <w:rFonts w:ascii="David" w:hAnsi="David" w:cs="David"/>
          <w:sz w:val="24"/>
          <w:szCs w:val="24"/>
          <w:rtl/>
        </w:rPr>
        <w:t>נקאי. זאת על</w:t>
      </w:r>
      <w:r w:rsidR="00567660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A93EFC" w:rsidRPr="00F77E2E">
        <w:rPr>
          <w:rFonts w:ascii="David" w:hAnsi="David" w:cs="David"/>
          <w:sz w:val="24"/>
          <w:szCs w:val="24"/>
          <w:rtl/>
        </w:rPr>
        <w:t xml:space="preserve">בסיס ההבנה כי השווקים הפיננסים יכולים לשמש כאינדיקטור מוביל </w:t>
      </w:r>
      <w:r w:rsidR="00567660" w:rsidRPr="00F77E2E">
        <w:rPr>
          <w:rFonts w:ascii="David" w:hAnsi="David" w:cs="David"/>
          <w:sz w:val="24"/>
          <w:szCs w:val="24"/>
          <w:rtl/>
        </w:rPr>
        <w:t>להערכה של השפעתם העתידית של אירועים בהווה</w:t>
      </w:r>
      <w:r w:rsidR="00A93EFC" w:rsidRPr="00F77E2E">
        <w:rPr>
          <w:rFonts w:ascii="David" w:hAnsi="David" w:cs="David"/>
          <w:sz w:val="24"/>
          <w:szCs w:val="24"/>
          <w:rtl/>
        </w:rPr>
        <w:t xml:space="preserve">. </w:t>
      </w:r>
      <w:r w:rsidR="003450A1" w:rsidRPr="00F77E2E">
        <w:rPr>
          <w:rFonts w:ascii="David" w:hAnsi="David" w:cs="David"/>
          <w:sz w:val="24"/>
          <w:szCs w:val="24"/>
          <w:rtl/>
        </w:rPr>
        <w:t xml:space="preserve">בפרט נעשה שימוש בשיטה של </w:t>
      </w:r>
      <w:r w:rsidR="00567660" w:rsidRPr="00F77E2E">
        <w:rPr>
          <w:rFonts w:ascii="David" w:hAnsi="David" w:cs="David"/>
          <w:sz w:val="24"/>
          <w:szCs w:val="24"/>
          <w:rtl/>
        </w:rPr>
        <w:t>"</w:t>
      </w:r>
      <w:r w:rsidR="003450A1" w:rsidRPr="00F77E2E">
        <w:rPr>
          <w:rFonts w:ascii="David" w:hAnsi="David" w:cs="David"/>
          <w:sz w:val="24"/>
          <w:szCs w:val="24"/>
          <w:rtl/>
        </w:rPr>
        <w:t>חקר</w:t>
      </w:r>
      <w:r w:rsidR="00567660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3450A1" w:rsidRPr="00F77E2E">
        <w:rPr>
          <w:rFonts w:ascii="David" w:hAnsi="David" w:cs="David"/>
          <w:sz w:val="24"/>
          <w:szCs w:val="24"/>
          <w:rtl/>
        </w:rPr>
        <w:t>אירוע</w:t>
      </w:r>
      <w:r w:rsidR="00567660" w:rsidRPr="00F77E2E">
        <w:rPr>
          <w:rFonts w:ascii="David" w:hAnsi="David" w:cs="David"/>
          <w:sz w:val="24"/>
          <w:szCs w:val="24"/>
          <w:rtl/>
        </w:rPr>
        <w:t>"</w:t>
      </w:r>
      <w:r w:rsidR="003450A1" w:rsidRPr="00F77E2E">
        <w:rPr>
          <w:rFonts w:ascii="David" w:hAnsi="David" w:cs="David"/>
          <w:sz w:val="24"/>
          <w:szCs w:val="24"/>
          <w:rtl/>
        </w:rPr>
        <w:t xml:space="preserve"> (</w:t>
      </w:r>
      <w:r w:rsidR="003450A1" w:rsidRPr="00F77E2E">
        <w:rPr>
          <w:rFonts w:ascii="David" w:hAnsi="David" w:cs="David"/>
          <w:sz w:val="24"/>
          <w:szCs w:val="24"/>
        </w:rPr>
        <w:t>event study</w:t>
      </w:r>
      <w:r w:rsidR="003450A1" w:rsidRPr="00F77E2E">
        <w:rPr>
          <w:rFonts w:ascii="David" w:hAnsi="David" w:cs="David"/>
          <w:sz w:val="24"/>
          <w:szCs w:val="24"/>
          <w:rtl/>
        </w:rPr>
        <w:t>)</w:t>
      </w:r>
      <w:r w:rsidR="00567660" w:rsidRPr="00F77E2E">
        <w:rPr>
          <w:rFonts w:ascii="David" w:hAnsi="David" w:cs="David"/>
          <w:sz w:val="24"/>
          <w:szCs w:val="24"/>
          <w:rtl/>
        </w:rPr>
        <w:t>,</w:t>
      </w:r>
      <w:r w:rsidR="003450A1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F933A8" w:rsidRPr="00F77E2E">
        <w:rPr>
          <w:rFonts w:ascii="David" w:hAnsi="David" w:cs="David"/>
          <w:sz w:val="24"/>
          <w:szCs w:val="24"/>
          <w:rtl/>
        </w:rPr>
        <w:t xml:space="preserve">שמתמקד </w:t>
      </w:r>
      <w:r w:rsidR="003450A1" w:rsidRPr="00F77E2E">
        <w:rPr>
          <w:rFonts w:ascii="David" w:hAnsi="David" w:cs="David"/>
          <w:sz w:val="24"/>
          <w:szCs w:val="24"/>
          <w:rtl/>
        </w:rPr>
        <w:t xml:space="preserve">בהשפעת האירועים השליליים השונים שקרו </w:t>
      </w:r>
      <w:r w:rsidR="00567660" w:rsidRPr="00F77E2E">
        <w:rPr>
          <w:rFonts w:ascii="David" w:hAnsi="David" w:cs="David"/>
          <w:sz w:val="24"/>
          <w:szCs w:val="24"/>
          <w:rtl/>
        </w:rPr>
        <w:t>בחברות "</w:t>
      </w:r>
      <w:proofErr w:type="spellStart"/>
      <w:r w:rsidR="00567660" w:rsidRPr="00F77E2E">
        <w:rPr>
          <w:rFonts w:ascii="David" w:hAnsi="David" w:cs="David"/>
          <w:sz w:val="24"/>
          <w:szCs w:val="24"/>
          <w:rtl/>
        </w:rPr>
        <w:t>יונט</w:t>
      </w:r>
      <w:proofErr w:type="spellEnd"/>
      <w:r w:rsidR="00567660" w:rsidRPr="00F77E2E">
        <w:rPr>
          <w:rFonts w:ascii="David" w:hAnsi="David" w:cs="David"/>
          <w:sz w:val="24"/>
          <w:szCs w:val="24"/>
          <w:rtl/>
        </w:rPr>
        <w:t xml:space="preserve"> קרדיט" ו"גיבוי אחזקות"</w:t>
      </w:r>
      <w:r w:rsidR="003450A1" w:rsidRPr="00F77E2E">
        <w:rPr>
          <w:rFonts w:ascii="David" w:hAnsi="David" w:cs="David"/>
          <w:sz w:val="24"/>
          <w:szCs w:val="24"/>
          <w:rtl/>
        </w:rPr>
        <w:t xml:space="preserve"> על החברות המתחרות. </w:t>
      </w:r>
    </w:p>
    <w:p w:rsidR="00570C27" w:rsidRPr="00F77E2E" w:rsidRDefault="00570C27" w:rsidP="00894B58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77E2E">
        <w:rPr>
          <w:rFonts w:ascii="David" w:hAnsi="David" w:cs="David"/>
          <w:sz w:val="24"/>
          <w:szCs w:val="24"/>
          <w:rtl/>
        </w:rPr>
        <w:t xml:space="preserve">מהממצאים עולה שלאירועים השליליים </w:t>
      </w:r>
      <w:r w:rsidR="00567660" w:rsidRPr="00F77E2E">
        <w:rPr>
          <w:rFonts w:ascii="David" w:hAnsi="David" w:cs="David"/>
          <w:sz w:val="24"/>
          <w:szCs w:val="24"/>
          <w:rtl/>
        </w:rPr>
        <w:t>בחברות "</w:t>
      </w:r>
      <w:proofErr w:type="spellStart"/>
      <w:r w:rsidR="00567660" w:rsidRPr="00F77E2E">
        <w:rPr>
          <w:rFonts w:ascii="David" w:hAnsi="David" w:cs="David"/>
          <w:sz w:val="24"/>
          <w:szCs w:val="24"/>
          <w:rtl/>
        </w:rPr>
        <w:t>יונט</w:t>
      </w:r>
      <w:proofErr w:type="spellEnd"/>
      <w:r w:rsidR="00567660" w:rsidRPr="00F77E2E">
        <w:rPr>
          <w:rFonts w:ascii="David" w:hAnsi="David" w:cs="David"/>
          <w:sz w:val="24"/>
          <w:szCs w:val="24"/>
          <w:rtl/>
        </w:rPr>
        <w:t xml:space="preserve"> קרדיט" ו"גיבוי אחזקות" </w:t>
      </w:r>
      <w:r w:rsidRPr="00F77E2E">
        <w:rPr>
          <w:rFonts w:ascii="David" w:hAnsi="David" w:cs="David"/>
          <w:sz w:val="24"/>
          <w:szCs w:val="24"/>
          <w:rtl/>
        </w:rPr>
        <w:t xml:space="preserve">לא הייתה השפעה מובהקת סטטיסטית או כלכלית על </w:t>
      </w:r>
      <w:r w:rsidR="00567660" w:rsidRPr="00F77E2E">
        <w:rPr>
          <w:rFonts w:ascii="David" w:hAnsi="David" w:cs="David"/>
          <w:sz w:val="24"/>
          <w:szCs w:val="24"/>
          <w:rtl/>
        </w:rPr>
        <w:t>ה</w:t>
      </w:r>
      <w:r w:rsidRPr="00F77E2E">
        <w:rPr>
          <w:rFonts w:ascii="David" w:hAnsi="David" w:cs="David"/>
          <w:sz w:val="24"/>
          <w:szCs w:val="24"/>
          <w:rtl/>
        </w:rPr>
        <w:t>מניות</w:t>
      </w:r>
      <w:r w:rsidR="00567660" w:rsidRPr="00F77E2E">
        <w:rPr>
          <w:rFonts w:ascii="David" w:hAnsi="David" w:cs="David"/>
          <w:sz w:val="24"/>
          <w:szCs w:val="24"/>
          <w:rtl/>
        </w:rPr>
        <w:t xml:space="preserve"> של</w:t>
      </w:r>
      <w:r w:rsidRPr="00F77E2E">
        <w:rPr>
          <w:rFonts w:ascii="David" w:hAnsi="David" w:cs="David"/>
          <w:sz w:val="24"/>
          <w:szCs w:val="24"/>
          <w:rtl/>
        </w:rPr>
        <w:t xml:space="preserve"> חברות האשראי ה</w:t>
      </w:r>
      <w:r w:rsidR="000D4A1A" w:rsidRPr="00F77E2E">
        <w:rPr>
          <w:rFonts w:ascii="David" w:hAnsi="David" w:cs="David"/>
          <w:sz w:val="24"/>
          <w:szCs w:val="24"/>
          <w:rtl/>
        </w:rPr>
        <w:t>חוץ-ב</w:t>
      </w:r>
      <w:r w:rsidRPr="00F77E2E">
        <w:rPr>
          <w:rFonts w:ascii="David" w:hAnsi="David" w:cs="David"/>
          <w:sz w:val="24"/>
          <w:szCs w:val="24"/>
          <w:rtl/>
        </w:rPr>
        <w:t xml:space="preserve">נקאי המתחרות. </w:t>
      </w:r>
      <w:r w:rsidR="00C84992" w:rsidRPr="00F77E2E">
        <w:rPr>
          <w:rFonts w:ascii="David" w:hAnsi="David" w:cs="David"/>
          <w:sz w:val="24"/>
          <w:szCs w:val="24"/>
          <w:rtl/>
        </w:rPr>
        <w:t xml:space="preserve">ייתכן שהאירועים </w:t>
      </w:r>
      <w:r w:rsidR="00567660" w:rsidRPr="00F77E2E">
        <w:rPr>
          <w:rFonts w:ascii="David" w:hAnsi="David" w:cs="David"/>
          <w:sz w:val="24"/>
          <w:szCs w:val="24"/>
          <w:rtl/>
        </w:rPr>
        <w:t>בחברות "</w:t>
      </w:r>
      <w:proofErr w:type="spellStart"/>
      <w:r w:rsidR="00567660" w:rsidRPr="00F77E2E">
        <w:rPr>
          <w:rFonts w:ascii="David" w:hAnsi="David" w:cs="David"/>
          <w:sz w:val="24"/>
          <w:szCs w:val="24"/>
          <w:rtl/>
        </w:rPr>
        <w:t>יונט</w:t>
      </w:r>
      <w:proofErr w:type="spellEnd"/>
      <w:r w:rsidR="00567660" w:rsidRPr="00F77E2E">
        <w:rPr>
          <w:rFonts w:ascii="David" w:hAnsi="David" w:cs="David"/>
          <w:sz w:val="24"/>
          <w:szCs w:val="24"/>
          <w:rtl/>
        </w:rPr>
        <w:t xml:space="preserve"> קרדיט" ו"גיבוי אחזקות" </w:t>
      </w:r>
      <w:r w:rsidR="00C84992" w:rsidRPr="00F77E2E">
        <w:rPr>
          <w:rFonts w:ascii="David" w:hAnsi="David" w:cs="David"/>
          <w:sz w:val="24"/>
          <w:szCs w:val="24"/>
          <w:rtl/>
        </w:rPr>
        <w:t>נתפסו על-ידי המשקיעים – בניגוד אולי להלך הרוח התקשורתי – כנקודתיים ולא כאירוע</w:t>
      </w:r>
      <w:r w:rsidR="00567660" w:rsidRPr="00F77E2E">
        <w:rPr>
          <w:rFonts w:ascii="David" w:hAnsi="David" w:cs="David"/>
          <w:sz w:val="24"/>
          <w:szCs w:val="24"/>
          <w:rtl/>
        </w:rPr>
        <w:t>י</w:t>
      </w:r>
      <w:r w:rsidR="00C84992" w:rsidRPr="00F77E2E">
        <w:rPr>
          <w:rFonts w:ascii="David" w:hAnsi="David" w:cs="David"/>
          <w:sz w:val="24"/>
          <w:szCs w:val="24"/>
          <w:rtl/>
        </w:rPr>
        <w:t xml:space="preserve"> רוחב </w:t>
      </w:r>
      <w:r w:rsidR="00567660" w:rsidRPr="00F77E2E">
        <w:rPr>
          <w:rFonts w:ascii="David" w:hAnsi="David" w:cs="David"/>
          <w:sz w:val="24"/>
          <w:szCs w:val="24"/>
          <w:rtl/>
        </w:rPr>
        <w:t xml:space="preserve">עם </w:t>
      </w:r>
      <w:r w:rsidR="00C84992" w:rsidRPr="00F77E2E">
        <w:rPr>
          <w:rFonts w:ascii="David" w:hAnsi="David" w:cs="David"/>
          <w:sz w:val="24"/>
          <w:szCs w:val="24"/>
          <w:rtl/>
        </w:rPr>
        <w:t xml:space="preserve">השלכות על כלל החברות בענף. </w:t>
      </w:r>
      <w:r w:rsidR="00A37E99" w:rsidRPr="00F77E2E">
        <w:rPr>
          <w:rFonts w:ascii="David" w:hAnsi="David" w:cs="David"/>
          <w:sz w:val="24"/>
          <w:szCs w:val="24"/>
          <w:rtl/>
        </w:rPr>
        <w:t>לצד זאת</w:t>
      </w:r>
      <w:r w:rsidR="00C84992" w:rsidRPr="00F77E2E">
        <w:rPr>
          <w:rFonts w:ascii="David" w:hAnsi="David" w:cs="David"/>
          <w:sz w:val="24"/>
          <w:szCs w:val="24"/>
          <w:rtl/>
        </w:rPr>
        <w:t xml:space="preserve">, </w:t>
      </w:r>
      <w:r w:rsidR="00A37E99" w:rsidRPr="00F77E2E">
        <w:rPr>
          <w:rFonts w:ascii="David" w:hAnsi="David" w:cs="David"/>
          <w:sz w:val="24"/>
          <w:szCs w:val="24"/>
          <w:rtl/>
        </w:rPr>
        <w:t>התגובה החיובית המתונה של החברות הגדולות בענף לעומת התגובה השלילית המתונה של החברות הקטנות בענף</w:t>
      </w:r>
      <w:r w:rsidR="00567660" w:rsidRPr="00F77E2E">
        <w:rPr>
          <w:rFonts w:ascii="David" w:hAnsi="David" w:cs="David"/>
          <w:sz w:val="24"/>
          <w:szCs w:val="24"/>
          <w:rtl/>
        </w:rPr>
        <w:t>,</w:t>
      </w:r>
      <w:r w:rsidR="00A37E99" w:rsidRPr="00F77E2E">
        <w:rPr>
          <w:rFonts w:ascii="David" w:hAnsi="David" w:cs="David"/>
          <w:sz w:val="24"/>
          <w:szCs w:val="24"/>
          <w:rtl/>
        </w:rPr>
        <w:t xml:space="preserve"> מרמזת</w:t>
      </w:r>
      <w:r w:rsidR="00C84992" w:rsidRPr="00F77E2E">
        <w:rPr>
          <w:rFonts w:ascii="David" w:hAnsi="David" w:cs="David"/>
          <w:sz w:val="24"/>
          <w:szCs w:val="24"/>
          <w:rtl/>
        </w:rPr>
        <w:t xml:space="preserve"> שהאירועים בשתי החברות הקורסות </w:t>
      </w:r>
      <w:r w:rsidR="00567660" w:rsidRPr="00F77E2E">
        <w:rPr>
          <w:rFonts w:ascii="David" w:hAnsi="David" w:cs="David"/>
          <w:sz w:val="24"/>
          <w:szCs w:val="24"/>
          <w:rtl/>
        </w:rPr>
        <w:t>א</w:t>
      </w:r>
      <w:r w:rsidR="00C84992" w:rsidRPr="00F77E2E">
        <w:rPr>
          <w:rFonts w:ascii="David" w:hAnsi="David" w:cs="David"/>
          <w:sz w:val="24"/>
          <w:szCs w:val="24"/>
          <w:rtl/>
        </w:rPr>
        <w:t xml:space="preserve">כן נתפסו על-ידי המשקיעים כאירועים </w:t>
      </w:r>
      <w:r w:rsidR="00567660" w:rsidRPr="00F77E2E">
        <w:rPr>
          <w:rFonts w:ascii="David" w:hAnsi="David" w:cs="David"/>
          <w:sz w:val="24"/>
          <w:szCs w:val="24"/>
          <w:rtl/>
        </w:rPr>
        <w:t xml:space="preserve">עם </w:t>
      </w:r>
      <w:r w:rsidR="00C84992" w:rsidRPr="00F77E2E">
        <w:rPr>
          <w:rFonts w:ascii="David" w:hAnsi="David" w:cs="David"/>
          <w:sz w:val="24"/>
          <w:szCs w:val="24"/>
          <w:rtl/>
        </w:rPr>
        <w:t xml:space="preserve">השפעה רוחבית </w:t>
      </w:r>
      <w:r w:rsidR="00A37E99" w:rsidRPr="00F77E2E">
        <w:rPr>
          <w:rFonts w:ascii="David" w:hAnsi="David" w:cs="David"/>
          <w:sz w:val="24"/>
          <w:szCs w:val="24"/>
          <w:rtl/>
        </w:rPr>
        <w:t>מסוימת</w:t>
      </w:r>
      <w:r w:rsidR="008B143F" w:rsidRPr="00F77E2E">
        <w:rPr>
          <w:rFonts w:ascii="David" w:hAnsi="David" w:cs="David"/>
          <w:sz w:val="24"/>
          <w:szCs w:val="24"/>
          <w:rtl/>
        </w:rPr>
        <w:t xml:space="preserve">. אם כן, זו </w:t>
      </w:r>
      <w:r w:rsidR="00567660" w:rsidRPr="00F77E2E">
        <w:rPr>
          <w:rFonts w:ascii="David" w:hAnsi="David" w:cs="David"/>
          <w:sz w:val="24"/>
          <w:szCs w:val="24"/>
          <w:rtl/>
        </w:rPr>
        <w:t xml:space="preserve">צפויה </w:t>
      </w:r>
      <w:r w:rsidR="00C84992" w:rsidRPr="00F77E2E">
        <w:rPr>
          <w:rFonts w:ascii="David" w:hAnsi="David" w:cs="David"/>
          <w:sz w:val="24"/>
          <w:szCs w:val="24"/>
          <w:rtl/>
        </w:rPr>
        <w:t xml:space="preserve">להשפיע לשלילה גם על החברות </w:t>
      </w:r>
      <w:r w:rsidR="00A37E99" w:rsidRPr="00F77E2E">
        <w:rPr>
          <w:rFonts w:ascii="David" w:hAnsi="David" w:cs="David"/>
          <w:sz w:val="24"/>
          <w:szCs w:val="24"/>
          <w:rtl/>
        </w:rPr>
        <w:t xml:space="preserve">הקטנות </w:t>
      </w:r>
      <w:r w:rsidR="00C84992" w:rsidRPr="00F77E2E">
        <w:rPr>
          <w:rFonts w:ascii="David" w:hAnsi="David" w:cs="David"/>
          <w:sz w:val="24"/>
          <w:szCs w:val="24"/>
          <w:rtl/>
        </w:rPr>
        <w:t xml:space="preserve">האחרות בענף, אך </w:t>
      </w:r>
      <w:r w:rsidR="00A37E99" w:rsidRPr="00F77E2E">
        <w:rPr>
          <w:rFonts w:ascii="David" w:hAnsi="David" w:cs="David"/>
          <w:sz w:val="24"/>
          <w:szCs w:val="24"/>
          <w:rtl/>
        </w:rPr>
        <w:t>עשויה לסייע לחברות גדולות יותר</w:t>
      </w:r>
      <w:r w:rsidR="00567660" w:rsidRPr="00F77E2E">
        <w:rPr>
          <w:rFonts w:ascii="David" w:hAnsi="David" w:cs="David"/>
          <w:sz w:val="24"/>
          <w:szCs w:val="24"/>
          <w:rtl/>
        </w:rPr>
        <w:t>,</w:t>
      </w:r>
      <w:r w:rsidR="00A37E99" w:rsidRPr="00F77E2E">
        <w:rPr>
          <w:rFonts w:ascii="David" w:hAnsi="David" w:cs="David"/>
          <w:sz w:val="24"/>
          <w:szCs w:val="24"/>
          <w:rtl/>
        </w:rPr>
        <w:t xml:space="preserve"> שייהנו מ</w:t>
      </w:r>
      <w:r w:rsidR="00C84992" w:rsidRPr="00F77E2E">
        <w:rPr>
          <w:rFonts w:ascii="David" w:hAnsi="David" w:cs="David"/>
          <w:sz w:val="24"/>
          <w:szCs w:val="24"/>
          <w:rtl/>
        </w:rPr>
        <w:t>הירידה הצפויה ברמת התחרות בענף עקב קריסת שתי החברות</w:t>
      </w:r>
      <w:r w:rsidR="001509F2" w:rsidRPr="00F77E2E">
        <w:rPr>
          <w:rFonts w:ascii="David" w:hAnsi="David" w:cs="David"/>
          <w:sz w:val="24"/>
          <w:szCs w:val="24"/>
          <w:rtl/>
        </w:rPr>
        <w:t xml:space="preserve"> הללו</w:t>
      </w:r>
      <w:r w:rsidR="00A37E99" w:rsidRPr="00F77E2E">
        <w:rPr>
          <w:rFonts w:ascii="David" w:hAnsi="David" w:cs="David"/>
          <w:sz w:val="24"/>
          <w:szCs w:val="24"/>
          <w:rtl/>
        </w:rPr>
        <w:t xml:space="preserve"> והעלאת רף </w:t>
      </w:r>
      <w:r w:rsidR="00D83438" w:rsidRPr="00F77E2E">
        <w:rPr>
          <w:rFonts w:ascii="David" w:hAnsi="David" w:cs="David"/>
          <w:sz w:val="24"/>
          <w:szCs w:val="24"/>
          <w:rtl/>
        </w:rPr>
        <w:t xml:space="preserve">האסדרה </w:t>
      </w:r>
      <w:r w:rsidR="00A37E99" w:rsidRPr="00F77E2E">
        <w:rPr>
          <w:rFonts w:ascii="David" w:hAnsi="David" w:cs="David"/>
          <w:sz w:val="24"/>
          <w:szCs w:val="24"/>
          <w:rtl/>
        </w:rPr>
        <w:t>לפעילות בענף</w:t>
      </w:r>
      <w:r w:rsidR="00C84992" w:rsidRPr="00F77E2E">
        <w:rPr>
          <w:rFonts w:ascii="David" w:hAnsi="David" w:cs="David"/>
          <w:sz w:val="24"/>
          <w:szCs w:val="24"/>
          <w:rtl/>
        </w:rPr>
        <w:t>.</w:t>
      </w:r>
      <w:r w:rsidR="00A37E99" w:rsidRPr="00F77E2E">
        <w:rPr>
          <w:rFonts w:ascii="David" w:hAnsi="David" w:cs="David"/>
          <w:sz w:val="24"/>
          <w:szCs w:val="24"/>
          <w:rtl/>
        </w:rPr>
        <w:t xml:space="preserve"> </w:t>
      </w:r>
      <w:r w:rsidR="00C84992" w:rsidRPr="00F77E2E">
        <w:rPr>
          <w:rFonts w:ascii="David" w:hAnsi="David" w:cs="David"/>
          <w:sz w:val="24"/>
          <w:szCs w:val="24"/>
          <w:rtl/>
        </w:rPr>
        <w:t xml:space="preserve">כך או כך, </w:t>
      </w:r>
      <w:r w:rsidR="00C84992" w:rsidRPr="00F77E2E">
        <w:rPr>
          <w:rFonts w:ascii="David" w:hAnsi="David" w:cs="David"/>
          <w:b/>
          <w:bCs/>
          <w:sz w:val="24"/>
          <w:szCs w:val="24"/>
          <w:rtl/>
        </w:rPr>
        <w:t xml:space="preserve">הממצאים האמפיריים בתיבה זו </w:t>
      </w:r>
      <w:r w:rsidR="00D83438" w:rsidRPr="00F77E2E">
        <w:rPr>
          <w:rFonts w:ascii="David" w:hAnsi="David" w:cs="David"/>
          <w:b/>
          <w:bCs/>
          <w:sz w:val="24"/>
          <w:szCs w:val="24"/>
          <w:rtl/>
        </w:rPr>
        <w:t xml:space="preserve">לא </w:t>
      </w:r>
      <w:r w:rsidR="00C84992" w:rsidRPr="00F77E2E">
        <w:rPr>
          <w:rFonts w:ascii="David" w:hAnsi="David" w:cs="David"/>
          <w:b/>
          <w:bCs/>
          <w:sz w:val="24"/>
          <w:szCs w:val="24"/>
          <w:rtl/>
        </w:rPr>
        <w:t xml:space="preserve">תומכים בהשערה כי </w:t>
      </w:r>
      <w:r w:rsidR="008B143F" w:rsidRPr="00F77E2E">
        <w:rPr>
          <w:rFonts w:ascii="David" w:hAnsi="David" w:cs="David"/>
          <w:b/>
          <w:bCs/>
          <w:sz w:val="24"/>
          <w:szCs w:val="24"/>
          <w:rtl/>
        </w:rPr>
        <w:t>קריסת</w:t>
      </w:r>
      <w:r w:rsidR="00C84992" w:rsidRPr="00F77E2E">
        <w:rPr>
          <w:rFonts w:ascii="David" w:hAnsi="David" w:cs="David"/>
          <w:b/>
          <w:bCs/>
          <w:sz w:val="24"/>
          <w:szCs w:val="24"/>
          <w:rtl/>
        </w:rPr>
        <w:t xml:space="preserve"> החברות </w:t>
      </w:r>
      <w:r w:rsidR="00D83438" w:rsidRPr="00F77E2E">
        <w:rPr>
          <w:rFonts w:ascii="David" w:hAnsi="David" w:cs="David"/>
          <w:b/>
          <w:bCs/>
          <w:sz w:val="24"/>
          <w:szCs w:val="24"/>
          <w:rtl/>
        </w:rPr>
        <w:t>"</w:t>
      </w:r>
      <w:proofErr w:type="spellStart"/>
      <w:r w:rsidR="00C84992" w:rsidRPr="00F77E2E">
        <w:rPr>
          <w:rFonts w:ascii="David" w:hAnsi="David" w:cs="David"/>
          <w:b/>
          <w:bCs/>
          <w:sz w:val="24"/>
          <w:szCs w:val="24"/>
          <w:rtl/>
        </w:rPr>
        <w:t>יונט</w:t>
      </w:r>
      <w:proofErr w:type="spellEnd"/>
      <w:r w:rsidR="00D83438" w:rsidRPr="00F77E2E">
        <w:rPr>
          <w:rFonts w:ascii="David" w:hAnsi="David" w:cs="David"/>
          <w:b/>
          <w:bCs/>
          <w:sz w:val="24"/>
          <w:szCs w:val="24"/>
          <w:rtl/>
        </w:rPr>
        <w:t xml:space="preserve"> קרדיט"</w:t>
      </w:r>
      <w:r w:rsidR="00C84992" w:rsidRPr="00F77E2E">
        <w:rPr>
          <w:rFonts w:ascii="David" w:hAnsi="David" w:cs="David"/>
          <w:b/>
          <w:bCs/>
          <w:sz w:val="24"/>
          <w:szCs w:val="24"/>
          <w:rtl/>
        </w:rPr>
        <w:t xml:space="preserve"> ו</w:t>
      </w:r>
      <w:r w:rsidR="00D83438" w:rsidRPr="00F77E2E">
        <w:rPr>
          <w:rFonts w:ascii="David" w:hAnsi="David" w:cs="David"/>
          <w:b/>
          <w:bCs/>
          <w:sz w:val="24"/>
          <w:szCs w:val="24"/>
          <w:rtl/>
        </w:rPr>
        <w:t>"</w:t>
      </w:r>
      <w:r w:rsidR="00C84992" w:rsidRPr="00F77E2E">
        <w:rPr>
          <w:rFonts w:ascii="David" w:hAnsi="David" w:cs="David"/>
          <w:b/>
          <w:bCs/>
          <w:sz w:val="24"/>
          <w:szCs w:val="24"/>
          <w:rtl/>
        </w:rPr>
        <w:t>גיבוי</w:t>
      </w:r>
      <w:r w:rsidR="00D83438" w:rsidRPr="00F77E2E">
        <w:rPr>
          <w:rFonts w:ascii="David" w:hAnsi="David" w:cs="David"/>
          <w:b/>
          <w:bCs/>
          <w:sz w:val="24"/>
          <w:szCs w:val="24"/>
          <w:rtl/>
        </w:rPr>
        <w:t xml:space="preserve"> אחזקות"</w:t>
      </w:r>
      <w:r w:rsidR="00C84992" w:rsidRPr="00F77E2E">
        <w:rPr>
          <w:rFonts w:ascii="David" w:hAnsi="David" w:cs="David"/>
          <w:b/>
          <w:bCs/>
          <w:sz w:val="24"/>
          <w:szCs w:val="24"/>
          <w:rtl/>
        </w:rPr>
        <w:t xml:space="preserve"> נתפסה </w:t>
      </w:r>
      <w:r w:rsidR="003B415A" w:rsidRPr="00F77E2E">
        <w:rPr>
          <w:rFonts w:ascii="David" w:hAnsi="David" w:cs="David"/>
          <w:b/>
          <w:bCs/>
          <w:sz w:val="24"/>
          <w:szCs w:val="24"/>
          <w:rtl/>
        </w:rPr>
        <w:t xml:space="preserve">על-ידי המשקיעים </w:t>
      </w:r>
      <w:r w:rsidR="00C84992" w:rsidRPr="00F77E2E">
        <w:rPr>
          <w:rFonts w:ascii="David" w:hAnsi="David" w:cs="David"/>
          <w:b/>
          <w:bCs/>
          <w:sz w:val="24"/>
          <w:szCs w:val="24"/>
          <w:rtl/>
        </w:rPr>
        <w:t>כאינדיקציה לכשל רוחבי</w:t>
      </w:r>
      <w:r w:rsidR="00D83438" w:rsidRPr="00F77E2E">
        <w:rPr>
          <w:rFonts w:ascii="David" w:hAnsi="David" w:cs="David"/>
          <w:b/>
          <w:bCs/>
          <w:sz w:val="24"/>
          <w:szCs w:val="24"/>
          <w:rtl/>
        </w:rPr>
        <w:t>,</w:t>
      </w:r>
      <w:r w:rsidR="00C84992" w:rsidRPr="00F77E2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83438" w:rsidRPr="00F77E2E">
        <w:rPr>
          <w:rFonts w:ascii="David" w:hAnsi="David" w:cs="David"/>
          <w:b/>
          <w:bCs/>
          <w:sz w:val="24"/>
          <w:szCs w:val="24"/>
          <w:rtl/>
        </w:rPr>
        <w:t>ש</w:t>
      </w:r>
      <w:r w:rsidR="00C84992" w:rsidRPr="00F77E2E">
        <w:rPr>
          <w:rFonts w:ascii="David" w:hAnsi="David" w:cs="David"/>
          <w:b/>
          <w:bCs/>
          <w:sz w:val="24"/>
          <w:szCs w:val="24"/>
          <w:rtl/>
        </w:rPr>
        <w:t>מסכן את ענף האשראי ה</w:t>
      </w:r>
      <w:r w:rsidR="000D4A1A" w:rsidRPr="00F77E2E">
        <w:rPr>
          <w:rFonts w:ascii="David" w:hAnsi="David" w:cs="David"/>
          <w:b/>
          <w:bCs/>
          <w:sz w:val="24"/>
          <w:szCs w:val="24"/>
          <w:rtl/>
        </w:rPr>
        <w:t>חוץ-ב</w:t>
      </w:r>
      <w:r w:rsidR="00C84992" w:rsidRPr="00F77E2E">
        <w:rPr>
          <w:rFonts w:ascii="David" w:hAnsi="David" w:cs="David"/>
          <w:b/>
          <w:bCs/>
          <w:sz w:val="24"/>
          <w:szCs w:val="24"/>
          <w:rtl/>
        </w:rPr>
        <w:t>נקאי כולו</w:t>
      </w:r>
      <w:r w:rsidR="00A01BF3" w:rsidRPr="00F77E2E">
        <w:rPr>
          <w:rFonts w:ascii="David" w:hAnsi="David" w:cs="David"/>
          <w:b/>
          <w:bCs/>
          <w:sz w:val="24"/>
          <w:szCs w:val="24"/>
          <w:rtl/>
        </w:rPr>
        <w:t>, אלא לכל היותר כבעלת השלכות מסוימות על רמת התחרות בענף זה.</w:t>
      </w:r>
    </w:p>
    <w:p w:rsidR="00644D62" w:rsidRPr="00F77E2E" w:rsidRDefault="00483E49" w:rsidP="0066412D">
      <w:pPr>
        <w:pStyle w:val="1"/>
        <w:numPr>
          <w:ilvl w:val="0"/>
          <w:numId w:val="2"/>
        </w:numPr>
        <w:bidi/>
        <w:rPr>
          <w:rFonts w:ascii="David" w:hAnsi="David" w:cs="David"/>
          <w:color w:val="auto"/>
          <w:sz w:val="24"/>
          <w:szCs w:val="24"/>
          <w:rtl/>
        </w:rPr>
      </w:pPr>
      <w:r w:rsidRPr="00F77E2E">
        <w:rPr>
          <w:rFonts w:ascii="David" w:hAnsi="David" w:cs="David"/>
          <w:color w:val="auto"/>
          <w:sz w:val="24"/>
          <w:szCs w:val="24"/>
          <w:rtl/>
        </w:rPr>
        <w:t>ביבליוגרפיה</w:t>
      </w:r>
    </w:p>
    <w:p w:rsidR="006C6512" w:rsidRPr="006B3AEB" w:rsidRDefault="006C6512" w:rsidP="00E3071B">
      <w:pPr>
        <w:spacing w:after="120" w:line="360" w:lineRule="auto"/>
        <w:jc w:val="both"/>
        <w:rPr>
          <w:rFonts w:ascii="David" w:hAnsi="David" w:cs="David"/>
          <w:sz w:val="24"/>
          <w:szCs w:val="24"/>
        </w:rPr>
      </w:pPr>
      <w:proofErr w:type="spellStart"/>
      <w:r w:rsidRPr="006B3AEB">
        <w:rPr>
          <w:rFonts w:ascii="David" w:hAnsi="David" w:cs="David"/>
          <w:sz w:val="20"/>
          <w:szCs w:val="20"/>
          <w:shd w:val="clear" w:color="auto" w:fill="FFFFFF"/>
        </w:rPr>
        <w:t>Bittlingmayer</w:t>
      </w:r>
      <w:proofErr w:type="spellEnd"/>
      <w:r w:rsidRPr="006B3AEB">
        <w:rPr>
          <w:rFonts w:ascii="David" w:hAnsi="David" w:cs="David"/>
          <w:sz w:val="20"/>
          <w:szCs w:val="20"/>
          <w:shd w:val="clear" w:color="auto" w:fill="FFFFFF"/>
        </w:rPr>
        <w:t>, G. and</w:t>
      </w:r>
      <w:r w:rsidR="00C64899" w:rsidRPr="006B3AEB">
        <w:rPr>
          <w:rFonts w:ascii="David" w:hAnsi="David" w:cs="David"/>
          <w:sz w:val="20"/>
          <w:szCs w:val="20"/>
          <w:shd w:val="clear" w:color="auto" w:fill="FFFFFF"/>
        </w:rPr>
        <w:t xml:space="preserve"> T.W. 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 xml:space="preserve"> Hazlett </w:t>
      </w:r>
      <w:r w:rsidR="00C64899" w:rsidRPr="006B3AEB">
        <w:rPr>
          <w:rFonts w:ascii="David" w:hAnsi="David" w:cs="David"/>
          <w:sz w:val="20"/>
          <w:szCs w:val="20"/>
          <w:shd w:val="clear" w:color="auto" w:fill="FFFFFF"/>
        </w:rPr>
        <w:t>(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>2000</w:t>
      </w:r>
      <w:r w:rsidR="00C64899" w:rsidRPr="006B3AEB">
        <w:rPr>
          <w:rFonts w:ascii="David" w:hAnsi="David" w:cs="David"/>
          <w:sz w:val="20"/>
          <w:szCs w:val="20"/>
          <w:shd w:val="clear" w:color="auto" w:fill="FFFFFF"/>
        </w:rPr>
        <w:t>)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 xml:space="preserve">. DOS </w:t>
      </w:r>
      <w:r w:rsidR="00C64899" w:rsidRPr="006B3AEB">
        <w:rPr>
          <w:rFonts w:ascii="David" w:hAnsi="David" w:cs="David"/>
          <w:sz w:val="20"/>
          <w:szCs w:val="20"/>
          <w:shd w:val="clear" w:color="auto" w:fill="FFFFFF"/>
        </w:rPr>
        <w:t>“</w:t>
      </w:r>
      <w:proofErr w:type="spellStart"/>
      <w:r w:rsidRPr="006B3AEB">
        <w:rPr>
          <w:rFonts w:ascii="David" w:hAnsi="David" w:cs="David"/>
          <w:sz w:val="20"/>
          <w:szCs w:val="20"/>
          <w:shd w:val="clear" w:color="auto" w:fill="FFFFFF"/>
        </w:rPr>
        <w:t>Kapital</w:t>
      </w:r>
      <w:proofErr w:type="spellEnd"/>
      <w:r w:rsidRPr="006B3AEB">
        <w:rPr>
          <w:rFonts w:ascii="David" w:hAnsi="David" w:cs="David"/>
          <w:sz w:val="20"/>
          <w:szCs w:val="20"/>
          <w:shd w:val="clear" w:color="auto" w:fill="FFFFFF"/>
        </w:rPr>
        <w:t>: Has antitrust action against Microsoft created value in the computer industry</w:t>
      </w:r>
      <w:r w:rsidR="00C64899" w:rsidRPr="006B3AEB">
        <w:rPr>
          <w:rFonts w:ascii="David" w:hAnsi="David" w:cs="David"/>
          <w:sz w:val="20"/>
          <w:szCs w:val="20"/>
          <w:shd w:val="clear" w:color="auto" w:fill="FFFFFF"/>
        </w:rPr>
        <w:t>?</w:t>
      </w:r>
      <w:proofErr w:type="gramStart"/>
      <w:r w:rsidR="00C64899" w:rsidRPr="006B3AEB">
        <w:rPr>
          <w:rFonts w:ascii="David" w:hAnsi="David" w:cs="David"/>
          <w:sz w:val="20"/>
          <w:szCs w:val="20"/>
          <w:shd w:val="clear" w:color="auto" w:fill="FFFFFF"/>
        </w:rPr>
        <w:t>”,</w:t>
      </w:r>
      <w:proofErr w:type="gramEnd"/>
      <w:r w:rsidR="00C64899" w:rsidRPr="006B3AEB">
        <w:rPr>
          <w:rFonts w:ascii="David" w:hAnsi="David" w:cs="David"/>
          <w:sz w:val="20"/>
          <w:szCs w:val="20"/>
          <w:shd w:val="clear" w:color="auto" w:fill="FFFFFF"/>
        </w:rPr>
        <w:t> </w:t>
      </w:r>
      <w:r w:rsidRPr="006B3AEB">
        <w:rPr>
          <w:rFonts w:ascii="David" w:hAnsi="David" w:cs="David"/>
          <w:i/>
          <w:iCs/>
          <w:sz w:val="20"/>
          <w:szCs w:val="20"/>
          <w:shd w:val="clear" w:color="auto" w:fill="FFFFFF"/>
        </w:rPr>
        <w:t>Journal of Financial Economics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>, </w:t>
      </w:r>
      <w:r w:rsidRPr="006B3AEB">
        <w:rPr>
          <w:rFonts w:ascii="David" w:hAnsi="David" w:cs="David"/>
          <w:i/>
          <w:iCs/>
          <w:sz w:val="20"/>
          <w:szCs w:val="20"/>
          <w:shd w:val="clear" w:color="auto" w:fill="FFFFFF"/>
        </w:rPr>
        <w:t>55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>(3), 329</w:t>
      </w:r>
      <w:r w:rsidR="00C64899" w:rsidRPr="006B3AEB">
        <w:rPr>
          <w:rFonts w:ascii="David" w:hAnsi="David" w:cs="David"/>
          <w:sz w:val="20"/>
          <w:szCs w:val="20"/>
          <w:shd w:val="clear" w:color="auto" w:fill="FFFFFF"/>
        </w:rPr>
        <w:t>–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>359.</w:t>
      </w:r>
    </w:p>
    <w:p w:rsidR="005B13FE" w:rsidRPr="006B3AEB" w:rsidRDefault="005B13FE" w:rsidP="00E3071B">
      <w:pPr>
        <w:spacing w:after="120" w:line="360" w:lineRule="auto"/>
        <w:jc w:val="both"/>
        <w:rPr>
          <w:rFonts w:ascii="David" w:hAnsi="David" w:cs="David"/>
          <w:sz w:val="24"/>
          <w:szCs w:val="24"/>
        </w:rPr>
      </w:pPr>
      <w:proofErr w:type="spellStart"/>
      <w:r w:rsidRPr="006B3AEB">
        <w:rPr>
          <w:rFonts w:ascii="David" w:hAnsi="David" w:cs="David"/>
          <w:sz w:val="20"/>
          <w:szCs w:val="20"/>
          <w:shd w:val="clear" w:color="auto" w:fill="FFFFFF"/>
        </w:rPr>
        <w:t>Eckbo</w:t>
      </w:r>
      <w:proofErr w:type="spellEnd"/>
      <w:r w:rsidRPr="006B3AEB">
        <w:rPr>
          <w:rFonts w:ascii="David" w:hAnsi="David" w:cs="David"/>
          <w:sz w:val="20"/>
          <w:szCs w:val="20"/>
          <w:shd w:val="clear" w:color="auto" w:fill="FFFFFF"/>
        </w:rPr>
        <w:t xml:space="preserve">, B.E. </w:t>
      </w:r>
      <w:r w:rsidR="00C64899" w:rsidRPr="006B3AEB">
        <w:rPr>
          <w:rFonts w:ascii="David" w:hAnsi="David" w:cs="David"/>
          <w:sz w:val="20"/>
          <w:szCs w:val="20"/>
          <w:shd w:val="clear" w:color="auto" w:fill="FFFFFF"/>
        </w:rPr>
        <w:t>(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>1983</w:t>
      </w:r>
      <w:r w:rsidR="00C64899" w:rsidRPr="006B3AEB">
        <w:rPr>
          <w:rFonts w:ascii="David" w:hAnsi="David" w:cs="David"/>
          <w:sz w:val="20"/>
          <w:szCs w:val="20"/>
          <w:shd w:val="clear" w:color="auto" w:fill="FFFFFF"/>
        </w:rPr>
        <w:t>)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 xml:space="preserve">. </w:t>
      </w:r>
      <w:r w:rsidR="00C64899" w:rsidRPr="006B3AEB">
        <w:rPr>
          <w:rFonts w:ascii="David" w:hAnsi="David" w:cs="David"/>
          <w:sz w:val="20"/>
          <w:szCs w:val="20"/>
          <w:shd w:val="clear" w:color="auto" w:fill="FFFFFF"/>
        </w:rPr>
        <w:t>“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>Horizontal mergers, collusion, and stockholder wealth</w:t>
      </w:r>
      <w:r w:rsidR="00C64899" w:rsidRPr="006B3AEB">
        <w:rPr>
          <w:rFonts w:ascii="David" w:hAnsi="David" w:cs="David"/>
          <w:sz w:val="20"/>
          <w:szCs w:val="20"/>
          <w:shd w:val="clear" w:color="auto" w:fill="FFFFFF"/>
        </w:rPr>
        <w:t>”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>. </w:t>
      </w:r>
      <w:r w:rsidRPr="006B3AEB">
        <w:rPr>
          <w:rFonts w:ascii="David" w:hAnsi="David" w:cs="David"/>
          <w:i/>
          <w:iCs/>
          <w:sz w:val="20"/>
          <w:szCs w:val="20"/>
          <w:shd w:val="clear" w:color="auto" w:fill="FFFFFF"/>
        </w:rPr>
        <w:t>Journal of financial Economics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>, </w:t>
      </w:r>
      <w:r w:rsidRPr="006B3AEB">
        <w:rPr>
          <w:rFonts w:ascii="David" w:hAnsi="David" w:cs="David"/>
          <w:i/>
          <w:iCs/>
          <w:sz w:val="20"/>
          <w:szCs w:val="20"/>
          <w:shd w:val="clear" w:color="auto" w:fill="FFFFFF"/>
        </w:rPr>
        <w:t>11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>(1</w:t>
      </w:r>
      <w:r w:rsidR="00C64899" w:rsidRPr="006B3AEB">
        <w:rPr>
          <w:rFonts w:ascii="David" w:hAnsi="David" w:cs="David"/>
          <w:sz w:val="20"/>
          <w:szCs w:val="20"/>
          <w:shd w:val="clear" w:color="auto" w:fill="FFFFFF"/>
        </w:rPr>
        <w:t>–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>4), 241</w:t>
      </w:r>
      <w:r w:rsidR="00C64899" w:rsidRPr="006B3AEB">
        <w:rPr>
          <w:rFonts w:ascii="David" w:hAnsi="David" w:cs="David"/>
          <w:sz w:val="20"/>
          <w:szCs w:val="20"/>
          <w:shd w:val="clear" w:color="auto" w:fill="FFFFFF"/>
        </w:rPr>
        <w:t>–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>273.</w:t>
      </w:r>
    </w:p>
    <w:p w:rsidR="00FA67C6" w:rsidRPr="006B3AEB" w:rsidRDefault="00FA67C6" w:rsidP="005652E6">
      <w:pPr>
        <w:spacing w:after="120" w:line="360" w:lineRule="auto"/>
        <w:jc w:val="both"/>
        <w:rPr>
          <w:rFonts w:ascii="David" w:hAnsi="David" w:cs="David"/>
          <w:sz w:val="24"/>
          <w:szCs w:val="24"/>
        </w:rPr>
      </w:pPr>
      <w:r w:rsidRPr="006B3AEB">
        <w:rPr>
          <w:rFonts w:ascii="David" w:hAnsi="David" w:cs="David"/>
          <w:sz w:val="20"/>
          <w:szCs w:val="20"/>
          <w:shd w:val="clear" w:color="auto" w:fill="FFFFFF"/>
        </w:rPr>
        <w:lastRenderedPageBreak/>
        <w:t>Fee, C.E. and</w:t>
      </w:r>
      <w:r w:rsidR="00C64899" w:rsidRPr="006B3AEB">
        <w:rPr>
          <w:rFonts w:ascii="David" w:hAnsi="David" w:cs="David"/>
          <w:sz w:val="20"/>
          <w:szCs w:val="20"/>
          <w:shd w:val="clear" w:color="auto" w:fill="FFFFFF"/>
        </w:rPr>
        <w:t xml:space="preserve"> S.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 xml:space="preserve"> Thomas </w:t>
      </w:r>
      <w:r w:rsidR="00450482" w:rsidRPr="006B3AEB">
        <w:rPr>
          <w:rFonts w:ascii="David" w:hAnsi="David" w:cs="David"/>
          <w:sz w:val="20"/>
          <w:szCs w:val="20"/>
          <w:shd w:val="clear" w:color="auto" w:fill="FFFFFF"/>
        </w:rPr>
        <w:t>(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>2004</w:t>
      </w:r>
      <w:r w:rsidR="00450482" w:rsidRPr="006B3AEB">
        <w:rPr>
          <w:rFonts w:ascii="David" w:hAnsi="David" w:cs="David"/>
          <w:sz w:val="20"/>
          <w:szCs w:val="20"/>
          <w:shd w:val="clear" w:color="auto" w:fill="FFFFFF"/>
        </w:rPr>
        <w:t>)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 xml:space="preserve">. </w:t>
      </w:r>
      <w:r w:rsidR="00C64899" w:rsidRPr="006B3AEB">
        <w:rPr>
          <w:rFonts w:ascii="David" w:hAnsi="David" w:cs="David"/>
          <w:sz w:val="20"/>
          <w:szCs w:val="20"/>
          <w:shd w:val="clear" w:color="auto" w:fill="FFFFFF"/>
        </w:rPr>
        <w:t>“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>Sources of gains in horizontal mergers: evidence from customer, supplier, and rival firms</w:t>
      </w:r>
      <w:r w:rsidR="00C64899" w:rsidRPr="006B3AEB">
        <w:rPr>
          <w:rFonts w:ascii="David" w:hAnsi="David" w:cs="David"/>
          <w:sz w:val="20"/>
          <w:szCs w:val="20"/>
          <w:shd w:val="clear" w:color="auto" w:fill="FFFFFF"/>
        </w:rPr>
        <w:t>”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>. </w:t>
      </w:r>
      <w:r w:rsidRPr="006B3AEB">
        <w:rPr>
          <w:rFonts w:ascii="David" w:hAnsi="David" w:cs="David"/>
          <w:i/>
          <w:iCs/>
          <w:sz w:val="20"/>
          <w:szCs w:val="20"/>
          <w:shd w:val="clear" w:color="auto" w:fill="FFFFFF"/>
        </w:rPr>
        <w:t>Journal of financial Economics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>, </w:t>
      </w:r>
      <w:r w:rsidRPr="006B3AEB">
        <w:rPr>
          <w:rFonts w:ascii="David" w:hAnsi="David" w:cs="David"/>
          <w:i/>
          <w:iCs/>
          <w:sz w:val="20"/>
          <w:szCs w:val="20"/>
          <w:shd w:val="clear" w:color="auto" w:fill="FFFFFF"/>
        </w:rPr>
        <w:t>74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>(3), 423</w:t>
      </w:r>
      <w:r w:rsidR="00C64899" w:rsidRPr="006B3AEB">
        <w:rPr>
          <w:rFonts w:ascii="David" w:hAnsi="David" w:cs="David"/>
          <w:sz w:val="20"/>
          <w:szCs w:val="20"/>
          <w:shd w:val="clear" w:color="auto" w:fill="FFFFFF"/>
        </w:rPr>
        <w:t>–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>460.</w:t>
      </w:r>
    </w:p>
    <w:p w:rsidR="00F901A7" w:rsidRPr="006B3AEB" w:rsidRDefault="00F901A7" w:rsidP="005652E6">
      <w:pPr>
        <w:spacing w:after="120" w:line="360" w:lineRule="auto"/>
        <w:jc w:val="both"/>
        <w:rPr>
          <w:rFonts w:ascii="David" w:hAnsi="David" w:cs="David"/>
          <w:sz w:val="20"/>
          <w:szCs w:val="20"/>
          <w:shd w:val="clear" w:color="auto" w:fill="FFFFFF"/>
        </w:rPr>
      </w:pPr>
      <w:proofErr w:type="spellStart"/>
      <w:r w:rsidRPr="006B3AEB">
        <w:rPr>
          <w:rFonts w:ascii="David" w:hAnsi="David" w:cs="David"/>
          <w:sz w:val="20"/>
          <w:szCs w:val="20"/>
          <w:shd w:val="clear" w:color="auto" w:fill="FFFFFF"/>
        </w:rPr>
        <w:t>Karceski</w:t>
      </w:r>
      <w:proofErr w:type="spellEnd"/>
      <w:r w:rsidRPr="006B3AEB">
        <w:rPr>
          <w:rFonts w:ascii="David" w:hAnsi="David" w:cs="David"/>
          <w:sz w:val="20"/>
          <w:szCs w:val="20"/>
          <w:shd w:val="clear" w:color="auto" w:fill="FFFFFF"/>
        </w:rPr>
        <w:t>, J.,</w:t>
      </w:r>
      <w:r w:rsidR="00621568" w:rsidRPr="006B3AEB">
        <w:rPr>
          <w:rFonts w:ascii="David" w:hAnsi="David" w:cs="David"/>
          <w:sz w:val="20"/>
          <w:szCs w:val="20"/>
          <w:shd w:val="clear" w:color="auto" w:fill="FFFFFF"/>
        </w:rPr>
        <w:t xml:space="preserve"> S.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 xml:space="preserve"> </w:t>
      </w:r>
      <w:proofErr w:type="spellStart"/>
      <w:r w:rsidRPr="006B3AEB">
        <w:rPr>
          <w:rFonts w:ascii="David" w:hAnsi="David" w:cs="David"/>
          <w:sz w:val="20"/>
          <w:szCs w:val="20"/>
          <w:shd w:val="clear" w:color="auto" w:fill="FFFFFF"/>
        </w:rPr>
        <w:t>Ongena</w:t>
      </w:r>
      <w:proofErr w:type="spellEnd"/>
      <w:r w:rsidRPr="006B3AEB">
        <w:rPr>
          <w:rFonts w:ascii="David" w:hAnsi="David" w:cs="David"/>
          <w:sz w:val="20"/>
          <w:szCs w:val="20"/>
          <w:shd w:val="clear" w:color="auto" w:fill="FFFFFF"/>
        </w:rPr>
        <w:t xml:space="preserve"> and</w:t>
      </w:r>
      <w:r w:rsidR="00621568" w:rsidRPr="006B3AEB">
        <w:rPr>
          <w:rFonts w:ascii="David" w:hAnsi="David" w:cs="David"/>
          <w:sz w:val="20"/>
          <w:szCs w:val="20"/>
          <w:shd w:val="clear" w:color="auto" w:fill="FFFFFF"/>
        </w:rPr>
        <w:t xml:space="preserve"> D.C.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 xml:space="preserve"> Smith </w:t>
      </w:r>
      <w:r w:rsidR="00621568" w:rsidRPr="006B3AEB">
        <w:rPr>
          <w:rFonts w:ascii="David" w:hAnsi="David" w:cs="David"/>
          <w:sz w:val="20"/>
          <w:szCs w:val="20"/>
          <w:shd w:val="clear" w:color="auto" w:fill="FFFFFF"/>
        </w:rPr>
        <w:t>(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>2005</w:t>
      </w:r>
      <w:r w:rsidR="00621568" w:rsidRPr="006B3AEB">
        <w:rPr>
          <w:rFonts w:ascii="David" w:hAnsi="David" w:cs="David"/>
          <w:sz w:val="20"/>
          <w:szCs w:val="20"/>
          <w:shd w:val="clear" w:color="auto" w:fill="FFFFFF"/>
        </w:rPr>
        <w:t>)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 xml:space="preserve">. </w:t>
      </w:r>
      <w:r w:rsidR="00621568" w:rsidRPr="006B3AEB">
        <w:rPr>
          <w:rFonts w:ascii="David" w:hAnsi="David" w:cs="David"/>
          <w:sz w:val="20"/>
          <w:szCs w:val="20"/>
          <w:shd w:val="clear" w:color="auto" w:fill="FFFFFF"/>
        </w:rPr>
        <w:t>“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>The impact of bank consolidation on commercial borrower welfare</w:t>
      </w:r>
      <w:r w:rsidR="00621568" w:rsidRPr="006B3AEB">
        <w:rPr>
          <w:rFonts w:ascii="David" w:hAnsi="David" w:cs="David"/>
          <w:sz w:val="20"/>
          <w:szCs w:val="20"/>
          <w:shd w:val="clear" w:color="auto" w:fill="FFFFFF"/>
        </w:rPr>
        <w:t>”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>. </w:t>
      </w:r>
      <w:r w:rsidRPr="006B3AEB">
        <w:rPr>
          <w:rFonts w:ascii="David" w:hAnsi="David" w:cs="David"/>
          <w:i/>
          <w:iCs/>
          <w:sz w:val="20"/>
          <w:szCs w:val="20"/>
          <w:shd w:val="clear" w:color="auto" w:fill="FFFFFF"/>
        </w:rPr>
        <w:t>The Journal of Finance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>, </w:t>
      </w:r>
      <w:r w:rsidRPr="006B3AEB">
        <w:rPr>
          <w:rFonts w:ascii="David" w:hAnsi="David" w:cs="David"/>
          <w:i/>
          <w:iCs/>
          <w:sz w:val="20"/>
          <w:szCs w:val="20"/>
          <w:shd w:val="clear" w:color="auto" w:fill="FFFFFF"/>
        </w:rPr>
        <w:t>60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>(4), 2043</w:t>
      </w:r>
      <w:r w:rsidR="00621568" w:rsidRPr="006B3AEB">
        <w:rPr>
          <w:rFonts w:ascii="David" w:hAnsi="David" w:cs="David"/>
          <w:sz w:val="20"/>
          <w:szCs w:val="20"/>
          <w:shd w:val="clear" w:color="auto" w:fill="FFFFFF"/>
        </w:rPr>
        <w:t>–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>2082.</w:t>
      </w:r>
    </w:p>
    <w:p w:rsidR="00F44BEF" w:rsidRPr="006B3AEB" w:rsidRDefault="00F44BEF" w:rsidP="00E3071B">
      <w:pPr>
        <w:spacing w:after="120" w:line="360" w:lineRule="auto"/>
        <w:jc w:val="both"/>
        <w:rPr>
          <w:rFonts w:ascii="David" w:hAnsi="David" w:cs="David"/>
          <w:sz w:val="20"/>
          <w:szCs w:val="20"/>
          <w:shd w:val="clear" w:color="auto" w:fill="FFFFFF"/>
        </w:rPr>
      </w:pPr>
      <w:proofErr w:type="spellStart"/>
      <w:r w:rsidRPr="006B3AEB">
        <w:rPr>
          <w:rFonts w:ascii="David" w:hAnsi="David" w:cs="David"/>
          <w:sz w:val="20"/>
          <w:szCs w:val="20"/>
          <w:shd w:val="clear" w:color="auto" w:fill="FFFFFF"/>
        </w:rPr>
        <w:t>MacKinlay</w:t>
      </w:r>
      <w:proofErr w:type="spellEnd"/>
      <w:r w:rsidRPr="006B3AEB">
        <w:rPr>
          <w:rFonts w:ascii="David" w:hAnsi="David" w:cs="David"/>
          <w:sz w:val="20"/>
          <w:szCs w:val="20"/>
          <w:shd w:val="clear" w:color="auto" w:fill="FFFFFF"/>
        </w:rPr>
        <w:t xml:space="preserve">, A.C. </w:t>
      </w:r>
      <w:r w:rsidR="00F47FEE" w:rsidRPr="006B3AEB">
        <w:rPr>
          <w:rFonts w:ascii="David" w:hAnsi="David" w:cs="David"/>
          <w:sz w:val="20"/>
          <w:szCs w:val="20"/>
          <w:shd w:val="clear" w:color="auto" w:fill="FFFFFF"/>
        </w:rPr>
        <w:t>(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>1997</w:t>
      </w:r>
      <w:r w:rsidR="00F47FEE" w:rsidRPr="006B3AEB">
        <w:rPr>
          <w:rFonts w:ascii="David" w:hAnsi="David" w:cs="David"/>
          <w:sz w:val="20"/>
          <w:szCs w:val="20"/>
          <w:shd w:val="clear" w:color="auto" w:fill="FFFFFF"/>
        </w:rPr>
        <w:t>)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 xml:space="preserve">. </w:t>
      </w:r>
      <w:r w:rsidR="00F47FEE" w:rsidRPr="006B3AEB">
        <w:rPr>
          <w:rFonts w:ascii="David" w:hAnsi="David" w:cs="David"/>
          <w:sz w:val="20"/>
          <w:szCs w:val="20"/>
          <w:shd w:val="clear" w:color="auto" w:fill="FFFFFF"/>
        </w:rPr>
        <w:t>“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>Event studies in economics and finance</w:t>
      </w:r>
      <w:r w:rsidR="00F47FEE" w:rsidRPr="006B3AEB">
        <w:rPr>
          <w:rFonts w:ascii="David" w:hAnsi="David" w:cs="David"/>
          <w:sz w:val="20"/>
          <w:szCs w:val="20"/>
          <w:shd w:val="clear" w:color="auto" w:fill="FFFFFF"/>
        </w:rPr>
        <w:t>”, </w:t>
      </w:r>
      <w:r w:rsidRPr="006B3AEB">
        <w:rPr>
          <w:rFonts w:ascii="David" w:hAnsi="David" w:cs="David"/>
          <w:i/>
          <w:iCs/>
          <w:sz w:val="20"/>
          <w:szCs w:val="20"/>
          <w:shd w:val="clear" w:color="auto" w:fill="FFFFFF"/>
        </w:rPr>
        <w:t>Journal of economic literature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>, </w:t>
      </w:r>
      <w:r w:rsidRPr="006B3AEB">
        <w:rPr>
          <w:rFonts w:ascii="David" w:hAnsi="David" w:cs="David"/>
          <w:i/>
          <w:iCs/>
          <w:sz w:val="20"/>
          <w:szCs w:val="20"/>
          <w:shd w:val="clear" w:color="auto" w:fill="FFFFFF"/>
        </w:rPr>
        <w:t>35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>(1), 13</w:t>
      </w:r>
      <w:r w:rsidR="00F47FEE" w:rsidRPr="006B3AEB">
        <w:rPr>
          <w:rFonts w:ascii="David" w:hAnsi="David" w:cs="David"/>
          <w:sz w:val="20"/>
          <w:szCs w:val="20"/>
          <w:shd w:val="clear" w:color="auto" w:fill="FFFFFF"/>
        </w:rPr>
        <w:t>–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>39.</w:t>
      </w:r>
    </w:p>
    <w:p w:rsidR="00ED0D6C" w:rsidRPr="006B3AEB" w:rsidRDefault="00ED0D6C" w:rsidP="00E3071B">
      <w:pPr>
        <w:spacing w:after="120" w:line="360" w:lineRule="auto"/>
        <w:jc w:val="both"/>
        <w:rPr>
          <w:rFonts w:ascii="David" w:hAnsi="David" w:cs="David"/>
          <w:sz w:val="24"/>
          <w:szCs w:val="24"/>
        </w:rPr>
      </w:pPr>
      <w:r w:rsidRPr="006B3AEB">
        <w:rPr>
          <w:rFonts w:ascii="David" w:hAnsi="David" w:cs="David"/>
          <w:sz w:val="20"/>
          <w:szCs w:val="20"/>
          <w:shd w:val="clear" w:color="auto" w:fill="FFFFFF"/>
        </w:rPr>
        <w:t>Petersen, M.</w:t>
      </w:r>
      <w:r w:rsidR="00450482" w:rsidRPr="006B3AEB">
        <w:rPr>
          <w:rFonts w:ascii="David" w:hAnsi="David" w:cs="David"/>
          <w:sz w:val="20"/>
          <w:szCs w:val="20"/>
          <w:shd w:val="clear" w:color="auto" w:fill="FFFFFF"/>
        </w:rPr>
        <w:t xml:space="preserve"> 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 xml:space="preserve">A. </w:t>
      </w:r>
      <w:r w:rsidR="00F47FEE" w:rsidRPr="006B3AEB">
        <w:rPr>
          <w:rFonts w:ascii="David" w:hAnsi="David" w:cs="David"/>
          <w:sz w:val="20"/>
          <w:szCs w:val="20"/>
          <w:shd w:val="clear" w:color="auto" w:fill="FFFFFF"/>
        </w:rPr>
        <w:t>(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>2009</w:t>
      </w:r>
      <w:r w:rsidR="00F47FEE" w:rsidRPr="006B3AEB">
        <w:rPr>
          <w:rFonts w:ascii="David" w:hAnsi="David" w:cs="David"/>
          <w:sz w:val="20"/>
          <w:szCs w:val="20"/>
          <w:shd w:val="clear" w:color="auto" w:fill="FFFFFF"/>
        </w:rPr>
        <w:t>)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 xml:space="preserve">. </w:t>
      </w:r>
      <w:r w:rsidR="00F47FEE" w:rsidRPr="006B3AEB">
        <w:rPr>
          <w:rFonts w:ascii="David" w:hAnsi="David" w:cs="David"/>
          <w:sz w:val="20"/>
          <w:szCs w:val="20"/>
          <w:shd w:val="clear" w:color="auto" w:fill="FFFFFF"/>
        </w:rPr>
        <w:t>“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>Estimating standard errors in finance panel data sets: Comparing approaches</w:t>
      </w:r>
      <w:r w:rsidR="00F47FEE" w:rsidRPr="006B3AEB">
        <w:rPr>
          <w:rFonts w:ascii="David" w:hAnsi="David" w:cs="David"/>
          <w:sz w:val="20"/>
          <w:szCs w:val="20"/>
          <w:shd w:val="clear" w:color="auto" w:fill="FFFFFF"/>
        </w:rPr>
        <w:t>“, </w:t>
      </w:r>
      <w:r w:rsidRPr="006B3AEB">
        <w:rPr>
          <w:rFonts w:ascii="David" w:hAnsi="David" w:cs="David"/>
          <w:i/>
          <w:iCs/>
          <w:sz w:val="20"/>
          <w:szCs w:val="20"/>
          <w:shd w:val="clear" w:color="auto" w:fill="FFFFFF"/>
        </w:rPr>
        <w:t>The Review of Financial Studies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>, </w:t>
      </w:r>
      <w:r w:rsidRPr="006B3AEB">
        <w:rPr>
          <w:rFonts w:ascii="David" w:hAnsi="David" w:cs="David"/>
          <w:i/>
          <w:iCs/>
          <w:sz w:val="20"/>
          <w:szCs w:val="20"/>
          <w:shd w:val="clear" w:color="auto" w:fill="FFFFFF"/>
        </w:rPr>
        <w:t>22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>(1), 435</w:t>
      </w:r>
      <w:r w:rsidR="00F47FEE" w:rsidRPr="006B3AEB">
        <w:rPr>
          <w:rFonts w:ascii="David" w:hAnsi="David" w:cs="David"/>
          <w:sz w:val="20"/>
          <w:szCs w:val="20"/>
          <w:shd w:val="clear" w:color="auto" w:fill="FFFFFF"/>
        </w:rPr>
        <w:t>–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>480.</w:t>
      </w:r>
    </w:p>
    <w:p w:rsidR="00224345" w:rsidRPr="006B3AEB" w:rsidRDefault="00224345" w:rsidP="00E3071B">
      <w:pPr>
        <w:spacing w:after="120" w:line="360" w:lineRule="auto"/>
        <w:jc w:val="both"/>
        <w:rPr>
          <w:rFonts w:ascii="David" w:hAnsi="David" w:cs="David"/>
          <w:sz w:val="24"/>
          <w:szCs w:val="24"/>
        </w:rPr>
      </w:pPr>
      <w:proofErr w:type="spellStart"/>
      <w:r w:rsidRPr="006B3AEB">
        <w:rPr>
          <w:rFonts w:ascii="David" w:hAnsi="David" w:cs="David"/>
          <w:sz w:val="20"/>
          <w:szCs w:val="20"/>
          <w:shd w:val="clear" w:color="auto" w:fill="FFFFFF"/>
        </w:rPr>
        <w:t>Shahrur</w:t>
      </w:r>
      <w:proofErr w:type="spellEnd"/>
      <w:r w:rsidRPr="006B3AEB">
        <w:rPr>
          <w:rFonts w:ascii="David" w:hAnsi="David" w:cs="David"/>
          <w:sz w:val="20"/>
          <w:szCs w:val="20"/>
          <w:shd w:val="clear" w:color="auto" w:fill="FFFFFF"/>
        </w:rPr>
        <w:t xml:space="preserve">, H. </w:t>
      </w:r>
      <w:r w:rsidR="00F47FEE" w:rsidRPr="006B3AEB">
        <w:rPr>
          <w:rFonts w:ascii="David" w:hAnsi="David" w:cs="David"/>
          <w:sz w:val="20"/>
          <w:szCs w:val="20"/>
          <w:shd w:val="clear" w:color="auto" w:fill="FFFFFF"/>
        </w:rPr>
        <w:t>(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>2005</w:t>
      </w:r>
      <w:r w:rsidR="00F47FEE" w:rsidRPr="006B3AEB">
        <w:rPr>
          <w:rFonts w:ascii="David" w:hAnsi="David" w:cs="David"/>
          <w:sz w:val="20"/>
          <w:szCs w:val="20"/>
          <w:shd w:val="clear" w:color="auto" w:fill="FFFFFF"/>
        </w:rPr>
        <w:t>)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>. Industry structure and horizontal takeovers: Analysis of wealth effects on rivals, suppliers, and corporate customers. </w:t>
      </w:r>
      <w:r w:rsidRPr="006B3AEB">
        <w:rPr>
          <w:rFonts w:ascii="David" w:hAnsi="David" w:cs="David"/>
          <w:i/>
          <w:iCs/>
          <w:sz w:val="20"/>
          <w:szCs w:val="20"/>
          <w:shd w:val="clear" w:color="auto" w:fill="FFFFFF"/>
        </w:rPr>
        <w:t>Journal of Financial Economics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>, </w:t>
      </w:r>
      <w:r w:rsidRPr="006B3AEB">
        <w:rPr>
          <w:rFonts w:ascii="David" w:hAnsi="David" w:cs="David"/>
          <w:i/>
          <w:iCs/>
          <w:sz w:val="20"/>
          <w:szCs w:val="20"/>
          <w:shd w:val="clear" w:color="auto" w:fill="FFFFFF"/>
        </w:rPr>
        <w:t>76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>(1)</w:t>
      </w:r>
      <w:proofErr w:type="gramStart"/>
      <w:r w:rsidRPr="006B3AEB">
        <w:rPr>
          <w:rFonts w:ascii="David" w:hAnsi="David" w:cs="David"/>
          <w:sz w:val="20"/>
          <w:szCs w:val="20"/>
          <w:shd w:val="clear" w:color="auto" w:fill="FFFFFF"/>
        </w:rPr>
        <w:t>,61</w:t>
      </w:r>
      <w:proofErr w:type="gramEnd"/>
      <w:r w:rsidR="00F47FEE" w:rsidRPr="006B3AEB">
        <w:rPr>
          <w:rFonts w:ascii="David" w:hAnsi="David" w:cs="David"/>
          <w:sz w:val="20"/>
          <w:szCs w:val="20"/>
          <w:shd w:val="clear" w:color="auto" w:fill="FFFFFF"/>
        </w:rPr>
        <w:t>–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>98.</w:t>
      </w:r>
    </w:p>
    <w:p w:rsidR="005B13FE" w:rsidRPr="006B3AEB" w:rsidRDefault="005B13FE" w:rsidP="00E3071B">
      <w:pPr>
        <w:spacing w:after="120" w:line="360" w:lineRule="auto"/>
        <w:jc w:val="both"/>
        <w:rPr>
          <w:rFonts w:ascii="David" w:hAnsi="David" w:cs="David"/>
          <w:sz w:val="20"/>
          <w:szCs w:val="20"/>
          <w:shd w:val="clear" w:color="auto" w:fill="FFFFFF"/>
        </w:rPr>
      </w:pPr>
      <w:proofErr w:type="spellStart"/>
      <w:r w:rsidRPr="006B3AEB">
        <w:rPr>
          <w:rFonts w:ascii="David" w:hAnsi="David" w:cs="David"/>
          <w:sz w:val="20"/>
          <w:szCs w:val="20"/>
          <w:shd w:val="clear" w:color="auto" w:fill="FFFFFF"/>
        </w:rPr>
        <w:t>Stillman</w:t>
      </w:r>
      <w:proofErr w:type="spellEnd"/>
      <w:r w:rsidRPr="006B3AEB">
        <w:rPr>
          <w:rFonts w:ascii="David" w:hAnsi="David" w:cs="David"/>
          <w:sz w:val="20"/>
          <w:szCs w:val="20"/>
          <w:shd w:val="clear" w:color="auto" w:fill="FFFFFF"/>
        </w:rPr>
        <w:t xml:space="preserve">, R. </w:t>
      </w:r>
      <w:r w:rsidR="00BF3405" w:rsidRPr="006B3AEB">
        <w:rPr>
          <w:rFonts w:ascii="David" w:hAnsi="David" w:cs="David"/>
          <w:sz w:val="20"/>
          <w:szCs w:val="20"/>
          <w:shd w:val="clear" w:color="auto" w:fill="FFFFFF"/>
        </w:rPr>
        <w:t>(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>1983</w:t>
      </w:r>
      <w:r w:rsidR="00BF3405" w:rsidRPr="006B3AEB">
        <w:rPr>
          <w:rFonts w:ascii="David" w:hAnsi="David" w:cs="David"/>
          <w:sz w:val="20"/>
          <w:szCs w:val="20"/>
          <w:shd w:val="clear" w:color="auto" w:fill="FFFFFF"/>
        </w:rPr>
        <w:t>)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>. Examining antitrust policy towards horizontal mergers. </w:t>
      </w:r>
      <w:r w:rsidRPr="006B3AEB">
        <w:rPr>
          <w:rFonts w:ascii="David" w:hAnsi="David" w:cs="David"/>
          <w:i/>
          <w:iCs/>
          <w:sz w:val="20"/>
          <w:szCs w:val="20"/>
          <w:shd w:val="clear" w:color="auto" w:fill="FFFFFF"/>
        </w:rPr>
        <w:t>Journal of Financial Economics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>, </w:t>
      </w:r>
      <w:r w:rsidRPr="006B3AEB">
        <w:rPr>
          <w:rFonts w:ascii="David" w:hAnsi="David" w:cs="David"/>
          <w:i/>
          <w:iCs/>
          <w:sz w:val="20"/>
          <w:szCs w:val="20"/>
          <w:shd w:val="clear" w:color="auto" w:fill="FFFFFF"/>
        </w:rPr>
        <w:t>11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>(1</w:t>
      </w:r>
      <w:r w:rsidR="00BF3405" w:rsidRPr="006B3AEB">
        <w:rPr>
          <w:rFonts w:ascii="David" w:hAnsi="David" w:cs="David"/>
          <w:sz w:val="20"/>
          <w:szCs w:val="20"/>
          <w:shd w:val="clear" w:color="auto" w:fill="FFFFFF"/>
        </w:rPr>
        <w:t>–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>4), 225</w:t>
      </w:r>
      <w:r w:rsidR="00BF3405" w:rsidRPr="006B3AEB">
        <w:rPr>
          <w:rFonts w:ascii="David" w:hAnsi="David" w:cs="David"/>
          <w:sz w:val="20"/>
          <w:szCs w:val="20"/>
          <w:shd w:val="clear" w:color="auto" w:fill="FFFFFF"/>
        </w:rPr>
        <w:t>–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>240.</w:t>
      </w:r>
    </w:p>
    <w:p w:rsidR="002F2649" w:rsidRPr="006B3AEB" w:rsidRDefault="002F2649" w:rsidP="00E3071B">
      <w:pPr>
        <w:spacing w:after="120" w:line="360" w:lineRule="auto"/>
        <w:jc w:val="both"/>
        <w:rPr>
          <w:rFonts w:ascii="David" w:hAnsi="David" w:cs="David"/>
          <w:sz w:val="20"/>
          <w:szCs w:val="20"/>
          <w:shd w:val="clear" w:color="auto" w:fill="FFFFFF"/>
        </w:rPr>
      </w:pPr>
      <w:r w:rsidRPr="006B3AEB">
        <w:rPr>
          <w:rFonts w:ascii="David" w:hAnsi="David" w:cs="David"/>
          <w:sz w:val="20"/>
          <w:szCs w:val="20"/>
          <w:shd w:val="clear" w:color="auto" w:fill="FFFFFF"/>
        </w:rPr>
        <w:t xml:space="preserve">Wagner, A.F. </w:t>
      </w:r>
      <w:r w:rsidR="00BF3405" w:rsidRPr="006B3AEB">
        <w:rPr>
          <w:rFonts w:ascii="David" w:hAnsi="David" w:cs="David"/>
          <w:sz w:val="20"/>
          <w:szCs w:val="20"/>
          <w:shd w:val="clear" w:color="auto" w:fill="FFFFFF"/>
        </w:rPr>
        <w:t>(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>2020</w:t>
      </w:r>
      <w:r w:rsidR="00BF3405" w:rsidRPr="006B3AEB">
        <w:rPr>
          <w:rFonts w:ascii="David" w:hAnsi="David" w:cs="David"/>
          <w:sz w:val="20"/>
          <w:szCs w:val="20"/>
          <w:shd w:val="clear" w:color="auto" w:fill="FFFFFF"/>
        </w:rPr>
        <w:t>)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 xml:space="preserve">. </w:t>
      </w:r>
      <w:r w:rsidR="00BF3405" w:rsidRPr="006B3AEB">
        <w:rPr>
          <w:rFonts w:ascii="David" w:hAnsi="David" w:cs="David"/>
          <w:sz w:val="20"/>
          <w:szCs w:val="20"/>
          <w:shd w:val="clear" w:color="auto" w:fill="FFFFFF"/>
        </w:rPr>
        <w:t>“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>What the stock market tells us about the post-COVID-19 world</w:t>
      </w:r>
      <w:r w:rsidR="00BF3405" w:rsidRPr="006B3AEB">
        <w:rPr>
          <w:rFonts w:ascii="David" w:hAnsi="David" w:cs="David"/>
          <w:sz w:val="20"/>
          <w:szCs w:val="20"/>
          <w:shd w:val="clear" w:color="auto" w:fill="FFFFFF"/>
        </w:rPr>
        <w:t>“, </w:t>
      </w:r>
      <w:r w:rsidRPr="006B3AEB">
        <w:rPr>
          <w:rFonts w:ascii="David" w:hAnsi="David" w:cs="David"/>
          <w:i/>
          <w:iCs/>
          <w:sz w:val="20"/>
          <w:szCs w:val="20"/>
          <w:shd w:val="clear" w:color="auto" w:fill="FFFFFF"/>
        </w:rPr>
        <w:t xml:space="preserve">Nature Human </w:t>
      </w:r>
      <w:proofErr w:type="spellStart"/>
      <w:r w:rsidRPr="006B3AEB">
        <w:rPr>
          <w:rFonts w:ascii="David" w:hAnsi="David" w:cs="David"/>
          <w:i/>
          <w:iCs/>
          <w:sz w:val="20"/>
          <w:szCs w:val="20"/>
          <w:shd w:val="clear" w:color="auto" w:fill="FFFFFF"/>
        </w:rPr>
        <w:t>Behaviour</w:t>
      </w:r>
      <w:proofErr w:type="spellEnd"/>
      <w:r w:rsidRPr="006B3AEB">
        <w:rPr>
          <w:rFonts w:ascii="David" w:hAnsi="David" w:cs="David"/>
          <w:sz w:val="20"/>
          <w:szCs w:val="20"/>
          <w:shd w:val="clear" w:color="auto" w:fill="FFFFFF"/>
        </w:rPr>
        <w:t>, </w:t>
      </w:r>
      <w:r w:rsidRPr="006B3AEB">
        <w:rPr>
          <w:rFonts w:ascii="David" w:hAnsi="David" w:cs="David"/>
          <w:i/>
          <w:iCs/>
          <w:sz w:val="20"/>
          <w:szCs w:val="20"/>
          <w:shd w:val="clear" w:color="auto" w:fill="FFFFFF"/>
        </w:rPr>
        <w:t>4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>(5), 440</w:t>
      </w:r>
      <w:r w:rsidR="00BF3405" w:rsidRPr="006B3AEB">
        <w:rPr>
          <w:rFonts w:ascii="David" w:hAnsi="David" w:cs="David"/>
          <w:sz w:val="20"/>
          <w:szCs w:val="20"/>
          <w:shd w:val="clear" w:color="auto" w:fill="FFFFFF"/>
        </w:rPr>
        <w:t>–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>440.</w:t>
      </w:r>
    </w:p>
    <w:p w:rsidR="00D269D3" w:rsidRPr="006B3AEB" w:rsidRDefault="00D269D3" w:rsidP="00E3071B">
      <w:pPr>
        <w:spacing w:after="120" w:line="360" w:lineRule="auto"/>
        <w:jc w:val="both"/>
        <w:rPr>
          <w:rFonts w:ascii="David" w:hAnsi="David" w:cs="David"/>
          <w:sz w:val="24"/>
          <w:szCs w:val="24"/>
        </w:rPr>
      </w:pPr>
      <w:r w:rsidRPr="006B3AEB">
        <w:rPr>
          <w:rFonts w:ascii="David" w:hAnsi="David" w:cs="David"/>
          <w:sz w:val="20"/>
          <w:szCs w:val="20"/>
          <w:shd w:val="clear" w:color="auto" w:fill="FFFFFF"/>
        </w:rPr>
        <w:t>Wan, K.M. and</w:t>
      </w:r>
      <w:r w:rsidR="00BF3405" w:rsidRPr="006B3AEB">
        <w:rPr>
          <w:rFonts w:ascii="David" w:hAnsi="David" w:cs="David"/>
          <w:sz w:val="20"/>
          <w:szCs w:val="20"/>
          <w:shd w:val="clear" w:color="auto" w:fill="FFFFFF"/>
        </w:rPr>
        <w:t xml:space="preserve"> K.F.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 xml:space="preserve"> Wong </w:t>
      </w:r>
      <w:r w:rsidR="00BF3405" w:rsidRPr="006B3AEB">
        <w:rPr>
          <w:rFonts w:ascii="David" w:hAnsi="David" w:cs="David"/>
          <w:sz w:val="20"/>
          <w:szCs w:val="20"/>
          <w:shd w:val="clear" w:color="auto" w:fill="FFFFFF"/>
        </w:rPr>
        <w:t>(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>2009</w:t>
      </w:r>
      <w:r w:rsidR="00BF3405" w:rsidRPr="006B3AEB">
        <w:rPr>
          <w:rFonts w:ascii="David" w:hAnsi="David" w:cs="David"/>
          <w:sz w:val="20"/>
          <w:szCs w:val="20"/>
          <w:shd w:val="clear" w:color="auto" w:fill="FFFFFF"/>
        </w:rPr>
        <w:t>)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 xml:space="preserve">. </w:t>
      </w:r>
      <w:r w:rsidR="00BF3405" w:rsidRPr="006B3AEB">
        <w:rPr>
          <w:rFonts w:ascii="David" w:hAnsi="David" w:cs="David"/>
          <w:sz w:val="20"/>
          <w:szCs w:val="20"/>
          <w:shd w:val="clear" w:color="auto" w:fill="FFFFFF"/>
        </w:rPr>
        <w:t>“</w:t>
      </w:r>
      <w:r w:rsidRPr="006B3AEB">
        <w:rPr>
          <w:rFonts w:ascii="David" w:hAnsi="David" w:cs="David"/>
          <w:sz w:val="20"/>
          <w:szCs w:val="20"/>
          <w:shd w:val="clear" w:color="auto" w:fill="FFFFFF"/>
        </w:rPr>
        <w:t>Economic impact of political barriers to cross-border acquisitions: an empirical study of CNOOC's unsuccessful takeover of Unocal</w:t>
      </w:r>
      <w:r w:rsidR="00BF3405" w:rsidRPr="006B3AEB">
        <w:rPr>
          <w:rFonts w:ascii="David" w:hAnsi="David" w:cs="David"/>
          <w:sz w:val="20"/>
          <w:szCs w:val="20"/>
          <w:shd w:val="clear" w:color="auto" w:fill="FFFFFF"/>
        </w:rPr>
        <w:t>“, </w:t>
      </w:r>
      <w:r w:rsidRPr="006B3AEB">
        <w:rPr>
          <w:rFonts w:ascii="David" w:hAnsi="David" w:cs="David"/>
          <w:i/>
          <w:iCs/>
          <w:sz w:val="20"/>
          <w:szCs w:val="20"/>
          <w:shd w:val="clear" w:color="auto" w:fill="FFFFFF"/>
        </w:rPr>
        <w:t xml:space="preserve">Journal of </w:t>
      </w:r>
      <w:r w:rsidRPr="006B3AEB">
        <w:rPr>
          <w:rFonts w:ascii="David" w:hAnsi="David" w:cs="David"/>
          <w:i/>
          <w:iCs/>
          <w:color w:val="222222"/>
          <w:sz w:val="20"/>
          <w:szCs w:val="20"/>
          <w:shd w:val="clear" w:color="auto" w:fill="FFFFFF"/>
        </w:rPr>
        <w:t>Corporate Finance</w:t>
      </w:r>
      <w:r w:rsidRPr="006B3AEB">
        <w:rPr>
          <w:rFonts w:ascii="David" w:hAnsi="David" w:cs="David"/>
          <w:color w:val="222222"/>
          <w:sz w:val="20"/>
          <w:szCs w:val="20"/>
          <w:shd w:val="clear" w:color="auto" w:fill="FFFFFF"/>
        </w:rPr>
        <w:t>, </w:t>
      </w:r>
      <w:r w:rsidRPr="006B3AEB">
        <w:rPr>
          <w:rFonts w:ascii="David" w:hAnsi="David" w:cs="David"/>
          <w:i/>
          <w:iCs/>
          <w:color w:val="222222"/>
          <w:sz w:val="20"/>
          <w:szCs w:val="20"/>
          <w:shd w:val="clear" w:color="auto" w:fill="FFFFFF"/>
        </w:rPr>
        <w:t>15</w:t>
      </w:r>
      <w:r w:rsidRPr="006B3AEB">
        <w:rPr>
          <w:rFonts w:ascii="David" w:hAnsi="David" w:cs="David"/>
          <w:color w:val="222222"/>
          <w:sz w:val="20"/>
          <w:szCs w:val="20"/>
          <w:shd w:val="clear" w:color="auto" w:fill="FFFFFF"/>
        </w:rPr>
        <w:t>(4), 447</w:t>
      </w:r>
      <w:r w:rsidR="00BF3405" w:rsidRPr="006B3AEB">
        <w:rPr>
          <w:rFonts w:ascii="David" w:hAnsi="David" w:cs="David"/>
          <w:color w:val="222222"/>
          <w:sz w:val="20"/>
          <w:szCs w:val="20"/>
          <w:shd w:val="clear" w:color="auto" w:fill="FFFFFF"/>
        </w:rPr>
        <w:t>–</w:t>
      </w:r>
      <w:r w:rsidRPr="006B3AEB">
        <w:rPr>
          <w:rFonts w:ascii="David" w:hAnsi="David" w:cs="David"/>
          <w:color w:val="222222"/>
          <w:sz w:val="20"/>
          <w:szCs w:val="20"/>
          <w:shd w:val="clear" w:color="auto" w:fill="FFFFFF"/>
        </w:rPr>
        <w:t>468.</w:t>
      </w:r>
    </w:p>
    <w:sectPr w:rsidR="00D269D3" w:rsidRPr="006B3A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971BE" w16cex:dateUtc="2022-12-18T09:02:00Z"/>
  <w16cex:commentExtensible w16cex:durableId="274972A1" w16cex:dateUtc="2022-12-18T09:06:00Z"/>
  <w16cex:commentExtensible w16cex:durableId="274972F6" w16cex:dateUtc="2022-12-18T09:07:00Z"/>
  <w16cex:commentExtensible w16cex:durableId="27497421" w16cex:dateUtc="2022-12-18T09:12:00Z"/>
  <w16cex:commentExtensible w16cex:durableId="274974B2" w16cex:dateUtc="2022-12-18T09:14:00Z"/>
  <w16cex:commentExtensible w16cex:durableId="27497568" w16cex:dateUtc="2022-12-18T09:18:00Z"/>
  <w16cex:commentExtensible w16cex:durableId="274975CF" w16cex:dateUtc="2022-12-18T09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79E685" w16cid:durableId="27497133"/>
  <w16cid:commentId w16cid:paraId="776567B9" w16cid:durableId="274971BE"/>
  <w16cid:commentId w16cid:paraId="648D661D" w16cid:durableId="27497134"/>
  <w16cid:commentId w16cid:paraId="71D6D4FD" w16cid:durableId="27497135"/>
  <w16cid:commentId w16cid:paraId="6014EEC1" w16cid:durableId="27497136"/>
  <w16cid:commentId w16cid:paraId="2D517586" w16cid:durableId="27497137"/>
  <w16cid:commentId w16cid:paraId="59B5E592" w16cid:durableId="27497138"/>
  <w16cid:commentId w16cid:paraId="3234EF07" w16cid:durableId="27497139"/>
  <w16cid:commentId w16cid:paraId="12D546E5" w16cid:durableId="274972A1"/>
  <w16cid:commentId w16cid:paraId="29901B92" w16cid:durableId="274972F6"/>
  <w16cid:commentId w16cid:paraId="4CF33CF1" w16cid:durableId="2749713F"/>
  <w16cid:commentId w16cid:paraId="2A75C783" w16cid:durableId="27497140"/>
  <w16cid:commentId w16cid:paraId="5E6A6B1C" w16cid:durableId="27497421"/>
  <w16cid:commentId w16cid:paraId="0373BDE4" w16cid:durableId="27497141"/>
  <w16cid:commentId w16cid:paraId="57541E8F" w16cid:durableId="274974B2"/>
  <w16cid:commentId w16cid:paraId="0A488A61" w16cid:durableId="27497142"/>
  <w16cid:commentId w16cid:paraId="1BF167B5" w16cid:durableId="27497143"/>
  <w16cid:commentId w16cid:paraId="40A3CF57" w16cid:durableId="27497568"/>
  <w16cid:commentId w16cid:paraId="67CFA86F" w16cid:durableId="27497146"/>
  <w16cid:commentId w16cid:paraId="00D57D3C" w16cid:durableId="274975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E01" w:rsidRDefault="004C5E01" w:rsidP="00745243">
      <w:pPr>
        <w:spacing w:after="0" w:line="240" w:lineRule="auto"/>
      </w:pPr>
      <w:r>
        <w:separator/>
      </w:r>
    </w:p>
  </w:endnote>
  <w:endnote w:type="continuationSeparator" w:id="0">
    <w:p w:rsidR="004C5E01" w:rsidRDefault="004C5E01" w:rsidP="00745243">
      <w:pPr>
        <w:spacing w:after="0" w:line="240" w:lineRule="auto"/>
      </w:pPr>
      <w:r>
        <w:continuationSeparator/>
      </w:r>
    </w:p>
  </w:endnote>
  <w:endnote w:type="continuationNotice" w:id="1">
    <w:p w:rsidR="004C5E01" w:rsidRDefault="004C5E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B62" w:rsidRDefault="00460B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0496323"/>
      <w:docPartObj>
        <w:docPartGallery w:val="Page Numbers (Bottom of Page)"/>
        <w:docPartUnique/>
      </w:docPartObj>
    </w:sdtPr>
    <w:sdtEndPr/>
    <w:sdtContent>
      <w:p w:rsidR="00FF690F" w:rsidRDefault="00FF690F">
        <w:pPr>
          <w:pStyle w:val="a5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BE005F" w:rsidRPr="00BE005F">
          <w:rPr>
            <w:rFonts w:cs="Calibri"/>
            <w:noProof/>
            <w:lang w:val="he-IL"/>
          </w:rPr>
          <w:t>11</w:t>
        </w:r>
        <w:r>
          <w:fldChar w:fldCharType="end"/>
        </w:r>
      </w:p>
    </w:sdtContent>
  </w:sdt>
  <w:p w:rsidR="00FF690F" w:rsidRDefault="00FF690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B62" w:rsidRDefault="00460B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E01" w:rsidRDefault="004C5E01" w:rsidP="009A772A">
      <w:pPr>
        <w:bidi/>
        <w:spacing w:after="0" w:line="240" w:lineRule="auto"/>
      </w:pPr>
      <w:r>
        <w:separator/>
      </w:r>
    </w:p>
  </w:footnote>
  <w:footnote w:type="continuationSeparator" w:id="0">
    <w:p w:rsidR="004C5E01" w:rsidRDefault="004C5E01" w:rsidP="00745243">
      <w:pPr>
        <w:spacing w:after="0" w:line="240" w:lineRule="auto"/>
      </w:pPr>
      <w:r>
        <w:continuationSeparator/>
      </w:r>
    </w:p>
  </w:footnote>
  <w:footnote w:type="continuationNotice" w:id="1">
    <w:p w:rsidR="004C5E01" w:rsidRDefault="004C5E01">
      <w:pPr>
        <w:spacing w:after="0" w:line="240" w:lineRule="auto"/>
      </w:pPr>
    </w:p>
  </w:footnote>
  <w:footnote w:id="2">
    <w:p w:rsidR="00FF690F" w:rsidRDefault="00FF690F" w:rsidP="00F933A8">
      <w:pPr>
        <w:pStyle w:val="a9"/>
        <w:bidi/>
        <w:rPr>
          <w:rFonts w:ascii="David" w:hAnsi="David" w:cs="David"/>
          <w:rtl/>
        </w:rPr>
      </w:pPr>
      <w:r w:rsidRPr="00732165">
        <w:rPr>
          <w:rStyle w:val="ac"/>
          <w:rFonts w:ascii="David" w:hAnsi="David" w:cs="David"/>
        </w:rPr>
        <w:footnoteRef/>
      </w:r>
      <w:r w:rsidRPr="00732165">
        <w:rPr>
          <w:rFonts w:ascii="David" w:hAnsi="David" w:cs="David"/>
        </w:rPr>
        <w:t xml:space="preserve"> </w:t>
      </w:r>
      <w:r w:rsidRPr="00732165">
        <w:rPr>
          <w:rFonts w:ascii="David" w:hAnsi="David" w:cs="David" w:hint="eastAsia"/>
          <w:rtl/>
        </w:rPr>
        <w:t>להרחבה</w:t>
      </w:r>
      <w:r w:rsidRPr="00732165">
        <w:rPr>
          <w:rFonts w:ascii="David" w:hAnsi="David" w:cs="David"/>
          <w:rtl/>
        </w:rPr>
        <w:t xml:space="preserve"> </w:t>
      </w:r>
      <w:r w:rsidRPr="00732165">
        <w:rPr>
          <w:rFonts w:ascii="David" w:hAnsi="David" w:cs="David" w:hint="eastAsia"/>
          <w:rtl/>
        </w:rPr>
        <w:t>ראו</w:t>
      </w:r>
      <w:r w:rsidRPr="00732165">
        <w:rPr>
          <w:rFonts w:ascii="David" w:hAnsi="David" w:cs="David"/>
          <w:rtl/>
        </w:rPr>
        <w:t xml:space="preserve">: </w:t>
      </w:r>
      <w:r w:rsidRPr="00732165">
        <w:rPr>
          <w:rFonts w:ascii="David" w:hAnsi="David" w:cs="David" w:hint="eastAsia"/>
          <w:rtl/>
        </w:rPr>
        <w:t>הדו</w:t>
      </w:r>
      <w:r w:rsidRPr="00732165">
        <w:rPr>
          <w:rFonts w:ascii="David" w:hAnsi="David" w:cs="David"/>
          <w:rtl/>
        </w:rPr>
        <w:t xml:space="preserve">ח </w:t>
      </w:r>
      <w:r w:rsidRPr="00732165">
        <w:rPr>
          <w:rFonts w:ascii="David" w:hAnsi="David" w:cs="David" w:hint="eastAsia"/>
          <w:rtl/>
        </w:rPr>
        <w:t>השלישי</w:t>
      </w:r>
      <w:r w:rsidRPr="00732165">
        <w:rPr>
          <w:rFonts w:ascii="David" w:hAnsi="David" w:cs="David"/>
          <w:rtl/>
        </w:rPr>
        <w:t xml:space="preserve"> </w:t>
      </w:r>
      <w:r w:rsidRPr="00732165">
        <w:rPr>
          <w:rFonts w:ascii="David" w:hAnsi="David" w:cs="David" w:hint="eastAsia"/>
          <w:rtl/>
        </w:rPr>
        <w:t>של</w:t>
      </w:r>
      <w:r w:rsidRPr="00732165">
        <w:rPr>
          <w:rFonts w:ascii="David" w:hAnsi="David" w:cs="David"/>
          <w:rtl/>
        </w:rPr>
        <w:t xml:space="preserve"> </w:t>
      </w:r>
      <w:r w:rsidRPr="00732165">
        <w:rPr>
          <w:rFonts w:ascii="David" w:hAnsi="David" w:cs="David" w:hint="eastAsia"/>
          <w:rtl/>
        </w:rPr>
        <w:t>הוועדה</w:t>
      </w:r>
      <w:r w:rsidRPr="00732165">
        <w:rPr>
          <w:rFonts w:ascii="David" w:hAnsi="David" w:cs="David"/>
          <w:rtl/>
        </w:rPr>
        <w:t xml:space="preserve"> </w:t>
      </w:r>
      <w:r w:rsidRPr="00732165">
        <w:rPr>
          <w:rFonts w:ascii="David" w:hAnsi="David" w:cs="David" w:hint="eastAsia"/>
          <w:rtl/>
        </w:rPr>
        <w:t>לבחינת</w:t>
      </w:r>
      <w:r w:rsidRPr="00732165">
        <w:rPr>
          <w:rFonts w:ascii="David" w:hAnsi="David" w:cs="David"/>
          <w:rtl/>
        </w:rPr>
        <w:t xml:space="preserve"> </w:t>
      </w:r>
      <w:r w:rsidRPr="00732165">
        <w:rPr>
          <w:rFonts w:ascii="David" w:hAnsi="David" w:cs="David" w:hint="eastAsia"/>
          <w:rtl/>
        </w:rPr>
        <w:t>התחרות</w:t>
      </w:r>
      <w:r w:rsidRPr="00732165">
        <w:rPr>
          <w:rFonts w:ascii="David" w:hAnsi="David" w:cs="David"/>
          <w:rtl/>
        </w:rPr>
        <w:t xml:space="preserve"> </w:t>
      </w:r>
      <w:r w:rsidRPr="00732165">
        <w:rPr>
          <w:rFonts w:ascii="David" w:hAnsi="David" w:cs="David" w:hint="eastAsia"/>
          <w:rtl/>
        </w:rPr>
        <w:t>בשוק</w:t>
      </w:r>
      <w:r w:rsidRPr="00732165">
        <w:rPr>
          <w:rFonts w:ascii="David" w:hAnsi="David" w:cs="David"/>
          <w:rtl/>
        </w:rPr>
        <w:t xml:space="preserve"> </w:t>
      </w:r>
      <w:r w:rsidRPr="00732165">
        <w:rPr>
          <w:rFonts w:ascii="David" w:hAnsi="David" w:cs="David" w:hint="eastAsia"/>
          <w:rtl/>
        </w:rPr>
        <w:t>האשראי</w:t>
      </w:r>
      <w:r w:rsidRPr="00732165">
        <w:rPr>
          <w:rFonts w:ascii="David" w:hAnsi="David" w:cs="David"/>
          <w:rtl/>
        </w:rPr>
        <w:t>.</w:t>
      </w:r>
      <w:r>
        <w:rPr>
          <w:rFonts w:ascii="David" w:hAnsi="David" w:cs="David" w:hint="cs"/>
          <w:rtl/>
        </w:rPr>
        <w:t xml:space="preserve"> </w:t>
      </w:r>
    </w:p>
    <w:p w:rsidR="00FF690F" w:rsidRPr="002434EE" w:rsidRDefault="004C5E01" w:rsidP="002434EE">
      <w:pPr>
        <w:pStyle w:val="a9"/>
        <w:bidi/>
        <w:rPr>
          <w:rStyle w:val="Hyperlink"/>
          <w:sz w:val="16"/>
          <w:szCs w:val="16"/>
          <w:rtl/>
        </w:rPr>
      </w:pPr>
      <w:hyperlink r:id="rId1" w:history="1">
        <w:r w:rsidR="00FF690F" w:rsidRPr="002434EE">
          <w:rPr>
            <w:rStyle w:val="Hyperlink"/>
            <w:sz w:val="16"/>
            <w:szCs w:val="16"/>
          </w:rPr>
          <w:t>https://www.boi.org.il/he/NewsAndPublications/PressReleases/Pages/16-8-21.aspx</w:t>
        </w:r>
      </w:hyperlink>
      <w:r w:rsidR="00FF690F" w:rsidRPr="002434EE">
        <w:rPr>
          <w:rStyle w:val="Hyperlink"/>
          <w:sz w:val="16"/>
          <w:szCs w:val="16"/>
        </w:rPr>
        <w:t xml:space="preserve"> </w:t>
      </w:r>
    </w:p>
  </w:footnote>
  <w:footnote w:id="3">
    <w:p w:rsidR="00FF690F" w:rsidRPr="00B6295A" w:rsidRDefault="00FF690F" w:rsidP="00F933A8">
      <w:pPr>
        <w:pStyle w:val="a9"/>
        <w:bidi/>
        <w:rPr>
          <w:rFonts w:ascii="David" w:hAnsi="David" w:cs="David"/>
          <w:rtl/>
        </w:rPr>
      </w:pPr>
      <w:r w:rsidRPr="00B6295A">
        <w:rPr>
          <w:rStyle w:val="ac"/>
          <w:rFonts w:ascii="David" w:hAnsi="David" w:cs="David"/>
        </w:rPr>
        <w:footnoteRef/>
      </w:r>
      <w:r w:rsidRPr="00B6295A">
        <w:rPr>
          <w:rFonts w:ascii="David" w:hAnsi="David" w:cs="David"/>
        </w:rPr>
        <w:t xml:space="preserve"> </w:t>
      </w:r>
      <w:r w:rsidRPr="00B6295A">
        <w:rPr>
          <w:rFonts w:ascii="David" w:hAnsi="David" w:cs="David" w:hint="eastAsia"/>
          <w:rtl/>
        </w:rPr>
        <w:t>להרחבה</w:t>
      </w:r>
      <w:r w:rsidRPr="00B6295A">
        <w:rPr>
          <w:rFonts w:ascii="David" w:hAnsi="David" w:cs="David"/>
          <w:rtl/>
        </w:rPr>
        <w:t xml:space="preserve"> </w:t>
      </w:r>
      <w:r w:rsidRPr="00B6295A">
        <w:rPr>
          <w:rFonts w:ascii="David" w:hAnsi="David" w:cs="David" w:hint="eastAsia"/>
          <w:rtl/>
        </w:rPr>
        <w:t>ראו</w:t>
      </w:r>
      <w:r w:rsidRPr="00B6295A">
        <w:rPr>
          <w:rFonts w:ascii="David" w:hAnsi="David" w:cs="David"/>
          <w:rtl/>
        </w:rPr>
        <w:t xml:space="preserve">: </w:t>
      </w:r>
      <w:r w:rsidRPr="00B6295A">
        <w:rPr>
          <w:rFonts w:ascii="David" w:hAnsi="David" w:cs="David" w:hint="eastAsia"/>
          <w:rtl/>
        </w:rPr>
        <w:t>דוח</w:t>
      </w:r>
      <w:r w:rsidRPr="00B6295A">
        <w:rPr>
          <w:rFonts w:ascii="David" w:hAnsi="David" w:cs="David"/>
          <w:rtl/>
        </w:rPr>
        <w:t xml:space="preserve"> </w:t>
      </w:r>
      <w:r w:rsidRPr="00B6295A">
        <w:rPr>
          <w:rFonts w:ascii="David" w:hAnsi="David" w:cs="David" w:hint="eastAsia"/>
          <w:rtl/>
        </w:rPr>
        <w:t>היציבות</w:t>
      </w:r>
      <w:r w:rsidRPr="00B6295A">
        <w:rPr>
          <w:rFonts w:ascii="David" w:hAnsi="David" w:cs="David"/>
          <w:rtl/>
        </w:rPr>
        <w:t xml:space="preserve"> </w:t>
      </w:r>
      <w:r w:rsidRPr="00B6295A">
        <w:rPr>
          <w:rFonts w:ascii="David" w:hAnsi="David" w:cs="David" w:hint="eastAsia"/>
          <w:rtl/>
        </w:rPr>
        <w:t>הפיננסית</w:t>
      </w:r>
      <w:r w:rsidRPr="00B6295A">
        <w:rPr>
          <w:rFonts w:ascii="David" w:hAnsi="David" w:cs="David"/>
          <w:rtl/>
        </w:rPr>
        <w:t xml:space="preserve"> </w:t>
      </w:r>
      <w:r w:rsidRPr="00B6295A">
        <w:rPr>
          <w:rFonts w:ascii="David" w:hAnsi="David" w:cs="David" w:hint="eastAsia"/>
          <w:rtl/>
        </w:rPr>
        <w:t>למחצית</w:t>
      </w:r>
      <w:r w:rsidRPr="00B6295A">
        <w:rPr>
          <w:rFonts w:ascii="David" w:hAnsi="David" w:cs="David"/>
          <w:rtl/>
        </w:rPr>
        <w:t xml:space="preserve"> </w:t>
      </w:r>
      <w:r w:rsidRPr="00B6295A">
        <w:rPr>
          <w:rFonts w:ascii="David" w:hAnsi="David" w:cs="David" w:hint="eastAsia"/>
          <w:rtl/>
        </w:rPr>
        <w:t>השנייה</w:t>
      </w:r>
      <w:r w:rsidRPr="00B6295A">
        <w:rPr>
          <w:rFonts w:ascii="David" w:hAnsi="David" w:cs="David"/>
          <w:rtl/>
        </w:rPr>
        <w:t xml:space="preserve"> </w:t>
      </w:r>
      <w:r w:rsidRPr="00B6295A">
        <w:rPr>
          <w:rFonts w:ascii="David" w:hAnsi="David" w:cs="David" w:hint="eastAsia"/>
          <w:rtl/>
        </w:rPr>
        <w:t>של</w:t>
      </w:r>
      <w:r w:rsidRPr="00B6295A">
        <w:rPr>
          <w:rFonts w:ascii="David" w:hAnsi="David" w:cs="David"/>
          <w:rtl/>
        </w:rPr>
        <w:t xml:space="preserve"> 2021, </w:t>
      </w:r>
      <w:r w:rsidRPr="00B6295A">
        <w:rPr>
          <w:rFonts w:ascii="David" w:hAnsi="David" w:cs="David" w:hint="eastAsia"/>
          <w:rtl/>
        </w:rPr>
        <w:t>תיבה</w:t>
      </w:r>
      <w:r w:rsidRPr="00B6295A">
        <w:rPr>
          <w:rFonts w:ascii="David" w:hAnsi="David" w:cs="David"/>
          <w:rtl/>
        </w:rPr>
        <w:t xml:space="preserve"> 2.</w:t>
      </w:r>
    </w:p>
  </w:footnote>
  <w:footnote w:id="4">
    <w:p w:rsidR="00FF690F" w:rsidRPr="00BF3B8A" w:rsidRDefault="00FF690F" w:rsidP="001F6AF1">
      <w:pPr>
        <w:bidi/>
        <w:spacing w:after="0" w:line="24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Style w:val="ac"/>
        </w:rPr>
        <w:footnoteRef/>
      </w:r>
      <w:r>
        <w:t xml:space="preserve"> </w:t>
      </w:r>
      <w:r w:rsidRPr="00BF3B8A">
        <w:rPr>
          <w:rFonts w:ascii="David" w:hAnsi="David" w:cs="David" w:hint="eastAsia"/>
          <w:sz w:val="20"/>
          <w:szCs w:val="20"/>
          <w:rtl/>
        </w:rPr>
        <w:t>חברות</w:t>
      </w:r>
      <w:r w:rsidRPr="00BF3B8A">
        <w:rPr>
          <w:rFonts w:ascii="David" w:hAnsi="David" w:cs="David"/>
          <w:sz w:val="20"/>
          <w:szCs w:val="20"/>
          <w:rtl/>
        </w:rPr>
        <w:t xml:space="preserve"> נותני האשראי החוץ</w:t>
      </w:r>
      <w:r>
        <w:rPr>
          <w:rFonts w:ascii="David" w:hAnsi="David" w:cs="David" w:hint="cs"/>
          <w:sz w:val="20"/>
          <w:szCs w:val="20"/>
          <w:rtl/>
        </w:rPr>
        <w:t>-</w:t>
      </w:r>
      <w:r w:rsidRPr="00BF3B8A">
        <w:rPr>
          <w:rFonts w:ascii="David" w:hAnsi="David" w:cs="David"/>
          <w:sz w:val="20"/>
          <w:szCs w:val="20"/>
          <w:rtl/>
        </w:rPr>
        <w:t>בנקאי נדרשות לקבל מרשות שוק ההון</w:t>
      </w:r>
      <w:r>
        <w:rPr>
          <w:rFonts w:ascii="David" w:hAnsi="David" w:cs="David" w:hint="cs"/>
          <w:sz w:val="20"/>
          <w:szCs w:val="20"/>
          <w:rtl/>
        </w:rPr>
        <w:t>, הביטוח והחיסכון</w:t>
      </w:r>
      <w:r w:rsidRPr="00BF3B8A">
        <w:rPr>
          <w:rFonts w:ascii="David" w:hAnsi="David" w:cs="David"/>
          <w:sz w:val="20"/>
          <w:szCs w:val="20"/>
          <w:rtl/>
        </w:rPr>
        <w:t xml:space="preserve"> רישיון לעסוק במתן אשראי ובמידה שהן נסחרות בבורסה הן מפוקחות על ידי הרשות לניירות ערך בנושאים של גילוי ושקיפות. החברות </w:t>
      </w:r>
      <w:r>
        <w:rPr>
          <w:rFonts w:ascii="David" w:hAnsi="David" w:cs="David" w:hint="cs"/>
          <w:sz w:val="20"/>
          <w:szCs w:val="20"/>
          <w:rtl/>
        </w:rPr>
        <w:t>לא</w:t>
      </w:r>
      <w:r w:rsidRPr="00BF3B8A">
        <w:rPr>
          <w:rFonts w:ascii="David" w:hAnsi="David" w:cs="David"/>
          <w:sz w:val="20"/>
          <w:szCs w:val="20"/>
          <w:rtl/>
        </w:rPr>
        <w:t xml:space="preserve"> </w:t>
      </w:r>
      <w:r>
        <w:rPr>
          <w:rFonts w:ascii="David" w:hAnsi="David" w:cs="David" w:hint="cs"/>
          <w:sz w:val="20"/>
          <w:szCs w:val="20"/>
          <w:rtl/>
        </w:rPr>
        <w:t>נתונות לפיקוח יציבותי</w:t>
      </w:r>
      <w:r w:rsidRPr="00BF3B8A">
        <w:rPr>
          <w:rFonts w:ascii="David" w:hAnsi="David" w:cs="David"/>
          <w:sz w:val="20"/>
          <w:szCs w:val="20"/>
          <w:rtl/>
        </w:rPr>
        <w:t>.</w:t>
      </w:r>
    </w:p>
  </w:footnote>
  <w:footnote w:id="5">
    <w:p w:rsidR="00FF690F" w:rsidRPr="00E03F97" w:rsidRDefault="00FF690F" w:rsidP="002434EE">
      <w:pPr>
        <w:pStyle w:val="a9"/>
        <w:bidi/>
      </w:pPr>
      <w:r>
        <w:rPr>
          <w:rStyle w:val="ac"/>
        </w:rPr>
        <w:footnoteRef/>
      </w:r>
      <w:r>
        <w:t xml:space="preserve"> </w:t>
      </w:r>
      <w:hyperlink r:id="rId2" w:history="1">
        <w:r w:rsidRPr="002434EE">
          <w:rPr>
            <w:rStyle w:val="Hyperlink"/>
            <w:sz w:val="16"/>
            <w:szCs w:val="16"/>
          </w:rPr>
          <w:t>https://www.imf.org/external/pubs/ft/fandd/basics/52-shadow-banking.htm</w:t>
        </w:r>
      </w:hyperlink>
      <w:hyperlink r:id="rId3" w:history="1">
        <w:r w:rsidRPr="002434EE">
          <w:rPr>
            <w:rStyle w:val="Hyperlink"/>
            <w:sz w:val="16"/>
            <w:szCs w:val="16"/>
          </w:rPr>
          <w:t>https://www.esrb.europa.eu/pub/pdf/wp/esrb.wp105~ae3850b53d.en.pdf</w:t>
        </w:r>
      </w:hyperlink>
      <w:r w:rsidRPr="002434EE">
        <w:rPr>
          <w:sz w:val="16"/>
          <w:szCs w:val="16"/>
        </w:rPr>
        <w:t xml:space="preserve"> </w:t>
      </w:r>
      <w:hyperlink r:id="rId4" w:history="1">
        <w:r w:rsidRPr="002434EE">
          <w:rPr>
            <w:rStyle w:val="Hyperlink"/>
            <w:sz w:val="16"/>
            <w:szCs w:val="16"/>
          </w:rPr>
          <w:t>https://www.fsb.org/wp-content/uploads/c_130129y.pdf</w:t>
        </w:r>
      </w:hyperlink>
      <w:r w:rsidRPr="002434EE">
        <w:rPr>
          <w:sz w:val="16"/>
          <w:szCs w:val="16"/>
        </w:rPr>
        <w:t xml:space="preserve"> </w:t>
      </w:r>
    </w:p>
  </w:footnote>
  <w:footnote w:id="6">
    <w:p w:rsidR="00193AC4" w:rsidRDefault="001C5217" w:rsidP="00271012">
      <w:pPr>
        <w:pStyle w:val="a9"/>
        <w:bidi/>
        <w:rPr>
          <w:rtl/>
        </w:rPr>
      </w:pPr>
      <w:r>
        <w:rPr>
          <w:rStyle w:val="ac"/>
        </w:rPr>
        <w:footnoteRef/>
      </w:r>
      <w:r>
        <w:t xml:space="preserve"> </w:t>
      </w:r>
      <w:hyperlink r:id="rId5" w:history="1">
        <w:r w:rsidR="0018431C" w:rsidRPr="00271012">
          <w:rPr>
            <w:rStyle w:val="Hyperlink"/>
            <w:sz w:val="16"/>
            <w:szCs w:val="16"/>
          </w:rPr>
          <w:t>https://maya.tase.co.il/reports/details/1454074</w:t>
        </w:r>
      </w:hyperlink>
    </w:p>
    <w:p w:rsidR="0018431C" w:rsidRDefault="0018431C" w:rsidP="0018431C">
      <w:pPr>
        <w:pStyle w:val="a9"/>
      </w:pPr>
    </w:p>
  </w:footnote>
  <w:footnote w:id="7">
    <w:p w:rsidR="0018431C" w:rsidRPr="0018431C" w:rsidRDefault="00780AF2" w:rsidP="00271012">
      <w:pPr>
        <w:pStyle w:val="a9"/>
        <w:bidi/>
        <w:rPr>
          <w:rtl/>
        </w:rPr>
      </w:pPr>
      <w:r>
        <w:rPr>
          <w:rStyle w:val="ac"/>
        </w:rPr>
        <w:footnoteRef/>
      </w:r>
      <w:r>
        <w:t xml:space="preserve"> </w:t>
      </w:r>
      <w:hyperlink r:id="rId6" w:history="1">
        <w:r w:rsidR="0018431C" w:rsidRPr="00271012">
          <w:rPr>
            <w:rStyle w:val="Hyperlink"/>
            <w:sz w:val="16"/>
            <w:szCs w:val="16"/>
          </w:rPr>
          <w:t>https://maya.tase.co.il/reports/details/1456994</w:t>
        </w:r>
      </w:hyperlink>
    </w:p>
  </w:footnote>
  <w:footnote w:id="8">
    <w:p w:rsidR="00780AF2" w:rsidRPr="00780AF2" w:rsidRDefault="00780AF2" w:rsidP="00271012">
      <w:pPr>
        <w:pStyle w:val="a9"/>
        <w:bidi/>
        <w:rPr>
          <w:rtl/>
        </w:rPr>
      </w:pPr>
      <w:r>
        <w:rPr>
          <w:rStyle w:val="ac"/>
        </w:rPr>
        <w:footnoteRef/>
      </w:r>
      <w:r w:rsidRPr="00271012">
        <w:rPr>
          <w:sz w:val="16"/>
          <w:szCs w:val="16"/>
        </w:rPr>
        <w:t xml:space="preserve"> </w:t>
      </w:r>
      <w:hyperlink r:id="rId7" w:history="1">
        <w:r w:rsidR="0018431C" w:rsidRPr="00271012">
          <w:rPr>
            <w:rStyle w:val="Hyperlink"/>
            <w:sz w:val="16"/>
            <w:szCs w:val="16"/>
          </w:rPr>
          <w:t>https://maya.tase.co.il/reports/details/1458185</w:t>
        </w:r>
      </w:hyperlink>
      <w:r w:rsidR="0018431C" w:rsidRPr="00271012">
        <w:rPr>
          <w:sz w:val="16"/>
          <w:szCs w:val="16"/>
        </w:rPr>
        <w:t xml:space="preserve">, </w:t>
      </w:r>
      <w:hyperlink r:id="rId8" w:history="1">
        <w:r w:rsidR="0018431C" w:rsidRPr="00271012">
          <w:rPr>
            <w:rStyle w:val="Hyperlink"/>
            <w:sz w:val="16"/>
            <w:szCs w:val="16"/>
          </w:rPr>
          <w:t>https://maya.tase.co.il/reports/details/1463996</w:t>
        </w:r>
      </w:hyperlink>
    </w:p>
  </w:footnote>
  <w:footnote w:id="9">
    <w:p w:rsidR="00271012" w:rsidRPr="00271012" w:rsidRDefault="00AD55B4" w:rsidP="00271012">
      <w:pPr>
        <w:pStyle w:val="a9"/>
        <w:bidi/>
        <w:rPr>
          <w:rtl/>
        </w:rPr>
      </w:pPr>
      <w:r>
        <w:rPr>
          <w:rStyle w:val="ac"/>
        </w:rPr>
        <w:footnoteRef/>
      </w:r>
      <w:r>
        <w:t xml:space="preserve"> </w:t>
      </w:r>
      <w:hyperlink r:id="rId9" w:history="1">
        <w:r w:rsidR="00271012" w:rsidRPr="00271012">
          <w:rPr>
            <w:rStyle w:val="Hyperlink"/>
            <w:sz w:val="16"/>
            <w:szCs w:val="16"/>
          </w:rPr>
          <w:t>https://maya.tase.co.il/reports/details/1474287</w:t>
        </w:r>
      </w:hyperlink>
    </w:p>
  </w:footnote>
  <w:footnote w:id="10">
    <w:p w:rsidR="00271012" w:rsidRPr="00271012" w:rsidRDefault="003D7C11" w:rsidP="00271012">
      <w:pPr>
        <w:pStyle w:val="a9"/>
        <w:bidi/>
        <w:rPr>
          <w:rtl/>
        </w:rPr>
      </w:pPr>
      <w:r>
        <w:rPr>
          <w:rStyle w:val="ac"/>
        </w:rPr>
        <w:footnoteRef/>
      </w:r>
      <w:r>
        <w:t xml:space="preserve"> </w:t>
      </w:r>
      <w:hyperlink r:id="rId10" w:history="1">
        <w:r w:rsidR="00271012" w:rsidRPr="00271012">
          <w:rPr>
            <w:rStyle w:val="Hyperlink"/>
            <w:sz w:val="16"/>
            <w:szCs w:val="16"/>
          </w:rPr>
          <w:t>https://maya.tase.co.il/reports/details/1463999</w:t>
        </w:r>
      </w:hyperlink>
    </w:p>
  </w:footnote>
  <w:footnote w:id="11">
    <w:p w:rsidR="00271012" w:rsidRPr="00271012" w:rsidRDefault="00AD55B4" w:rsidP="00271012">
      <w:pPr>
        <w:pStyle w:val="a9"/>
        <w:bidi/>
        <w:rPr>
          <w:rtl/>
        </w:rPr>
      </w:pPr>
      <w:r>
        <w:rPr>
          <w:rStyle w:val="ac"/>
        </w:rPr>
        <w:footnoteRef/>
      </w:r>
      <w:r>
        <w:t xml:space="preserve"> </w:t>
      </w:r>
      <w:hyperlink r:id="rId11" w:history="1">
        <w:r w:rsidR="00271012" w:rsidRPr="00271012">
          <w:rPr>
            <w:rStyle w:val="Hyperlink"/>
            <w:sz w:val="16"/>
            <w:szCs w:val="16"/>
          </w:rPr>
          <w:t>https://maya.tase.co.il/reports/details/1460713</w:t>
        </w:r>
      </w:hyperlink>
    </w:p>
  </w:footnote>
  <w:footnote w:id="12">
    <w:p w:rsidR="00271012" w:rsidRPr="00271012" w:rsidRDefault="00AD55B4" w:rsidP="00271012">
      <w:pPr>
        <w:pStyle w:val="a9"/>
        <w:bidi/>
        <w:rPr>
          <w:rtl/>
        </w:rPr>
      </w:pPr>
      <w:r>
        <w:rPr>
          <w:rStyle w:val="ac"/>
        </w:rPr>
        <w:footnoteRef/>
      </w:r>
      <w:r>
        <w:t xml:space="preserve"> </w:t>
      </w:r>
      <w:hyperlink r:id="rId12" w:history="1">
        <w:r w:rsidR="00271012" w:rsidRPr="00271012">
          <w:rPr>
            <w:rStyle w:val="Hyperlink"/>
            <w:sz w:val="16"/>
            <w:szCs w:val="16"/>
          </w:rPr>
          <w:t>https://maya.tase.co.il/reports/details/1461703</w:t>
        </w:r>
      </w:hyperlink>
    </w:p>
  </w:footnote>
  <w:footnote w:id="13">
    <w:p w:rsidR="00AD55B4" w:rsidRPr="00AD55B4" w:rsidRDefault="00AD55B4" w:rsidP="00271012">
      <w:pPr>
        <w:pStyle w:val="a9"/>
        <w:bidi/>
        <w:rPr>
          <w:rtl/>
        </w:rPr>
      </w:pPr>
      <w:r>
        <w:rPr>
          <w:rStyle w:val="ac"/>
        </w:rPr>
        <w:footnoteRef/>
      </w:r>
      <w:r>
        <w:t xml:space="preserve"> </w:t>
      </w:r>
      <w:hyperlink r:id="rId13" w:history="1">
        <w:r w:rsidR="00271012" w:rsidRPr="00271012">
          <w:rPr>
            <w:rStyle w:val="Hyperlink"/>
            <w:sz w:val="16"/>
            <w:szCs w:val="16"/>
          </w:rPr>
          <w:t>https://maya.tase.co.il/reports/details/1463748</w:t>
        </w:r>
      </w:hyperlink>
      <w:r w:rsidR="00271012" w:rsidRPr="00271012">
        <w:rPr>
          <w:sz w:val="16"/>
          <w:szCs w:val="16"/>
        </w:rPr>
        <w:t xml:space="preserve">, </w:t>
      </w:r>
      <w:hyperlink r:id="rId14" w:history="1">
        <w:r w:rsidR="00271012" w:rsidRPr="00271012">
          <w:rPr>
            <w:rStyle w:val="Hyperlink"/>
            <w:sz w:val="16"/>
            <w:szCs w:val="16"/>
          </w:rPr>
          <w:t>https://maya.tase.co.il/reports/details/1472198</w:t>
        </w:r>
      </w:hyperlink>
    </w:p>
  </w:footnote>
  <w:footnote w:id="14">
    <w:p w:rsidR="00271012" w:rsidRPr="00271012" w:rsidRDefault="00577186" w:rsidP="00271012">
      <w:pPr>
        <w:pStyle w:val="a9"/>
        <w:bidi/>
        <w:rPr>
          <w:rtl/>
        </w:rPr>
      </w:pPr>
      <w:r>
        <w:rPr>
          <w:rStyle w:val="ac"/>
        </w:rPr>
        <w:footnoteRef/>
      </w:r>
      <w:r>
        <w:t xml:space="preserve"> </w:t>
      </w:r>
      <w:hyperlink r:id="rId15" w:history="1">
        <w:r w:rsidR="00271012" w:rsidRPr="00271012">
          <w:rPr>
            <w:rStyle w:val="Hyperlink"/>
            <w:sz w:val="16"/>
            <w:szCs w:val="16"/>
          </w:rPr>
          <w:t>https://maya.tase.co.il/reports/details/1472188</w:t>
        </w:r>
      </w:hyperlink>
    </w:p>
  </w:footnote>
  <w:footnote w:id="15">
    <w:p w:rsidR="00271012" w:rsidRPr="00271012" w:rsidRDefault="00577186" w:rsidP="00271012">
      <w:pPr>
        <w:pStyle w:val="a9"/>
        <w:bidi/>
        <w:rPr>
          <w:rtl/>
        </w:rPr>
      </w:pPr>
      <w:r>
        <w:rPr>
          <w:rStyle w:val="ac"/>
        </w:rPr>
        <w:footnoteRef/>
      </w:r>
      <w:r>
        <w:t xml:space="preserve"> </w:t>
      </w:r>
      <w:hyperlink r:id="rId16" w:history="1">
        <w:r w:rsidR="00271012" w:rsidRPr="00271012">
          <w:rPr>
            <w:rStyle w:val="Hyperlink"/>
            <w:sz w:val="16"/>
            <w:szCs w:val="16"/>
          </w:rPr>
          <w:t>https://maya.tase.co.il/reports/details/1477193</w:t>
        </w:r>
      </w:hyperlink>
    </w:p>
  </w:footnote>
  <w:footnote w:id="16">
    <w:p w:rsidR="00271012" w:rsidRPr="00271012" w:rsidRDefault="00577186" w:rsidP="00271012">
      <w:pPr>
        <w:pStyle w:val="a9"/>
        <w:bidi/>
        <w:rPr>
          <w:rtl/>
        </w:rPr>
      </w:pPr>
      <w:r>
        <w:rPr>
          <w:rStyle w:val="ac"/>
        </w:rPr>
        <w:footnoteRef/>
      </w:r>
      <w:r>
        <w:t xml:space="preserve"> </w:t>
      </w:r>
      <w:hyperlink r:id="rId17" w:history="1">
        <w:r w:rsidR="00271012" w:rsidRPr="00271012">
          <w:rPr>
            <w:rStyle w:val="Hyperlink"/>
            <w:sz w:val="16"/>
            <w:szCs w:val="16"/>
          </w:rPr>
          <w:t>https://maya.tase.co.il/reports/details/1476675</w:t>
        </w:r>
      </w:hyperlink>
    </w:p>
  </w:footnote>
  <w:footnote w:id="17">
    <w:p w:rsidR="00FF690F" w:rsidRPr="00947186" w:rsidRDefault="00FF690F" w:rsidP="002434EE">
      <w:pPr>
        <w:pStyle w:val="a9"/>
        <w:bidi/>
        <w:rPr>
          <w:sz w:val="16"/>
          <w:szCs w:val="16"/>
        </w:rPr>
      </w:pPr>
      <w:r>
        <w:rPr>
          <w:rStyle w:val="ac"/>
        </w:rPr>
        <w:footnoteRef/>
      </w:r>
      <w:r>
        <w:t xml:space="preserve"> </w:t>
      </w:r>
      <w:hyperlink r:id="rId18" w:history="1">
        <w:r w:rsidRPr="00947186">
          <w:rPr>
            <w:rStyle w:val="Hyperlink"/>
            <w:sz w:val="16"/>
            <w:szCs w:val="16"/>
          </w:rPr>
          <w:t>https://www.globes.co.il/news/article.aspx?did=1001417447</w:t>
        </w:r>
      </w:hyperlink>
      <w:r w:rsidRPr="00947186">
        <w:rPr>
          <w:sz w:val="16"/>
          <w:szCs w:val="16"/>
        </w:rPr>
        <w:t xml:space="preserve"> </w:t>
      </w:r>
      <w:hyperlink r:id="rId19" w:history="1">
        <w:r w:rsidRPr="00947186">
          <w:rPr>
            <w:rStyle w:val="Hyperlink"/>
            <w:sz w:val="16"/>
            <w:szCs w:val="16"/>
          </w:rPr>
          <w:t>https://www.themarker.com/markets/2022-07-03/ty-article/.premium/00000181-c4bd-d09b-a18b-cffdcd0f0000</w:t>
        </w:r>
      </w:hyperlink>
      <w:r w:rsidRPr="00947186">
        <w:rPr>
          <w:sz w:val="16"/>
          <w:szCs w:val="16"/>
        </w:rPr>
        <w:t xml:space="preserve"> </w:t>
      </w:r>
      <w:hyperlink r:id="rId20" w:history="1">
        <w:r w:rsidRPr="00947186">
          <w:rPr>
            <w:rStyle w:val="Hyperlink"/>
            <w:sz w:val="16"/>
            <w:szCs w:val="16"/>
          </w:rPr>
          <w:t>https://www.ice.co.il/finance/news/article/867317</w:t>
        </w:r>
      </w:hyperlink>
      <w:r w:rsidRPr="00947186">
        <w:rPr>
          <w:sz w:val="16"/>
          <w:szCs w:val="16"/>
        </w:rPr>
        <w:t xml:space="preserve"> </w:t>
      </w:r>
      <w:hyperlink r:id="rId21" w:history="1">
        <w:r w:rsidRPr="00947186">
          <w:rPr>
            <w:rStyle w:val="Hyperlink"/>
            <w:sz w:val="16"/>
            <w:szCs w:val="16"/>
          </w:rPr>
          <w:t>https://www.calcalist.co.il/market/article/s1z30q0qc</w:t>
        </w:r>
      </w:hyperlink>
      <w:r w:rsidRPr="00947186">
        <w:rPr>
          <w:sz w:val="16"/>
          <w:szCs w:val="16"/>
        </w:rPr>
        <w:t xml:space="preserve"> </w:t>
      </w:r>
      <w:hyperlink r:id="rId22" w:history="1">
        <w:r w:rsidRPr="00947186">
          <w:rPr>
            <w:rStyle w:val="Hyperlink"/>
            <w:sz w:val="16"/>
            <w:szCs w:val="16"/>
          </w:rPr>
          <w:t>https://www.globes.co.il/news/article.aspx?did=1001417141</w:t>
        </w:r>
      </w:hyperlink>
    </w:p>
    <w:p w:rsidR="00FF690F" w:rsidRPr="00947186" w:rsidRDefault="004C5E01" w:rsidP="002434EE">
      <w:pPr>
        <w:pStyle w:val="a9"/>
        <w:bidi/>
        <w:rPr>
          <w:sz w:val="16"/>
          <w:szCs w:val="16"/>
        </w:rPr>
      </w:pPr>
      <w:hyperlink r:id="rId23" w:history="1">
        <w:r w:rsidR="00FF690F" w:rsidRPr="00947186">
          <w:rPr>
            <w:rStyle w:val="Hyperlink"/>
            <w:sz w:val="16"/>
            <w:szCs w:val="16"/>
          </w:rPr>
          <w:t>https://www.themarker.com/markets/2022-07-28/ty-article/.premium/00000182-408a-d9f7-a9e6-d0bb3b170000</w:t>
        </w:r>
      </w:hyperlink>
      <w:r w:rsidR="00FF690F" w:rsidRPr="00947186">
        <w:rPr>
          <w:sz w:val="16"/>
          <w:szCs w:val="16"/>
        </w:rPr>
        <w:t xml:space="preserve"> </w:t>
      </w:r>
    </w:p>
    <w:p w:rsidR="00FF690F" w:rsidRPr="002E637F" w:rsidRDefault="004C5E01" w:rsidP="002434EE">
      <w:pPr>
        <w:pStyle w:val="a9"/>
        <w:bidi/>
        <w:rPr>
          <w:rtl/>
        </w:rPr>
      </w:pPr>
      <w:hyperlink r:id="rId24" w:history="1">
        <w:r w:rsidR="00FF690F" w:rsidRPr="00947186">
          <w:rPr>
            <w:rStyle w:val="Hyperlink"/>
            <w:sz w:val="16"/>
            <w:szCs w:val="16"/>
          </w:rPr>
          <w:t>https://www.bizportal.co.il/capitalmarket/news/article/806865</w:t>
        </w:r>
      </w:hyperlink>
      <w:r w:rsidR="00FF690F" w:rsidRPr="00947186">
        <w:rPr>
          <w:sz w:val="16"/>
          <w:szCs w:val="16"/>
        </w:rPr>
        <w:t xml:space="preserve"> </w:t>
      </w:r>
      <w:hyperlink r:id="rId25" w:history="1">
        <w:r w:rsidR="00FF690F" w:rsidRPr="00947186">
          <w:rPr>
            <w:rStyle w:val="Hyperlink"/>
            <w:sz w:val="16"/>
            <w:szCs w:val="16"/>
          </w:rPr>
          <w:t>https://www.calcalist.co.il/market/article/syvdq680c</w:t>
        </w:r>
      </w:hyperlink>
      <w:r w:rsidR="00FF690F" w:rsidRPr="00947186">
        <w:rPr>
          <w:sz w:val="16"/>
          <w:szCs w:val="16"/>
        </w:rPr>
        <w:t xml:space="preserve">  </w:t>
      </w:r>
    </w:p>
  </w:footnote>
  <w:footnote w:id="18">
    <w:p w:rsidR="003775BA" w:rsidRPr="003775BA" w:rsidRDefault="003775BA" w:rsidP="00504620">
      <w:pPr>
        <w:pStyle w:val="a9"/>
        <w:bidi/>
        <w:rPr>
          <w:rtl/>
        </w:rPr>
      </w:pPr>
      <w:r>
        <w:rPr>
          <w:rStyle w:val="ac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504620">
        <w:rPr>
          <w:rFonts w:ascii="David" w:hAnsi="David" w:cs="David" w:hint="eastAsia"/>
          <w:rtl/>
        </w:rPr>
        <w:t>ראו</w:t>
      </w:r>
      <w:r w:rsidRPr="00504620">
        <w:rPr>
          <w:rFonts w:ascii="David" w:hAnsi="David" w:cs="David"/>
          <w:rtl/>
        </w:rPr>
        <w:t xml:space="preserve"> לדוגמא דו"ח דירוג של "</w:t>
      </w:r>
      <w:r w:rsidRPr="00504620">
        <w:rPr>
          <w:rFonts w:ascii="David" w:hAnsi="David" w:cs="David" w:hint="eastAsia"/>
          <w:rtl/>
        </w:rPr>
        <w:t>מעלות</w:t>
      </w:r>
      <w:r w:rsidRPr="00504620">
        <w:rPr>
          <w:rFonts w:ascii="David" w:hAnsi="David" w:cs="David"/>
          <w:rtl/>
        </w:rPr>
        <w:t>" לחברת "</w:t>
      </w:r>
      <w:proofErr w:type="spellStart"/>
      <w:r w:rsidRPr="00504620">
        <w:rPr>
          <w:rFonts w:ascii="David" w:hAnsi="David" w:cs="David" w:hint="eastAsia"/>
          <w:rtl/>
        </w:rPr>
        <w:t>פנינסולה</w:t>
      </w:r>
      <w:proofErr w:type="spellEnd"/>
      <w:r w:rsidRPr="00504620">
        <w:rPr>
          <w:rFonts w:ascii="David" w:hAnsi="David" w:cs="David"/>
          <w:rtl/>
        </w:rPr>
        <w:t>" בתאריך 18 בדצמבר 2022:</w:t>
      </w:r>
      <w:r>
        <w:rPr>
          <w:rFonts w:hint="cs"/>
          <w:rtl/>
        </w:rPr>
        <w:t xml:space="preserve"> </w:t>
      </w:r>
      <w:r w:rsidRPr="00504620">
        <w:rPr>
          <w:sz w:val="16"/>
          <w:szCs w:val="16"/>
        </w:rPr>
        <w:t>https://maya.tase.co.il/reports/details/1492989/2/0</w:t>
      </w:r>
    </w:p>
  </w:footnote>
  <w:footnote w:id="19">
    <w:p w:rsidR="00FF690F" w:rsidRPr="00947186" w:rsidRDefault="00FF690F" w:rsidP="002434EE">
      <w:pPr>
        <w:pStyle w:val="a9"/>
        <w:bidi/>
        <w:rPr>
          <w:sz w:val="16"/>
          <w:szCs w:val="16"/>
        </w:rPr>
      </w:pPr>
      <w:r>
        <w:rPr>
          <w:rStyle w:val="ac"/>
        </w:rPr>
        <w:footnoteRef/>
      </w:r>
      <w:hyperlink r:id="rId26" w:history="1">
        <w:r w:rsidRPr="00947186">
          <w:rPr>
            <w:rStyle w:val="Hyperlink"/>
            <w:sz w:val="16"/>
            <w:szCs w:val="16"/>
          </w:rPr>
          <w:t>https://www.isa.gov.il/%D7%94%D7%95%D7%93%D7%A2%D7%95%D7%AA%20%D7%95%D7%A4%D7%A8%D7%A1%D7%95%D7%9E%D7%99%D7%9D/175/2022/Pages/hodea20722.aspx</w:t>
        </w:r>
      </w:hyperlink>
      <w:r w:rsidRPr="00947186">
        <w:rPr>
          <w:sz w:val="16"/>
          <w:szCs w:val="16"/>
        </w:rPr>
        <w:t xml:space="preserve"> </w:t>
      </w:r>
    </w:p>
    <w:p w:rsidR="00FF690F" w:rsidRPr="00B611BF" w:rsidRDefault="004C5E01" w:rsidP="002434EE">
      <w:pPr>
        <w:pStyle w:val="a9"/>
        <w:bidi/>
        <w:rPr>
          <w:rtl/>
        </w:rPr>
      </w:pPr>
      <w:hyperlink r:id="rId27" w:history="1">
        <w:r w:rsidR="00FF690F" w:rsidRPr="00947186">
          <w:rPr>
            <w:rStyle w:val="Hyperlink"/>
            <w:sz w:val="16"/>
            <w:szCs w:val="16"/>
          </w:rPr>
          <w:t>http://isa.gov.il/%D7%94%D7%95%D7%93%D7%A2%D7%95%D7%AA%20%D7%95%D7%A4%D7%A8%D7%A1%D7%95%D7%9E%D7%99%D7%9D/175/2022/Pages/hodea21722.aspx</w:t>
        </w:r>
      </w:hyperlink>
      <w:r w:rsidR="00FF690F" w:rsidRPr="00947186">
        <w:rPr>
          <w:sz w:val="16"/>
          <w:szCs w:val="16"/>
        </w:rPr>
        <w:t xml:space="preserve"> </w:t>
      </w:r>
    </w:p>
  </w:footnote>
  <w:footnote w:id="20">
    <w:p w:rsidR="00FF690F" w:rsidRPr="00F44C3B" w:rsidRDefault="00FF690F" w:rsidP="00947186">
      <w:pPr>
        <w:pStyle w:val="a9"/>
        <w:bidi/>
        <w:jc w:val="both"/>
        <w:rPr>
          <w:rtl/>
        </w:rPr>
      </w:pPr>
      <w:r>
        <w:rPr>
          <w:rStyle w:val="ac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BF3B8A">
        <w:rPr>
          <w:rFonts w:ascii="David" w:hAnsi="David" w:cs="David" w:hint="eastAsia"/>
          <w:rtl/>
        </w:rPr>
        <w:t>דיון</w:t>
      </w:r>
      <w:r w:rsidRPr="00BF3B8A">
        <w:rPr>
          <w:rFonts w:ascii="David" w:hAnsi="David" w:cs="David"/>
          <w:rtl/>
        </w:rPr>
        <w:t xml:space="preserve"> </w:t>
      </w:r>
      <w:r w:rsidRPr="00BF3B8A">
        <w:rPr>
          <w:rFonts w:ascii="David" w:hAnsi="David" w:cs="David" w:hint="eastAsia"/>
          <w:rtl/>
        </w:rPr>
        <w:t>זה</w:t>
      </w:r>
      <w:r w:rsidRPr="00BF3B8A">
        <w:rPr>
          <w:rFonts w:ascii="David" w:hAnsi="David" w:cs="David"/>
          <w:rtl/>
        </w:rPr>
        <w:t xml:space="preserve"> </w:t>
      </w:r>
      <w:r w:rsidRPr="00BF3B8A">
        <w:rPr>
          <w:rFonts w:ascii="David" w:hAnsi="David" w:cs="David" w:hint="eastAsia"/>
          <w:rtl/>
        </w:rPr>
        <w:t>מתמקד</w:t>
      </w:r>
      <w:r w:rsidRPr="00BF3B8A">
        <w:rPr>
          <w:rFonts w:ascii="David" w:hAnsi="David" w:cs="David"/>
          <w:rtl/>
        </w:rPr>
        <w:t xml:space="preserve"> </w:t>
      </w:r>
      <w:r w:rsidRPr="00BF3B8A">
        <w:rPr>
          <w:rFonts w:ascii="David" w:hAnsi="David" w:cs="David" w:hint="eastAsia"/>
          <w:rtl/>
        </w:rPr>
        <w:t>בסיכונים</w:t>
      </w:r>
      <w:r w:rsidRPr="00BF3B8A">
        <w:rPr>
          <w:rFonts w:ascii="David" w:hAnsi="David" w:cs="David"/>
          <w:rtl/>
        </w:rPr>
        <w:t xml:space="preserve"> </w:t>
      </w:r>
      <w:r w:rsidRPr="00BF3B8A">
        <w:rPr>
          <w:rFonts w:ascii="David" w:hAnsi="David" w:cs="David" w:hint="eastAsia"/>
          <w:rtl/>
        </w:rPr>
        <w:t>התפעוליים</w:t>
      </w:r>
      <w:r w:rsidRPr="00BF3B8A">
        <w:rPr>
          <w:rFonts w:ascii="David" w:hAnsi="David" w:cs="David"/>
          <w:rtl/>
        </w:rPr>
        <w:t xml:space="preserve"> </w:t>
      </w:r>
      <w:r w:rsidRPr="00BF3B8A">
        <w:rPr>
          <w:rFonts w:ascii="David" w:hAnsi="David" w:cs="David" w:hint="eastAsia"/>
          <w:rtl/>
        </w:rPr>
        <w:t>בענף</w:t>
      </w:r>
      <w:r>
        <w:rPr>
          <w:rFonts w:ascii="David" w:hAnsi="David" w:cs="David" w:hint="cs"/>
          <w:rtl/>
        </w:rPr>
        <w:t xml:space="preserve"> האשראי החוץ-בנקאי</w:t>
      </w:r>
      <w:r w:rsidRPr="00BF3B8A">
        <w:rPr>
          <w:rFonts w:ascii="David" w:hAnsi="David" w:cs="David"/>
          <w:rtl/>
        </w:rPr>
        <w:t xml:space="preserve">. </w:t>
      </w:r>
      <w:r w:rsidRPr="00BF3B8A">
        <w:rPr>
          <w:rFonts w:ascii="David" w:hAnsi="David" w:cs="David" w:hint="eastAsia"/>
          <w:rtl/>
        </w:rPr>
        <w:t>לצד</w:t>
      </w:r>
      <w:r w:rsidRPr="00BF3B8A">
        <w:rPr>
          <w:rFonts w:ascii="David" w:hAnsi="David" w:cs="David"/>
          <w:rtl/>
        </w:rPr>
        <w:t xml:space="preserve"> </w:t>
      </w:r>
      <w:r w:rsidRPr="00BF3B8A">
        <w:rPr>
          <w:rFonts w:ascii="David" w:hAnsi="David" w:cs="David" w:hint="eastAsia"/>
          <w:rtl/>
        </w:rPr>
        <w:t>זאת</w:t>
      </w:r>
      <w:r w:rsidRPr="00BF3B8A">
        <w:rPr>
          <w:rFonts w:ascii="David" w:hAnsi="David" w:cs="David"/>
          <w:rtl/>
        </w:rPr>
        <w:t xml:space="preserve">, </w:t>
      </w:r>
      <w:r w:rsidRPr="00BF3B8A">
        <w:rPr>
          <w:rFonts w:ascii="David" w:hAnsi="David" w:cs="David" w:hint="eastAsia"/>
          <w:rtl/>
        </w:rPr>
        <w:t>חברות</w:t>
      </w:r>
      <w:r w:rsidRPr="00BF3B8A">
        <w:rPr>
          <w:rFonts w:ascii="David" w:hAnsi="David" w:cs="David"/>
          <w:rtl/>
        </w:rPr>
        <w:t xml:space="preserve"> </w:t>
      </w:r>
      <w:r w:rsidRPr="00BF3B8A">
        <w:rPr>
          <w:rFonts w:ascii="David" w:hAnsi="David" w:cs="David" w:hint="eastAsia"/>
          <w:rtl/>
        </w:rPr>
        <w:t>האשראי</w:t>
      </w:r>
      <w:r w:rsidRPr="00BF3B8A">
        <w:rPr>
          <w:rFonts w:ascii="David" w:hAnsi="David" w:cs="David"/>
          <w:rtl/>
        </w:rPr>
        <w:t xml:space="preserve"> </w:t>
      </w:r>
      <w:r w:rsidRPr="00BF3B8A">
        <w:rPr>
          <w:rFonts w:ascii="David" w:hAnsi="David" w:cs="David" w:hint="eastAsia"/>
          <w:rtl/>
        </w:rPr>
        <w:t>החוץ</w:t>
      </w:r>
      <w:r>
        <w:rPr>
          <w:rFonts w:ascii="David" w:hAnsi="David" w:cs="David" w:hint="cs"/>
          <w:rtl/>
        </w:rPr>
        <w:t>-</w:t>
      </w:r>
      <w:r w:rsidRPr="00BF3B8A">
        <w:rPr>
          <w:rFonts w:ascii="David" w:hAnsi="David" w:cs="David" w:hint="eastAsia"/>
          <w:rtl/>
        </w:rPr>
        <w:t>בנקאי</w:t>
      </w:r>
      <w:r w:rsidRPr="00BF3B8A">
        <w:rPr>
          <w:rFonts w:ascii="David" w:hAnsi="David" w:cs="David"/>
          <w:rtl/>
        </w:rPr>
        <w:t xml:space="preserve"> </w:t>
      </w:r>
      <w:r w:rsidRPr="00BF3B8A">
        <w:rPr>
          <w:rFonts w:ascii="David" w:hAnsi="David" w:cs="David" w:hint="eastAsia"/>
          <w:rtl/>
        </w:rPr>
        <w:t>חשופות</w:t>
      </w:r>
      <w:r w:rsidRPr="00BF3B8A">
        <w:rPr>
          <w:rFonts w:ascii="David" w:hAnsi="David" w:cs="David"/>
          <w:rtl/>
        </w:rPr>
        <w:t xml:space="preserve"> </w:t>
      </w:r>
      <w:r w:rsidRPr="00BF3B8A">
        <w:rPr>
          <w:rFonts w:ascii="David" w:hAnsi="David" w:cs="David" w:hint="eastAsia"/>
          <w:rtl/>
        </w:rPr>
        <w:t>כמובן</w:t>
      </w:r>
      <w:r w:rsidRPr="00BF3B8A">
        <w:rPr>
          <w:rFonts w:ascii="David" w:hAnsi="David" w:cs="David"/>
          <w:rtl/>
        </w:rPr>
        <w:t xml:space="preserve"> </w:t>
      </w:r>
      <w:r w:rsidRPr="00BF3B8A">
        <w:rPr>
          <w:rFonts w:ascii="David" w:hAnsi="David" w:cs="David" w:hint="eastAsia"/>
          <w:rtl/>
        </w:rPr>
        <w:t>גם</w:t>
      </w:r>
      <w:r w:rsidRPr="00BF3B8A">
        <w:rPr>
          <w:rFonts w:ascii="David" w:hAnsi="David" w:cs="David"/>
          <w:rtl/>
        </w:rPr>
        <w:t xml:space="preserve"> </w:t>
      </w:r>
      <w:r w:rsidRPr="00BF3B8A">
        <w:rPr>
          <w:rFonts w:ascii="David" w:hAnsi="David" w:cs="David" w:hint="eastAsia"/>
          <w:rtl/>
        </w:rPr>
        <w:t>לסיכונים</w:t>
      </w:r>
      <w:r w:rsidRPr="00BF3B8A">
        <w:rPr>
          <w:rFonts w:ascii="David" w:hAnsi="David" w:cs="David"/>
          <w:rtl/>
        </w:rPr>
        <w:t xml:space="preserve"> </w:t>
      </w:r>
      <w:r w:rsidRPr="00BF3B8A">
        <w:rPr>
          <w:rFonts w:ascii="David" w:hAnsi="David" w:cs="David" w:hint="eastAsia"/>
          <w:rtl/>
        </w:rPr>
        <w:t>פיננסים</w:t>
      </w:r>
      <w:r w:rsidRPr="00BF3B8A">
        <w:rPr>
          <w:rFonts w:ascii="David" w:hAnsi="David" w:cs="David"/>
          <w:rtl/>
        </w:rPr>
        <w:t xml:space="preserve">. </w:t>
      </w:r>
      <w:r w:rsidRPr="00BF3B8A">
        <w:rPr>
          <w:rFonts w:ascii="David" w:hAnsi="David" w:cs="David" w:hint="eastAsia"/>
          <w:rtl/>
        </w:rPr>
        <w:t>בתקופת</w:t>
      </w:r>
      <w:r w:rsidRPr="00BF3B8A">
        <w:rPr>
          <w:rFonts w:ascii="David" w:hAnsi="David" w:cs="David"/>
          <w:rtl/>
        </w:rPr>
        <w:t xml:space="preserve"> </w:t>
      </w:r>
      <w:r w:rsidRPr="00BF3B8A">
        <w:rPr>
          <w:rFonts w:ascii="David" w:hAnsi="David" w:cs="David" w:hint="eastAsia"/>
          <w:rtl/>
        </w:rPr>
        <w:t>משבר</w:t>
      </w:r>
      <w:r w:rsidRPr="00BF3B8A">
        <w:rPr>
          <w:rFonts w:ascii="David" w:hAnsi="David" w:cs="David"/>
          <w:rtl/>
        </w:rPr>
        <w:t xml:space="preserve"> </w:t>
      </w:r>
      <w:r w:rsidRPr="00BF3B8A">
        <w:rPr>
          <w:rFonts w:ascii="David" w:hAnsi="David" w:cs="David" w:hint="eastAsia"/>
          <w:rtl/>
        </w:rPr>
        <w:t>הקורונה</w:t>
      </w:r>
      <w:r w:rsidRPr="00BF3B8A">
        <w:rPr>
          <w:rFonts w:ascii="David" w:hAnsi="David" w:cs="David"/>
          <w:rtl/>
        </w:rPr>
        <w:t xml:space="preserve"> </w:t>
      </w:r>
      <w:r w:rsidRPr="00BF3B8A">
        <w:rPr>
          <w:rFonts w:ascii="David" w:hAnsi="David" w:cs="David" w:hint="eastAsia"/>
          <w:rtl/>
        </w:rPr>
        <w:t>למשל</w:t>
      </w:r>
      <w:r w:rsidRPr="00BF3B8A">
        <w:rPr>
          <w:rFonts w:ascii="David" w:hAnsi="David" w:cs="David"/>
          <w:rtl/>
        </w:rPr>
        <w:t xml:space="preserve">, </w:t>
      </w:r>
      <w:r w:rsidRPr="00BF3B8A">
        <w:rPr>
          <w:rFonts w:ascii="David" w:hAnsi="David" w:cs="David" w:hint="eastAsia"/>
          <w:rtl/>
        </w:rPr>
        <w:t>מרווחי</w:t>
      </w:r>
      <w:r w:rsidRPr="00BF3B8A">
        <w:rPr>
          <w:rFonts w:ascii="David" w:hAnsi="David" w:cs="David"/>
          <w:rtl/>
        </w:rPr>
        <w:t xml:space="preserve"> </w:t>
      </w:r>
      <w:r w:rsidRPr="00BF3B8A">
        <w:rPr>
          <w:rFonts w:ascii="David" w:hAnsi="David" w:cs="David" w:hint="eastAsia"/>
          <w:rtl/>
        </w:rPr>
        <w:t>התשואה</w:t>
      </w:r>
      <w:r w:rsidRPr="00BF3B8A">
        <w:rPr>
          <w:rFonts w:ascii="David" w:hAnsi="David" w:cs="David"/>
          <w:rtl/>
        </w:rPr>
        <w:t xml:space="preserve"> </w:t>
      </w:r>
      <w:r w:rsidRPr="00BF3B8A">
        <w:rPr>
          <w:rFonts w:ascii="David" w:hAnsi="David" w:cs="David" w:hint="eastAsia"/>
          <w:rtl/>
        </w:rPr>
        <w:t>של</w:t>
      </w:r>
      <w:r w:rsidRPr="00BF3B8A">
        <w:rPr>
          <w:rFonts w:ascii="David" w:hAnsi="David" w:cs="David"/>
          <w:rtl/>
        </w:rPr>
        <w:t xml:space="preserve"> </w:t>
      </w:r>
      <w:r w:rsidRPr="00BF3B8A">
        <w:rPr>
          <w:rFonts w:ascii="David" w:hAnsi="David" w:cs="David" w:hint="eastAsia"/>
          <w:rtl/>
        </w:rPr>
        <w:t>חברות</w:t>
      </w:r>
      <w:r w:rsidRPr="00BF3B8A">
        <w:rPr>
          <w:rFonts w:ascii="David" w:hAnsi="David" w:cs="David"/>
          <w:rtl/>
        </w:rPr>
        <w:t xml:space="preserve"> </w:t>
      </w:r>
      <w:r w:rsidRPr="00BF3B8A">
        <w:rPr>
          <w:rFonts w:ascii="David" w:hAnsi="David" w:cs="David" w:hint="eastAsia"/>
          <w:rtl/>
        </w:rPr>
        <w:t>אלה</w:t>
      </w:r>
      <w:r w:rsidRPr="00BF3B8A">
        <w:rPr>
          <w:rFonts w:ascii="David" w:hAnsi="David" w:cs="David"/>
          <w:rtl/>
        </w:rPr>
        <w:t xml:space="preserve"> </w:t>
      </w:r>
      <w:r w:rsidRPr="00BF3B8A">
        <w:rPr>
          <w:rFonts w:ascii="David" w:hAnsi="David" w:cs="David" w:hint="eastAsia"/>
          <w:rtl/>
        </w:rPr>
        <w:t>עלו</w:t>
      </w:r>
      <w:r w:rsidRPr="00BF3B8A">
        <w:rPr>
          <w:rFonts w:ascii="David" w:hAnsi="David" w:cs="David"/>
          <w:rtl/>
        </w:rPr>
        <w:t xml:space="preserve"> </w:t>
      </w:r>
      <w:r w:rsidRPr="00BF3B8A">
        <w:rPr>
          <w:rFonts w:ascii="David" w:hAnsi="David" w:cs="David" w:hint="eastAsia"/>
          <w:rtl/>
        </w:rPr>
        <w:t>יותר</w:t>
      </w:r>
      <w:r w:rsidRPr="00BF3B8A">
        <w:rPr>
          <w:rFonts w:ascii="David" w:hAnsi="David" w:cs="David"/>
          <w:rtl/>
        </w:rPr>
        <w:t xml:space="preserve"> </w:t>
      </w:r>
      <w:r w:rsidRPr="00BF3B8A">
        <w:rPr>
          <w:rFonts w:ascii="David" w:hAnsi="David" w:cs="David" w:hint="eastAsia"/>
          <w:rtl/>
        </w:rPr>
        <w:t>מאשר</w:t>
      </w:r>
      <w:r w:rsidRPr="00BF3B8A">
        <w:rPr>
          <w:rFonts w:ascii="David" w:hAnsi="David" w:cs="David"/>
          <w:rtl/>
        </w:rPr>
        <w:t xml:space="preserve"> </w:t>
      </w:r>
      <w:r>
        <w:rPr>
          <w:rFonts w:ascii="David" w:hAnsi="David" w:cs="David" w:hint="cs"/>
          <w:rtl/>
        </w:rPr>
        <w:t>מ</w:t>
      </w:r>
      <w:r w:rsidRPr="00BF3B8A">
        <w:rPr>
          <w:rFonts w:ascii="David" w:hAnsi="David" w:cs="David" w:hint="eastAsia"/>
          <w:rtl/>
        </w:rPr>
        <w:t>מרווחי</w:t>
      </w:r>
      <w:r w:rsidRPr="00BF3B8A">
        <w:rPr>
          <w:rFonts w:ascii="David" w:hAnsi="David" w:cs="David"/>
          <w:rtl/>
        </w:rPr>
        <w:t xml:space="preserve"> </w:t>
      </w:r>
      <w:r w:rsidRPr="00BF3B8A">
        <w:rPr>
          <w:rFonts w:ascii="David" w:hAnsi="David" w:cs="David" w:hint="eastAsia"/>
          <w:rtl/>
        </w:rPr>
        <w:t>האשראי</w:t>
      </w:r>
      <w:r w:rsidRPr="00BF3B8A">
        <w:rPr>
          <w:rFonts w:ascii="David" w:hAnsi="David" w:cs="David"/>
          <w:rtl/>
        </w:rPr>
        <w:t xml:space="preserve"> </w:t>
      </w:r>
      <w:r w:rsidRPr="00BF3B8A">
        <w:rPr>
          <w:rFonts w:ascii="David" w:hAnsi="David" w:cs="David" w:hint="eastAsia"/>
          <w:rtl/>
        </w:rPr>
        <w:t>של</w:t>
      </w:r>
      <w:r w:rsidRPr="00BF3B8A">
        <w:rPr>
          <w:rFonts w:ascii="David" w:hAnsi="David" w:cs="David"/>
          <w:rtl/>
        </w:rPr>
        <w:t xml:space="preserve"> </w:t>
      </w:r>
      <w:r w:rsidRPr="00BF3B8A">
        <w:rPr>
          <w:rFonts w:ascii="David" w:hAnsi="David" w:cs="David" w:hint="eastAsia"/>
          <w:rtl/>
        </w:rPr>
        <w:t>חברות</w:t>
      </w:r>
      <w:r w:rsidRPr="00BF3B8A">
        <w:rPr>
          <w:rFonts w:ascii="David" w:hAnsi="David" w:cs="David"/>
          <w:rtl/>
        </w:rPr>
        <w:t xml:space="preserve"> </w:t>
      </w:r>
      <w:r w:rsidRPr="00BF3B8A">
        <w:rPr>
          <w:rFonts w:ascii="David" w:hAnsi="David" w:cs="David" w:hint="eastAsia"/>
          <w:rtl/>
        </w:rPr>
        <w:t>פיננסיות</w:t>
      </w:r>
      <w:r w:rsidRPr="00BF3B8A">
        <w:rPr>
          <w:rFonts w:ascii="David" w:hAnsi="David" w:cs="David"/>
          <w:rtl/>
        </w:rPr>
        <w:t xml:space="preserve"> </w:t>
      </w:r>
      <w:r w:rsidRPr="00BF3B8A">
        <w:rPr>
          <w:rFonts w:ascii="David" w:hAnsi="David" w:cs="David" w:hint="eastAsia"/>
          <w:rtl/>
        </w:rPr>
        <w:t>מסורתיות</w:t>
      </w:r>
      <w:r w:rsidRPr="00BF3B8A">
        <w:rPr>
          <w:rFonts w:ascii="David" w:hAnsi="David" w:cs="David"/>
          <w:rtl/>
        </w:rPr>
        <w:t xml:space="preserve"> </w:t>
      </w:r>
      <w:r w:rsidRPr="00BF3B8A">
        <w:rPr>
          <w:rFonts w:ascii="David" w:hAnsi="David" w:cs="David" w:hint="eastAsia"/>
          <w:rtl/>
        </w:rPr>
        <w:t>כגון</w:t>
      </w:r>
      <w:r w:rsidRPr="00BF3B8A">
        <w:rPr>
          <w:rFonts w:ascii="David" w:hAnsi="David" w:cs="David"/>
          <w:rtl/>
        </w:rPr>
        <w:t xml:space="preserve"> </w:t>
      </w:r>
      <w:r w:rsidRPr="00BF3B8A">
        <w:rPr>
          <w:rFonts w:ascii="David" w:hAnsi="David" w:cs="David" w:hint="eastAsia"/>
          <w:rtl/>
        </w:rPr>
        <w:t>הבנקים</w:t>
      </w:r>
      <w:r w:rsidRPr="00BF3B8A">
        <w:rPr>
          <w:rFonts w:ascii="David" w:hAnsi="David" w:cs="David"/>
          <w:rtl/>
        </w:rPr>
        <w:t xml:space="preserve"> </w:t>
      </w:r>
      <w:r w:rsidRPr="00BF3B8A">
        <w:rPr>
          <w:rFonts w:ascii="David" w:hAnsi="David" w:cs="David" w:hint="eastAsia"/>
          <w:rtl/>
        </w:rPr>
        <w:t>וחברות</w:t>
      </w:r>
      <w:r w:rsidRPr="00BF3B8A">
        <w:rPr>
          <w:rFonts w:ascii="David" w:hAnsi="David" w:cs="David"/>
          <w:rtl/>
        </w:rPr>
        <w:t xml:space="preserve"> </w:t>
      </w:r>
      <w:r w:rsidRPr="00BF3B8A">
        <w:rPr>
          <w:rFonts w:ascii="David" w:hAnsi="David" w:cs="David" w:hint="eastAsia"/>
          <w:rtl/>
        </w:rPr>
        <w:t>הביטוח</w:t>
      </w:r>
      <w:r>
        <w:rPr>
          <w:rFonts w:ascii="David" w:hAnsi="David" w:cs="David" w:hint="cs"/>
          <w:rtl/>
        </w:rPr>
        <w:t xml:space="preserve"> (</w:t>
      </w:r>
      <w:r w:rsidRPr="0072171C">
        <w:rPr>
          <w:rFonts w:ascii="David" w:hAnsi="David" w:cs="David" w:hint="eastAsia"/>
          <w:rtl/>
        </w:rPr>
        <w:t>ראו</w:t>
      </w:r>
      <w:r w:rsidRPr="0072171C">
        <w:rPr>
          <w:rFonts w:ascii="David" w:hAnsi="David" w:cs="David"/>
          <w:rtl/>
        </w:rPr>
        <w:t xml:space="preserve">: </w:t>
      </w:r>
      <w:r w:rsidRPr="0072171C">
        <w:rPr>
          <w:rFonts w:ascii="David" w:hAnsi="David" w:cs="David" w:hint="eastAsia"/>
          <w:rtl/>
        </w:rPr>
        <w:t>דוח</w:t>
      </w:r>
      <w:r w:rsidRPr="0072171C">
        <w:rPr>
          <w:rFonts w:ascii="David" w:hAnsi="David" w:cs="David"/>
          <w:rtl/>
        </w:rPr>
        <w:t xml:space="preserve"> </w:t>
      </w:r>
      <w:r w:rsidRPr="0072171C">
        <w:rPr>
          <w:rFonts w:ascii="David" w:hAnsi="David" w:cs="David" w:hint="eastAsia"/>
          <w:rtl/>
        </w:rPr>
        <w:t>היציבות</w:t>
      </w:r>
      <w:r w:rsidRPr="0072171C">
        <w:rPr>
          <w:rFonts w:ascii="David" w:hAnsi="David" w:cs="David"/>
          <w:rtl/>
        </w:rPr>
        <w:t xml:space="preserve"> </w:t>
      </w:r>
      <w:r w:rsidRPr="0072171C">
        <w:rPr>
          <w:rFonts w:ascii="David" w:hAnsi="David" w:cs="David" w:hint="eastAsia"/>
          <w:rtl/>
        </w:rPr>
        <w:t>הפיננסית</w:t>
      </w:r>
      <w:r w:rsidRPr="0072171C">
        <w:rPr>
          <w:rFonts w:ascii="David" w:hAnsi="David" w:cs="David"/>
          <w:rtl/>
        </w:rPr>
        <w:t xml:space="preserve"> </w:t>
      </w:r>
      <w:r w:rsidRPr="0072171C">
        <w:rPr>
          <w:rFonts w:ascii="David" w:hAnsi="David" w:cs="David" w:hint="eastAsia"/>
          <w:rtl/>
        </w:rPr>
        <w:t>למחצית</w:t>
      </w:r>
      <w:r w:rsidRPr="0072171C">
        <w:rPr>
          <w:rFonts w:ascii="David" w:hAnsi="David" w:cs="David"/>
          <w:rtl/>
        </w:rPr>
        <w:t xml:space="preserve"> </w:t>
      </w:r>
      <w:r w:rsidRPr="0072171C">
        <w:rPr>
          <w:rFonts w:ascii="David" w:hAnsi="David" w:cs="David" w:hint="eastAsia"/>
          <w:rtl/>
        </w:rPr>
        <w:t>השנייה</w:t>
      </w:r>
      <w:r w:rsidRPr="0072171C">
        <w:rPr>
          <w:rFonts w:ascii="David" w:hAnsi="David" w:cs="David"/>
          <w:rtl/>
        </w:rPr>
        <w:t xml:space="preserve"> </w:t>
      </w:r>
      <w:r w:rsidRPr="0072171C">
        <w:rPr>
          <w:rFonts w:ascii="David" w:hAnsi="David" w:cs="David" w:hint="eastAsia"/>
          <w:rtl/>
        </w:rPr>
        <w:t>של</w:t>
      </w:r>
      <w:r w:rsidRPr="0072171C">
        <w:rPr>
          <w:rFonts w:ascii="David" w:hAnsi="David" w:cs="David"/>
          <w:rtl/>
        </w:rPr>
        <w:t xml:space="preserve"> 2021, </w:t>
      </w:r>
      <w:r w:rsidRPr="0072171C">
        <w:rPr>
          <w:rFonts w:ascii="David" w:hAnsi="David" w:cs="David" w:hint="eastAsia"/>
          <w:rtl/>
        </w:rPr>
        <w:t>תיבה</w:t>
      </w:r>
      <w:r w:rsidRPr="0072171C">
        <w:rPr>
          <w:rFonts w:ascii="David" w:hAnsi="David" w:cs="David"/>
          <w:rtl/>
        </w:rPr>
        <w:t xml:space="preserve"> 2</w:t>
      </w:r>
      <w:r>
        <w:rPr>
          <w:rFonts w:ascii="David" w:hAnsi="David" w:cs="David" w:hint="cs"/>
          <w:rtl/>
        </w:rPr>
        <w:t>)</w:t>
      </w:r>
      <w:r w:rsidRPr="00BF3B8A">
        <w:rPr>
          <w:rFonts w:ascii="David" w:hAnsi="David" w:cs="David"/>
          <w:rtl/>
        </w:rPr>
        <w:t>.</w:t>
      </w:r>
      <w:r>
        <w:rPr>
          <w:rFonts w:ascii="David" w:hAnsi="David" w:cs="David" w:hint="cs"/>
          <w:rtl/>
        </w:rPr>
        <w:t xml:space="preserve"> בנוסף חשוב לציין שהחברות "גיבוי אחזקות" </w:t>
      </w:r>
      <w:proofErr w:type="spellStart"/>
      <w:r>
        <w:rPr>
          <w:rFonts w:ascii="David" w:hAnsi="David" w:cs="David" w:hint="cs"/>
          <w:rtl/>
        </w:rPr>
        <w:t>ו"יונט</w:t>
      </w:r>
      <w:proofErr w:type="spellEnd"/>
      <w:r>
        <w:rPr>
          <w:rFonts w:ascii="David" w:hAnsi="David" w:cs="David" w:hint="cs"/>
          <w:rtl/>
        </w:rPr>
        <w:t xml:space="preserve"> קרדיט" הן חברות קטנות יחסית, בחציון התחתון של התפלגות שווי השוק של חברות האשראי החוץ-בנקאי הציבוריות והן גם הונפקו בשלב מאוחר יחסית (בדומה לרוב החברות הציבוריות בתחום זה).</w:t>
      </w:r>
      <w:r>
        <w:rPr>
          <w:rFonts w:hint="cs"/>
          <w:rtl/>
        </w:rPr>
        <w:t xml:space="preserve"> </w:t>
      </w:r>
    </w:p>
  </w:footnote>
  <w:footnote w:id="21">
    <w:p w:rsidR="00FF690F" w:rsidRPr="00B6295A" w:rsidRDefault="00FF690F" w:rsidP="00847BB3">
      <w:pPr>
        <w:pStyle w:val="a9"/>
        <w:bidi/>
        <w:rPr>
          <w:rFonts w:ascii="David" w:hAnsi="David" w:cs="David"/>
          <w:rtl/>
        </w:rPr>
      </w:pPr>
      <w:r w:rsidRPr="00B6295A">
        <w:rPr>
          <w:rStyle w:val="ac"/>
          <w:rFonts w:ascii="David" w:hAnsi="David" w:cs="David"/>
        </w:rPr>
        <w:footnoteRef/>
      </w:r>
      <w:r w:rsidRPr="00B6295A">
        <w:rPr>
          <w:rFonts w:ascii="David" w:hAnsi="David" w:cs="David"/>
        </w:rPr>
        <w:t xml:space="preserve"> </w:t>
      </w:r>
      <w:r w:rsidRPr="00B6295A">
        <w:rPr>
          <w:rFonts w:ascii="David" w:hAnsi="David" w:cs="David"/>
          <w:rtl/>
        </w:rPr>
        <w:t xml:space="preserve"> בחלק מהתאריכים הנבחנים המניה ה</w:t>
      </w:r>
      <w:r>
        <w:rPr>
          <w:rFonts w:ascii="David" w:hAnsi="David" w:cs="David" w:hint="cs"/>
          <w:rtl/>
        </w:rPr>
        <w:t>מתאימה</w:t>
      </w:r>
      <w:r w:rsidRPr="00B6295A">
        <w:rPr>
          <w:rFonts w:ascii="David" w:hAnsi="David" w:cs="David"/>
          <w:rtl/>
        </w:rPr>
        <w:t xml:space="preserve"> הייתה בהפסקת מסחר וזאת עקב ההתפתחויות השליליות בחברות ובמקרים אלה נאלצנו להסתמך על שיקול דעתנו בלבד.</w:t>
      </w:r>
    </w:p>
  </w:footnote>
  <w:footnote w:id="22">
    <w:p w:rsidR="00FF690F" w:rsidRDefault="00FF690F" w:rsidP="00947186">
      <w:pPr>
        <w:pStyle w:val="a9"/>
        <w:bidi/>
        <w:jc w:val="both"/>
        <w:rPr>
          <w:rtl/>
        </w:rPr>
      </w:pPr>
      <w:r>
        <w:rPr>
          <w:rStyle w:val="ac"/>
        </w:rPr>
        <w:footnoteRef/>
      </w:r>
      <w:r>
        <w:t xml:space="preserve"> </w:t>
      </w:r>
      <w:r w:rsidRPr="009A0045">
        <w:rPr>
          <w:rFonts w:ascii="David" w:hAnsi="David" w:cs="David" w:hint="eastAsia"/>
          <w:rtl/>
        </w:rPr>
        <w:t>מחקרים</w:t>
      </w:r>
      <w:r w:rsidRPr="009A0045">
        <w:rPr>
          <w:rFonts w:ascii="David" w:hAnsi="David" w:cs="David"/>
          <w:rtl/>
        </w:rPr>
        <w:t xml:space="preserve"> שונים השתמשו ב</w:t>
      </w:r>
      <w:r>
        <w:rPr>
          <w:rFonts w:ascii="David" w:hAnsi="David" w:cs="David" w:hint="cs"/>
          <w:rtl/>
        </w:rPr>
        <w:t>"</w:t>
      </w:r>
      <w:r w:rsidRPr="009A0045">
        <w:rPr>
          <w:rFonts w:ascii="David" w:hAnsi="David" w:cs="David"/>
          <w:rtl/>
        </w:rPr>
        <w:t>חקר</w:t>
      </w:r>
      <w:r>
        <w:rPr>
          <w:rFonts w:ascii="David" w:hAnsi="David" w:cs="David" w:hint="cs"/>
          <w:rtl/>
        </w:rPr>
        <w:t xml:space="preserve"> </w:t>
      </w:r>
      <w:r w:rsidRPr="009A0045">
        <w:rPr>
          <w:rFonts w:ascii="David" w:hAnsi="David" w:cs="David"/>
          <w:rtl/>
        </w:rPr>
        <w:t>אירוע</w:t>
      </w:r>
      <w:r>
        <w:rPr>
          <w:rFonts w:ascii="David" w:hAnsi="David" w:cs="David" w:hint="cs"/>
          <w:rtl/>
        </w:rPr>
        <w:t>"</w:t>
      </w:r>
      <w:r w:rsidRPr="009A0045">
        <w:rPr>
          <w:rFonts w:ascii="David" w:hAnsi="David" w:cs="David"/>
          <w:rtl/>
        </w:rPr>
        <w:t xml:space="preserve"> </w:t>
      </w:r>
      <w:r>
        <w:rPr>
          <w:rFonts w:ascii="David" w:hAnsi="David" w:cs="David" w:hint="cs"/>
          <w:rtl/>
        </w:rPr>
        <w:t>ש</w:t>
      </w:r>
      <w:r w:rsidRPr="009A0045">
        <w:rPr>
          <w:rFonts w:ascii="David" w:hAnsi="David" w:cs="David"/>
          <w:rtl/>
        </w:rPr>
        <w:t>מתמקד במניות של חברות מתחרות</w:t>
      </w:r>
      <w:r>
        <w:rPr>
          <w:rFonts w:ascii="David" w:hAnsi="David" w:cs="David" w:hint="cs"/>
          <w:rtl/>
        </w:rPr>
        <w:t>,</w:t>
      </w:r>
      <w:r w:rsidRPr="009A0045">
        <w:rPr>
          <w:rFonts w:ascii="David" w:hAnsi="David" w:cs="David"/>
          <w:rtl/>
        </w:rPr>
        <w:t xml:space="preserve"> כדי לבחון השפעות רוחביות של אירועים כגון מיזוגים ו</w:t>
      </w:r>
      <w:r>
        <w:rPr>
          <w:rFonts w:ascii="David" w:hAnsi="David" w:cs="David" w:hint="cs"/>
          <w:rtl/>
        </w:rPr>
        <w:t>אסדרה</w:t>
      </w:r>
      <w:r w:rsidRPr="009A0045">
        <w:rPr>
          <w:rFonts w:ascii="David" w:hAnsi="David" w:cs="David"/>
          <w:rtl/>
        </w:rPr>
        <w:t xml:space="preserve">. </w:t>
      </w:r>
      <w:proofErr w:type="spellStart"/>
      <w:r w:rsidRPr="009A0045">
        <w:rPr>
          <w:rFonts w:ascii="David" w:hAnsi="David" w:cs="David"/>
        </w:rPr>
        <w:t>Eckbo</w:t>
      </w:r>
      <w:proofErr w:type="spellEnd"/>
      <w:r w:rsidRPr="009A0045">
        <w:rPr>
          <w:rFonts w:ascii="David" w:hAnsi="David" w:cs="David"/>
        </w:rPr>
        <w:t xml:space="preserve"> (1983)</w:t>
      </w:r>
      <w:r w:rsidRPr="009A0045">
        <w:rPr>
          <w:rFonts w:ascii="David" w:hAnsi="David" w:cs="David"/>
          <w:rtl/>
        </w:rPr>
        <w:t xml:space="preserve"> ו-</w:t>
      </w:r>
      <w:proofErr w:type="spellStart"/>
      <w:r w:rsidRPr="009A0045">
        <w:rPr>
          <w:rFonts w:ascii="David" w:hAnsi="David" w:cs="David"/>
        </w:rPr>
        <w:t>Stillman</w:t>
      </w:r>
      <w:proofErr w:type="spellEnd"/>
      <w:r w:rsidRPr="009A0045">
        <w:rPr>
          <w:rFonts w:ascii="David" w:hAnsi="David" w:cs="David"/>
        </w:rPr>
        <w:t xml:space="preserve"> (1983)</w:t>
      </w:r>
      <w:r w:rsidRPr="009A0045">
        <w:rPr>
          <w:rFonts w:ascii="David" w:hAnsi="David" w:cs="David"/>
          <w:rtl/>
        </w:rPr>
        <w:t xml:space="preserve"> בחנו מניות של חברות מתחרות</w:t>
      </w:r>
      <w:r>
        <w:rPr>
          <w:rFonts w:ascii="David" w:hAnsi="David" w:cs="David" w:hint="cs"/>
          <w:rtl/>
        </w:rPr>
        <w:t>,</w:t>
      </w:r>
      <w:r w:rsidRPr="009A0045">
        <w:rPr>
          <w:rFonts w:ascii="David" w:hAnsi="David" w:cs="David"/>
          <w:rtl/>
        </w:rPr>
        <w:t xml:space="preserve"> כדי לבחון את ההשפעה של מיזוגים על רמת התחרות ו</w:t>
      </w:r>
      <w:r>
        <w:rPr>
          <w:rFonts w:ascii="David" w:hAnsi="David" w:cs="David" w:hint="cs"/>
          <w:rtl/>
        </w:rPr>
        <w:t xml:space="preserve">על </w:t>
      </w:r>
      <w:r w:rsidRPr="009A0045">
        <w:rPr>
          <w:rFonts w:ascii="David" w:hAnsi="David" w:cs="David"/>
          <w:rtl/>
        </w:rPr>
        <w:t xml:space="preserve">רווחת הצרכן. </w:t>
      </w:r>
      <w:proofErr w:type="spellStart"/>
      <w:r w:rsidRPr="009A0045">
        <w:rPr>
          <w:rFonts w:ascii="David" w:hAnsi="David" w:cs="David"/>
        </w:rPr>
        <w:t>Bittlingmayer</w:t>
      </w:r>
      <w:proofErr w:type="spellEnd"/>
      <w:r w:rsidRPr="009A0045">
        <w:rPr>
          <w:rFonts w:ascii="David" w:hAnsi="David" w:cs="David"/>
        </w:rPr>
        <w:t xml:space="preserve"> and Hazlett (2000)</w:t>
      </w:r>
      <w:r w:rsidRPr="009A0045">
        <w:rPr>
          <w:rFonts w:ascii="David" w:hAnsi="David" w:cs="David"/>
          <w:rtl/>
        </w:rPr>
        <w:t xml:space="preserve"> </w:t>
      </w:r>
      <w:r w:rsidRPr="009A0045">
        <w:rPr>
          <w:rFonts w:ascii="David" w:hAnsi="David" w:cs="David" w:hint="eastAsia"/>
          <w:rtl/>
        </w:rPr>
        <w:t>בדקו</w:t>
      </w:r>
      <w:r w:rsidRPr="009A0045">
        <w:rPr>
          <w:rFonts w:ascii="David" w:hAnsi="David" w:cs="David"/>
          <w:rtl/>
        </w:rPr>
        <w:t xml:space="preserve"> כיצד פעולות אכיפה של חוקי ההגבלים בארה"ב נגד </w:t>
      </w:r>
      <w:r>
        <w:rPr>
          <w:rFonts w:ascii="David" w:hAnsi="David" w:cs="David" w:hint="cs"/>
          <w:rtl/>
        </w:rPr>
        <w:t>חברת "</w:t>
      </w:r>
      <w:r w:rsidRPr="009A0045">
        <w:rPr>
          <w:rFonts w:ascii="David" w:hAnsi="David" w:cs="David"/>
          <w:rtl/>
        </w:rPr>
        <w:t>מי</w:t>
      </w:r>
      <w:r>
        <w:rPr>
          <w:rFonts w:ascii="David" w:hAnsi="David" w:cs="David" w:hint="cs"/>
          <w:rtl/>
        </w:rPr>
        <w:t>י</w:t>
      </w:r>
      <w:r w:rsidRPr="009A0045">
        <w:rPr>
          <w:rFonts w:ascii="David" w:hAnsi="David" w:cs="David"/>
          <w:rtl/>
        </w:rPr>
        <w:t>קרוסופט</w:t>
      </w:r>
      <w:r>
        <w:rPr>
          <w:rFonts w:ascii="David" w:hAnsi="David" w:cs="David" w:hint="cs"/>
          <w:rtl/>
        </w:rPr>
        <w:t>"</w:t>
      </w:r>
      <w:r w:rsidRPr="009A0045">
        <w:rPr>
          <w:rFonts w:ascii="David" w:hAnsi="David" w:cs="David"/>
          <w:rtl/>
        </w:rPr>
        <w:t xml:space="preserve"> השפיעו על מתחרים וספקים של החברה בתעשיית המחשוב. </w:t>
      </w:r>
      <w:r w:rsidRPr="009A0045">
        <w:rPr>
          <w:rFonts w:ascii="David" w:hAnsi="David" w:cs="David"/>
        </w:rPr>
        <w:t>Fee and Thomas (2004)</w:t>
      </w:r>
      <w:r w:rsidRPr="009A0045">
        <w:rPr>
          <w:rFonts w:ascii="David" w:hAnsi="David" w:cs="David"/>
          <w:rtl/>
        </w:rPr>
        <w:t xml:space="preserve"> ו-</w:t>
      </w:r>
      <w:proofErr w:type="spellStart"/>
      <w:r w:rsidRPr="009A0045">
        <w:rPr>
          <w:rFonts w:ascii="David" w:hAnsi="David" w:cs="David"/>
        </w:rPr>
        <w:t>Shahrur</w:t>
      </w:r>
      <w:proofErr w:type="spellEnd"/>
      <w:r w:rsidRPr="009A0045">
        <w:rPr>
          <w:rFonts w:ascii="David" w:hAnsi="David" w:cs="David"/>
        </w:rPr>
        <w:t xml:space="preserve"> (2005)</w:t>
      </w:r>
      <w:r w:rsidRPr="009A0045">
        <w:rPr>
          <w:rFonts w:ascii="David" w:hAnsi="David" w:cs="David"/>
          <w:rtl/>
        </w:rPr>
        <w:t xml:space="preserve"> השתמשו במדגם רחב של מיזוגים אופקיים</w:t>
      </w:r>
      <w:r>
        <w:rPr>
          <w:rFonts w:ascii="David" w:hAnsi="David" w:cs="David" w:hint="cs"/>
          <w:rtl/>
        </w:rPr>
        <w:t>,</w:t>
      </w:r>
      <w:r w:rsidRPr="009A0045">
        <w:rPr>
          <w:rFonts w:ascii="David" w:hAnsi="David" w:cs="David"/>
          <w:rtl/>
        </w:rPr>
        <w:t xml:space="preserve"> כדי לבחון את השפעתם של מיזוגים אלה על המתחרים, הספקים והלקוחות של הפירמות המתמזגות.</w:t>
      </w:r>
      <w:proofErr w:type="spellStart"/>
      <w:r w:rsidRPr="009A0045">
        <w:rPr>
          <w:rFonts w:ascii="David" w:hAnsi="David" w:cs="David"/>
        </w:rPr>
        <w:t>Karceski</w:t>
      </w:r>
      <w:proofErr w:type="spellEnd"/>
      <w:r w:rsidRPr="009A0045">
        <w:rPr>
          <w:rFonts w:ascii="David" w:hAnsi="David" w:cs="David"/>
        </w:rPr>
        <w:t xml:space="preserve">, </w:t>
      </w:r>
      <w:proofErr w:type="spellStart"/>
      <w:r w:rsidRPr="009A0045">
        <w:rPr>
          <w:rFonts w:ascii="David" w:hAnsi="David" w:cs="David"/>
        </w:rPr>
        <w:t>Ongena</w:t>
      </w:r>
      <w:proofErr w:type="spellEnd"/>
      <w:r w:rsidRPr="009A0045">
        <w:rPr>
          <w:rFonts w:ascii="David" w:hAnsi="David" w:cs="David"/>
        </w:rPr>
        <w:t xml:space="preserve">, and Smith (2005) </w:t>
      </w:r>
      <w:r w:rsidRPr="009A0045">
        <w:rPr>
          <w:rFonts w:ascii="David" w:hAnsi="David" w:cs="David"/>
          <w:rtl/>
        </w:rPr>
        <w:t xml:space="preserve"> בחנו את ההשפעה של מיזוגים בענף הבנקאות על הלקוחות של הבנקים המתמזגים והראו שהמניות של חברות </w:t>
      </w:r>
      <w:r w:rsidRPr="009A0045">
        <w:rPr>
          <w:rFonts w:ascii="David" w:hAnsi="David" w:cs="David" w:hint="eastAsia"/>
          <w:rtl/>
        </w:rPr>
        <w:t>אשר</w:t>
      </w:r>
      <w:r w:rsidRPr="009A0045">
        <w:rPr>
          <w:rFonts w:ascii="David" w:hAnsi="David" w:cs="David"/>
          <w:rtl/>
        </w:rPr>
        <w:t xml:space="preserve"> לוו מבנקים שנרכשו</w:t>
      </w:r>
      <w:r>
        <w:rPr>
          <w:rFonts w:ascii="David" w:hAnsi="David" w:cs="David" w:hint="cs"/>
          <w:rtl/>
        </w:rPr>
        <w:t>,</w:t>
      </w:r>
      <w:r w:rsidRPr="009A0045">
        <w:rPr>
          <w:rFonts w:ascii="David" w:hAnsi="David" w:cs="David"/>
          <w:rtl/>
        </w:rPr>
        <w:t xml:space="preserve"> הגיבו </w:t>
      </w:r>
      <w:r w:rsidRPr="009A0045">
        <w:rPr>
          <w:rFonts w:ascii="David" w:hAnsi="David" w:cs="David" w:hint="eastAsia"/>
          <w:rtl/>
        </w:rPr>
        <w:t>על</w:t>
      </w:r>
      <w:r w:rsidRPr="009A0045">
        <w:rPr>
          <w:rFonts w:ascii="David" w:hAnsi="David" w:cs="David"/>
          <w:rtl/>
        </w:rPr>
        <w:t xml:space="preserve"> הודעת הרכישה בשלילה.</w:t>
      </w:r>
    </w:p>
  </w:footnote>
  <w:footnote w:id="23">
    <w:p w:rsidR="00FF690F" w:rsidRPr="00947186" w:rsidRDefault="00FF690F" w:rsidP="00947186">
      <w:pPr>
        <w:bidi/>
        <w:spacing w:after="0" w:line="240" w:lineRule="auto"/>
        <w:jc w:val="both"/>
        <w:rPr>
          <w:rFonts w:ascii="David" w:hAnsi="David" w:cs="David"/>
          <w:sz w:val="20"/>
          <w:szCs w:val="20"/>
          <w:rtl/>
        </w:rPr>
      </w:pPr>
      <w:r>
        <w:rPr>
          <w:rStyle w:val="ac"/>
        </w:rPr>
        <w:footnoteRef/>
      </w:r>
      <w:r>
        <w:t xml:space="preserve"> </w:t>
      </w:r>
      <w:r w:rsidRPr="000461A3">
        <w:rPr>
          <w:rFonts w:ascii="David" w:hAnsi="David" w:cs="David" w:hint="cs"/>
          <w:sz w:val="20"/>
          <w:szCs w:val="20"/>
          <w:rtl/>
        </w:rPr>
        <w:t>מסקנה זו עומדת בעינה גם אם מתייחסים לאירוע החיובי האחד שעליו דיווחה</w:t>
      </w:r>
      <w:r>
        <w:rPr>
          <w:rFonts w:ascii="David" w:hAnsi="David" w:cs="David" w:hint="cs"/>
          <w:sz w:val="20"/>
          <w:szCs w:val="20"/>
          <w:rtl/>
        </w:rPr>
        <w:t xml:space="preserve"> חברת</w:t>
      </w:r>
      <w:r w:rsidRPr="000461A3">
        <w:rPr>
          <w:rFonts w:ascii="David" w:hAnsi="David" w:cs="David" w:hint="cs"/>
          <w:sz w:val="20"/>
          <w:szCs w:val="20"/>
          <w:rtl/>
        </w:rPr>
        <w:t xml:space="preserve"> </w:t>
      </w:r>
      <w:r>
        <w:rPr>
          <w:rFonts w:ascii="David" w:hAnsi="David" w:cs="David" w:hint="cs"/>
          <w:sz w:val="20"/>
          <w:szCs w:val="20"/>
          <w:rtl/>
        </w:rPr>
        <w:t>"</w:t>
      </w:r>
      <w:proofErr w:type="spellStart"/>
      <w:r w:rsidRPr="000461A3">
        <w:rPr>
          <w:rFonts w:ascii="David" w:hAnsi="David" w:cs="David" w:hint="cs"/>
          <w:sz w:val="20"/>
          <w:szCs w:val="20"/>
          <w:rtl/>
        </w:rPr>
        <w:t>יונט</w:t>
      </w:r>
      <w:proofErr w:type="spellEnd"/>
      <w:r>
        <w:rPr>
          <w:rFonts w:ascii="David" w:hAnsi="David" w:cs="David" w:hint="cs"/>
          <w:sz w:val="20"/>
          <w:szCs w:val="20"/>
          <w:rtl/>
        </w:rPr>
        <w:t xml:space="preserve"> קרדיט"</w:t>
      </w:r>
      <w:r w:rsidRPr="000461A3">
        <w:rPr>
          <w:rFonts w:ascii="David" w:hAnsi="David" w:cs="David" w:hint="cs"/>
          <w:sz w:val="20"/>
          <w:szCs w:val="20"/>
          <w:rtl/>
        </w:rPr>
        <w:t xml:space="preserve"> במהלך התקופה. התוצאות עומדות בעינן גם אם בוחנים בנפרד את האירועים שהשפיעו על חברת </w:t>
      </w:r>
      <w:r>
        <w:rPr>
          <w:rFonts w:ascii="David" w:hAnsi="David" w:cs="David" w:hint="cs"/>
          <w:sz w:val="20"/>
          <w:szCs w:val="20"/>
          <w:rtl/>
        </w:rPr>
        <w:t>"</w:t>
      </w:r>
      <w:proofErr w:type="spellStart"/>
      <w:r w:rsidRPr="000461A3">
        <w:rPr>
          <w:rFonts w:ascii="David" w:hAnsi="David" w:cs="David" w:hint="cs"/>
          <w:sz w:val="20"/>
          <w:szCs w:val="20"/>
          <w:rtl/>
        </w:rPr>
        <w:t>יונט</w:t>
      </w:r>
      <w:proofErr w:type="spellEnd"/>
      <w:r>
        <w:rPr>
          <w:rFonts w:ascii="David" w:hAnsi="David" w:cs="David" w:hint="cs"/>
          <w:sz w:val="20"/>
          <w:szCs w:val="20"/>
          <w:rtl/>
        </w:rPr>
        <w:t xml:space="preserve"> קרדיט"</w:t>
      </w:r>
      <w:r w:rsidRPr="000461A3">
        <w:rPr>
          <w:rFonts w:ascii="David" w:hAnsi="David" w:cs="David" w:hint="cs"/>
          <w:sz w:val="20"/>
          <w:szCs w:val="20"/>
          <w:rtl/>
        </w:rPr>
        <w:t xml:space="preserve"> ואת האירועים שהשפיעו על חברת </w:t>
      </w:r>
      <w:r>
        <w:rPr>
          <w:rFonts w:ascii="David" w:hAnsi="David" w:cs="David" w:hint="cs"/>
          <w:sz w:val="20"/>
          <w:szCs w:val="20"/>
          <w:rtl/>
        </w:rPr>
        <w:t>"</w:t>
      </w:r>
      <w:r w:rsidRPr="000461A3">
        <w:rPr>
          <w:rFonts w:ascii="David" w:hAnsi="David" w:cs="David" w:hint="cs"/>
          <w:sz w:val="20"/>
          <w:szCs w:val="20"/>
          <w:rtl/>
        </w:rPr>
        <w:t>גיבוי</w:t>
      </w:r>
      <w:r>
        <w:rPr>
          <w:rFonts w:ascii="David" w:hAnsi="David" w:cs="David" w:hint="cs"/>
          <w:sz w:val="20"/>
          <w:szCs w:val="20"/>
          <w:rtl/>
        </w:rPr>
        <w:t xml:space="preserve"> אחזקות"</w:t>
      </w:r>
      <w:r w:rsidRPr="000461A3">
        <w:rPr>
          <w:rFonts w:ascii="David" w:hAnsi="David" w:cs="David" w:hint="cs"/>
          <w:sz w:val="20"/>
          <w:szCs w:val="20"/>
          <w:rtl/>
        </w:rPr>
        <w:t>. כמו-כן, גם כאשר אנו אומדים רגרסיית פאנל</w:t>
      </w:r>
      <w:r>
        <w:rPr>
          <w:rFonts w:ascii="David" w:hAnsi="David" w:cs="David" w:hint="cs"/>
          <w:sz w:val="20"/>
          <w:szCs w:val="20"/>
          <w:rtl/>
        </w:rPr>
        <w:t>,</w:t>
      </w:r>
      <w:r w:rsidRPr="000461A3">
        <w:rPr>
          <w:rFonts w:ascii="David" w:hAnsi="David" w:cs="David" w:hint="cs"/>
          <w:sz w:val="20"/>
          <w:szCs w:val="20"/>
          <w:rtl/>
        </w:rPr>
        <w:t xml:space="preserve"> שהמשתנה המוסבר בה הוא התשואה של כל חברת אשראי חוץ בנקאי בכל יום, </w:t>
      </w:r>
      <w:r>
        <w:rPr>
          <w:rFonts w:ascii="David" w:hAnsi="David" w:cs="David" w:hint="cs"/>
          <w:sz w:val="20"/>
          <w:szCs w:val="20"/>
          <w:rtl/>
        </w:rPr>
        <w:t xml:space="preserve">אין אנו </w:t>
      </w:r>
      <w:r w:rsidRPr="000461A3">
        <w:rPr>
          <w:rFonts w:ascii="David" w:hAnsi="David" w:cs="David" w:hint="cs"/>
          <w:sz w:val="20"/>
          <w:szCs w:val="20"/>
          <w:rtl/>
        </w:rPr>
        <w:t xml:space="preserve">מוצאים השפעה מובהקת של </w:t>
      </w:r>
      <w:r w:rsidRPr="005D3184">
        <w:rPr>
          <w:rFonts w:ascii="David" w:hAnsi="David" w:cs="David" w:hint="cs"/>
          <w:sz w:val="20"/>
          <w:szCs w:val="20"/>
          <w:rtl/>
        </w:rPr>
        <w:t xml:space="preserve">האירועים </w:t>
      </w:r>
      <w:r w:rsidRPr="00947186">
        <w:rPr>
          <w:rFonts w:ascii="David" w:hAnsi="David" w:cs="David" w:hint="eastAsia"/>
          <w:sz w:val="20"/>
          <w:szCs w:val="20"/>
          <w:rtl/>
        </w:rPr>
        <w:t>בחברות</w:t>
      </w:r>
      <w:r w:rsidRPr="00947186">
        <w:rPr>
          <w:rFonts w:ascii="David" w:hAnsi="David" w:cs="David"/>
          <w:sz w:val="20"/>
          <w:szCs w:val="20"/>
          <w:rtl/>
        </w:rPr>
        <w:t xml:space="preserve"> "גיבוי </w:t>
      </w:r>
      <w:r w:rsidRPr="00947186">
        <w:rPr>
          <w:rFonts w:ascii="David" w:hAnsi="David" w:cs="David" w:hint="eastAsia"/>
          <w:sz w:val="20"/>
          <w:szCs w:val="20"/>
          <w:rtl/>
        </w:rPr>
        <w:t>אחזקות</w:t>
      </w:r>
      <w:r w:rsidRPr="00947186">
        <w:rPr>
          <w:rFonts w:ascii="David" w:hAnsi="David" w:cs="David"/>
          <w:sz w:val="20"/>
          <w:szCs w:val="20"/>
          <w:rtl/>
        </w:rPr>
        <w:t xml:space="preserve">" </w:t>
      </w:r>
      <w:proofErr w:type="spellStart"/>
      <w:r w:rsidRPr="00947186">
        <w:rPr>
          <w:rFonts w:ascii="David" w:hAnsi="David" w:cs="David" w:hint="eastAsia"/>
          <w:sz w:val="20"/>
          <w:szCs w:val="20"/>
          <w:rtl/>
        </w:rPr>
        <w:t>ו</w:t>
      </w:r>
      <w:r w:rsidRPr="00947186">
        <w:rPr>
          <w:rFonts w:ascii="David" w:hAnsi="David" w:cs="David"/>
          <w:sz w:val="20"/>
          <w:szCs w:val="20"/>
          <w:rtl/>
        </w:rPr>
        <w:t>"יונט</w:t>
      </w:r>
      <w:proofErr w:type="spellEnd"/>
      <w:r w:rsidRPr="00947186">
        <w:rPr>
          <w:rFonts w:ascii="David" w:hAnsi="David" w:cs="David"/>
          <w:sz w:val="20"/>
          <w:szCs w:val="20"/>
          <w:rtl/>
        </w:rPr>
        <w:t xml:space="preserve"> </w:t>
      </w:r>
      <w:r w:rsidRPr="00947186">
        <w:rPr>
          <w:rFonts w:ascii="David" w:hAnsi="David" w:cs="David" w:hint="eastAsia"/>
          <w:sz w:val="20"/>
          <w:szCs w:val="20"/>
          <w:rtl/>
        </w:rPr>
        <w:t>קרדיט</w:t>
      </w:r>
      <w:r w:rsidRPr="00947186">
        <w:rPr>
          <w:rFonts w:ascii="David" w:hAnsi="David" w:cs="David"/>
          <w:sz w:val="20"/>
          <w:szCs w:val="20"/>
          <w:rtl/>
        </w:rPr>
        <w:t xml:space="preserve">" </w:t>
      </w:r>
      <w:r w:rsidRPr="005D3184">
        <w:rPr>
          <w:rFonts w:ascii="David" w:hAnsi="David" w:cs="David" w:hint="cs"/>
          <w:sz w:val="20"/>
          <w:szCs w:val="20"/>
          <w:rtl/>
        </w:rPr>
        <w:t>על החברות המתחרות.</w:t>
      </w:r>
    </w:p>
  </w:footnote>
  <w:footnote w:id="24">
    <w:p w:rsidR="00FF690F" w:rsidRPr="00947186" w:rsidRDefault="00FF690F" w:rsidP="0047206F">
      <w:pPr>
        <w:pStyle w:val="a9"/>
        <w:bidi/>
        <w:rPr>
          <w:rFonts w:ascii="David" w:hAnsi="David" w:cs="David"/>
          <w:rtl/>
        </w:rPr>
      </w:pPr>
      <w:r w:rsidRPr="00947186">
        <w:rPr>
          <w:rStyle w:val="ac"/>
          <w:rFonts w:ascii="David" w:hAnsi="David" w:cs="David"/>
        </w:rPr>
        <w:footnoteRef/>
      </w:r>
      <w:r w:rsidRPr="00947186">
        <w:rPr>
          <w:rFonts w:ascii="David" w:hAnsi="David" w:cs="David"/>
        </w:rPr>
        <w:t xml:space="preserve"> </w:t>
      </w:r>
      <w:r w:rsidRPr="00947186">
        <w:rPr>
          <w:rFonts w:ascii="David" w:hAnsi="David" w:cs="David"/>
          <w:rtl/>
        </w:rPr>
        <w:t xml:space="preserve"> </w:t>
      </w:r>
      <w:r w:rsidRPr="00947186">
        <w:rPr>
          <w:rFonts w:ascii="David" w:hAnsi="David" w:cs="David" w:hint="eastAsia"/>
          <w:rtl/>
        </w:rPr>
        <w:t>אמידה</w:t>
      </w:r>
      <w:r w:rsidRPr="00947186">
        <w:rPr>
          <w:rFonts w:ascii="David" w:hAnsi="David" w:cs="David"/>
          <w:rtl/>
        </w:rPr>
        <w:t xml:space="preserve"> </w:t>
      </w:r>
      <w:r w:rsidRPr="00947186">
        <w:rPr>
          <w:rFonts w:ascii="David" w:hAnsi="David" w:cs="David" w:hint="eastAsia"/>
          <w:rtl/>
        </w:rPr>
        <w:t>בנפרד</w:t>
      </w:r>
      <w:r w:rsidRPr="00947186">
        <w:rPr>
          <w:rFonts w:ascii="David" w:hAnsi="David" w:cs="David"/>
          <w:rtl/>
        </w:rPr>
        <w:t xml:space="preserve"> </w:t>
      </w:r>
      <w:r w:rsidRPr="00947186">
        <w:rPr>
          <w:rFonts w:ascii="David" w:hAnsi="David" w:cs="David" w:hint="eastAsia"/>
          <w:rtl/>
        </w:rPr>
        <w:t>של</w:t>
      </w:r>
      <w:r w:rsidRPr="00947186">
        <w:rPr>
          <w:rFonts w:ascii="David" w:hAnsi="David" w:cs="David"/>
          <w:rtl/>
        </w:rPr>
        <w:t xml:space="preserve"> </w:t>
      </w:r>
      <w:r w:rsidRPr="00947186">
        <w:rPr>
          <w:rFonts w:ascii="David" w:hAnsi="David" w:cs="David" w:hint="eastAsia"/>
          <w:rtl/>
        </w:rPr>
        <w:t>השפעת</w:t>
      </w:r>
      <w:r>
        <w:rPr>
          <w:rFonts w:ascii="David" w:hAnsi="David" w:cs="David" w:hint="cs"/>
          <w:rtl/>
        </w:rPr>
        <w:t>ם של</w:t>
      </w:r>
      <w:r w:rsidRPr="00947186">
        <w:rPr>
          <w:rFonts w:ascii="David" w:hAnsi="David" w:cs="David"/>
          <w:rtl/>
        </w:rPr>
        <w:t xml:space="preserve"> האירועים על החברות המתחרות הקטנות ועל החברות המתחרות הגדולות מובילה לתוצאות דומות מבחינה איכותית וכמותית לשימוש בממוצע פשוט ובממוצע משוקלל בהתאמה.</w:t>
      </w:r>
    </w:p>
  </w:footnote>
  <w:footnote w:id="25">
    <w:p w:rsidR="000D788C" w:rsidRDefault="000D788C" w:rsidP="005805EF">
      <w:pPr>
        <w:pStyle w:val="a9"/>
        <w:bidi/>
        <w:rPr>
          <w:rtl/>
        </w:rPr>
      </w:pPr>
      <w:r>
        <w:rPr>
          <w:rStyle w:val="ac"/>
        </w:rPr>
        <w:footnoteRef/>
      </w:r>
      <w:r>
        <w:t xml:space="preserve"> </w:t>
      </w:r>
      <w:r w:rsidRPr="00DF6F49">
        <w:rPr>
          <w:rFonts w:ascii="David" w:hAnsi="David" w:cs="David"/>
          <w:rtl/>
        </w:rPr>
        <w:t xml:space="preserve">כפי </w:t>
      </w:r>
      <w:r w:rsidR="005805EF" w:rsidRPr="00DF6F49">
        <w:rPr>
          <w:rFonts w:ascii="David" w:hAnsi="David" w:cs="David"/>
          <w:rtl/>
        </w:rPr>
        <w:t>שמפורט</w:t>
      </w:r>
      <w:r w:rsidRPr="00DF6F49">
        <w:rPr>
          <w:rFonts w:ascii="David" w:hAnsi="David" w:cs="David"/>
          <w:rtl/>
        </w:rPr>
        <w:t xml:space="preserve"> בקישורים להודעות בתחילת הניתוח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B62" w:rsidRDefault="00460B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A9C" w:rsidRDefault="00634A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B62" w:rsidRDefault="00460B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2CF2"/>
    <w:multiLevelType w:val="multilevel"/>
    <w:tmpl w:val="9084A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14AA64F4"/>
    <w:multiLevelType w:val="hybridMultilevel"/>
    <w:tmpl w:val="C44C3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F5B71"/>
    <w:multiLevelType w:val="hybridMultilevel"/>
    <w:tmpl w:val="3B22E360"/>
    <w:lvl w:ilvl="0" w:tplc="B630BEB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8F35F1"/>
    <w:multiLevelType w:val="multilevel"/>
    <w:tmpl w:val="9084A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4" w15:restartNumberingAfterBreak="0">
    <w:nsid w:val="38FD7BBA"/>
    <w:multiLevelType w:val="hybridMultilevel"/>
    <w:tmpl w:val="88188878"/>
    <w:lvl w:ilvl="0" w:tplc="54E2C25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3045A"/>
    <w:multiLevelType w:val="multilevel"/>
    <w:tmpl w:val="9084A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6" w15:restartNumberingAfterBreak="0">
    <w:nsid w:val="64637AB9"/>
    <w:multiLevelType w:val="hybridMultilevel"/>
    <w:tmpl w:val="3288E06C"/>
    <w:lvl w:ilvl="0" w:tplc="410024FE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471D5"/>
    <w:multiLevelType w:val="hybridMultilevel"/>
    <w:tmpl w:val="8B1AD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A48BC"/>
    <w:multiLevelType w:val="hybridMultilevel"/>
    <w:tmpl w:val="5BFAF168"/>
    <w:lvl w:ilvl="0" w:tplc="B4A4997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B5715"/>
    <w:multiLevelType w:val="multilevel"/>
    <w:tmpl w:val="9084A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98"/>
    <w:rsid w:val="00000B74"/>
    <w:rsid w:val="000109C7"/>
    <w:rsid w:val="000113B3"/>
    <w:rsid w:val="00012C84"/>
    <w:rsid w:val="00012DA4"/>
    <w:rsid w:val="000139DE"/>
    <w:rsid w:val="00013CB5"/>
    <w:rsid w:val="00015490"/>
    <w:rsid w:val="00015F1A"/>
    <w:rsid w:val="00016642"/>
    <w:rsid w:val="000200B6"/>
    <w:rsid w:val="00024E59"/>
    <w:rsid w:val="00027A44"/>
    <w:rsid w:val="000355C8"/>
    <w:rsid w:val="00035793"/>
    <w:rsid w:val="000364B8"/>
    <w:rsid w:val="00041026"/>
    <w:rsid w:val="00041E53"/>
    <w:rsid w:val="00043CC6"/>
    <w:rsid w:val="00045CE5"/>
    <w:rsid w:val="000461A3"/>
    <w:rsid w:val="00046B18"/>
    <w:rsid w:val="000510FB"/>
    <w:rsid w:val="000526DB"/>
    <w:rsid w:val="000534EC"/>
    <w:rsid w:val="0005587C"/>
    <w:rsid w:val="0005698C"/>
    <w:rsid w:val="000571FF"/>
    <w:rsid w:val="00057556"/>
    <w:rsid w:val="00060245"/>
    <w:rsid w:val="0006181B"/>
    <w:rsid w:val="00061B09"/>
    <w:rsid w:val="00061B45"/>
    <w:rsid w:val="00061E7F"/>
    <w:rsid w:val="00062CF5"/>
    <w:rsid w:val="00064A97"/>
    <w:rsid w:val="00065064"/>
    <w:rsid w:val="00065E33"/>
    <w:rsid w:val="00067AA9"/>
    <w:rsid w:val="00067DC6"/>
    <w:rsid w:val="00070884"/>
    <w:rsid w:val="00070F0B"/>
    <w:rsid w:val="00075C5C"/>
    <w:rsid w:val="000776DC"/>
    <w:rsid w:val="00082D2B"/>
    <w:rsid w:val="0008506F"/>
    <w:rsid w:val="000861D8"/>
    <w:rsid w:val="000870A7"/>
    <w:rsid w:val="0008740E"/>
    <w:rsid w:val="00087DCB"/>
    <w:rsid w:val="00091925"/>
    <w:rsid w:val="00094397"/>
    <w:rsid w:val="000970DF"/>
    <w:rsid w:val="000A1060"/>
    <w:rsid w:val="000A21EF"/>
    <w:rsid w:val="000A2379"/>
    <w:rsid w:val="000A2E4A"/>
    <w:rsid w:val="000A446F"/>
    <w:rsid w:val="000B1227"/>
    <w:rsid w:val="000B1729"/>
    <w:rsid w:val="000B288B"/>
    <w:rsid w:val="000B4473"/>
    <w:rsid w:val="000C0214"/>
    <w:rsid w:val="000C051E"/>
    <w:rsid w:val="000C3126"/>
    <w:rsid w:val="000C37BB"/>
    <w:rsid w:val="000C5432"/>
    <w:rsid w:val="000C62D7"/>
    <w:rsid w:val="000D1397"/>
    <w:rsid w:val="000D4A1A"/>
    <w:rsid w:val="000D75C3"/>
    <w:rsid w:val="000D77E9"/>
    <w:rsid w:val="000D788C"/>
    <w:rsid w:val="000E13DF"/>
    <w:rsid w:val="000E6E83"/>
    <w:rsid w:val="000E79F0"/>
    <w:rsid w:val="000F140D"/>
    <w:rsid w:val="000F38E0"/>
    <w:rsid w:val="000F4F38"/>
    <w:rsid w:val="000F68B2"/>
    <w:rsid w:val="000F78D7"/>
    <w:rsid w:val="001006F1"/>
    <w:rsid w:val="001205F9"/>
    <w:rsid w:val="00122069"/>
    <w:rsid w:val="00122E0C"/>
    <w:rsid w:val="00126260"/>
    <w:rsid w:val="00130491"/>
    <w:rsid w:val="00130ACB"/>
    <w:rsid w:val="00131FDD"/>
    <w:rsid w:val="0013352C"/>
    <w:rsid w:val="00134EE0"/>
    <w:rsid w:val="00142776"/>
    <w:rsid w:val="0014298A"/>
    <w:rsid w:val="00144501"/>
    <w:rsid w:val="00144C5F"/>
    <w:rsid w:val="001509F2"/>
    <w:rsid w:val="0015265C"/>
    <w:rsid w:val="001526E2"/>
    <w:rsid w:val="00157EDE"/>
    <w:rsid w:val="00161BA3"/>
    <w:rsid w:val="00163739"/>
    <w:rsid w:val="00165265"/>
    <w:rsid w:val="00165C71"/>
    <w:rsid w:val="00167C9C"/>
    <w:rsid w:val="00173075"/>
    <w:rsid w:val="001736D9"/>
    <w:rsid w:val="0018431C"/>
    <w:rsid w:val="001848BD"/>
    <w:rsid w:val="0018625E"/>
    <w:rsid w:val="00186562"/>
    <w:rsid w:val="001873EE"/>
    <w:rsid w:val="00193002"/>
    <w:rsid w:val="001932FB"/>
    <w:rsid w:val="00193AC4"/>
    <w:rsid w:val="00193D97"/>
    <w:rsid w:val="00194C50"/>
    <w:rsid w:val="00195448"/>
    <w:rsid w:val="001977DA"/>
    <w:rsid w:val="00197F2B"/>
    <w:rsid w:val="001A07D5"/>
    <w:rsid w:val="001A0C8D"/>
    <w:rsid w:val="001A1115"/>
    <w:rsid w:val="001A1D31"/>
    <w:rsid w:val="001A2046"/>
    <w:rsid w:val="001A26EB"/>
    <w:rsid w:val="001A55EB"/>
    <w:rsid w:val="001A5CA6"/>
    <w:rsid w:val="001A774F"/>
    <w:rsid w:val="001B005B"/>
    <w:rsid w:val="001B254B"/>
    <w:rsid w:val="001B42B0"/>
    <w:rsid w:val="001B5DE5"/>
    <w:rsid w:val="001B5E93"/>
    <w:rsid w:val="001B6941"/>
    <w:rsid w:val="001B6E79"/>
    <w:rsid w:val="001B756F"/>
    <w:rsid w:val="001C1E5D"/>
    <w:rsid w:val="001C27C3"/>
    <w:rsid w:val="001C5217"/>
    <w:rsid w:val="001C793B"/>
    <w:rsid w:val="001D04C3"/>
    <w:rsid w:val="001D0706"/>
    <w:rsid w:val="001D578F"/>
    <w:rsid w:val="001D6311"/>
    <w:rsid w:val="001D6D0A"/>
    <w:rsid w:val="001E0EC7"/>
    <w:rsid w:val="001E3FBB"/>
    <w:rsid w:val="001E463E"/>
    <w:rsid w:val="001E574D"/>
    <w:rsid w:val="001F25AA"/>
    <w:rsid w:val="001F3CAB"/>
    <w:rsid w:val="001F45AA"/>
    <w:rsid w:val="001F6A2A"/>
    <w:rsid w:val="001F6AF1"/>
    <w:rsid w:val="001F7193"/>
    <w:rsid w:val="00200163"/>
    <w:rsid w:val="00200A2A"/>
    <w:rsid w:val="00204C6F"/>
    <w:rsid w:val="00205DC9"/>
    <w:rsid w:val="002103E2"/>
    <w:rsid w:val="00210717"/>
    <w:rsid w:val="002121AE"/>
    <w:rsid w:val="00215E36"/>
    <w:rsid w:val="00217898"/>
    <w:rsid w:val="002209E7"/>
    <w:rsid w:val="00221678"/>
    <w:rsid w:val="00222A91"/>
    <w:rsid w:val="00223FF2"/>
    <w:rsid w:val="00224345"/>
    <w:rsid w:val="002243E8"/>
    <w:rsid w:val="0022461B"/>
    <w:rsid w:val="0022757C"/>
    <w:rsid w:val="00230D06"/>
    <w:rsid w:val="002337F6"/>
    <w:rsid w:val="00235B7F"/>
    <w:rsid w:val="00236673"/>
    <w:rsid w:val="00241979"/>
    <w:rsid w:val="002434EE"/>
    <w:rsid w:val="0024365F"/>
    <w:rsid w:val="00244F62"/>
    <w:rsid w:val="0024500F"/>
    <w:rsid w:val="00246169"/>
    <w:rsid w:val="0024694D"/>
    <w:rsid w:val="00247387"/>
    <w:rsid w:val="00247DF7"/>
    <w:rsid w:val="0025003E"/>
    <w:rsid w:val="00251F70"/>
    <w:rsid w:val="0025349E"/>
    <w:rsid w:val="00253F36"/>
    <w:rsid w:val="002546E5"/>
    <w:rsid w:val="00256959"/>
    <w:rsid w:val="0026008A"/>
    <w:rsid w:val="00261025"/>
    <w:rsid w:val="00263AE8"/>
    <w:rsid w:val="00271012"/>
    <w:rsid w:val="002712D3"/>
    <w:rsid w:val="00272D19"/>
    <w:rsid w:val="002732D4"/>
    <w:rsid w:val="00273F74"/>
    <w:rsid w:val="0027480B"/>
    <w:rsid w:val="00277553"/>
    <w:rsid w:val="00280A60"/>
    <w:rsid w:val="002811F7"/>
    <w:rsid w:val="00281B89"/>
    <w:rsid w:val="00282610"/>
    <w:rsid w:val="0028454D"/>
    <w:rsid w:val="0028652B"/>
    <w:rsid w:val="002874FF"/>
    <w:rsid w:val="00290684"/>
    <w:rsid w:val="002908B8"/>
    <w:rsid w:val="0029134F"/>
    <w:rsid w:val="00291738"/>
    <w:rsid w:val="002961BA"/>
    <w:rsid w:val="0029696B"/>
    <w:rsid w:val="002A4289"/>
    <w:rsid w:val="002A49DC"/>
    <w:rsid w:val="002A4B82"/>
    <w:rsid w:val="002A6E33"/>
    <w:rsid w:val="002A7013"/>
    <w:rsid w:val="002B02BB"/>
    <w:rsid w:val="002B37F8"/>
    <w:rsid w:val="002B3B21"/>
    <w:rsid w:val="002B4CAA"/>
    <w:rsid w:val="002B65E5"/>
    <w:rsid w:val="002B74A0"/>
    <w:rsid w:val="002B7B83"/>
    <w:rsid w:val="002C2266"/>
    <w:rsid w:val="002C35E9"/>
    <w:rsid w:val="002C7A0E"/>
    <w:rsid w:val="002D1E4F"/>
    <w:rsid w:val="002D3BB7"/>
    <w:rsid w:val="002D4982"/>
    <w:rsid w:val="002D61CD"/>
    <w:rsid w:val="002D769E"/>
    <w:rsid w:val="002D77CB"/>
    <w:rsid w:val="002E5C1D"/>
    <w:rsid w:val="002E637F"/>
    <w:rsid w:val="002E6D28"/>
    <w:rsid w:val="002F0B48"/>
    <w:rsid w:val="002F0EE4"/>
    <w:rsid w:val="002F2649"/>
    <w:rsid w:val="002F2957"/>
    <w:rsid w:val="002F7707"/>
    <w:rsid w:val="00301FC2"/>
    <w:rsid w:val="003021F9"/>
    <w:rsid w:val="00302B5E"/>
    <w:rsid w:val="0030432E"/>
    <w:rsid w:val="00305205"/>
    <w:rsid w:val="00310145"/>
    <w:rsid w:val="0031052D"/>
    <w:rsid w:val="00312614"/>
    <w:rsid w:val="00313252"/>
    <w:rsid w:val="00314D4D"/>
    <w:rsid w:val="0031512E"/>
    <w:rsid w:val="0031559B"/>
    <w:rsid w:val="003168FC"/>
    <w:rsid w:val="00316A33"/>
    <w:rsid w:val="0031764A"/>
    <w:rsid w:val="00320B2B"/>
    <w:rsid w:val="003257D6"/>
    <w:rsid w:val="00335CDF"/>
    <w:rsid w:val="00335D90"/>
    <w:rsid w:val="00336B0E"/>
    <w:rsid w:val="003408E1"/>
    <w:rsid w:val="00341F7F"/>
    <w:rsid w:val="003427A7"/>
    <w:rsid w:val="00342ECB"/>
    <w:rsid w:val="003450A1"/>
    <w:rsid w:val="00350219"/>
    <w:rsid w:val="0035040C"/>
    <w:rsid w:val="00352F57"/>
    <w:rsid w:val="00353AA5"/>
    <w:rsid w:val="0035620F"/>
    <w:rsid w:val="00356D5E"/>
    <w:rsid w:val="00357E62"/>
    <w:rsid w:val="0037329C"/>
    <w:rsid w:val="00375350"/>
    <w:rsid w:val="00375A1B"/>
    <w:rsid w:val="003775BA"/>
    <w:rsid w:val="003777CB"/>
    <w:rsid w:val="00380E98"/>
    <w:rsid w:val="00381232"/>
    <w:rsid w:val="00381374"/>
    <w:rsid w:val="00381CEC"/>
    <w:rsid w:val="00381E4A"/>
    <w:rsid w:val="00383F01"/>
    <w:rsid w:val="00383F60"/>
    <w:rsid w:val="00384F98"/>
    <w:rsid w:val="00386110"/>
    <w:rsid w:val="00395676"/>
    <w:rsid w:val="00397ACA"/>
    <w:rsid w:val="003A0A0E"/>
    <w:rsid w:val="003A0F4C"/>
    <w:rsid w:val="003A1B23"/>
    <w:rsid w:val="003A24C8"/>
    <w:rsid w:val="003A5706"/>
    <w:rsid w:val="003A6011"/>
    <w:rsid w:val="003A74A4"/>
    <w:rsid w:val="003B1499"/>
    <w:rsid w:val="003B22AB"/>
    <w:rsid w:val="003B415A"/>
    <w:rsid w:val="003B7EF1"/>
    <w:rsid w:val="003C1E4F"/>
    <w:rsid w:val="003C2A3F"/>
    <w:rsid w:val="003D1467"/>
    <w:rsid w:val="003D1FE4"/>
    <w:rsid w:val="003D22CC"/>
    <w:rsid w:val="003D350F"/>
    <w:rsid w:val="003D5A5D"/>
    <w:rsid w:val="003D63D5"/>
    <w:rsid w:val="003D67D4"/>
    <w:rsid w:val="003D6FE6"/>
    <w:rsid w:val="003D75D8"/>
    <w:rsid w:val="003D76F3"/>
    <w:rsid w:val="003D7C11"/>
    <w:rsid w:val="003E1397"/>
    <w:rsid w:val="003E265F"/>
    <w:rsid w:val="003E37E1"/>
    <w:rsid w:val="003E3F33"/>
    <w:rsid w:val="003E589A"/>
    <w:rsid w:val="003E58DC"/>
    <w:rsid w:val="003E5A95"/>
    <w:rsid w:val="003E68BA"/>
    <w:rsid w:val="003F08F0"/>
    <w:rsid w:val="003F10D3"/>
    <w:rsid w:val="003F155A"/>
    <w:rsid w:val="003F4FAB"/>
    <w:rsid w:val="003F5B78"/>
    <w:rsid w:val="003F5EB8"/>
    <w:rsid w:val="00400E5A"/>
    <w:rsid w:val="00403322"/>
    <w:rsid w:val="00403AA1"/>
    <w:rsid w:val="00407762"/>
    <w:rsid w:val="00407D54"/>
    <w:rsid w:val="004116DE"/>
    <w:rsid w:val="004158FA"/>
    <w:rsid w:val="0041613F"/>
    <w:rsid w:val="00416915"/>
    <w:rsid w:val="00421A47"/>
    <w:rsid w:val="0042515D"/>
    <w:rsid w:val="00427551"/>
    <w:rsid w:val="0042783A"/>
    <w:rsid w:val="00430B91"/>
    <w:rsid w:val="00431472"/>
    <w:rsid w:val="00432180"/>
    <w:rsid w:val="00432674"/>
    <w:rsid w:val="004346E8"/>
    <w:rsid w:val="00434D57"/>
    <w:rsid w:val="004373F1"/>
    <w:rsid w:val="004436D1"/>
    <w:rsid w:val="00446630"/>
    <w:rsid w:val="00450482"/>
    <w:rsid w:val="004567C5"/>
    <w:rsid w:val="00456AE2"/>
    <w:rsid w:val="00460B62"/>
    <w:rsid w:val="0046210B"/>
    <w:rsid w:val="0046337C"/>
    <w:rsid w:val="0046383B"/>
    <w:rsid w:val="00466C80"/>
    <w:rsid w:val="00467FE8"/>
    <w:rsid w:val="0047152C"/>
    <w:rsid w:val="0047206F"/>
    <w:rsid w:val="00473263"/>
    <w:rsid w:val="00473B8D"/>
    <w:rsid w:val="00474235"/>
    <w:rsid w:val="00475CA2"/>
    <w:rsid w:val="0047625F"/>
    <w:rsid w:val="00476584"/>
    <w:rsid w:val="004766B7"/>
    <w:rsid w:val="00483165"/>
    <w:rsid w:val="00483E49"/>
    <w:rsid w:val="00490274"/>
    <w:rsid w:val="0049311B"/>
    <w:rsid w:val="004938EC"/>
    <w:rsid w:val="00495B6C"/>
    <w:rsid w:val="00496F1A"/>
    <w:rsid w:val="004A403C"/>
    <w:rsid w:val="004A53AF"/>
    <w:rsid w:val="004A5F7F"/>
    <w:rsid w:val="004A60A6"/>
    <w:rsid w:val="004A6B2A"/>
    <w:rsid w:val="004A7396"/>
    <w:rsid w:val="004B028A"/>
    <w:rsid w:val="004B4834"/>
    <w:rsid w:val="004C38C8"/>
    <w:rsid w:val="004C3F53"/>
    <w:rsid w:val="004C5DE2"/>
    <w:rsid w:val="004C5E01"/>
    <w:rsid w:val="004D02C7"/>
    <w:rsid w:val="004D08A1"/>
    <w:rsid w:val="004D0B59"/>
    <w:rsid w:val="004D38A3"/>
    <w:rsid w:val="004D4077"/>
    <w:rsid w:val="004D58BA"/>
    <w:rsid w:val="004E130C"/>
    <w:rsid w:val="004E1D3D"/>
    <w:rsid w:val="004E2A2A"/>
    <w:rsid w:val="004E402B"/>
    <w:rsid w:val="004E51AF"/>
    <w:rsid w:val="004F0BD5"/>
    <w:rsid w:val="004F17FD"/>
    <w:rsid w:val="004F27E1"/>
    <w:rsid w:val="004F5AEF"/>
    <w:rsid w:val="004F7247"/>
    <w:rsid w:val="004F7310"/>
    <w:rsid w:val="004F767A"/>
    <w:rsid w:val="005004F5"/>
    <w:rsid w:val="005038A0"/>
    <w:rsid w:val="00504620"/>
    <w:rsid w:val="0050483B"/>
    <w:rsid w:val="00504BC0"/>
    <w:rsid w:val="0050699D"/>
    <w:rsid w:val="00507196"/>
    <w:rsid w:val="005077BD"/>
    <w:rsid w:val="00511778"/>
    <w:rsid w:val="00512BC2"/>
    <w:rsid w:val="005148AB"/>
    <w:rsid w:val="0052168D"/>
    <w:rsid w:val="00521CD3"/>
    <w:rsid w:val="0052279C"/>
    <w:rsid w:val="005227EB"/>
    <w:rsid w:val="0052449E"/>
    <w:rsid w:val="00524A87"/>
    <w:rsid w:val="00525B58"/>
    <w:rsid w:val="00525E27"/>
    <w:rsid w:val="00534EBE"/>
    <w:rsid w:val="00535ACF"/>
    <w:rsid w:val="005360CA"/>
    <w:rsid w:val="00541479"/>
    <w:rsid w:val="00541ABC"/>
    <w:rsid w:val="005425AF"/>
    <w:rsid w:val="005432C7"/>
    <w:rsid w:val="00546081"/>
    <w:rsid w:val="005461CD"/>
    <w:rsid w:val="00551868"/>
    <w:rsid w:val="00552095"/>
    <w:rsid w:val="00552F22"/>
    <w:rsid w:val="00553643"/>
    <w:rsid w:val="0056064A"/>
    <w:rsid w:val="005609A1"/>
    <w:rsid w:val="005649E0"/>
    <w:rsid w:val="005652E6"/>
    <w:rsid w:val="005664C0"/>
    <w:rsid w:val="00567660"/>
    <w:rsid w:val="0057018C"/>
    <w:rsid w:val="00570C27"/>
    <w:rsid w:val="0057189F"/>
    <w:rsid w:val="005763D9"/>
    <w:rsid w:val="00577186"/>
    <w:rsid w:val="005805EF"/>
    <w:rsid w:val="00583A23"/>
    <w:rsid w:val="00584F66"/>
    <w:rsid w:val="00590564"/>
    <w:rsid w:val="00591BA2"/>
    <w:rsid w:val="005929F0"/>
    <w:rsid w:val="00592ABB"/>
    <w:rsid w:val="005969B8"/>
    <w:rsid w:val="00596B33"/>
    <w:rsid w:val="00597D48"/>
    <w:rsid w:val="005A7A9F"/>
    <w:rsid w:val="005B13FE"/>
    <w:rsid w:val="005B18B6"/>
    <w:rsid w:val="005B1A45"/>
    <w:rsid w:val="005B7E52"/>
    <w:rsid w:val="005C12E2"/>
    <w:rsid w:val="005C6713"/>
    <w:rsid w:val="005C6AD8"/>
    <w:rsid w:val="005C7AAA"/>
    <w:rsid w:val="005D1570"/>
    <w:rsid w:val="005D1B53"/>
    <w:rsid w:val="005D3184"/>
    <w:rsid w:val="005D5BBF"/>
    <w:rsid w:val="005E417A"/>
    <w:rsid w:val="005E430B"/>
    <w:rsid w:val="005E4C6E"/>
    <w:rsid w:val="005F14AC"/>
    <w:rsid w:val="005F5674"/>
    <w:rsid w:val="005F6A7C"/>
    <w:rsid w:val="005F7271"/>
    <w:rsid w:val="005F7515"/>
    <w:rsid w:val="00602406"/>
    <w:rsid w:val="00603BEB"/>
    <w:rsid w:val="00605D61"/>
    <w:rsid w:val="00605F51"/>
    <w:rsid w:val="00612CB9"/>
    <w:rsid w:val="00613C06"/>
    <w:rsid w:val="00616418"/>
    <w:rsid w:val="00616CE1"/>
    <w:rsid w:val="00621568"/>
    <w:rsid w:val="0062285C"/>
    <w:rsid w:val="00622A62"/>
    <w:rsid w:val="006252A2"/>
    <w:rsid w:val="00625344"/>
    <w:rsid w:val="00625B84"/>
    <w:rsid w:val="00626E0C"/>
    <w:rsid w:val="0063206B"/>
    <w:rsid w:val="006349C9"/>
    <w:rsid w:val="00634A9C"/>
    <w:rsid w:val="006357D1"/>
    <w:rsid w:val="00635CDE"/>
    <w:rsid w:val="006362A9"/>
    <w:rsid w:val="00636753"/>
    <w:rsid w:val="0063705C"/>
    <w:rsid w:val="00637BCF"/>
    <w:rsid w:val="0064095B"/>
    <w:rsid w:val="00642EE7"/>
    <w:rsid w:val="00643C46"/>
    <w:rsid w:val="00644D62"/>
    <w:rsid w:val="00644FDF"/>
    <w:rsid w:val="00646BB6"/>
    <w:rsid w:val="00650D27"/>
    <w:rsid w:val="00650ECB"/>
    <w:rsid w:val="0065180A"/>
    <w:rsid w:val="00652C8A"/>
    <w:rsid w:val="00652CF9"/>
    <w:rsid w:val="00654033"/>
    <w:rsid w:val="006555FA"/>
    <w:rsid w:val="00660CE8"/>
    <w:rsid w:val="006616F4"/>
    <w:rsid w:val="00662822"/>
    <w:rsid w:val="00663055"/>
    <w:rsid w:val="0066412D"/>
    <w:rsid w:val="00666B85"/>
    <w:rsid w:val="00672B17"/>
    <w:rsid w:val="00673539"/>
    <w:rsid w:val="006754C1"/>
    <w:rsid w:val="00676263"/>
    <w:rsid w:val="006768A7"/>
    <w:rsid w:val="00683309"/>
    <w:rsid w:val="00683648"/>
    <w:rsid w:val="006838AA"/>
    <w:rsid w:val="006860F5"/>
    <w:rsid w:val="0068627E"/>
    <w:rsid w:val="00687EC8"/>
    <w:rsid w:val="0069002F"/>
    <w:rsid w:val="0069126B"/>
    <w:rsid w:val="00691ACC"/>
    <w:rsid w:val="00694177"/>
    <w:rsid w:val="006A0561"/>
    <w:rsid w:val="006A0833"/>
    <w:rsid w:val="006A284D"/>
    <w:rsid w:val="006A62DF"/>
    <w:rsid w:val="006B0023"/>
    <w:rsid w:val="006B3AEB"/>
    <w:rsid w:val="006B71B9"/>
    <w:rsid w:val="006B75CC"/>
    <w:rsid w:val="006C033E"/>
    <w:rsid w:val="006C0B8D"/>
    <w:rsid w:val="006C1971"/>
    <w:rsid w:val="006C2288"/>
    <w:rsid w:val="006C2D1F"/>
    <w:rsid w:val="006C472F"/>
    <w:rsid w:val="006C503E"/>
    <w:rsid w:val="006C58C6"/>
    <w:rsid w:val="006C6512"/>
    <w:rsid w:val="006D3C66"/>
    <w:rsid w:val="006D798B"/>
    <w:rsid w:val="006E063D"/>
    <w:rsid w:val="006E24E8"/>
    <w:rsid w:val="006E4503"/>
    <w:rsid w:val="006E6267"/>
    <w:rsid w:val="006F0844"/>
    <w:rsid w:val="006F0CE7"/>
    <w:rsid w:val="006F57CB"/>
    <w:rsid w:val="006F5FEC"/>
    <w:rsid w:val="006F692E"/>
    <w:rsid w:val="006F6D70"/>
    <w:rsid w:val="00700CB2"/>
    <w:rsid w:val="00702A1D"/>
    <w:rsid w:val="00702BF5"/>
    <w:rsid w:val="00702D03"/>
    <w:rsid w:val="0070332C"/>
    <w:rsid w:val="00704E5A"/>
    <w:rsid w:val="00704E68"/>
    <w:rsid w:val="00705D20"/>
    <w:rsid w:val="00706CC2"/>
    <w:rsid w:val="007101C2"/>
    <w:rsid w:val="007128FA"/>
    <w:rsid w:val="00712B51"/>
    <w:rsid w:val="00713B3F"/>
    <w:rsid w:val="00714108"/>
    <w:rsid w:val="00717B17"/>
    <w:rsid w:val="0072171C"/>
    <w:rsid w:val="007234A6"/>
    <w:rsid w:val="0072393E"/>
    <w:rsid w:val="007243B3"/>
    <w:rsid w:val="007245C7"/>
    <w:rsid w:val="00724E46"/>
    <w:rsid w:val="00727915"/>
    <w:rsid w:val="0073021D"/>
    <w:rsid w:val="00730DA8"/>
    <w:rsid w:val="00735BE3"/>
    <w:rsid w:val="00736268"/>
    <w:rsid w:val="00737342"/>
    <w:rsid w:val="0073751A"/>
    <w:rsid w:val="00740581"/>
    <w:rsid w:val="00741777"/>
    <w:rsid w:val="00742FDA"/>
    <w:rsid w:val="00743803"/>
    <w:rsid w:val="00744C0B"/>
    <w:rsid w:val="00745150"/>
    <w:rsid w:val="00745243"/>
    <w:rsid w:val="00746C87"/>
    <w:rsid w:val="00747BED"/>
    <w:rsid w:val="00754846"/>
    <w:rsid w:val="00755811"/>
    <w:rsid w:val="00756F6A"/>
    <w:rsid w:val="0076218F"/>
    <w:rsid w:val="00762257"/>
    <w:rsid w:val="00765DD7"/>
    <w:rsid w:val="0076785C"/>
    <w:rsid w:val="007708BE"/>
    <w:rsid w:val="00770D20"/>
    <w:rsid w:val="007713AF"/>
    <w:rsid w:val="00771B4B"/>
    <w:rsid w:val="007732AD"/>
    <w:rsid w:val="00780AF2"/>
    <w:rsid w:val="0078249E"/>
    <w:rsid w:val="0078549C"/>
    <w:rsid w:val="00785D5D"/>
    <w:rsid w:val="007924BE"/>
    <w:rsid w:val="007930E8"/>
    <w:rsid w:val="0079398E"/>
    <w:rsid w:val="0079554C"/>
    <w:rsid w:val="00795CDD"/>
    <w:rsid w:val="00796975"/>
    <w:rsid w:val="0079721B"/>
    <w:rsid w:val="00797ABB"/>
    <w:rsid w:val="00797AC2"/>
    <w:rsid w:val="007A16C0"/>
    <w:rsid w:val="007A5A83"/>
    <w:rsid w:val="007A634D"/>
    <w:rsid w:val="007A673C"/>
    <w:rsid w:val="007B2C41"/>
    <w:rsid w:val="007B7A2C"/>
    <w:rsid w:val="007C148F"/>
    <w:rsid w:val="007C1A0A"/>
    <w:rsid w:val="007D29A7"/>
    <w:rsid w:val="007D5265"/>
    <w:rsid w:val="007D68BA"/>
    <w:rsid w:val="007D76B1"/>
    <w:rsid w:val="007D7F13"/>
    <w:rsid w:val="007E103F"/>
    <w:rsid w:val="007E17B5"/>
    <w:rsid w:val="007E1DDB"/>
    <w:rsid w:val="007E218A"/>
    <w:rsid w:val="007E271F"/>
    <w:rsid w:val="007E2A93"/>
    <w:rsid w:val="007E33DC"/>
    <w:rsid w:val="007E7659"/>
    <w:rsid w:val="007F271D"/>
    <w:rsid w:val="007F3202"/>
    <w:rsid w:val="007F5048"/>
    <w:rsid w:val="007F5EA2"/>
    <w:rsid w:val="007F7253"/>
    <w:rsid w:val="007F7374"/>
    <w:rsid w:val="00800ED4"/>
    <w:rsid w:val="0080353C"/>
    <w:rsid w:val="00804491"/>
    <w:rsid w:val="0080499B"/>
    <w:rsid w:val="008059A8"/>
    <w:rsid w:val="0080658B"/>
    <w:rsid w:val="0080680F"/>
    <w:rsid w:val="00806DBD"/>
    <w:rsid w:val="00806FF7"/>
    <w:rsid w:val="008118CB"/>
    <w:rsid w:val="00811D62"/>
    <w:rsid w:val="008141C2"/>
    <w:rsid w:val="00814581"/>
    <w:rsid w:val="008146A8"/>
    <w:rsid w:val="00816F02"/>
    <w:rsid w:val="00822AB1"/>
    <w:rsid w:val="00824B69"/>
    <w:rsid w:val="00825432"/>
    <w:rsid w:val="00827983"/>
    <w:rsid w:val="00832265"/>
    <w:rsid w:val="00832B0E"/>
    <w:rsid w:val="00833A4E"/>
    <w:rsid w:val="00834D5E"/>
    <w:rsid w:val="008354C9"/>
    <w:rsid w:val="00835BD9"/>
    <w:rsid w:val="008360B4"/>
    <w:rsid w:val="00837EF1"/>
    <w:rsid w:val="00841BEF"/>
    <w:rsid w:val="008444C0"/>
    <w:rsid w:val="00845815"/>
    <w:rsid w:val="00847BB3"/>
    <w:rsid w:val="00852060"/>
    <w:rsid w:val="00853694"/>
    <w:rsid w:val="00853F35"/>
    <w:rsid w:val="008563CC"/>
    <w:rsid w:val="00856C17"/>
    <w:rsid w:val="008576B1"/>
    <w:rsid w:val="008626E2"/>
    <w:rsid w:val="00867B06"/>
    <w:rsid w:val="00875227"/>
    <w:rsid w:val="0088007F"/>
    <w:rsid w:val="00881684"/>
    <w:rsid w:val="0088222C"/>
    <w:rsid w:val="00882AAF"/>
    <w:rsid w:val="00883FAD"/>
    <w:rsid w:val="00885120"/>
    <w:rsid w:val="0088522B"/>
    <w:rsid w:val="00886AA7"/>
    <w:rsid w:val="00887A47"/>
    <w:rsid w:val="00887A77"/>
    <w:rsid w:val="008908D9"/>
    <w:rsid w:val="0089136F"/>
    <w:rsid w:val="00891CBE"/>
    <w:rsid w:val="00891CF4"/>
    <w:rsid w:val="00894B58"/>
    <w:rsid w:val="00897AF4"/>
    <w:rsid w:val="008A0A37"/>
    <w:rsid w:val="008A1E2C"/>
    <w:rsid w:val="008A50A9"/>
    <w:rsid w:val="008A550D"/>
    <w:rsid w:val="008B143F"/>
    <w:rsid w:val="008B1ACE"/>
    <w:rsid w:val="008C1983"/>
    <w:rsid w:val="008C1FF9"/>
    <w:rsid w:val="008C2009"/>
    <w:rsid w:val="008C4475"/>
    <w:rsid w:val="008C6CF2"/>
    <w:rsid w:val="008D000A"/>
    <w:rsid w:val="008D04BB"/>
    <w:rsid w:val="008D1154"/>
    <w:rsid w:val="008D2362"/>
    <w:rsid w:val="008D24D8"/>
    <w:rsid w:val="008D2A04"/>
    <w:rsid w:val="008D2E8D"/>
    <w:rsid w:val="008D316F"/>
    <w:rsid w:val="008D5309"/>
    <w:rsid w:val="008E1252"/>
    <w:rsid w:val="008E28C9"/>
    <w:rsid w:val="008E5F03"/>
    <w:rsid w:val="008E6D9A"/>
    <w:rsid w:val="008F13C2"/>
    <w:rsid w:val="008F1B6A"/>
    <w:rsid w:val="008F2CD0"/>
    <w:rsid w:val="008F5C2F"/>
    <w:rsid w:val="008F61AC"/>
    <w:rsid w:val="00900703"/>
    <w:rsid w:val="00900F9A"/>
    <w:rsid w:val="0090146D"/>
    <w:rsid w:val="00901AF9"/>
    <w:rsid w:val="009030F7"/>
    <w:rsid w:val="00903518"/>
    <w:rsid w:val="00906DED"/>
    <w:rsid w:val="009138A7"/>
    <w:rsid w:val="00913A63"/>
    <w:rsid w:val="00913BA4"/>
    <w:rsid w:val="0091490C"/>
    <w:rsid w:val="00917C6E"/>
    <w:rsid w:val="009229E0"/>
    <w:rsid w:val="009261A0"/>
    <w:rsid w:val="00927EAF"/>
    <w:rsid w:val="00931300"/>
    <w:rsid w:val="00931840"/>
    <w:rsid w:val="0093678A"/>
    <w:rsid w:val="00937437"/>
    <w:rsid w:val="009409A1"/>
    <w:rsid w:val="00941E8E"/>
    <w:rsid w:val="00942E02"/>
    <w:rsid w:val="00942F47"/>
    <w:rsid w:val="00945E6C"/>
    <w:rsid w:val="00945EF8"/>
    <w:rsid w:val="009467AB"/>
    <w:rsid w:val="00946A80"/>
    <w:rsid w:val="00947186"/>
    <w:rsid w:val="00947710"/>
    <w:rsid w:val="00947829"/>
    <w:rsid w:val="009479C5"/>
    <w:rsid w:val="00947E6C"/>
    <w:rsid w:val="00950757"/>
    <w:rsid w:val="00952343"/>
    <w:rsid w:val="00955E71"/>
    <w:rsid w:val="00956886"/>
    <w:rsid w:val="009620A9"/>
    <w:rsid w:val="00966116"/>
    <w:rsid w:val="0096692C"/>
    <w:rsid w:val="00967C10"/>
    <w:rsid w:val="009701D8"/>
    <w:rsid w:val="009720D2"/>
    <w:rsid w:val="00974657"/>
    <w:rsid w:val="009859CF"/>
    <w:rsid w:val="00985D5D"/>
    <w:rsid w:val="009860AB"/>
    <w:rsid w:val="00993EBA"/>
    <w:rsid w:val="009948C3"/>
    <w:rsid w:val="00994AE7"/>
    <w:rsid w:val="00995D79"/>
    <w:rsid w:val="009A0045"/>
    <w:rsid w:val="009A1CD5"/>
    <w:rsid w:val="009A63DC"/>
    <w:rsid w:val="009A67AC"/>
    <w:rsid w:val="009A772A"/>
    <w:rsid w:val="009B0B37"/>
    <w:rsid w:val="009B17C1"/>
    <w:rsid w:val="009B4080"/>
    <w:rsid w:val="009B4FA7"/>
    <w:rsid w:val="009B6B96"/>
    <w:rsid w:val="009B6EE2"/>
    <w:rsid w:val="009C0611"/>
    <w:rsid w:val="009C1436"/>
    <w:rsid w:val="009C15C2"/>
    <w:rsid w:val="009C341F"/>
    <w:rsid w:val="009C63CD"/>
    <w:rsid w:val="009C6D85"/>
    <w:rsid w:val="009D0023"/>
    <w:rsid w:val="009D0118"/>
    <w:rsid w:val="009D0DD8"/>
    <w:rsid w:val="009D4732"/>
    <w:rsid w:val="009D7E55"/>
    <w:rsid w:val="009E1147"/>
    <w:rsid w:val="009E377E"/>
    <w:rsid w:val="009E5FE8"/>
    <w:rsid w:val="009E731E"/>
    <w:rsid w:val="009F0587"/>
    <w:rsid w:val="009F2066"/>
    <w:rsid w:val="009F3B19"/>
    <w:rsid w:val="009F7C4B"/>
    <w:rsid w:val="00A000A1"/>
    <w:rsid w:val="00A01BF3"/>
    <w:rsid w:val="00A01D00"/>
    <w:rsid w:val="00A04FD1"/>
    <w:rsid w:val="00A073DF"/>
    <w:rsid w:val="00A10554"/>
    <w:rsid w:val="00A106F3"/>
    <w:rsid w:val="00A10AD4"/>
    <w:rsid w:val="00A134BA"/>
    <w:rsid w:val="00A134CA"/>
    <w:rsid w:val="00A159C8"/>
    <w:rsid w:val="00A15C3F"/>
    <w:rsid w:val="00A15C5D"/>
    <w:rsid w:val="00A20CBA"/>
    <w:rsid w:val="00A20EFB"/>
    <w:rsid w:val="00A216A9"/>
    <w:rsid w:val="00A22053"/>
    <w:rsid w:val="00A22382"/>
    <w:rsid w:val="00A2241C"/>
    <w:rsid w:val="00A256FC"/>
    <w:rsid w:val="00A27A3F"/>
    <w:rsid w:val="00A376CD"/>
    <w:rsid w:val="00A37E99"/>
    <w:rsid w:val="00A461B1"/>
    <w:rsid w:val="00A501A7"/>
    <w:rsid w:val="00A50C35"/>
    <w:rsid w:val="00A54581"/>
    <w:rsid w:val="00A60BE4"/>
    <w:rsid w:val="00A6179C"/>
    <w:rsid w:val="00A61CAB"/>
    <w:rsid w:val="00A62E21"/>
    <w:rsid w:val="00A64E85"/>
    <w:rsid w:val="00A6617B"/>
    <w:rsid w:val="00A71247"/>
    <w:rsid w:val="00A71C0F"/>
    <w:rsid w:val="00A72386"/>
    <w:rsid w:val="00A73E62"/>
    <w:rsid w:val="00A81EF5"/>
    <w:rsid w:val="00A92389"/>
    <w:rsid w:val="00A93EFC"/>
    <w:rsid w:val="00A95D79"/>
    <w:rsid w:val="00A97D03"/>
    <w:rsid w:val="00AA0D37"/>
    <w:rsid w:val="00AA1296"/>
    <w:rsid w:val="00AA2520"/>
    <w:rsid w:val="00AA25E5"/>
    <w:rsid w:val="00AA67C8"/>
    <w:rsid w:val="00AA6C3C"/>
    <w:rsid w:val="00AB541C"/>
    <w:rsid w:val="00AB649C"/>
    <w:rsid w:val="00AC300B"/>
    <w:rsid w:val="00AC482D"/>
    <w:rsid w:val="00AD4745"/>
    <w:rsid w:val="00AD4CD4"/>
    <w:rsid w:val="00AD55B4"/>
    <w:rsid w:val="00AD692B"/>
    <w:rsid w:val="00AE0209"/>
    <w:rsid w:val="00AE1E55"/>
    <w:rsid w:val="00AE55A3"/>
    <w:rsid w:val="00AE60DF"/>
    <w:rsid w:val="00AE6C22"/>
    <w:rsid w:val="00AF0D00"/>
    <w:rsid w:val="00AF1151"/>
    <w:rsid w:val="00AF2D5B"/>
    <w:rsid w:val="00AF7832"/>
    <w:rsid w:val="00B00C37"/>
    <w:rsid w:val="00B03BBA"/>
    <w:rsid w:val="00B0469D"/>
    <w:rsid w:val="00B047C1"/>
    <w:rsid w:val="00B056EC"/>
    <w:rsid w:val="00B06EE5"/>
    <w:rsid w:val="00B06EF5"/>
    <w:rsid w:val="00B106AC"/>
    <w:rsid w:val="00B1184C"/>
    <w:rsid w:val="00B1215B"/>
    <w:rsid w:val="00B14E1B"/>
    <w:rsid w:val="00B17A91"/>
    <w:rsid w:val="00B2529B"/>
    <w:rsid w:val="00B26040"/>
    <w:rsid w:val="00B301BB"/>
    <w:rsid w:val="00B318EF"/>
    <w:rsid w:val="00B326B4"/>
    <w:rsid w:val="00B32B61"/>
    <w:rsid w:val="00B37594"/>
    <w:rsid w:val="00B414DC"/>
    <w:rsid w:val="00B43C42"/>
    <w:rsid w:val="00B44292"/>
    <w:rsid w:val="00B45CE3"/>
    <w:rsid w:val="00B46567"/>
    <w:rsid w:val="00B520E2"/>
    <w:rsid w:val="00B55012"/>
    <w:rsid w:val="00B57D58"/>
    <w:rsid w:val="00B611BF"/>
    <w:rsid w:val="00B6295A"/>
    <w:rsid w:val="00B63B24"/>
    <w:rsid w:val="00B64409"/>
    <w:rsid w:val="00B64483"/>
    <w:rsid w:val="00B64C12"/>
    <w:rsid w:val="00B67DCA"/>
    <w:rsid w:val="00B76769"/>
    <w:rsid w:val="00B80436"/>
    <w:rsid w:val="00B82F3A"/>
    <w:rsid w:val="00B84B9A"/>
    <w:rsid w:val="00B91488"/>
    <w:rsid w:val="00B91634"/>
    <w:rsid w:val="00B9167F"/>
    <w:rsid w:val="00B928B1"/>
    <w:rsid w:val="00B93892"/>
    <w:rsid w:val="00B93C3F"/>
    <w:rsid w:val="00B952A7"/>
    <w:rsid w:val="00B95AC5"/>
    <w:rsid w:val="00B96929"/>
    <w:rsid w:val="00B96E19"/>
    <w:rsid w:val="00B97A12"/>
    <w:rsid w:val="00BA2B95"/>
    <w:rsid w:val="00BA43C1"/>
    <w:rsid w:val="00BA5600"/>
    <w:rsid w:val="00BA6775"/>
    <w:rsid w:val="00BA69C0"/>
    <w:rsid w:val="00BB0899"/>
    <w:rsid w:val="00BB5E29"/>
    <w:rsid w:val="00BB73CE"/>
    <w:rsid w:val="00BC039C"/>
    <w:rsid w:val="00BC55E9"/>
    <w:rsid w:val="00BD74F3"/>
    <w:rsid w:val="00BE005F"/>
    <w:rsid w:val="00BE1602"/>
    <w:rsid w:val="00BE2F6F"/>
    <w:rsid w:val="00BE3E56"/>
    <w:rsid w:val="00BE5824"/>
    <w:rsid w:val="00BE6B4B"/>
    <w:rsid w:val="00BF1C3F"/>
    <w:rsid w:val="00BF2511"/>
    <w:rsid w:val="00BF3160"/>
    <w:rsid w:val="00BF3405"/>
    <w:rsid w:val="00BF3B8A"/>
    <w:rsid w:val="00BF5D81"/>
    <w:rsid w:val="00BF65CC"/>
    <w:rsid w:val="00BF7408"/>
    <w:rsid w:val="00C00307"/>
    <w:rsid w:val="00C02174"/>
    <w:rsid w:val="00C05B10"/>
    <w:rsid w:val="00C07258"/>
    <w:rsid w:val="00C07B4F"/>
    <w:rsid w:val="00C07D44"/>
    <w:rsid w:val="00C10A2A"/>
    <w:rsid w:val="00C1203A"/>
    <w:rsid w:val="00C124DC"/>
    <w:rsid w:val="00C12D73"/>
    <w:rsid w:val="00C1447B"/>
    <w:rsid w:val="00C14A4A"/>
    <w:rsid w:val="00C15D46"/>
    <w:rsid w:val="00C17717"/>
    <w:rsid w:val="00C2113C"/>
    <w:rsid w:val="00C23115"/>
    <w:rsid w:val="00C2416F"/>
    <w:rsid w:val="00C24BCE"/>
    <w:rsid w:val="00C25ADF"/>
    <w:rsid w:val="00C323C3"/>
    <w:rsid w:val="00C33FBF"/>
    <w:rsid w:val="00C3475A"/>
    <w:rsid w:val="00C37C5B"/>
    <w:rsid w:val="00C40DD6"/>
    <w:rsid w:val="00C42360"/>
    <w:rsid w:val="00C43B4A"/>
    <w:rsid w:val="00C4562A"/>
    <w:rsid w:val="00C45F5F"/>
    <w:rsid w:val="00C46940"/>
    <w:rsid w:val="00C473F0"/>
    <w:rsid w:val="00C47B51"/>
    <w:rsid w:val="00C522EA"/>
    <w:rsid w:val="00C60F63"/>
    <w:rsid w:val="00C63253"/>
    <w:rsid w:val="00C64899"/>
    <w:rsid w:val="00C66197"/>
    <w:rsid w:val="00C748EB"/>
    <w:rsid w:val="00C75E52"/>
    <w:rsid w:val="00C76151"/>
    <w:rsid w:val="00C839AE"/>
    <w:rsid w:val="00C842A2"/>
    <w:rsid w:val="00C84992"/>
    <w:rsid w:val="00C855FC"/>
    <w:rsid w:val="00C871F0"/>
    <w:rsid w:val="00C9297A"/>
    <w:rsid w:val="00C94B5D"/>
    <w:rsid w:val="00CA0D9B"/>
    <w:rsid w:val="00CA296F"/>
    <w:rsid w:val="00CA33BE"/>
    <w:rsid w:val="00CA35BE"/>
    <w:rsid w:val="00CA4024"/>
    <w:rsid w:val="00CA71CA"/>
    <w:rsid w:val="00CA74B8"/>
    <w:rsid w:val="00CB0C4F"/>
    <w:rsid w:val="00CB228D"/>
    <w:rsid w:val="00CB7058"/>
    <w:rsid w:val="00CB7F50"/>
    <w:rsid w:val="00CC049B"/>
    <w:rsid w:val="00CC55BC"/>
    <w:rsid w:val="00CC6E5B"/>
    <w:rsid w:val="00CD0525"/>
    <w:rsid w:val="00CD0C75"/>
    <w:rsid w:val="00CD0F48"/>
    <w:rsid w:val="00CD11C9"/>
    <w:rsid w:val="00CD1A0C"/>
    <w:rsid w:val="00CD5596"/>
    <w:rsid w:val="00CD5B84"/>
    <w:rsid w:val="00CD7713"/>
    <w:rsid w:val="00CD7D19"/>
    <w:rsid w:val="00CE01CB"/>
    <w:rsid w:val="00CE3EBE"/>
    <w:rsid w:val="00CE41D7"/>
    <w:rsid w:val="00CE428C"/>
    <w:rsid w:val="00CE4DBE"/>
    <w:rsid w:val="00CE687E"/>
    <w:rsid w:val="00CF0D1B"/>
    <w:rsid w:val="00CF145E"/>
    <w:rsid w:val="00CF1EA4"/>
    <w:rsid w:val="00CF25CA"/>
    <w:rsid w:val="00CF386E"/>
    <w:rsid w:val="00CF3D37"/>
    <w:rsid w:val="00CF428E"/>
    <w:rsid w:val="00CF5187"/>
    <w:rsid w:val="00CF51FA"/>
    <w:rsid w:val="00CF5BFC"/>
    <w:rsid w:val="00D000F1"/>
    <w:rsid w:val="00D001E3"/>
    <w:rsid w:val="00D00AEF"/>
    <w:rsid w:val="00D010CE"/>
    <w:rsid w:val="00D03A22"/>
    <w:rsid w:val="00D03E05"/>
    <w:rsid w:val="00D047FE"/>
    <w:rsid w:val="00D04D1D"/>
    <w:rsid w:val="00D06966"/>
    <w:rsid w:val="00D1447C"/>
    <w:rsid w:val="00D20A99"/>
    <w:rsid w:val="00D20B71"/>
    <w:rsid w:val="00D23272"/>
    <w:rsid w:val="00D23CA3"/>
    <w:rsid w:val="00D24337"/>
    <w:rsid w:val="00D24672"/>
    <w:rsid w:val="00D24986"/>
    <w:rsid w:val="00D269D3"/>
    <w:rsid w:val="00D26BD9"/>
    <w:rsid w:val="00D3195C"/>
    <w:rsid w:val="00D31BFC"/>
    <w:rsid w:val="00D3276C"/>
    <w:rsid w:val="00D4068D"/>
    <w:rsid w:val="00D4156A"/>
    <w:rsid w:val="00D41C2A"/>
    <w:rsid w:val="00D42A1B"/>
    <w:rsid w:val="00D43070"/>
    <w:rsid w:val="00D431B4"/>
    <w:rsid w:val="00D44A02"/>
    <w:rsid w:val="00D46028"/>
    <w:rsid w:val="00D46BA8"/>
    <w:rsid w:val="00D46D12"/>
    <w:rsid w:val="00D46DD5"/>
    <w:rsid w:val="00D50CE8"/>
    <w:rsid w:val="00D5100C"/>
    <w:rsid w:val="00D51894"/>
    <w:rsid w:val="00D52DFD"/>
    <w:rsid w:val="00D5345B"/>
    <w:rsid w:val="00D56911"/>
    <w:rsid w:val="00D5698B"/>
    <w:rsid w:val="00D6202A"/>
    <w:rsid w:val="00D63163"/>
    <w:rsid w:val="00D64219"/>
    <w:rsid w:val="00D64CF8"/>
    <w:rsid w:val="00D6745D"/>
    <w:rsid w:val="00D74CE3"/>
    <w:rsid w:val="00D74D8E"/>
    <w:rsid w:val="00D74DA9"/>
    <w:rsid w:val="00D75523"/>
    <w:rsid w:val="00D81188"/>
    <w:rsid w:val="00D82DC5"/>
    <w:rsid w:val="00D83438"/>
    <w:rsid w:val="00D8432A"/>
    <w:rsid w:val="00D853DD"/>
    <w:rsid w:val="00D862CA"/>
    <w:rsid w:val="00D90FE4"/>
    <w:rsid w:val="00D949DA"/>
    <w:rsid w:val="00D95C29"/>
    <w:rsid w:val="00DA064A"/>
    <w:rsid w:val="00DA1829"/>
    <w:rsid w:val="00DA19C4"/>
    <w:rsid w:val="00DA250D"/>
    <w:rsid w:val="00DA5066"/>
    <w:rsid w:val="00DA50DF"/>
    <w:rsid w:val="00DA676B"/>
    <w:rsid w:val="00DA7E18"/>
    <w:rsid w:val="00DB198D"/>
    <w:rsid w:val="00DB267D"/>
    <w:rsid w:val="00DB3C0B"/>
    <w:rsid w:val="00DB4117"/>
    <w:rsid w:val="00DB5025"/>
    <w:rsid w:val="00DB6BFD"/>
    <w:rsid w:val="00DC15A8"/>
    <w:rsid w:val="00DC6F34"/>
    <w:rsid w:val="00DD2ACD"/>
    <w:rsid w:val="00DD48A3"/>
    <w:rsid w:val="00DD4B1E"/>
    <w:rsid w:val="00DD6CE4"/>
    <w:rsid w:val="00DD7BBB"/>
    <w:rsid w:val="00DE06A6"/>
    <w:rsid w:val="00DE4BEB"/>
    <w:rsid w:val="00DE6AC6"/>
    <w:rsid w:val="00DF0003"/>
    <w:rsid w:val="00DF1920"/>
    <w:rsid w:val="00DF1A6C"/>
    <w:rsid w:val="00DF447C"/>
    <w:rsid w:val="00DF536A"/>
    <w:rsid w:val="00DF5A7D"/>
    <w:rsid w:val="00DF6F49"/>
    <w:rsid w:val="00DF74EE"/>
    <w:rsid w:val="00E006A7"/>
    <w:rsid w:val="00E03465"/>
    <w:rsid w:val="00E03F97"/>
    <w:rsid w:val="00E0509B"/>
    <w:rsid w:val="00E05C80"/>
    <w:rsid w:val="00E14FE8"/>
    <w:rsid w:val="00E17A1B"/>
    <w:rsid w:val="00E208E6"/>
    <w:rsid w:val="00E21D50"/>
    <w:rsid w:val="00E22E8D"/>
    <w:rsid w:val="00E24C6A"/>
    <w:rsid w:val="00E3071B"/>
    <w:rsid w:val="00E31EE8"/>
    <w:rsid w:val="00E32CF7"/>
    <w:rsid w:val="00E343A6"/>
    <w:rsid w:val="00E353DC"/>
    <w:rsid w:val="00E373ED"/>
    <w:rsid w:val="00E43E0A"/>
    <w:rsid w:val="00E450F2"/>
    <w:rsid w:val="00E45CA2"/>
    <w:rsid w:val="00E505E2"/>
    <w:rsid w:val="00E5094A"/>
    <w:rsid w:val="00E513DE"/>
    <w:rsid w:val="00E55A9B"/>
    <w:rsid w:val="00E63606"/>
    <w:rsid w:val="00E672A0"/>
    <w:rsid w:val="00E73262"/>
    <w:rsid w:val="00E80188"/>
    <w:rsid w:val="00E821F6"/>
    <w:rsid w:val="00E82BF7"/>
    <w:rsid w:val="00E84BC3"/>
    <w:rsid w:val="00E87E0E"/>
    <w:rsid w:val="00E87E76"/>
    <w:rsid w:val="00E90984"/>
    <w:rsid w:val="00E90ADB"/>
    <w:rsid w:val="00E928F1"/>
    <w:rsid w:val="00E95236"/>
    <w:rsid w:val="00E971FA"/>
    <w:rsid w:val="00E973B3"/>
    <w:rsid w:val="00EA05FC"/>
    <w:rsid w:val="00EA4916"/>
    <w:rsid w:val="00EA6382"/>
    <w:rsid w:val="00EA70E2"/>
    <w:rsid w:val="00EA7798"/>
    <w:rsid w:val="00EA7F90"/>
    <w:rsid w:val="00EB37DC"/>
    <w:rsid w:val="00EB45B1"/>
    <w:rsid w:val="00EB5122"/>
    <w:rsid w:val="00EC247F"/>
    <w:rsid w:val="00EC26A2"/>
    <w:rsid w:val="00EC645F"/>
    <w:rsid w:val="00ED0D6C"/>
    <w:rsid w:val="00ED3631"/>
    <w:rsid w:val="00ED36AF"/>
    <w:rsid w:val="00ED404A"/>
    <w:rsid w:val="00ED4B22"/>
    <w:rsid w:val="00ED72EC"/>
    <w:rsid w:val="00EE09A6"/>
    <w:rsid w:val="00EE1F3C"/>
    <w:rsid w:val="00EE2135"/>
    <w:rsid w:val="00EE2BC5"/>
    <w:rsid w:val="00EE54A4"/>
    <w:rsid w:val="00EE5BEA"/>
    <w:rsid w:val="00EE6FA8"/>
    <w:rsid w:val="00EF1236"/>
    <w:rsid w:val="00EF1281"/>
    <w:rsid w:val="00EF3E70"/>
    <w:rsid w:val="00EF4249"/>
    <w:rsid w:val="00EF725D"/>
    <w:rsid w:val="00EF74DD"/>
    <w:rsid w:val="00EF7752"/>
    <w:rsid w:val="00F00BD9"/>
    <w:rsid w:val="00F01E3E"/>
    <w:rsid w:val="00F03882"/>
    <w:rsid w:val="00F03FBC"/>
    <w:rsid w:val="00F0444A"/>
    <w:rsid w:val="00F062DF"/>
    <w:rsid w:val="00F06817"/>
    <w:rsid w:val="00F077FA"/>
    <w:rsid w:val="00F1265A"/>
    <w:rsid w:val="00F1316B"/>
    <w:rsid w:val="00F136E4"/>
    <w:rsid w:val="00F13973"/>
    <w:rsid w:val="00F1455F"/>
    <w:rsid w:val="00F176C6"/>
    <w:rsid w:val="00F22F0D"/>
    <w:rsid w:val="00F25543"/>
    <w:rsid w:val="00F256AA"/>
    <w:rsid w:val="00F274C3"/>
    <w:rsid w:val="00F30A01"/>
    <w:rsid w:val="00F32B7B"/>
    <w:rsid w:val="00F352A9"/>
    <w:rsid w:val="00F369D6"/>
    <w:rsid w:val="00F404EF"/>
    <w:rsid w:val="00F41E23"/>
    <w:rsid w:val="00F44BEF"/>
    <w:rsid w:val="00F44C3B"/>
    <w:rsid w:val="00F478C9"/>
    <w:rsid w:val="00F47FEE"/>
    <w:rsid w:val="00F50077"/>
    <w:rsid w:val="00F51927"/>
    <w:rsid w:val="00F5236A"/>
    <w:rsid w:val="00F54519"/>
    <w:rsid w:val="00F55E13"/>
    <w:rsid w:val="00F56300"/>
    <w:rsid w:val="00F57AF0"/>
    <w:rsid w:val="00F60310"/>
    <w:rsid w:val="00F62FCC"/>
    <w:rsid w:val="00F636D9"/>
    <w:rsid w:val="00F63DA9"/>
    <w:rsid w:val="00F6422F"/>
    <w:rsid w:val="00F64AC2"/>
    <w:rsid w:val="00F658C8"/>
    <w:rsid w:val="00F65E8D"/>
    <w:rsid w:val="00F67E1B"/>
    <w:rsid w:val="00F7014C"/>
    <w:rsid w:val="00F70C38"/>
    <w:rsid w:val="00F71557"/>
    <w:rsid w:val="00F7318D"/>
    <w:rsid w:val="00F7364B"/>
    <w:rsid w:val="00F77E2E"/>
    <w:rsid w:val="00F82296"/>
    <w:rsid w:val="00F83B56"/>
    <w:rsid w:val="00F83D34"/>
    <w:rsid w:val="00F84A85"/>
    <w:rsid w:val="00F8777F"/>
    <w:rsid w:val="00F901A7"/>
    <w:rsid w:val="00F90569"/>
    <w:rsid w:val="00F90B18"/>
    <w:rsid w:val="00F91683"/>
    <w:rsid w:val="00F91FA7"/>
    <w:rsid w:val="00F933A8"/>
    <w:rsid w:val="00F957FF"/>
    <w:rsid w:val="00F968AA"/>
    <w:rsid w:val="00FA0FBD"/>
    <w:rsid w:val="00FA0FFB"/>
    <w:rsid w:val="00FA1DDA"/>
    <w:rsid w:val="00FA2C09"/>
    <w:rsid w:val="00FA3E3B"/>
    <w:rsid w:val="00FA56D3"/>
    <w:rsid w:val="00FA6651"/>
    <w:rsid w:val="00FA67C6"/>
    <w:rsid w:val="00FA7DEE"/>
    <w:rsid w:val="00FB24E1"/>
    <w:rsid w:val="00FB4FC6"/>
    <w:rsid w:val="00FC1722"/>
    <w:rsid w:val="00FC1810"/>
    <w:rsid w:val="00FC5EA2"/>
    <w:rsid w:val="00FD0272"/>
    <w:rsid w:val="00FD0314"/>
    <w:rsid w:val="00FD362D"/>
    <w:rsid w:val="00FD5083"/>
    <w:rsid w:val="00FD50CE"/>
    <w:rsid w:val="00FD5C6B"/>
    <w:rsid w:val="00FD6793"/>
    <w:rsid w:val="00FD712A"/>
    <w:rsid w:val="00FD778C"/>
    <w:rsid w:val="00FE2866"/>
    <w:rsid w:val="00FE44AD"/>
    <w:rsid w:val="00FF15D6"/>
    <w:rsid w:val="00FF1AA5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CAEBC1-1A85-4407-AC0E-76925DBC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4E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F1B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2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45243"/>
  </w:style>
  <w:style w:type="paragraph" w:styleId="a5">
    <w:name w:val="footer"/>
    <w:basedOn w:val="a"/>
    <w:link w:val="a6"/>
    <w:uiPriority w:val="99"/>
    <w:unhideWhenUsed/>
    <w:rsid w:val="007452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45243"/>
  </w:style>
  <w:style w:type="character" w:customStyle="1" w:styleId="20">
    <w:name w:val="כותרת 2 תו"/>
    <w:basedOn w:val="a0"/>
    <w:link w:val="2"/>
    <w:uiPriority w:val="9"/>
    <w:rsid w:val="008F1B6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re">
    <w:name w:val="re"/>
    <w:basedOn w:val="a"/>
    <w:rsid w:val="008F1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8F1B6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F1B6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ראש טופס תו"/>
    <w:basedOn w:val="a0"/>
    <w:link w:val="z-"/>
    <w:uiPriority w:val="99"/>
    <w:semiHidden/>
    <w:rsid w:val="008F1B6A"/>
    <w:rPr>
      <w:rFonts w:ascii="Arial" w:eastAsia="Times New Roman" w:hAnsi="Arial" w:cs="Arial"/>
      <w:vanish/>
      <w:sz w:val="16"/>
      <w:szCs w:val="16"/>
    </w:rPr>
  </w:style>
  <w:style w:type="character" w:customStyle="1" w:styleId="dw">
    <w:name w:val="dw"/>
    <w:basedOn w:val="a0"/>
    <w:rsid w:val="008F1B6A"/>
  </w:style>
  <w:style w:type="character" w:customStyle="1" w:styleId="ab">
    <w:name w:val="ab"/>
    <w:basedOn w:val="a0"/>
    <w:rsid w:val="008F1B6A"/>
  </w:style>
  <w:style w:type="character" w:customStyle="1" w:styleId="u">
    <w:name w:val="u"/>
    <w:basedOn w:val="a0"/>
    <w:rsid w:val="008F1B6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F1B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תחתית טופס תו"/>
    <w:basedOn w:val="a0"/>
    <w:link w:val="z-1"/>
    <w:uiPriority w:val="99"/>
    <w:semiHidden/>
    <w:rsid w:val="008F1B6A"/>
    <w:rPr>
      <w:rFonts w:ascii="Arial" w:eastAsia="Times New Roman" w:hAnsi="Arial" w:cs="Arial"/>
      <w:vanish/>
      <w:sz w:val="16"/>
      <w:szCs w:val="16"/>
    </w:rPr>
  </w:style>
  <w:style w:type="paragraph" w:customStyle="1" w:styleId="text">
    <w:name w:val="text"/>
    <w:basedOn w:val="a"/>
    <w:rsid w:val="00EA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sclaimer">
    <w:name w:val="disclaimer"/>
    <w:basedOn w:val="a0"/>
    <w:rsid w:val="00EA70E2"/>
  </w:style>
  <w:style w:type="paragraph" w:styleId="a7">
    <w:name w:val="Balloon Text"/>
    <w:basedOn w:val="a"/>
    <w:link w:val="a8"/>
    <w:uiPriority w:val="99"/>
    <w:semiHidden/>
    <w:unhideWhenUsed/>
    <w:rsid w:val="00DA676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DA676B"/>
    <w:rPr>
      <w:rFonts w:ascii="Tahoma" w:hAnsi="Tahoma" w:cs="Tahoma"/>
      <w:sz w:val="18"/>
      <w:szCs w:val="18"/>
    </w:rPr>
  </w:style>
  <w:style w:type="paragraph" w:styleId="a9">
    <w:name w:val="footnote text"/>
    <w:basedOn w:val="a"/>
    <w:link w:val="aa"/>
    <w:uiPriority w:val="99"/>
    <w:unhideWhenUsed/>
    <w:rsid w:val="00FC1810"/>
    <w:pPr>
      <w:spacing w:after="0" w:line="240" w:lineRule="auto"/>
    </w:pPr>
    <w:rPr>
      <w:sz w:val="20"/>
      <w:szCs w:val="20"/>
    </w:rPr>
  </w:style>
  <w:style w:type="character" w:customStyle="1" w:styleId="aa">
    <w:name w:val="טקסט הערת שוליים תו"/>
    <w:basedOn w:val="a0"/>
    <w:link w:val="a9"/>
    <w:uiPriority w:val="99"/>
    <w:rsid w:val="00FC181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C1810"/>
    <w:rPr>
      <w:vertAlign w:val="superscript"/>
    </w:rPr>
  </w:style>
  <w:style w:type="character" w:styleId="ad">
    <w:name w:val="Placeholder Text"/>
    <w:basedOn w:val="a0"/>
    <w:uiPriority w:val="99"/>
    <w:semiHidden/>
    <w:rsid w:val="00261025"/>
    <w:rPr>
      <w:color w:val="808080"/>
    </w:rPr>
  </w:style>
  <w:style w:type="paragraph" w:styleId="ae">
    <w:name w:val="caption"/>
    <w:basedOn w:val="a"/>
    <w:next w:val="a"/>
    <w:uiPriority w:val="35"/>
    <w:unhideWhenUsed/>
    <w:qFormat/>
    <w:rsid w:val="003021F9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">
    <w:name w:val="List Paragraph"/>
    <w:basedOn w:val="a"/>
    <w:uiPriority w:val="34"/>
    <w:qFormat/>
    <w:rsid w:val="0080353C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534E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0">
    <w:name w:val="annotation reference"/>
    <w:basedOn w:val="a0"/>
    <w:uiPriority w:val="99"/>
    <w:semiHidden/>
    <w:unhideWhenUsed/>
    <w:rsid w:val="006E063D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6E063D"/>
    <w:pPr>
      <w:spacing w:line="240" w:lineRule="auto"/>
    </w:pPr>
    <w:rPr>
      <w:sz w:val="20"/>
      <w:szCs w:val="20"/>
    </w:rPr>
  </w:style>
  <w:style w:type="character" w:customStyle="1" w:styleId="af2">
    <w:name w:val="טקסט הערה תו"/>
    <w:basedOn w:val="a0"/>
    <w:link w:val="af1"/>
    <w:uiPriority w:val="99"/>
    <w:rsid w:val="006E063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E063D"/>
    <w:rPr>
      <w:b/>
      <w:bCs/>
    </w:rPr>
  </w:style>
  <w:style w:type="character" w:customStyle="1" w:styleId="af4">
    <w:name w:val="נושא הערה תו"/>
    <w:basedOn w:val="af2"/>
    <w:link w:val="af3"/>
    <w:uiPriority w:val="99"/>
    <w:semiHidden/>
    <w:rsid w:val="006E063D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416915"/>
    <w:pPr>
      <w:spacing w:after="0" w:line="240" w:lineRule="auto"/>
    </w:pPr>
  </w:style>
  <w:style w:type="character" w:styleId="af6">
    <w:name w:val="Subtle Reference"/>
    <w:basedOn w:val="a0"/>
    <w:uiPriority w:val="31"/>
    <w:qFormat/>
    <w:rsid w:val="00D00AEF"/>
    <w:rPr>
      <w:smallCaps/>
      <w:color w:val="5A5A5A" w:themeColor="text1" w:themeTint="A5"/>
    </w:rPr>
  </w:style>
  <w:style w:type="character" w:styleId="FollowedHyperlink">
    <w:name w:val="FollowedHyperlink"/>
    <w:basedOn w:val="a0"/>
    <w:uiPriority w:val="99"/>
    <w:semiHidden/>
    <w:unhideWhenUsed/>
    <w:rsid w:val="00D010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97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9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8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0127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5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9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132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4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9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6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3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15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01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4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0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maya.tase.co.il/reports/details/1463996" TargetMode="External"/><Relationship Id="rId13" Type="http://schemas.openxmlformats.org/officeDocument/2006/relationships/hyperlink" Target="https://maya.tase.co.il/reports/details/1463748" TargetMode="External"/><Relationship Id="rId18" Type="http://schemas.openxmlformats.org/officeDocument/2006/relationships/hyperlink" Target="https://www.globes.co.il/news/article.aspx?did=1001417447" TargetMode="External"/><Relationship Id="rId26" Type="http://schemas.openxmlformats.org/officeDocument/2006/relationships/hyperlink" Target="https://www.isa.gov.il/%D7%94%D7%95%D7%93%D7%A2%D7%95%D7%AA%20%D7%95%D7%A4%D7%A8%D7%A1%D7%95%D7%9E%D7%99%D7%9D/175/2022/Pages/hodea20722.aspx" TargetMode="External"/><Relationship Id="rId3" Type="http://schemas.openxmlformats.org/officeDocument/2006/relationships/hyperlink" Target="https://www.esrb.europa.eu/pub/pdf/wp/esrb.wp105~ae3850b53d.en.pdf" TargetMode="External"/><Relationship Id="rId21" Type="http://schemas.openxmlformats.org/officeDocument/2006/relationships/hyperlink" Target="https://www.calcalist.co.il/market/article/s1z30q0qc" TargetMode="External"/><Relationship Id="rId7" Type="http://schemas.openxmlformats.org/officeDocument/2006/relationships/hyperlink" Target="https://maya.tase.co.il/reports/details/1458185" TargetMode="External"/><Relationship Id="rId12" Type="http://schemas.openxmlformats.org/officeDocument/2006/relationships/hyperlink" Target="https://maya.tase.co.il/reports/details/1461703" TargetMode="External"/><Relationship Id="rId17" Type="http://schemas.openxmlformats.org/officeDocument/2006/relationships/hyperlink" Target="https://maya.tase.co.il/reports/details/1476675" TargetMode="External"/><Relationship Id="rId25" Type="http://schemas.openxmlformats.org/officeDocument/2006/relationships/hyperlink" Target="https://www.calcalist.co.il/market/article/syvdq680c" TargetMode="External"/><Relationship Id="rId2" Type="http://schemas.openxmlformats.org/officeDocument/2006/relationships/hyperlink" Target="https://www.imf.org/external/pubs/ft/fandd/basics/52-shadow-banking.htm" TargetMode="External"/><Relationship Id="rId16" Type="http://schemas.openxmlformats.org/officeDocument/2006/relationships/hyperlink" Target="https://maya.tase.co.il/reports/details/1477193" TargetMode="External"/><Relationship Id="rId20" Type="http://schemas.openxmlformats.org/officeDocument/2006/relationships/hyperlink" Target="https://www.ice.co.il/finance/news/article/867317" TargetMode="External"/><Relationship Id="rId1" Type="http://schemas.openxmlformats.org/officeDocument/2006/relationships/hyperlink" Target="https://www.boi.org.il/he/NewsAndPublications/PressReleases/Pages/16-8-21.aspx" TargetMode="External"/><Relationship Id="rId6" Type="http://schemas.openxmlformats.org/officeDocument/2006/relationships/hyperlink" Target="https://maya.tase.co.il/reports/details/1456994" TargetMode="External"/><Relationship Id="rId11" Type="http://schemas.openxmlformats.org/officeDocument/2006/relationships/hyperlink" Target="https://maya.tase.co.il/reports/details/1460713" TargetMode="External"/><Relationship Id="rId24" Type="http://schemas.openxmlformats.org/officeDocument/2006/relationships/hyperlink" Target="https://www.bizportal.co.il/capitalmarket/news/article/806865" TargetMode="External"/><Relationship Id="rId5" Type="http://schemas.openxmlformats.org/officeDocument/2006/relationships/hyperlink" Target="https://maya.tase.co.il/reports/details/1454074" TargetMode="External"/><Relationship Id="rId15" Type="http://schemas.openxmlformats.org/officeDocument/2006/relationships/hyperlink" Target="https://maya.tase.co.il/reports/details/1472188" TargetMode="External"/><Relationship Id="rId23" Type="http://schemas.openxmlformats.org/officeDocument/2006/relationships/hyperlink" Target="https://www.themarker.com/markets/2022-07-28/ty-article/.premium/00000182-408a-d9f7-a9e6-d0bb3b170000" TargetMode="External"/><Relationship Id="rId10" Type="http://schemas.openxmlformats.org/officeDocument/2006/relationships/hyperlink" Target="https://maya.tase.co.il/reports/details/1463999" TargetMode="External"/><Relationship Id="rId19" Type="http://schemas.openxmlformats.org/officeDocument/2006/relationships/hyperlink" Target="https://www.themarker.com/markets/2022-07-03/ty-article/.premium/00000181-c4bd-d09b-a18b-cffdcd0f0000" TargetMode="External"/><Relationship Id="rId4" Type="http://schemas.openxmlformats.org/officeDocument/2006/relationships/hyperlink" Target="https://www.fsb.org/wp-content/uploads/c_130129y.pdf" TargetMode="External"/><Relationship Id="rId9" Type="http://schemas.openxmlformats.org/officeDocument/2006/relationships/hyperlink" Target="https://maya.tase.co.il/reports/details/1474287" TargetMode="External"/><Relationship Id="rId14" Type="http://schemas.openxmlformats.org/officeDocument/2006/relationships/hyperlink" Target="https://maya.tase.co.il/reports/details/1472198" TargetMode="External"/><Relationship Id="rId22" Type="http://schemas.openxmlformats.org/officeDocument/2006/relationships/hyperlink" Target="https://www.globes.co.il/news/article.aspx?did=1001417141" TargetMode="External"/><Relationship Id="rId27" Type="http://schemas.openxmlformats.org/officeDocument/2006/relationships/hyperlink" Target="http://isa.gov.il/%D7%94%D7%95%D7%93%D7%A2%D7%95%D7%AA%20%D7%95%D7%A4%D7%A8%D7%A1%D7%95%D7%9E%D7%99%D7%9D/175/2022/Pages/hodea21722.asp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0" i="0" u="none" strike="noStrike" kern="1200" spc="0" baseline="0">
                <a:solidFill>
                  <a:sysClr val="windowText" lastClr="000000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r>
              <a:rPr lang="he-IL"/>
              <a:t>איור 1</a:t>
            </a:r>
          </a:p>
          <a:p>
            <a:pPr>
              <a:defRPr/>
            </a:pPr>
            <a:r>
              <a:rPr lang="he-IL"/>
              <a:t>התפתחות</a:t>
            </a:r>
            <a:r>
              <a:rPr lang="he-IL" baseline="0"/>
              <a:t> ה</a:t>
            </a:r>
            <a:r>
              <a:rPr lang="he-IL"/>
              <a:t>מניות והתשואות של "יונט קרדיט" ושל "גיבוי אחזקות"</a:t>
            </a:r>
          </a:p>
          <a:p>
            <a:pPr>
              <a:defRPr/>
            </a:pPr>
            <a:r>
              <a:rPr lang="he-IL"/>
              <a:t>נתון יומי, 03/04/2022=100</a:t>
            </a:r>
          </a:p>
        </c:rich>
      </c:tx>
      <c:layout>
        <c:manualLayout>
          <c:xMode val="edge"/>
          <c:yMode val="edge"/>
          <c:x val="0.1392954861111111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80" b="0" i="0" u="none" strike="noStrike" kern="1200" spc="0" baseline="0">
              <a:solidFill>
                <a:sysClr val="windowText" lastClr="000000"/>
              </a:solidFill>
              <a:latin typeface="Assistant" panose="00000500000000000000" pitchFamily="2" charset="-79"/>
              <a:ea typeface="+mn-ea"/>
              <a:cs typeface="Assistant" panose="00000500000000000000" pitchFamily="2" charset="-79"/>
            </a:defRPr>
          </a:pPr>
          <a:endParaRPr lang="he-IL"/>
        </a:p>
      </c:txPr>
    </c:title>
    <c:autoTitleDeleted val="0"/>
    <c:plotArea>
      <c:layout>
        <c:manualLayout>
          <c:layoutTarget val="inner"/>
          <c:xMode val="edge"/>
          <c:yMode val="edge"/>
          <c:x val="0.14820625000000001"/>
          <c:y val="0.2068560606060606"/>
          <c:w val="0.69994166666666668"/>
          <c:h val="0.5578752525252525"/>
        </c:manualLayout>
      </c:layout>
      <c:lineChart>
        <c:grouping val="standard"/>
        <c:varyColors val="0"/>
        <c:ser>
          <c:idx val="0"/>
          <c:order val="0"/>
          <c:tx>
            <c:strRef>
              <c:f>מקור!$AZ$176</c:f>
              <c:strCache>
                <c:ptCount val="1"/>
                <c:pt idx="0">
                  <c:v>מניית יונט קרדיט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מקור!$AY$177:$AY$287</c:f>
              <c:numCache>
                <c:formatCode>dd/mm/yy</c:formatCode>
                <c:ptCount val="111"/>
                <c:pt idx="0">
                  <c:v>44654</c:v>
                </c:pt>
                <c:pt idx="1">
                  <c:v>44655</c:v>
                </c:pt>
                <c:pt idx="2">
                  <c:v>44656</c:v>
                </c:pt>
                <c:pt idx="3">
                  <c:v>44657</c:v>
                </c:pt>
                <c:pt idx="4">
                  <c:v>44658</c:v>
                </c:pt>
                <c:pt idx="5">
                  <c:v>44661</c:v>
                </c:pt>
                <c:pt idx="6">
                  <c:v>44662</c:v>
                </c:pt>
                <c:pt idx="7">
                  <c:v>44663</c:v>
                </c:pt>
                <c:pt idx="8">
                  <c:v>44664</c:v>
                </c:pt>
                <c:pt idx="9">
                  <c:v>44665</c:v>
                </c:pt>
                <c:pt idx="10">
                  <c:v>44668</c:v>
                </c:pt>
                <c:pt idx="11">
                  <c:v>44669</c:v>
                </c:pt>
                <c:pt idx="12">
                  <c:v>44670</c:v>
                </c:pt>
                <c:pt idx="13">
                  <c:v>44671</c:v>
                </c:pt>
                <c:pt idx="14">
                  <c:v>44675</c:v>
                </c:pt>
                <c:pt idx="15">
                  <c:v>44676</c:v>
                </c:pt>
                <c:pt idx="16">
                  <c:v>44677</c:v>
                </c:pt>
                <c:pt idx="17">
                  <c:v>44678</c:v>
                </c:pt>
                <c:pt idx="18">
                  <c:v>44679</c:v>
                </c:pt>
                <c:pt idx="19">
                  <c:v>44682</c:v>
                </c:pt>
                <c:pt idx="20">
                  <c:v>44683</c:v>
                </c:pt>
                <c:pt idx="21">
                  <c:v>44684</c:v>
                </c:pt>
                <c:pt idx="22">
                  <c:v>44689</c:v>
                </c:pt>
                <c:pt idx="23">
                  <c:v>44690</c:v>
                </c:pt>
                <c:pt idx="24">
                  <c:v>44691</c:v>
                </c:pt>
                <c:pt idx="25">
                  <c:v>44692</c:v>
                </c:pt>
                <c:pt idx="26">
                  <c:v>44693</c:v>
                </c:pt>
                <c:pt idx="27">
                  <c:v>44696</c:v>
                </c:pt>
                <c:pt idx="28">
                  <c:v>44697</c:v>
                </c:pt>
                <c:pt idx="29">
                  <c:v>44698</c:v>
                </c:pt>
                <c:pt idx="30">
                  <c:v>44699</c:v>
                </c:pt>
                <c:pt idx="31">
                  <c:v>44700</c:v>
                </c:pt>
                <c:pt idx="32">
                  <c:v>44703</c:v>
                </c:pt>
                <c:pt idx="33">
                  <c:v>44704</c:v>
                </c:pt>
                <c:pt idx="34">
                  <c:v>44705</c:v>
                </c:pt>
                <c:pt idx="35">
                  <c:v>44706</c:v>
                </c:pt>
                <c:pt idx="36">
                  <c:v>44707</c:v>
                </c:pt>
                <c:pt idx="37">
                  <c:v>44710</c:v>
                </c:pt>
                <c:pt idx="38">
                  <c:v>44711</c:v>
                </c:pt>
                <c:pt idx="39">
                  <c:v>44712</c:v>
                </c:pt>
                <c:pt idx="40">
                  <c:v>44713</c:v>
                </c:pt>
                <c:pt idx="41">
                  <c:v>44714</c:v>
                </c:pt>
                <c:pt idx="42">
                  <c:v>44718</c:v>
                </c:pt>
                <c:pt idx="43">
                  <c:v>44719</c:v>
                </c:pt>
                <c:pt idx="44">
                  <c:v>44720</c:v>
                </c:pt>
                <c:pt idx="45">
                  <c:v>44721</c:v>
                </c:pt>
                <c:pt idx="46">
                  <c:v>44724</c:v>
                </c:pt>
                <c:pt idx="47">
                  <c:v>44725</c:v>
                </c:pt>
                <c:pt idx="48">
                  <c:v>44726</c:v>
                </c:pt>
                <c:pt idx="49">
                  <c:v>44727</c:v>
                </c:pt>
                <c:pt idx="50">
                  <c:v>44728</c:v>
                </c:pt>
                <c:pt idx="51">
                  <c:v>44731</c:v>
                </c:pt>
                <c:pt idx="52">
                  <c:v>44732</c:v>
                </c:pt>
                <c:pt idx="53">
                  <c:v>44733</c:v>
                </c:pt>
                <c:pt idx="54">
                  <c:v>44734</c:v>
                </c:pt>
                <c:pt idx="55">
                  <c:v>44735</c:v>
                </c:pt>
                <c:pt idx="56">
                  <c:v>44738</c:v>
                </c:pt>
                <c:pt idx="57">
                  <c:v>44739</c:v>
                </c:pt>
                <c:pt idx="58">
                  <c:v>44740</c:v>
                </c:pt>
                <c:pt idx="59">
                  <c:v>44741</c:v>
                </c:pt>
                <c:pt idx="60">
                  <c:v>44742</c:v>
                </c:pt>
                <c:pt idx="61">
                  <c:v>44745</c:v>
                </c:pt>
                <c:pt idx="62">
                  <c:v>44746</c:v>
                </c:pt>
                <c:pt idx="63">
                  <c:v>44747</c:v>
                </c:pt>
                <c:pt idx="64">
                  <c:v>44748</c:v>
                </c:pt>
                <c:pt idx="65">
                  <c:v>44749</c:v>
                </c:pt>
                <c:pt idx="66">
                  <c:v>44752</c:v>
                </c:pt>
                <c:pt idx="67">
                  <c:v>44753</c:v>
                </c:pt>
                <c:pt idx="68">
                  <c:v>44754</c:v>
                </c:pt>
                <c:pt idx="69">
                  <c:v>44755</c:v>
                </c:pt>
                <c:pt idx="70">
                  <c:v>44756</c:v>
                </c:pt>
                <c:pt idx="71">
                  <c:v>44759</c:v>
                </c:pt>
                <c:pt idx="72">
                  <c:v>44760</c:v>
                </c:pt>
                <c:pt idx="73">
                  <c:v>44761</c:v>
                </c:pt>
                <c:pt idx="74">
                  <c:v>44762</c:v>
                </c:pt>
                <c:pt idx="75">
                  <c:v>44763</c:v>
                </c:pt>
                <c:pt idx="76">
                  <c:v>44766</c:v>
                </c:pt>
                <c:pt idx="77">
                  <c:v>44767</c:v>
                </c:pt>
                <c:pt idx="78">
                  <c:v>44768</c:v>
                </c:pt>
                <c:pt idx="79">
                  <c:v>44769</c:v>
                </c:pt>
                <c:pt idx="80">
                  <c:v>44770</c:v>
                </c:pt>
                <c:pt idx="81">
                  <c:v>44773</c:v>
                </c:pt>
                <c:pt idx="82">
                  <c:v>44774</c:v>
                </c:pt>
                <c:pt idx="83">
                  <c:v>44775</c:v>
                </c:pt>
                <c:pt idx="84">
                  <c:v>44776</c:v>
                </c:pt>
                <c:pt idx="85">
                  <c:v>44777</c:v>
                </c:pt>
                <c:pt idx="86">
                  <c:v>44781</c:v>
                </c:pt>
                <c:pt idx="87">
                  <c:v>44782</c:v>
                </c:pt>
                <c:pt idx="88">
                  <c:v>44783</c:v>
                </c:pt>
                <c:pt idx="89">
                  <c:v>44784</c:v>
                </c:pt>
                <c:pt idx="90">
                  <c:v>44787</c:v>
                </c:pt>
                <c:pt idx="91">
                  <c:v>44788</c:v>
                </c:pt>
                <c:pt idx="92">
                  <c:v>44789</c:v>
                </c:pt>
                <c:pt idx="93">
                  <c:v>44790</c:v>
                </c:pt>
                <c:pt idx="94">
                  <c:v>44791</c:v>
                </c:pt>
                <c:pt idx="95">
                  <c:v>44794</c:v>
                </c:pt>
                <c:pt idx="96">
                  <c:v>44795</c:v>
                </c:pt>
                <c:pt idx="97">
                  <c:v>44796</c:v>
                </c:pt>
                <c:pt idx="98">
                  <c:v>44797</c:v>
                </c:pt>
                <c:pt idx="99">
                  <c:v>44798</c:v>
                </c:pt>
                <c:pt idx="100">
                  <c:v>44801</c:v>
                </c:pt>
                <c:pt idx="101">
                  <c:v>44802</c:v>
                </c:pt>
                <c:pt idx="102">
                  <c:v>44803</c:v>
                </c:pt>
                <c:pt idx="103">
                  <c:v>44804</c:v>
                </c:pt>
                <c:pt idx="104">
                  <c:v>44805</c:v>
                </c:pt>
                <c:pt idx="105">
                  <c:v>44808</c:v>
                </c:pt>
                <c:pt idx="106">
                  <c:v>44809</c:v>
                </c:pt>
                <c:pt idx="107">
                  <c:v>44810</c:v>
                </c:pt>
                <c:pt idx="108">
                  <c:v>44811</c:v>
                </c:pt>
                <c:pt idx="109">
                  <c:v>44812</c:v>
                </c:pt>
                <c:pt idx="110">
                  <c:v>44815</c:v>
                </c:pt>
              </c:numCache>
            </c:numRef>
          </c:cat>
          <c:val>
            <c:numRef>
              <c:f>מקור!$AZ$177:$AZ$287</c:f>
              <c:numCache>
                <c:formatCode>General</c:formatCode>
                <c:ptCount val="111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95.643939393939391</c:v>
                </c:pt>
                <c:pt idx="4">
                  <c:v>88.825757575757564</c:v>
                </c:pt>
                <c:pt idx="5">
                  <c:v>84.532828282828277</c:v>
                </c:pt>
                <c:pt idx="6">
                  <c:v>85.164141414141397</c:v>
                </c:pt>
                <c:pt idx="7">
                  <c:v>82.070707070707059</c:v>
                </c:pt>
                <c:pt idx="8">
                  <c:v>79.040404040404027</c:v>
                </c:pt>
                <c:pt idx="9">
                  <c:v>78.787878787878782</c:v>
                </c:pt>
                <c:pt idx="10">
                  <c:v>78.787878787878782</c:v>
                </c:pt>
                <c:pt idx="11">
                  <c:v>77.967171717171709</c:v>
                </c:pt>
                <c:pt idx="12">
                  <c:v>75.820707070707073</c:v>
                </c:pt>
                <c:pt idx="13">
                  <c:v>74.810606060606077</c:v>
                </c:pt>
                <c:pt idx="14">
                  <c:v>74.242424242424249</c:v>
                </c:pt>
                <c:pt idx="15">
                  <c:v>75</c:v>
                </c:pt>
                <c:pt idx="16">
                  <c:v>75</c:v>
                </c:pt>
                <c:pt idx="17">
                  <c:v>75</c:v>
                </c:pt>
                <c:pt idx="18">
                  <c:v>73.737373737373716</c:v>
                </c:pt>
                <c:pt idx="19">
                  <c:v>71.590909090909079</c:v>
                </c:pt>
                <c:pt idx="20">
                  <c:v>68.308080808080803</c:v>
                </c:pt>
                <c:pt idx="21">
                  <c:v>63.699494949494948</c:v>
                </c:pt>
                <c:pt idx="22">
                  <c:v>63.446969696969695</c:v>
                </c:pt>
                <c:pt idx="23">
                  <c:v>56.369949494949495</c:v>
                </c:pt>
                <c:pt idx="24">
                  <c:v>56.256313131313135</c:v>
                </c:pt>
                <c:pt idx="25">
                  <c:v>56.256313131313135</c:v>
                </c:pt>
                <c:pt idx="26">
                  <c:v>54.128787878787868</c:v>
                </c:pt>
                <c:pt idx="27">
                  <c:v>54.242424242424235</c:v>
                </c:pt>
                <c:pt idx="28">
                  <c:v>54.242424242424235</c:v>
                </c:pt>
                <c:pt idx="29">
                  <c:v>54.242424242424235</c:v>
                </c:pt>
                <c:pt idx="30">
                  <c:v>54.172979797979792</c:v>
                </c:pt>
                <c:pt idx="31">
                  <c:v>54.286616161616152</c:v>
                </c:pt>
                <c:pt idx="32">
                  <c:v>54.286616161616152</c:v>
                </c:pt>
                <c:pt idx="33">
                  <c:v>53.882575757575751</c:v>
                </c:pt>
                <c:pt idx="34">
                  <c:v>53.933080808080803</c:v>
                </c:pt>
                <c:pt idx="35">
                  <c:v>54.76010101010101</c:v>
                </c:pt>
                <c:pt idx="36">
                  <c:v>55.965909090909093</c:v>
                </c:pt>
                <c:pt idx="37">
                  <c:v>56.256313131313135</c:v>
                </c:pt>
                <c:pt idx="38">
                  <c:v>56.256313131313135</c:v>
                </c:pt>
                <c:pt idx="39">
                  <c:v>56.256313131313135</c:v>
                </c:pt>
                <c:pt idx="40">
                  <c:v>43.724747474747474</c:v>
                </c:pt>
                <c:pt idx="41">
                  <c:v>44.981060606060602</c:v>
                </c:pt>
                <c:pt idx="42">
                  <c:v>44.097222222222214</c:v>
                </c:pt>
                <c:pt idx="43">
                  <c:v>42.380050505050491</c:v>
                </c:pt>
                <c:pt idx="44">
                  <c:v>42.992424242424228</c:v>
                </c:pt>
                <c:pt idx="45">
                  <c:v>43.762626262626249</c:v>
                </c:pt>
                <c:pt idx="46">
                  <c:v>42.866161616161591</c:v>
                </c:pt>
                <c:pt idx="47">
                  <c:v>41.5972222222222</c:v>
                </c:pt>
                <c:pt idx="48">
                  <c:v>43.705808080808055</c:v>
                </c:pt>
                <c:pt idx="49">
                  <c:v>42.594696969696955</c:v>
                </c:pt>
                <c:pt idx="50">
                  <c:v>42.594696969696955</c:v>
                </c:pt>
                <c:pt idx="51">
                  <c:v>42.594696969696955</c:v>
                </c:pt>
                <c:pt idx="52">
                  <c:v>42.594696969696955</c:v>
                </c:pt>
                <c:pt idx="53">
                  <c:v>18.939393939393934</c:v>
                </c:pt>
                <c:pt idx="54">
                  <c:v>18.939393939393934</c:v>
                </c:pt>
                <c:pt idx="55">
                  <c:v>18.939393939393934</c:v>
                </c:pt>
                <c:pt idx="56">
                  <c:v>18.939393939393934</c:v>
                </c:pt>
                <c:pt idx="57">
                  <c:v>18.939393939393934</c:v>
                </c:pt>
                <c:pt idx="58">
                  <c:v>18.939393939393934</c:v>
                </c:pt>
                <c:pt idx="59">
                  <c:v>18.939393939393934</c:v>
                </c:pt>
                <c:pt idx="60">
                  <c:v>18.939393939393934</c:v>
                </c:pt>
                <c:pt idx="61">
                  <c:v>18.939393939393934</c:v>
                </c:pt>
                <c:pt idx="62">
                  <c:v>18.939393939393934</c:v>
                </c:pt>
                <c:pt idx="63">
                  <c:v>18.939393939393934</c:v>
                </c:pt>
                <c:pt idx="64">
                  <c:v>18.939393939393934</c:v>
                </c:pt>
                <c:pt idx="65">
                  <c:v>18.939393939393934</c:v>
                </c:pt>
                <c:pt idx="66">
                  <c:v>18.939393939393934</c:v>
                </c:pt>
                <c:pt idx="67">
                  <c:v>18.939393939393934</c:v>
                </c:pt>
                <c:pt idx="68">
                  <c:v>18.939393939393934</c:v>
                </c:pt>
                <c:pt idx="69">
                  <c:v>18.939393939393934</c:v>
                </c:pt>
                <c:pt idx="70">
                  <c:v>18.939393939393934</c:v>
                </c:pt>
                <c:pt idx="71">
                  <c:v>18.939393939393934</c:v>
                </c:pt>
                <c:pt idx="72">
                  <c:v>18.939393939393934</c:v>
                </c:pt>
                <c:pt idx="73">
                  <c:v>18.939393939393934</c:v>
                </c:pt>
                <c:pt idx="74">
                  <c:v>18.939393939393934</c:v>
                </c:pt>
                <c:pt idx="75">
                  <c:v>18.939393939393934</c:v>
                </c:pt>
                <c:pt idx="76">
                  <c:v>18.939393939393934</c:v>
                </c:pt>
                <c:pt idx="77">
                  <c:v>18.939393939393934</c:v>
                </c:pt>
                <c:pt idx="78">
                  <c:v>18.939393939393934</c:v>
                </c:pt>
                <c:pt idx="79">
                  <c:v>18.939393939393934</c:v>
                </c:pt>
                <c:pt idx="80">
                  <c:v>18.939393939393934</c:v>
                </c:pt>
                <c:pt idx="81">
                  <c:v>18.939393939393934</c:v>
                </c:pt>
                <c:pt idx="82">
                  <c:v>18.939393939393934</c:v>
                </c:pt>
                <c:pt idx="83">
                  <c:v>18.939393939393934</c:v>
                </c:pt>
                <c:pt idx="84">
                  <c:v>18.939393939393934</c:v>
                </c:pt>
                <c:pt idx="85">
                  <c:v>18.939393939393934</c:v>
                </c:pt>
                <c:pt idx="86">
                  <c:v>18.939393939393934</c:v>
                </c:pt>
                <c:pt idx="87">
                  <c:v>18.939393939393934</c:v>
                </c:pt>
                <c:pt idx="88">
                  <c:v>18.939393939393934</c:v>
                </c:pt>
                <c:pt idx="89">
                  <c:v>18.939393939393934</c:v>
                </c:pt>
                <c:pt idx="90">
                  <c:v>18.939393939393934</c:v>
                </c:pt>
                <c:pt idx="91">
                  <c:v>18.939393939393934</c:v>
                </c:pt>
                <c:pt idx="92">
                  <c:v>18.939393939393934</c:v>
                </c:pt>
                <c:pt idx="93">
                  <c:v>18.939393939393934</c:v>
                </c:pt>
                <c:pt idx="94">
                  <c:v>18.939393939393934</c:v>
                </c:pt>
                <c:pt idx="95">
                  <c:v>18.939393939393934</c:v>
                </c:pt>
                <c:pt idx="96">
                  <c:v>18.939393939393934</c:v>
                </c:pt>
                <c:pt idx="97">
                  <c:v>18.939393939393934</c:v>
                </c:pt>
                <c:pt idx="98">
                  <c:v>18.939393939393934</c:v>
                </c:pt>
                <c:pt idx="99">
                  <c:v>18.939393939393934</c:v>
                </c:pt>
                <c:pt idx="100">
                  <c:v>18.939393939393934</c:v>
                </c:pt>
                <c:pt idx="101">
                  <c:v>18.939393939393934</c:v>
                </c:pt>
                <c:pt idx="102">
                  <c:v>18.939393939393934</c:v>
                </c:pt>
                <c:pt idx="103">
                  <c:v>18.939393939393934</c:v>
                </c:pt>
                <c:pt idx="104">
                  <c:v>18.939393939393934</c:v>
                </c:pt>
                <c:pt idx="105">
                  <c:v>18.939393939393934</c:v>
                </c:pt>
                <c:pt idx="106">
                  <c:v>18.939393939393934</c:v>
                </c:pt>
                <c:pt idx="107">
                  <c:v>18.939393939393934</c:v>
                </c:pt>
                <c:pt idx="108">
                  <c:v>18.939393939393934</c:v>
                </c:pt>
                <c:pt idx="109">
                  <c:v>18.939393939393934</c:v>
                </c:pt>
                <c:pt idx="110">
                  <c:v>18.939393939393934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836-45EA-9CD0-87ABB95A6AB7}"/>
            </c:ext>
          </c:extLst>
        </c:ser>
        <c:ser>
          <c:idx val="1"/>
          <c:order val="1"/>
          <c:tx>
            <c:strRef>
              <c:f>מקור!$BA$176</c:f>
              <c:strCache>
                <c:ptCount val="1"/>
                <c:pt idx="0">
                  <c:v>מניית גיבוי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מקור!$AY$177:$AY$287</c:f>
              <c:numCache>
                <c:formatCode>dd/mm/yy</c:formatCode>
                <c:ptCount val="111"/>
                <c:pt idx="0">
                  <c:v>44654</c:v>
                </c:pt>
                <c:pt idx="1">
                  <c:v>44655</c:v>
                </c:pt>
                <c:pt idx="2">
                  <c:v>44656</c:v>
                </c:pt>
                <c:pt idx="3">
                  <c:v>44657</c:v>
                </c:pt>
                <c:pt idx="4">
                  <c:v>44658</c:v>
                </c:pt>
                <c:pt idx="5">
                  <c:v>44661</c:v>
                </c:pt>
                <c:pt idx="6">
                  <c:v>44662</c:v>
                </c:pt>
                <c:pt idx="7">
                  <c:v>44663</c:v>
                </c:pt>
                <c:pt idx="8">
                  <c:v>44664</c:v>
                </c:pt>
                <c:pt idx="9">
                  <c:v>44665</c:v>
                </c:pt>
                <c:pt idx="10">
                  <c:v>44668</c:v>
                </c:pt>
                <c:pt idx="11">
                  <c:v>44669</c:v>
                </c:pt>
                <c:pt idx="12">
                  <c:v>44670</c:v>
                </c:pt>
                <c:pt idx="13">
                  <c:v>44671</c:v>
                </c:pt>
                <c:pt idx="14">
                  <c:v>44675</c:v>
                </c:pt>
                <c:pt idx="15">
                  <c:v>44676</c:v>
                </c:pt>
                <c:pt idx="16">
                  <c:v>44677</c:v>
                </c:pt>
                <c:pt idx="17">
                  <c:v>44678</c:v>
                </c:pt>
                <c:pt idx="18">
                  <c:v>44679</c:v>
                </c:pt>
                <c:pt idx="19">
                  <c:v>44682</c:v>
                </c:pt>
                <c:pt idx="20">
                  <c:v>44683</c:v>
                </c:pt>
                <c:pt idx="21">
                  <c:v>44684</c:v>
                </c:pt>
                <c:pt idx="22">
                  <c:v>44689</c:v>
                </c:pt>
                <c:pt idx="23">
                  <c:v>44690</c:v>
                </c:pt>
                <c:pt idx="24">
                  <c:v>44691</c:v>
                </c:pt>
                <c:pt idx="25">
                  <c:v>44692</c:v>
                </c:pt>
                <c:pt idx="26">
                  <c:v>44693</c:v>
                </c:pt>
                <c:pt idx="27">
                  <c:v>44696</c:v>
                </c:pt>
                <c:pt idx="28">
                  <c:v>44697</c:v>
                </c:pt>
                <c:pt idx="29">
                  <c:v>44698</c:v>
                </c:pt>
                <c:pt idx="30">
                  <c:v>44699</c:v>
                </c:pt>
                <c:pt idx="31">
                  <c:v>44700</c:v>
                </c:pt>
                <c:pt idx="32">
                  <c:v>44703</c:v>
                </c:pt>
                <c:pt idx="33">
                  <c:v>44704</c:v>
                </c:pt>
                <c:pt idx="34">
                  <c:v>44705</c:v>
                </c:pt>
                <c:pt idx="35">
                  <c:v>44706</c:v>
                </c:pt>
                <c:pt idx="36">
                  <c:v>44707</c:v>
                </c:pt>
                <c:pt idx="37">
                  <c:v>44710</c:v>
                </c:pt>
                <c:pt idx="38">
                  <c:v>44711</c:v>
                </c:pt>
                <c:pt idx="39">
                  <c:v>44712</c:v>
                </c:pt>
                <c:pt idx="40">
                  <c:v>44713</c:v>
                </c:pt>
                <c:pt idx="41">
                  <c:v>44714</c:v>
                </c:pt>
                <c:pt idx="42">
                  <c:v>44718</c:v>
                </c:pt>
                <c:pt idx="43">
                  <c:v>44719</c:v>
                </c:pt>
                <c:pt idx="44">
                  <c:v>44720</c:v>
                </c:pt>
                <c:pt idx="45">
                  <c:v>44721</c:v>
                </c:pt>
                <c:pt idx="46">
                  <c:v>44724</c:v>
                </c:pt>
                <c:pt idx="47">
                  <c:v>44725</c:v>
                </c:pt>
                <c:pt idx="48">
                  <c:v>44726</c:v>
                </c:pt>
                <c:pt idx="49">
                  <c:v>44727</c:v>
                </c:pt>
                <c:pt idx="50">
                  <c:v>44728</c:v>
                </c:pt>
                <c:pt idx="51">
                  <c:v>44731</c:v>
                </c:pt>
                <c:pt idx="52">
                  <c:v>44732</c:v>
                </c:pt>
                <c:pt idx="53">
                  <c:v>44733</c:v>
                </c:pt>
                <c:pt idx="54">
                  <c:v>44734</c:v>
                </c:pt>
                <c:pt idx="55">
                  <c:v>44735</c:v>
                </c:pt>
                <c:pt idx="56">
                  <c:v>44738</c:v>
                </c:pt>
                <c:pt idx="57">
                  <c:v>44739</c:v>
                </c:pt>
                <c:pt idx="58">
                  <c:v>44740</c:v>
                </c:pt>
                <c:pt idx="59">
                  <c:v>44741</c:v>
                </c:pt>
                <c:pt idx="60">
                  <c:v>44742</c:v>
                </c:pt>
                <c:pt idx="61">
                  <c:v>44745</c:v>
                </c:pt>
                <c:pt idx="62">
                  <c:v>44746</c:v>
                </c:pt>
                <c:pt idx="63">
                  <c:v>44747</c:v>
                </c:pt>
                <c:pt idx="64">
                  <c:v>44748</c:v>
                </c:pt>
                <c:pt idx="65">
                  <c:v>44749</c:v>
                </c:pt>
                <c:pt idx="66">
                  <c:v>44752</c:v>
                </c:pt>
                <c:pt idx="67">
                  <c:v>44753</c:v>
                </c:pt>
                <c:pt idx="68">
                  <c:v>44754</c:v>
                </c:pt>
                <c:pt idx="69">
                  <c:v>44755</c:v>
                </c:pt>
                <c:pt idx="70">
                  <c:v>44756</c:v>
                </c:pt>
                <c:pt idx="71">
                  <c:v>44759</c:v>
                </c:pt>
                <c:pt idx="72">
                  <c:v>44760</c:v>
                </c:pt>
                <c:pt idx="73">
                  <c:v>44761</c:v>
                </c:pt>
                <c:pt idx="74">
                  <c:v>44762</c:v>
                </c:pt>
                <c:pt idx="75">
                  <c:v>44763</c:v>
                </c:pt>
                <c:pt idx="76">
                  <c:v>44766</c:v>
                </c:pt>
                <c:pt idx="77">
                  <c:v>44767</c:v>
                </c:pt>
                <c:pt idx="78">
                  <c:v>44768</c:v>
                </c:pt>
                <c:pt idx="79">
                  <c:v>44769</c:v>
                </c:pt>
                <c:pt idx="80">
                  <c:v>44770</c:v>
                </c:pt>
                <c:pt idx="81">
                  <c:v>44773</c:v>
                </c:pt>
                <c:pt idx="82">
                  <c:v>44774</c:v>
                </c:pt>
                <c:pt idx="83">
                  <c:v>44775</c:v>
                </c:pt>
                <c:pt idx="84">
                  <c:v>44776</c:v>
                </c:pt>
                <c:pt idx="85">
                  <c:v>44777</c:v>
                </c:pt>
                <c:pt idx="86">
                  <c:v>44781</c:v>
                </c:pt>
                <c:pt idx="87">
                  <c:v>44782</c:v>
                </c:pt>
                <c:pt idx="88">
                  <c:v>44783</c:v>
                </c:pt>
                <c:pt idx="89">
                  <c:v>44784</c:v>
                </c:pt>
                <c:pt idx="90">
                  <c:v>44787</c:v>
                </c:pt>
                <c:pt idx="91">
                  <c:v>44788</c:v>
                </c:pt>
                <c:pt idx="92">
                  <c:v>44789</c:v>
                </c:pt>
                <c:pt idx="93">
                  <c:v>44790</c:v>
                </c:pt>
                <c:pt idx="94">
                  <c:v>44791</c:v>
                </c:pt>
                <c:pt idx="95">
                  <c:v>44794</c:v>
                </c:pt>
                <c:pt idx="96">
                  <c:v>44795</c:v>
                </c:pt>
                <c:pt idx="97">
                  <c:v>44796</c:v>
                </c:pt>
                <c:pt idx="98">
                  <c:v>44797</c:v>
                </c:pt>
                <c:pt idx="99">
                  <c:v>44798</c:v>
                </c:pt>
                <c:pt idx="100">
                  <c:v>44801</c:v>
                </c:pt>
                <c:pt idx="101">
                  <c:v>44802</c:v>
                </c:pt>
                <c:pt idx="102">
                  <c:v>44803</c:v>
                </c:pt>
                <c:pt idx="103">
                  <c:v>44804</c:v>
                </c:pt>
                <c:pt idx="104">
                  <c:v>44805</c:v>
                </c:pt>
                <c:pt idx="105">
                  <c:v>44808</c:v>
                </c:pt>
                <c:pt idx="106">
                  <c:v>44809</c:v>
                </c:pt>
                <c:pt idx="107">
                  <c:v>44810</c:v>
                </c:pt>
                <c:pt idx="108">
                  <c:v>44811</c:v>
                </c:pt>
                <c:pt idx="109">
                  <c:v>44812</c:v>
                </c:pt>
                <c:pt idx="110">
                  <c:v>44815</c:v>
                </c:pt>
              </c:numCache>
            </c:numRef>
          </c:cat>
          <c:val>
            <c:numRef>
              <c:f>מקור!$BA$177:$BA$287</c:f>
              <c:numCache>
                <c:formatCode>General</c:formatCode>
                <c:ptCount val="111"/>
                <c:pt idx="0">
                  <c:v>100</c:v>
                </c:pt>
                <c:pt idx="1">
                  <c:v>101.24223602484473</c:v>
                </c:pt>
                <c:pt idx="2">
                  <c:v>101.78571428571429</c:v>
                </c:pt>
                <c:pt idx="3">
                  <c:v>101.63043478260869</c:v>
                </c:pt>
                <c:pt idx="4">
                  <c:v>101.63043478260869</c:v>
                </c:pt>
                <c:pt idx="5">
                  <c:v>101.08695652173913</c:v>
                </c:pt>
                <c:pt idx="6">
                  <c:v>99.301242236024848</c:v>
                </c:pt>
                <c:pt idx="7">
                  <c:v>99.378881987577643</c:v>
                </c:pt>
                <c:pt idx="8">
                  <c:v>99.378881987577643</c:v>
                </c:pt>
                <c:pt idx="9">
                  <c:v>99.301242236024848</c:v>
                </c:pt>
                <c:pt idx="10">
                  <c:v>99.301242236024848</c:v>
                </c:pt>
                <c:pt idx="11">
                  <c:v>99.06832298136645</c:v>
                </c:pt>
                <c:pt idx="12">
                  <c:v>97.515527950310542</c:v>
                </c:pt>
                <c:pt idx="13">
                  <c:v>97.049689440993774</c:v>
                </c:pt>
                <c:pt idx="14">
                  <c:v>94.720496894409933</c:v>
                </c:pt>
                <c:pt idx="15">
                  <c:v>95.652173913043484</c:v>
                </c:pt>
                <c:pt idx="16">
                  <c:v>94.487577639751564</c:v>
                </c:pt>
                <c:pt idx="17">
                  <c:v>96.273291925465841</c:v>
                </c:pt>
                <c:pt idx="18">
                  <c:v>98.136645962732914</c:v>
                </c:pt>
                <c:pt idx="19">
                  <c:v>100.46583850931675</c:v>
                </c:pt>
                <c:pt idx="20">
                  <c:v>96.428571428571402</c:v>
                </c:pt>
                <c:pt idx="21">
                  <c:v>96.428571428571402</c:v>
                </c:pt>
                <c:pt idx="22">
                  <c:v>93.71118012422356</c:v>
                </c:pt>
                <c:pt idx="23">
                  <c:v>89.208074534161454</c:v>
                </c:pt>
                <c:pt idx="24">
                  <c:v>86.413043478260818</c:v>
                </c:pt>
                <c:pt idx="25">
                  <c:v>89.130434782608646</c:v>
                </c:pt>
                <c:pt idx="26">
                  <c:v>87.422360248447163</c:v>
                </c:pt>
                <c:pt idx="27">
                  <c:v>87.732919254658341</c:v>
                </c:pt>
                <c:pt idx="28">
                  <c:v>88.897515527950262</c:v>
                </c:pt>
                <c:pt idx="29">
                  <c:v>93.400621118012367</c:v>
                </c:pt>
                <c:pt idx="30">
                  <c:v>77.220496894409905</c:v>
                </c:pt>
                <c:pt idx="31">
                  <c:v>75.388198757763945</c:v>
                </c:pt>
                <c:pt idx="32">
                  <c:v>76.024844720496873</c:v>
                </c:pt>
                <c:pt idx="33">
                  <c:v>74.417701863354011</c:v>
                </c:pt>
                <c:pt idx="34">
                  <c:v>73.88198757763972</c:v>
                </c:pt>
                <c:pt idx="35">
                  <c:v>68.330745341614872</c:v>
                </c:pt>
                <c:pt idx="36">
                  <c:v>67.04968944099376</c:v>
                </c:pt>
                <c:pt idx="37">
                  <c:v>66.995341614906792</c:v>
                </c:pt>
                <c:pt idx="38">
                  <c:v>69.099378881987533</c:v>
                </c:pt>
                <c:pt idx="39">
                  <c:v>66.149068322981321</c:v>
                </c:pt>
                <c:pt idx="40">
                  <c:v>67.391304347826051</c:v>
                </c:pt>
                <c:pt idx="41">
                  <c:v>65.854037267080699</c:v>
                </c:pt>
                <c:pt idx="42">
                  <c:v>65.667701863353983</c:v>
                </c:pt>
                <c:pt idx="43">
                  <c:v>67.204968944099335</c:v>
                </c:pt>
                <c:pt idx="44">
                  <c:v>65.830745341614858</c:v>
                </c:pt>
                <c:pt idx="45">
                  <c:v>65.838509316770129</c:v>
                </c:pt>
                <c:pt idx="46">
                  <c:v>64.992236024844672</c:v>
                </c:pt>
                <c:pt idx="47">
                  <c:v>63.082298136645917</c:v>
                </c:pt>
                <c:pt idx="48">
                  <c:v>59.736024844720454</c:v>
                </c:pt>
                <c:pt idx="49">
                  <c:v>60.163043478260825</c:v>
                </c:pt>
                <c:pt idx="50">
                  <c:v>56.529503105590031</c:v>
                </c:pt>
                <c:pt idx="51">
                  <c:v>57.282608695652144</c:v>
                </c:pt>
                <c:pt idx="52">
                  <c:v>57.577639751552766</c:v>
                </c:pt>
                <c:pt idx="53">
                  <c:v>60.636645962732885</c:v>
                </c:pt>
                <c:pt idx="54">
                  <c:v>60.597826086956481</c:v>
                </c:pt>
                <c:pt idx="55">
                  <c:v>61.684782608695613</c:v>
                </c:pt>
                <c:pt idx="56">
                  <c:v>62.166149068322945</c:v>
                </c:pt>
                <c:pt idx="57">
                  <c:v>62.554347826086918</c:v>
                </c:pt>
                <c:pt idx="58">
                  <c:v>63.765527950310513</c:v>
                </c:pt>
                <c:pt idx="59">
                  <c:v>63.299689440993745</c:v>
                </c:pt>
                <c:pt idx="60">
                  <c:v>63.299689440993745</c:v>
                </c:pt>
                <c:pt idx="61">
                  <c:v>63.299689440993745</c:v>
                </c:pt>
                <c:pt idx="62">
                  <c:v>31.055900621117996</c:v>
                </c:pt>
                <c:pt idx="63">
                  <c:v>31.055900621117996</c:v>
                </c:pt>
                <c:pt idx="64">
                  <c:v>31.055900621117996</c:v>
                </c:pt>
                <c:pt idx="65">
                  <c:v>31.055900621117996</c:v>
                </c:pt>
                <c:pt idx="66">
                  <c:v>32.927018633540357</c:v>
                </c:pt>
                <c:pt idx="67">
                  <c:v>31.009316770186317</c:v>
                </c:pt>
                <c:pt idx="68">
                  <c:v>24.029503105590049</c:v>
                </c:pt>
                <c:pt idx="69">
                  <c:v>22.422360248447191</c:v>
                </c:pt>
                <c:pt idx="70">
                  <c:v>23.4394409937888</c:v>
                </c:pt>
                <c:pt idx="71">
                  <c:v>22.360248447204953</c:v>
                </c:pt>
                <c:pt idx="72">
                  <c:v>22.50776397515526</c:v>
                </c:pt>
                <c:pt idx="73">
                  <c:v>22.779503105590042</c:v>
                </c:pt>
                <c:pt idx="74">
                  <c:v>23.276397515527936</c:v>
                </c:pt>
                <c:pt idx="75">
                  <c:v>23.641304347826072</c:v>
                </c:pt>
                <c:pt idx="76">
                  <c:v>23.641304347826072</c:v>
                </c:pt>
                <c:pt idx="77">
                  <c:v>22.841614906832284</c:v>
                </c:pt>
                <c:pt idx="78">
                  <c:v>21.498447204968929</c:v>
                </c:pt>
                <c:pt idx="79">
                  <c:v>21.801242236024834</c:v>
                </c:pt>
                <c:pt idx="80">
                  <c:v>22.282608695652161</c:v>
                </c:pt>
                <c:pt idx="81">
                  <c:v>22.406832298136635</c:v>
                </c:pt>
                <c:pt idx="82">
                  <c:v>22.220496894409923</c:v>
                </c:pt>
                <c:pt idx="83">
                  <c:v>22.267080745341602</c:v>
                </c:pt>
                <c:pt idx="84">
                  <c:v>23.400621118012406</c:v>
                </c:pt>
                <c:pt idx="85">
                  <c:v>22.13509316770185</c:v>
                </c:pt>
                <c:pt idx="86">
                  <c:v>22.057453416149055</c:v>
                </c:pt>
                <c:pt idx="87">
                  <c:v>21.343167701863333</c:v>
                </c:pt>
                <c:pt idx="88">
                  <c:v>21.560559006211161</c:v>
                </c:pt>
                <c:pt idx="89">
                  <c:v>21.281055900621098</c:v>
                </c:pt>
                <c:pt idx="90">
                  <c:v>18.144409937888181</c:v>
                </c:pt>
                <c:pt idx="91">
                  <c:v>16.832298136645946</c:v>
                </c:pt>
                <c:pt idx="92">
                  <c:v>16.436335403726691</c:v>
                </c:pt>
                <c:pt idx="93">
                  <c:v>17.127329192546568</c:v>
                </c:pt>
                <c:pt idx="94">
                  <c:v>16.475155279503092</c:v>
                </c:pt>
                <c:pt idx="95">
                  <c:v>16.53726708074533</c:v>
                </c:pt>
                <c:pt idx="96">
                  <c:v>10.458074534161485</c:v>
                </c:pt>
                <c:pt idx="97">
                  <c:v>10.271739130434783</c:v>
                </c:pt>
                <c:pt idx="98">
                  <c:v>9.6894409937888195</c:v>
                </c:pt>
                <c:pt idx="99">
                  <c:v>9.4409937888198741</c:v>
                </c:pt>
                <c:pt idx="100">
                  <c:v>9.7360248447204949</c:v>
                </c:pt>
                <c:pt idx="101">
                  <c:v>9.2313664596273277</c:v>
                </c:pt>
                <c:pt idx="102">
                  <c:v>9.3711180124223592</c:v>
                </c:pt>
                <c:pt idx="103">
                  <c:v>9.3866459627329188</c:v>
                </c:pt>
                <c:pt idx="104">
                  <c:v>8.1211180124223592</c:v>
                </c:pt>
                <c:pt idx="105">
                  <c:v>8.6723602484472035</c:v>
                </c:pt>
                <c:pt idx="106">
                  <c:v>9.1692546583850909</c:v>
                </c:pt>
                <c:pt idx="107">
                  <c:v>8.9363354037267051</c:v>
                </c:pt>
                <c:pt idx="108">
                  <c:v>9.8602484472049667</c:v>
                </c:pt>
                <c:pt idx="109">
                  <c:v>9.7127329192546554</c:v>
                </c:pt>
                <c:pt idx="110">
                  <c:v>9.7127329192546554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836-45EA-9CD0-87ABB95A6A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4750008"/>
        <c:axId val="564752960"/>
      </c:lineChart>
      <c:lineChart>
        <c:grouping val="standard"/>
        <c:varyColors val="0"/>
        <c:ser>
          <c:idx val="2"/>
          <c:order val="2"/>
          <c:tx>
            <c:strRef>
              <c:f>מקור!$BB$176</c:f>
              <c:strCache>
                <c:ptCount val="1"/>
                <c:pt idx="0">
                  <c:v>תשואות יונט (ציר ימני)</c:v>
                </c:pt>
              </c:strCache>
            </c:strRef>
          </c:tx>
          <c:spPr>
            <a:ln w="28575" cap="rnd">
              <a:solidFill>
                <a:schemeClr val="accent5"/>
              </a:solidFill>
              <a:prstDash val="sysDot"/>
              <a:round/>
            </a:ln>
            <a:effectLst/>
          </c:spPr>
          <c:marker>
            <c:symbol val="none"/>
          </c:marker>
          <c:cat>
            <c:numRef>
              <c:f>מקור!$AY$177:$AY$287</c:f>
              <c:numCache>
                <c:formatCode>dd/mm/yy</c:formatCode>
                <c:ptCount val="111"/>
                <c:pt idx="0">
                  <c:v>44654</c:v>
                </c:pt>
                <c:pt idx="1">
                  <c:v>44655</c:v>
                </c:pt>
                <c:pt idx="2">
                  <c:v>44656</c:v>
                </c:pt>
                <c:pt idx="3">
                  <c:v>44657</c:v>
                </c:pt>
                <c:pt idx="4">
                  <c:v>44658</c:v>
                </c:pt>
                <c:pt idx="5">
                  <c:v>44661</c:v>
                </c:pt>
                <c:pt idx="6">
                  <c:v>44662</c:v>
                </c:pt>
                <c:pt idx="7">
                  <c:v>44663</c:v>
                </c:pt>
                <c:pt idx="8">
                  <c:v>44664</c:v>
                </c:pt>
                <c:pt idx="9">
                  <c:v>44665</c:v>
                </c:pt>
                <c:pt idx="10">
                  <c:v>44668</c:v>
                </c:pt>
                <c:pt idx="11">
                  <c:v>44669</c:v>
                </c:pt>
                <c:pt idx="12">
                  <c:v>44670</c:v>
                </c:pt>
                <c:pt idx="13">
                  <c:v>44671</c:v>
                </c:pt>
                <c:pt idx="14">
                  <c:v>44675</c:v>
                </c:pt>
                <c:pt idx="15">
                  <c:v>44676</c:v>
                </c:pt>
                <c:pt idx="16">
                  <c:v>44677</c:v>
                </c:pt>
                <c:pt idx="17">
                  <c:v>44678</c:v>
                </c:pt>
                <c:pt idx="18">
                  <c:v>44679</c:v>
                </c:pt>
                <c:pt idx="19">
                  <c:v>44682</c:v>
                </c:pt>
                <c:pt idx="20">
                  <c:v>44683</c:v>
                </c:pt>
                <c:pt idx="21">
                  <c:v>44684</c:v>
                </c:pt>
                <c:pt idx="22">
                  <c:v>44689</c:v>
                </c:pt>
                <c:pt idx="23">
                  <c:v>44690</c:v>
                </c:pt>
                <c:pt idx="24">
                  <c:v>44691</c:v>
                </c:pt>
                <c:pt idx="25">
                  <c:v>44692</c:v>
                </c:pt>
                <c:pt idx="26">
                  <c:v>44693</c:v>
                </c:pt>
                <c:pt idx="27">
                  <c:v>44696</c:v>
                </c:pt>
                <c:pt idx="28">
                  <c:v>44697</c:v>
                </c:pt>
                <c:pt idx="29">
                  <c:v>44698</c:v>
                </c:pt>
                <c:pt idx="30">
                  <c:v>44699</c:v>
                </c:pt>
                <c:pt idx="31">
                  <c:v>44700</c:v>
                </c:pt>
                <c:pt idx="32">
                  <c:v>44703</c:v>
                </c:pt>
                <c:pt idx="33">
                  <c:v>44704</c:v>
                </c:pt>
                <c:pt idx="34">
                  <c:v>44705</c:v>
                </c:pt>
                <c:pt idx="35">
                  <c:v>44706</c:v>
                </c:pt>
                <c:pt idx="36">
                  <c:v>44707</c:v>
                </c:pt>
                <c:pt idx="37">
                  <c:v>44710</c:v>
                </c:pt>
                <c:pt idx="38">
                  <c:v>44711</c:v>
                </c:pt>
                <c:pt idx="39">
                  <c:v>44712</c:v>
                </c:pt>
                <c:pt idx="40">
                  <c:v>44713</c:v>
                </c:pt>
                <c:pt idx="41">
                  <c:v>44714</c:v>
                </c:pt>
                <c:pt idx="42">
                  <c:v>44718</c:v>
                </c:pt>
                <c:pt idx="43">
                  <c:v>44719</c:v>
                </c:pt>
                <c:pt idx="44">
                  <c:v>44720</c:v>
                </c:pt>
                <c:pt idx="45">
                  <c:v>44721</c:v>
                </c:pt>
                <c:pt idx="46">
                  <c:v>44724</c:v>
                </c:pt>
                <c:pt idx="47">
                  <c:v>44725</c:v>
                </c:pt>
                <c:pt idx="48">
                  <c:v>44726</c:v>
                </c:pt>
                <c:pt idx="49">
                  <c:v>44727</c:v>
                </c:pt>
                <c:pt idx="50">
                  <c:v>44728</c:v>
                </c:pt>
                <c:pt idx="51">
                  <c:v>44731</c:v>
                </c:pt>
                <c:pt idx="52">
                  <c:v>44732</c:v>
                </c:pt>
                <c:pt idx="53">
                  <c:v>44733</c:v>
                </c:pt>
                <c:pt idx="54">
                  <c:v>44734</c:v>
                </c:pt>
                <c:pt idx="55">
                  <c:v>44735</c:v>
                </c:pt>
                <c:pt idx="56">
                  <c:v>44738</c:v>
                </c:pt>
                <c:pt idx="57">
                  <c:v>44739</c:v>
                </c:pt>
                <c:pt idx="58">
                  <c:v>44740</c:v>
                </c:pt>
                <c:pt idx="59">
                  <c:v>44741</c:v>
                </c:pt>
                <c:pt idx="60">
                  <c:v>44742</c:v>
                </c:pt>
                <c:pt idx="61">
                  <c:v>44745</c:v>
                </c:pt>
                <c:pt idx="62">
                  <c:v>44746</c:v>
                </c:pt>
                <c:pt idx="63">
                  <c:v>44747</c:v>
                </c:pt>
                <c:pt idx="64">
                  <c:v>44748</c:v>
                </c:pt>
                <c:pt idx="65">
                  <c:v>44749</c:v>
                </c:pt>
                <c:pt idx="66">
                  <c:v>44752</c:v>
                </c:pt>
                <c:pt idx="67">
                  <c:v>44753</c:v>
                </c:pt>
                <c:pt idx="68">
                  <c:v>44754</c:v>
                </c:pt>
                <c:pt idx="69">
                  <c:v>44755</c:v>
                </c:pt>
                <c:pt idx="70">
                  <c:v>44756</c:v>
                </c:pt>
                <c:pt idx="71">
                  <c:v>44759</c:v>
                </c:pt>
                <c:pt idx="72">
                  <c:v>44760</c:v>
                </c:pt>
                <c:pt idx="73">
                  <c:v>44761</c:v>
                </c:pt>
                <c:pt idx="74">
                  <c:v>44762</c:v>
                </c:pt>
                <c:pt idx="75">
                  <c:v>44763</c:v>
                </c:pt>
                <c:pt idx="76">
                  <c:v>44766</c:v>
                </c:pt>
                <c:pt idx="77">
                  <c:v>44767</c:v>
                </c:pt>
                <c:pt idx="78">
                  <c:v>44768</c:v>
                </c:pt>
                <c:pt idx="79">
                  <c:v>44769</c:v>
                </c:pt>
                <c:pt idx="80">
                  <c:v>44770</c:v>
                </c:pt>
                <c:pt idx="81">
                  <c:v>44773</c:v>
                </c:pt>
                <c:pt idx="82">
                  <c:v>44774</c:v>
                </c:pt>
                <c:pt idx="83">
                  <c:v>44775</c:v>
                </c:pt>
                <c:pt idx="84">
                  <c:v>44776</c:v>
                </c:pt>
                <c:pt idx="85">
                  <c:v>44777</c:v>
                </c:pt>
                <c:pt idx="86">
                  <c:v>44781</c:v>
                </c:pt>
                <c:pt idx="87">
                  <c:v>44782</c:v>
                </c:pt>
                <c:pt idx="88">
                  <c:v>44783</c:v>
                </c:pt>
                <c:pt idx="89">
                  <c:v>44784</c:v>
                </c:pt>
                <c:pt idx="90">
                  <c:v>44787</c:v>
                </c:pt>
                <c:pt idx="91">
                  <c:v>44788</c:v>
                </c:pt>
                <c:pt idx="92">
                  <c:v>44789</c:v>
                </c:pt>
                <c:pt idx="93">
                  <c:v>44790</c:v>
                </c:pt>
                <c:pt idx="94">
                  <c:v>44791</c:v>
                </c:pt>
                <c:pt idx="95">
                  <c:v>44794</c:v>
                </c:pt>
                <c:pt idx="96">
                  <c:v>44795</c:v>
                </c:pt>
                <c:pt idx="97">
                  <c:v>44796</c:v>
                </c:pt>
                <c:pt idx="98">
                  <c:v>44797</c:v>
                </c:pt>
                <c:pt idx="99">
                  <c:v>44798</c:v>
                </c:pt>
                <c:pt idx="100">
                  <c:v>44801</c:v>
                </c:pt>
                <c:pt idx="101">
                  <c:v>44802</c:v>
                </c:pt>
                <c:pt idx="102">
                  <c:v>44803</c:v>
                </c:pt>
                <c:pt idx="103">
                  <c:v>44804</c:v>
                </c:pt>
                <c:pt idx="104">
                  <c:v>44805</c:v>
                </c:pt>
                <c:pt idx="105">
                  <c:v>44808</c:v>
                </c:pt>
                <c:pt idx="106">
                  <c:v>44809</c:v>
                </c:pt>
                <c:pt idx="107">
                  <c:v>44810</c:v>
                </c:pt>
                <c:pt idx="108">
                  <c:v>44811</c:v>
                </c:pt>
                <c:pt idx="109">
                  <c:v>44812</c:v>
                </c:pt>
                <c:pt idx="110">
                  <c:v>44815</c:v>
                </c:pt>
              </c:numCache>
            </c:numRef>
          </c:cat>
          <c:val>
            <c:numRef>
              <c:f>מקור!$BB$177:$BB$287</c:f>
              <c:numCache>
                <c:formatCode>0%</c:formatCode>
                <c:ptCount val="1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-4.3560606060606077E-2</c:v>
                </c:pt>
                <c:pt idx="4">
                  <c:v>-7.1287128712871239E-2</c:v>
                </c:pt>
                <c:pt idx="5">
                  <c:v>-4.8329779673063289E-2</c:v>
                </c:pt>
                <c:pt idx="6">
                  <c:v>7.4682598954443069E-3</c:v>
                </c:pt>
                <c:pt idx="7">
                  <c:v>-3.6323202372127494E-2</c:v>
                </c:pt>
                <c:pt idx="8">
                  <c:v>-3.6923076923076947E-2</c:v>
                </c:pt>
                <c:pt idx="9">
                  <c:v>-3.1948881789137795E-3</c:v>
                </c:pt>
                <c:pt idx="10">
                  <c:v>0</c:v>
                </c:pt>
                <c:pt idx="11">
                  <c:v>-1.041666666666663E-2</c:v>
                </c:pt>
                <c:pt idx="12">
                  <c:v>-2.7530364372469585E-2</c:v>
                </c:pt>
                <c:pt idx="13">
                  <c:v>-1.3322231473771873E-2</c:v>
                </c:pt>
                <c:pt idx="14">
                  <c:v>-7.5949367088608E-3</c:v>
                </c:pt>
                <c:pt idx="15">
                  <c:v>1.0204081632652962E-2</c:v>
                </c:pt>
                <c:pt idx="16">
                  <c:v>0</c:v>
                </c:pt>
                <c:pt idx="17">
                  <c:v>0</c:v>
                </c:pt>
                <c:pt idx="18">
                  <c:v>-1.6835016835016869E-2</c:v>
                </c:pt>
                <c:pt idx="19">
                  <c:v>-2.910958904109584E-2</c:v>
                </c:pt>
                <c:pt idx="20">
                  <c:v>-4.585537918871252E-2</c:v>
                </c:pt>
                <c:pt idx="21">
                  <c:v>-6.7467652495378894E-2</c:v>
                </c:pt>
                <c:pt idx="22">
                  <c:v>-3.964321110009883E-3</c:v>
                </c:pt>
                <c:pt idx="23">
                  <c:v>-0.11154228855721393</c:v>
                </c:pt>
                <c:pt idx="24">
                  <c:v>-2.0159032366445784E-3</c:v>
                </c:pt>
                <c:pt idx="25">
                  <c:v>0</c:v>
                </c:pt>
                <c:pt idx="26">
                  <c:v>-3.7818426663674187E-2</c:v>
                </c:pt>
                <c:pt idx="27">
                  <c:v>2.0993701889433503E-3</c:v>
                </c:pt>
                <c:pt idx="28">
                  <c:v>0</c:v>
                </c:pt>
                <c:pt idx="29">
                  <c:v>0</c:v>
                </c:pt>
                <c:pt idx="30">
                  <c:v>-1.2802607076349837E-3</c:v>
                </c:pt>
                <c:pt idx="31">
                  <c:v>2.097657615662385E-3</c:v>
                </c:pt>
                <c:pt idx="32">
                  <c:v>0</c:v>
                </c:pt>
                <c:pt idx="33">
                  <c:v>-7.4427258983602584E-3</c:v>
                </c:pt>
                <c:pt idx="34">
                  <c:v>9.3731693028709095E-4</c:v>
                </c:pt>
                <c:pt idx="35">
                  <c:v>1.5334191735924207E-2</c:v>
                </c:pt>
                <c:pt idx="36">
                  <c:v>2.2019829375144129E-2</c:v>
                </c:pt>
                <c:pt idx="37">
                  <c:v>5.1889452904680944E-3</c:v>
                </c:pt>
                <c:pt idx="38">
                  <c:v>0</c:v>
                </c:pt>
                <c:pt idx="39">
                  <c:v>0</c:v>
                </c:pt>
                <c:pt idx="40">
                  <c:v>-0.22275838850858487</c:v>
                </c:pt>
                <c:pt idx="41">
                  <c:v>2.8732313023390077E-2</c:v>
                </c:pt>
                <c:pt idx="42">
                  <c:v>-1.9649122807017583E-2</c:v>
                </c:pt>
                <c:pt idx="43">
                  <c:v>-3.8940586972083135E-2</c:v>
                </c:pt>
                <c:pt idx="44">
                  <c:v>1.4449575450618202E-2</c:v>
                </c:pt>
                <c:pt idx="45">
                  <c:v>1.7914831130690256E-2</c:v>
                </c:pt>
                <c:pt idx="46">
                  <c:v>-2.0484708597807377E-2</c:v>
                </c:pt>
                <c:pt idx="47">
                  <c:v>-2.9602356406480124E-2</c:v>
                </c:pt>
                <c:pt idx="48">
                  <c:v>5.069054484747304E-2</c:v>
                </c:pt>
                <c:pt idx="49">
                  <c:v>-2.5422504694496473E-2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-0.55535793686082702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  <c:pt idx="100">
                  <c:v>0</c:v>
                </c:pt>
                <c:pt idx="101">
                  <c:v>0</c:v>
                </c:pt>
                <c:pt idx="102">
                  <c:v>0</c:v>
                </c:pt>
                <c:pt idx="103">
                  <c:v>0</c:v>
                </c:pt>
                <c:pt idx="104">
                  <c:v>0</c:v>
                </c:pt>
                <c:pt idx="105">
                  <c:v>0</c:v>
                </c:pt>
                <c:pt idx="106">
                  <c:v>0</c:v>
                </c:pt>
                <c:pt idx="107">
                  <c:v>0</c:v>
                </c:pt>
                <c:pt idx="108">
                  <c:v>0</c:v>
                </c:pt>
                <c:pt idx="109">
                  <c:v>0</c:v>
                </c:pt>
                <c:pt idx="11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836-45EA-9CD0-87ABB95A6AB7}"/>
            </c:ext>
          </c:extLst>
        </c:ser>
        <c:ser>
          <c:idx val="3"/>
          <c:order val="3"/>
          <c:tx>
            <c:strRef>
              <c:f>מקור!$BC$176</c:f>
              <c:strCache>
                <c:ptCount val="1"/>
                <c:pt idx="0">
                  <c:v>תשואות גיבוי (ציר ימני)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  <a:lumOff val="40000"/>
                </a:schemeClr>
              </a:solidFill>
              <a:prstDash val="sysDot"/>
              <a:round/>
            </a:ln>
            <a:effectLst/>
          </c:spPr>
          <c:marker>
            <c:symbol val="none"/>
          </c:marker>
          <c:cat>
            <c:numRef>
              <c:f>מקור!$AY$177:$AY$287</c:f>
              <c:numCache>
                <c:formatCode>dd/mm/yy</c:formatCode>
                <c:ptCount val="111"/>
                <c:pt idx="0">
                  <c:v>44654</c:v>
                </c:pt>
                <c:pt idx="1">
                  <c:v>44655</c:v>
                </c:pt>
                <c:pt idx="2">
                  <c:v>44656</c:v>
                </c:pt>
                <c:pt idx="3">
                  <c:v>44657</c:v>
                </c:pt>
                <c:pt idx="4">
                  <c:v>44658</c:v>
                </c:pt>
                <c:pt idx="5">
                  <c:v>44661</c:v>
                </c:pt>
                <c:pt idx="6">
                  <c:v>44662</c:v>
                </c:pt>
                <c:pt idx="7">
                  <c:v>44663</c:v>
                </c:pt>
                <c:pt idx="8">
                  <c:v>44664</c:v>
                </c:pt>
                <c:pt idx="9">
                  <c:v>44665</c:v>
                </c:pt>
                <c:pt idx="10">
                  <c:v>44668</c:v>
                </c:pt>
                <c:pt idx="11">
                  <c:v>44669</c:v>
                </c:pt>
                <c:pt idx="12">
                  <c:v>44670</c:v>
                </c:pt>
                <c:pt idx="13">
                  <c:v>44671</c:v>
                </c:pt>
                <c:pt idx="14">
                  <c:v>44675</c:v>
                </c:pt>
                <c:pt idx="15">
                  <c:v>44676</c:v>
                </c:pt>
                <c:pt idx="16">
                  <c:v>44677</c:v>
                </c:pt>
                <c:pt idx="17">
                  <c:v>44678</c:v>
                </c:pt>
                <c:pt idx="18">
                  <c:v>44679</c:v>
                </c:pt>
                <c:pt idx="19">
                  <c:v>44682</c:v>
                </c:pt>
                <c:pt idx="20">
                  <c:v>44683</c:v>
                </c:pt>
                <c:pt idx="21">
                  <c:v>44684</c:v>
                </c:pt>
                <c:pt idx="22">
                  <c:v>44689</c:v>
                </c:pt>
                <c:pt idx="23">
                  <c:v>44690</c:v>
                </c:pt>
                <c:pt idx="24">
                  <c:v>44691</c:v>
                </c:pt>
                <c:pt idx="25">
                  <c:v>44692</c:v>
                </c:pt>
                <c:pt idx="26">
                  <c:v>44693</c:v>
                </c:pt>
                <c:pt idx="27">
                  <c:v>44696</c:v>
                </c:pt>
                <c:pt idx="28">
                  <c:v>44697</c:v>
                </c:pt>
                <c:pt idx="29">
                  <c:v>44698</c:v>
                </c:pt>
                <c:pt idx="30">
                  <c:v>44699</c:v>
                </c:pt>
                <c:pt idx="31">
                  <c:v>44700</c:v>
                </c:pt>
                <c:pt idx="32">
                  <c:v>44703</c:v>
                </c:pt>
                <c:pt idx="33">
                  <c:v>44704</c:v>
                </c:pt>
                <c:pt idx="34">
                  <c:v>44705</c:v>
                </c:pt>
                <c:pt idx="35">
                  <c:v>44706</c:v>
                </c:pt>
                <c:pt idx="36">
                  <c:v>44707</c:v>
                </c:pt>
                <c:pt idx="37">
                  <c:v>44710</c:v>
                </c:pt>
                <c:pt idx="38">
                  <c:v>44711</c:v>
                </c:pt>
                <c:pt idx="39">
                  <c:v>44712</c:v>
                </c:pt>
                <c:pt idx="40">
                  <c:v>44713</c:v>
                </c:pt>
                <c:pt idx="41">
                  <c:v>44714</c:v>
                </c:pt>
                <c:pt idx="42">
                  <c:v>44718</c:v>
                </c:pt>
                <c:pt idx="43">
                  <c:v>44719</c:v>
                </c:pt>
                <c:pt idx="44">
                  <c:v>44720</c:v>
                </c:pt>
                <c:pt idx="45">
                  <c:v>44721</c:v>
                </c:pt>
                <c:pt idx="46">
                  <c:v>44724</c:v>
                </c:pt>
                <c:pt idx="47">
                  <c:v>44725</c:v>
                </c:pt>
                <c:pt idx="48">
                  <c:v>44726</c:v>
                </c:pt>
                <c:pt idx="49">
                  <c:v>44727</c:v>
                </c:pt>
                <c:pt idx="50">
                  <c:v>44728</c:v>
                </c:pt>
                <c:pt idx="51">
                  <c:v>44731</c:v>
                </c:pt>
                <c:pt idx="52">
                  <c:v>44732</c:v>
                </c:pt>
                <c:pt idx="53">
                  <c:v>44733</c:v>
                </c:pt>
                <c:pt idx="54">
                  <c:v>44734</c:v>
                </c:pt>
                <c:pt idx="55">
                  <c:v>44735</c:v>
                </c:pt>
                <c:pt idx="56">
                  <c:v>44738</c:v>
                </c:pt>
                <c:pt idx="57">
                  <c:v>44739</c:v>
                </c:pt>
                <c:pt idx="58">
                  <c:v>44740</c:v>
                </c:pt>
                <c:pt idx="59">
                  <c:v>44741</c:v>
                </c:pt>
                <c:pt idx="60">
                  <c:v>44742</c:v>
                </c:pt>
                <c:pt idx="61">
                  <c:v>44745</c:v>
                </c:pt>
                <c:pt idx="62">
                  <c:v>44746</c:v>
                </c:pt>
                <c:pt idx="63">
                  <c:v>44747</c:v>
                </c:pt>
                <c:pt idx="64">
                  <c:v>44748</c:v>
                </c:pt>
                <c:pt idx="65">
                  <c:v>44749</c:v>
                </c:pt>
                <c:pt idx="66">
                  <c:v>44752</c:v>
                </c:pt>
                <c:pt idx="67">
                  <c:v>44753</c:v>
                </c:pt>
                <c:pt idx="68">
                  <c:v>44754</c:v>
                </c:pt>
                <c:pt idx="69">
                  <c:v>44755</c:v>
                </c:pt>
                <c:pt idx="70">
                  <c:v>44756</c:v>
                </c:pt>
                <c:pt idx="71">
                  <c:v>44759</c:v>
                </c:pt>
                <c:pt idx="72">
                  <c:v>44760</c:v>
                </c:pt>
                <c:pt idx="73">
                  <c:v>44761</c:v>
                </c:pt>
                <c:pt idx="74">
                  <c:v>44762</c:v>
                </c:pt>
                <c:pt idx="75">
                  <c:v>44763</c:v>
                </c:pt>
                <c:pt idx="76">
                  <c:v>44766</c:v>
                </c:pt>
                <c:pt idx="77">
                  <c:v>44767</c:v>
                </c:pt>
                <c:pt idx="78">
                  <c:v>44768</c:v>
                </c:pt>
                <c:pt idx="79">
                  <c:v>44769</c:v>
                </c:pt>
                <c:pt idx="80">
                  <c:v>44770</c:v>
                </c:pt>
                <c:pt idx="81">
                  <c:v>44773</c:v>
                </c:pt>
                <c:pt idx="82">
                  <c:v>44774</c:v>
                </c:pt>
                <c:pt idx="83">
                  <c:v>44775</c:v>
                </c:pt>
                <c:pt idx="84">
                  <c:v>44776</c:v>
                </c:pt>
                <c:pt idx="85">
                  <c:v>44777</c:v>
                </c:pt>
                <c:pt idx="86">
                  <c:v>44781</c:v>
                </c:pt>
                <c:pt idx="87">
                  <c:v>44782</c:v>
                </c:pt>
                <c:pt idx="88">
                  <c:v>44783</c:v>
                </c:pt>
                <c:pt idx="89">
                  <c:v>44784</c:v>
                </c:pt>
                <c:pt idx="90">
                  <c:v>44787</c:v>
                </c:pt>
                <c:pt idx="91">
                  <c:v>44788</c:v>
                </c:pt>
                <c:pt idx="92">
                  <c:v>44789</c:v>
                </c:pt>
                <c:pt idx="93">
                  <c:v>44790</c:v>
                </c:pt>
                <c:pt idx="94">
                  <c:v>44791</c:v>
                </c:pt>
                <c:pt idx="95">
                  <c:v>44794</c:v>
                </c:pt>
                <c:pt idx="96">
                  <c:v>44795</c:v>
                </c:pt>
                <c:pt idx="97">
                  <c:v>44796</c:v>
                </c:pt>
                <c:pt idx="98">
                  <c:v>44797</c:v>
                </c:pt>
                <c:pt idx="99">
                  <c:v>44798</c:v>
                </c:pt>
                <c:pt idx="100">
                  <c:v>44801</c:v>
                </c:pt>
                <c:pt idx="101">
                  <c:v>44802</c:v>
                </c:pt>
                <c:pt idx="102">
                  <c:v>44803</c:v>
                </c:pt>
                <c:pt idx="103">
                  <c:v>44804</c:v>
                </c:pt>
                <c:pt idx="104">
                  <c:v>44805</c:v>
                </c:pt>
                <c:pt idx="105">
                  <c:v>44808</c:v>
                </c:pt>
                <c:pt idx="106">
                  <c:v>44809</c:v>
                </c:pt>
                <c:pt idx="107">
                  <c:v>44810</c:v>
                </c:pt>
                <c:pt idx="108">
                  <c:v>44811</c:v>
                </c:pt>
                <c:pt idx="109">
                  <c:v>44812</c:v>
                </c:pt>
                <c:pt idx="110">
                  <c:v>44815</c:v>
                </c:pt>
              </c:numCache>
            </c:numRef>
          </c:cat>
          <c:val>
            <c:numRef>
              <c:f>מקור!$BC$177:$BC$287</c:f>
              <c:numCache>
                <c:formatCode>0%</c:formatCode>
                <c:ptCount val="111"/>
                <c:pt idx="0">
                  <c:v>3.1152647975076775E-3</c:v>
                </c:pt>
                <c:pt idx="1">
                  <c:v>1.2422360248447228E-2</c:v>
                </c:pt>
                <c:pt idx="2">
                  <c:v>5.368098159509227E-3</c:v>
                </c:pt>
                <c:pt idx="3">
                  <c:v>-1.5255530129671957E-3</c:v>
                </c:pt>
                <c:pt idx="4">
                  <c:v>0</c:v>
                </c:pt>
                <c:pt idx="5">
                  <c:v>-5.3475935828877219E-3</c:v>
                </c:pt>
                <c:pt idx="6">
                  <c:v>-1.7665130568356391E-2</c:v>
                </c:pt>
                <c:pt idx="7">
                  <c:v>7.8186082877240715E-4</c:v>
                </c:pt>
                <c:pt idx="8">
                  <c:v>0</c:v>
                </c:pt>
                <c:pt idx="9">
                  <c:v>-7.8124999999995559E-4</c:v>
                </c:pt>
                <c:pt idx="10">
                  <c:v>0</c:v>
                </c:pt>
                <c:pt idx="11">
                  <c:v>-2.3455824863174435E-3</c:v>
                </c:pt>
                <c:pt idx="12">
                  <c:v>-1.5673981191222541E-2</c:v>
                </c:pt>
                <c:pt idx="13">
                  <c:v>-4.777070063694322E-3</c:v>
                </c:pt>
                <c:pt idx="14">
                  <c:v>-2.4000000000000021E-2</c:v>
                </c:pt>
                <c:pt idx="15">
                  <c:v>9.8360655737705915E-3</c:v>
                </c:pt>
                <c:pt idx="16">
                  <c:v>-1.2175324675324672E-2</c:v>
                </c:pt>
                <c:pt idx="17">
                  <c:v>1.8898931799506968E-2</c:v>
                </c:pt>
                <c:pt idx="18">
                  <c:v>1.9354838709677358E-2</c:v>
                </c:pt>
                <c:pt idx="19">
                  <c:v>2.3734177215189778E-2</c:v>
                </c:pt>
                <c:pt idx="20">
                  <c:v>-4.0185471406491535E-2</c:v>
                </c:pt>
                <c:pt idx="21">
                  <c:v>0</c:v>
                </c:pt>
                <c:pt idx="22">
                  <c:v>-2.8180354267310803E-2</c:v>
                </c:pt>
                <c:pt idx="23">
                  <c:v>-4.8053024026512015E-2</c:v>
                </c:pt>
                <c:pt idx="24">
                  <c:v>-3.1331592689295085E-2</c:v>
                </c:pt>
                <c:pt idx="25">
                  <c:v>3.1446540880503138E-2</c:v>
                </c:pt>
                <c:pt idx="26">
                  <c:v>-1.9163763066202044E-2</c:v>
                </c:pt>
                <c:pt idx="27">
                  <c:v>3.5523978685612079E-3</c:v>
                </c:pt>
                <c:pt idx="28">
                  <c:v>1.327433628318575E-2</c:v>
                </c:pt>
                <c:pt idx="29">
                  <c:v>5.065502183406112E-2</c:v>
                </c:pt>
                <c:pt idx="30">
                  <c:v>-0.17323358270989186</c:v>
                </c:pt>
                <c:pt idx="31">
                  <c:v>-2.3728131912326589E-2</c:v>
                </c:pt>
                <c:pt idx="32">
                  <c:v>8.4449021627188703E-3</c:v>
                </c:pt>
                <c:pt idx="33">
                  <c:v>-2.1139705882353033E-2</c:v>
                </c:pt>
                <c:pt idx="34">
                  <c:v>-7.1987480438184814E-3</c:v>
                </c:pt>
                <c:pt idx="35">
                  <c:v>-7.5136612021857951E-2</c:v>
                </c:pt>
                <c:pt idx="36">
                  <c:v>-1.8747869560277186E-2</c:v>
                </c:pt>
                <c:pt idx="37">
                  <c:v>-8.1056044465033228E-4</c:v>
                </c:pt>
                <c:pt idx="38">
                  <c:v>3.1405724881214514E-2</c:v>
                </c:pt>
                <c:pt idx="39">
                  <c:v>-4.2696629213483162E-2</c:v>
                </c:pt>
                <c:pt idx="40">
                  <c:v>1.8779342723004744E-2</c:v>
                </c:pt>
                <c:pt idx="41">
                  <c:v>-2.2811059907834053E-2</c:v>
                </c:pt>
                <c:pt idx="42">
                  <c:v>-2.8295213393069174E-3</c:v>
                </c:pt>
                <c:pt idx="43">
                  <c:v>2.3409789548356708E-2</c:v>
                </c:pt>
                <c:pt idx="44">
                  <c:v>-2.0448243992606363E-2</c:v>
                </c:pt>
                <c:pt idx="45">
                  <c:v>1.1793843613627786E-4</c:v>
                </c:pt>
                <c:pt idx="46">
                  <c:v>-1.2853773584905581E-2</c:v>
                </c:pt>
                <c:pt idx="47">
                  <c:v>-2.9387169991637818E-2</c:v>
                </c:pt>
                <c:pt idx="48">
                  <c:v>-5.3046153846153854E-2</c:v>
                </c:pt>
                <c:pt idx="49">
                  <c:v>7.1484273459838654E-3</c:v>
                </c:pt>
                <c:pt idx="50">
                  <c:v>-6.0394889663182294E-2</c:v>
                </c:pt>
                <c:pt idx="51">
                  <c:v>1.3322345831616511E-2</c:v>
                </c:pt>
                <c:pt idx="52">
                  <c:v>5.1504472756844777E-3</c:v>
                </c:pt>
                <c:pt idx="53">
                  <c:v>5.3128371089536053E-2</c:v>
                </c:pt>
                <c:pt idx="54">
                  <c:v>-6.4020486555693701E-4</c:v>
                </c:pt>
                <c:pt idx="55">
                  <c:v>1.7937219730941756E-2</c:v>
                </c:pt>
                <c:pt idx="56">
                  <c:v>7.8036500943989839E-3</c:v>
                </c:pt>
                <c:pt idx="57">
                  <c:v>6.2445360309728581E-3</c:v>
                </c:pt>
                <c:pt idx="58">
                  <c:v>1.9362045426337238E-2</c:v>
                </c:pt>
                <c:pt idx="59">
                  <c:v>-7.30549129428959E-3</c:v>
                </c:pt>
                <c:pt idx="60">
                  <c:v>0</c:v>
                </c:pt>
                <c:pt idx="61">
                  <c:v>0</c:v>
                </c:pt>
                <c:pt idx="62">
                  <c:v>-0.50938304918434929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6.0250000000000137E-2</c:v>
                </c:pt>
                <c:pt idx="67">
                  <c:v>-5.8240980900731043E-2</c:v>
                </c:pt>
                <c:pt idx="68">
                  <c:v>-0.2250876314471707</c:v>
                </c:pt>
                <c:pt idx="69">
                  <c:v>-6.6882067851373184E-2</c:v>
                </c:pt>
                <c:pt idx="70">
                  <c:v>4.5360110803323916E-2</c:v>
                </c:pt>
                <c:pt idx="71">
                  <c:v>-4.6041735674064221E-2</c:v>
                </c:pt>
                <c:pt idx="72">
                  <c:v>6.5972222222221433E-3</c:v>
                </c:pt>
                <c:pt idx="73">
                  <c:v>1.2073128665056831E-2</c:v>
                </c:pt>
                <c:pt idx="74">
                  <c:v>2.1813224267212217E-2</c:v>
                </c:pt>
                <c:pt idx="75">
                  <c:v>1.5677118078719188E-2</c:v>
                </c:pt>
                <c:pt idx="76">
                  <c:v>0</c:v>
                </c:pt>
                <c:pt idx="77">
                  <c:v>-3.3825944170771782E-2</c:v>
                </c:pt>
                <c:pt idx="78">
                  <c:v>-5.8803535010197194E-2</c:v>
                </c:pt>
                <c:pt idx="79">
                  <c:v>1.4084507042253724E-2</c:v>
                </c:pt>
                <c:pt idx="80">
                  <c:v>2.2079772079772075E-2</c:v>
                </c:pt>
                <c:pt idx="81">
                  <c:v>5.5749128919861946E-3</c:v>
                </c:pt>
                <c:pt idx="82">
                  <c:v>-8.3160083160084275E-3</c:v>
                </c:pt>
                <c:pt idx="83">
                  <c:v>2.0964360587003572E-3</c:v>
                </c:pt>
                <c:pt idx="84">
                  <c:v>5.0906555090655337E-2</c:v>
                </c:pt>
                <c:pt idx="85">
                  <c:v>-5.4080955540809383E-2</c:v>
                </c:pt>
                <c:pt idx="86">
                  <c:v>-3.5075412136092998E-3</c:v>
                </c:pt>
                <c:pt idx="87">
                  <c:v>-3.2382963745160365E-2</c:v>
                </c:pt>
                <c:pt idx="88">
                  <c:v>1.0185522008002934E-2</c:v>
                </c:pt>
                <c:pt idx="89">
                  <c:v>-1.2963629816348465E-2</c:v>
                </c:pt>
                <c:pt idx="90">
                  <c:v>-0.14739146296971917</c:v>
                </c:pt>
                <c:pt idx="91">
                  <c:v>-7.2314933675652449E-2</c:v>
                </c:pt>
                <c:pt idx="92">
                  <c:v>-2.3523985239852552E-2</c:v>
                </c:pt>
                <c:pt idx="93">
                  <c:v>4.2040623523854626E-2</c:v>
                </c:pt>
                <c:pt idx="94">
                  <c:v>-3.8077969174977411E-2</c:v>
                </c:pt>
                <c:pt idx="95">
                  <c:v>3.7700282752122227E-3</c:v>
                </c:pt>
                <c:pt idx="96">
                  <c:v>-0.36760563380281697</c:v>
                </c:pt>
                <c:pt idx="97">
                  <c:v>-1.7817371937638993E-2</c:v>
                </c:pt>
                <c:pt idx="98">
                  <c:v>-5.6689342403628218E-2</c:v>
                </c:pt>
                <c:pt idx="99">
                  <c:v>-2.5641025641025661E-2</c:v>
                </c:pt>
                <c:pt idx="100">
                  <c:v>3.125E-2</c:v>
                </c:pt>
                <c:pt idx="101">
                  <c:v>-5.1834130781499232E-2</c:v>
                </c:pt>
                <c:pt idx="102">
                  <c:v>1.5138772077375906E-2</c:v>
                </c:pt>
                <c:pt idx="103">
                  <c:v>1.657000828500399E-3</c:v>
                </c:pt>
                <c:pt idx="104">
                  <c:v>-0.13482216708023165</c:v>
                </c:pt>
                <c:pt idx="105">
                  <c:v>6.7877629063097578E-2</c:v>
                </c:pt>
                <c:pt idx="106">
                  <c:v>5.7296329453894179E-2</c:v>
                </c:pt>
                <c:pt idx="107">
                  <c:v>-2.5402201524132084E-2</c:v>
                </c:pt>
                <c:pt idx="108">
                  <c:v>0.1033883579496091</c:v>
                </c:pt>
                <c:pt idx="109">
                  <c:v>-1.4960629921259905E-2</c:v>
                </c:pt>
                <c:pt idx="11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836-45EA-9CD0-87ABB95A6A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86940320"/>
        <c:axId val="886940648"/>
      </c:lineChart>
      <c:dateAx>
        <c:axId val="564750008"/>
        <c:scaling>
          <c:orientation val="minMax"/>
        </c:scaling>
        <c:delete val="0"/>
        <c:axPos val="b"/>
        <c:numFmt formatCode="dd/mm/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endParaRPr lang="he-IL"/>
          </a:p>
        </c:txPr>
        <c:crossAx val="564752960"/>
        <c:crosses val="autoZero"/>
        <c:auto val="1"/>
        <c:lblOffset val="100"/>
        <c:baseTimeUnit val="days"/>
      </c:dateAx>
      <c:valAx>
        <c:axId val="564752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endParaRPr lang="he-IL"/>
          </a:p>
        </c:txPr>
        <c:crossAx val="564750008"/>
        <c:crosses val="autoZero"/>
        <c:crossBetween val="between"/>
      </c:valAx>
      <c:valAx>
        <c:axId val="886940648"/>
        <c:scaling>
          <c:orientation val="minMax"/>
        </c:scaling>
        <c:delete val="0"/>
        <c:axPos val="r"/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endParaRPr lang="he-IL"/>
          </a:p>
        </c:txPr>
        <c:crossAx val="886940320"/>
        <c:crosses val="max"/>
        <c:crossBetween val="between"/>
      </c:valAx>
      <c:dateAx>
        <c:axId val="886940320"/>
        <c:scaling>
          <c:orientation val="minMax"/>
        </c:scaling>
        <c:delete val="1"/>
        <c:axPos val="b"/>
        <c:numFmt formatCode="dd/mm/yy" sourceLinked="1"/>
        <c:majorTickMark val="out"/>
        <c:minorTickMark val="none"/>
        <c:tickLblPos val="nextTo"/>
        <c:crossAx val="886940648"/>
        <c:crosses val="autoZero"/>
        <c:auto val="1"/>
        <c:lblOffset val="100"/>
        <c:baseTimeUnit val="days"/>
      </c:date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89054696969696967"/>
          <c:w val="1"/>
          <c:h val="9.02106060606060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ssistant" panose="00000500000000000000" pitchFamily="2" charset="-79"/>
              <a:ea typeface="+mn-ea"/>
              <a:cs typeface="Assistant" panose="00000500000000000000" pitchFamily="2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Assistant" panose="00000500000000000000" pitchFamily="2" charset="-79"/>
          <a:cs typeface="Assistant" panose="00000500000000000000" pitchFamily="2" charset="-79"/>
        </a:defRPr>
      </a:pPr>
      <a:endParaRPr lang="he-I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FCEBA-E812-4F1F-986F-7AFAEF39B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3392</Words>
  <Characters>16965</Characters>
  <Application>Microsoft Office Word</Application>
  <DocSecurity>0</DocSecurity>
  <Lines>141</Lines>
  <Paragraphs>40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20317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לירון דהן</cp:lastModifiedBy>
  <cp:revision>16</cp:revision>
  <cp:lastPrinted>2021-10-26T08:26:00Z</cp:lastPrinted>
  <dcterms:created xsi:type="dcterms:W3CDTF">2023-01-31T08:40:00Z</dcterms:created>
  <dcterms:modified xsi:type="dcterms:W3CDTF">2023-01-31T08:46:00Z</dcterms:modified>
</cp:coreProperties>
</file>