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5E28F6" w:rsidTr="00031A9D">
        <w:tc>
          <w:tcPr>
            <w:tcW w:w="3343" w:type="dxa"/>
            <w:tcBorders>
              <w:top w:val="nil"/>
              <w:left w:val="nil"/>
              <w:bottom w:val="nil"/>
              <w:right w:val="nil"/>
            </w:tcBorders>
            <w:vAlign w:val="center"/>
          </w:tcPr>
          <w:p w:rsidR="00031A9D" w:rsidRPr="005E28F6" w:rsidRDefault="00031A9D" w:rsidP="005E28F6">
            <w:pPr>
              <w:bidi/>
              <w:spacing w:line="276" w:lineRule="auto"/>
              <w:jc w:val="center"/>
              <w:rPr>
                <w:rFonts w:asciiTheme="minorHAnsi" w:hAnsiTheme="minorHAnsi" w:cstheme="minorHAnsi"/>
                <w:b/>
                <w:bCs/>
                <w:rtl/>
              </w:rPr>
            </w:pPr>
            <w:r w:rsidRPr="005E28F6">
              <w:rPr>
                <w:rFonts w:asciiTheme="minorHAnsi" w:hAnsiTheme="minorHAnsi" w:cstheme="minorHAnsi"/>
                <w:b/>
                <w:bCs/>
                <w:rtl/>
              </w:rPr>
              <w:t>בנק ישראל</w:t>
            </w:r>
          </w:p>
          <w:p w:rsidR="00031A9D" w:rsidRPr="005E28F6" w:rsidRDefault="00031A9D" w:rsidP="005E28F6">
            <w:pPr>
              <w:bidi/>
              <w:spacing w:line="276" w:lineRule="auto"/>
              <w:jc w:val="center"/>
              <w:rPr>
                <w:rFonts w:asciiTheme="minorHAnsi" w:hAnsiTheme="minorHAnsi" w:cstheme="minorHAnsi"/>
                <w:b/>
                <w:bCs/>
              </w:rPr>
            </w:pPr>
            <w:r w:rsidRPr="005E28F6">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5E28F6" w:rsidRDefault="00031A9D" w:rsidP="005E28F6">
            <w:pPr>
              <w:bidi/>
              <w:jc w:val="center"/>
              <w:rPr>
                <w:rFonts w:asciiTheme="minorHAnsi" w:hAnsiTheme="minorHAnsi" w:cstheme="minorHAnsi"/>
              </w:rPr>
            </w:pPr>
            <w:r w:rsidRPr="005E28F6">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5E28F6" w:rsidRDefault="00031A9D" w:rsidP="005E28F6">
            <w:pPr>
              <w:bidi/>
              <w:spacing w:line="276" w:lineRule="auto"/>
              <w:jc w:val="center"/>
              <w:rPr>
                <w:rFonts w:asciiTheme="minorHAnsi" w:hAnsiTheme="minorHAnsi" w:cstheme="minorHAnsi"/>
                <w:rtl/>
              </w:rPr>
            </w:pPr>
            <w:r w:rsidRPr="005E28F6">
              <w:rPr>
                <w:rFonts w:asciiTheme="minorHAnsi" w:hAnsiTheme="minorHAnsi" w:cstheme="minorHAnsi"/>
                <w:highlight w:val="green"/>
                <w:rtl/>
              </w:rPr>
              <w:t>‏</w:t>
            </w:r>
            <w:r w:rsidRPr="005E28F6">
              <w:rPr>
                <w:rFonts w:asciiTheme="minorHAnsi" w:hAnsiTheme="minorHAnsi" w:cstheme="minorHAnsi"/>
                <w:rtl/>
              </w:rPr>
              <w:t xml:space="preserve">ירושלים, </w:t>
            </w: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 \h</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sidR="00DB0522">
              <w:rPr>
                <w:rFonts w:asciiTheme="minorHAnsi" w:hAnsiTheme="minorHAnsi" w:cstheme="minorHAnsi"/>
                <w:noProof/>
                <w:rtl/>
              </w:rPr>
              <w:t>‏י' אלול, תשפ"ה</w:t>
            </w:r>
            <w:r w:rsidRPr="005E28F6">
              <w:rPr>
                <w:rFonts w:asciiTheme="minorHAnsi" w:hAnsiTheme="minorHAnsi" w:cstheme="minorHAnsi"/>
                <w:rtl/>
              </w:rPr>
              <w:fldChar w:fldCharType="end"/>
            </w:r>
          </w:p>
          <w:p w:rsidR="00031A9D" w:rsidRPr="005E28F6" w:rsidRDefault="00031A9D" w:rsidP="005E28F6">
            <w:pPr>
              <w:bidi/>
              <w:spacing w:line="276" w:lineRule="auto"/>
              <w:jc w:val="center"/>
              <w:rPr>
                <w:rFonts w:asciiTheme="minorHAnsi" w:hAnsiTheme="minorHAnsi" w:cstheme="minorHAnsi"/>
                <w:highlight w:val="green"/>
              </w:rPr>
            </w:pP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sidR="00DB0522">
              <w:rPr>
                <w:rFonts w:asciiTheme="minorHAnsi" w:hAnsiTheme="minorHAnsi" w:cstheme="minorHAnsi"/>
                <w:noProof/>
                <w:rtl/>
              </w:rPr>
              <w:t>‏3 ספטמבר, 2025</w:t>
            </w:r>
            <w:r w:rsidRPr="005E28F6">
              <w:rPr>
                <w:rFonts w:asciiTheme="minorHAnsi" w:hAnsiTheme="minorHAnsi" w:cstheme="minorHAnsi"/>
                <w:rtl/>
              </w:rPr>
              <w:fldChar w:fldCharType="end"/>
            </w:r>
          </w:p>
        </w:tc>
      </w:tr>
    </w:tbl>
    <w:p w:rsidR="00031A9D" w:rsidRPr="005E28F6" w:rsidRDefault="00031A9D" w:rsidP="005E28F6">
      <w:pPr>
        <w:bidi/>
        <w:rPr>
          <w:rFonts w:asciiTheme="minorHAnsi" w:hAnsiTheme="minorHAnsi" w:cstheme="minorHAnsi"/>
          <w:rtl/>
        </w:rPr>
      </w:pPr>
    </w:p>
    <w:p w:rsidR="005E28F6" w:rsidRDefault="005E28F6" w:rsidP="005E28F6">
      <w:pPr>
        <w:bidi/>
        <w:spacing w:line="360" w:lineRule="auto"/>
        <w:rPr>
          <w:rFonts w:asciiTheme="minorHAnsi" w:hAnsiTheme="minorHAnsi" w:cstheme="minorHAnsi"/>
          <w:rtl/>
        </w:rPr>
      </w:pPr>
      <w:r w:rsidRPr="005E28F6">
        <w:rPr>
          <w:rFonts w:asciiTheme="minorHAnsi" w:hAnsiTheme="minorHAnsi" w:cstheme="minorHAnsi"/>
          <w:rtl/>
        </w:rPr>
        <w:t>הודעה לעיתונות</w:t>
      </w:r>
      <w:r w:rsidRPr="005E28F6">
        <w:rPr>
          <w:rFonts w:asciiTheme="minorHAnsi" w:hAnsiTheme="minorHAnsi" w:cstheme="minorHAnsi"/>
        </w:rPr>
        <w:t>:</w:t>
      </w:r>
    </w:p>
    <w:p w:rsidR="00DB0522" w:rsidRPr="00DB0522" w:rsidRDefault="00DB0522" w:rsidP="00DB0522">
      <w:pPr>
        <w:bidi/>
        <w:spacing w:line="360" w:lineRule="auto"/>
        <w:jc w:val="center"/>
        <w:rPr>
          <w:rFonts w:cstheme="minorHAnsi"/>
          <w:sz w:val="28"/>
          <w:szCs w:val="28"/>
        </w:rPr>
      </w:pPr>
      <w:bookmarkStart w:id="0" w:name="_GoBack"/>
      <w:r w:rsidRPr="00DB0522">
        <w:rPr>
          <w:rFonts w:eastAsia="Times New Roman" w:cstheme="minorHAnsi"/>
          <w:b/>
          <w:bCs/>
          <w:sz w:val="28"/>
          <w:szCs w:val="28"/>
          <w:rtl/>
        </w:rPr>
        <w:t xml:space="preserve">קשיחות וסנכרון מחירים: ניתוח </w:t>
      </w:r>
      <w:proofErr w:type="spellStart"/>
      <w:r w:rsidRPr="00DB0522">
        <w:rPr>
          <w:rFonts w:eastAsia="Times New Roman" w:cstheme="minorHAnsi"/>
          <w:b/>
          <w:bCs/>
          <w:sz w:val="28"/>
          <w:szCs w:val="28"/>
          <w:rtl/>
        </w:rPr>
        <w:t>דינמיקת</w:t>
      </w:r>
      <w:proofErr w:type="spellEnd"/>
      <w:r w:rsidRPr="00DB0522">
        <w:rPr>
          <w:rFonts w:eastAsia="Times New Roman" w:cstheme="minorHAnsi"/>
          <w:b/>
          <w:bCs/>
          <w:sz w:val="28"/>
          <w:szCs w:val="28"/>
          <w:rtl/>
        </w:rPr>
        <w:t xml:space="preserve"> מחירים </w:t>
      </w:r>
      <w:r w:rsidRPr="00DB0522">
        <w:rPr>
          <w:rFonts w:eastAsia="Times New Roman" w:cstheme="minorHAnsi" w:hint="cs"/>
          <w:b/>
          <w:bCs/>
          <w:sz w:val="28"/>
          <w:szCs w:val="28"/>
          <w:rtl/>
        </w:rPr>
        <w:t>בחנויות פיזיות ו</w:t>
      </w:r>
      <w:r w:rsidRPr="00DB0522">
        <w:rPr>
          <w:rFonts w:eastAsia="Times New Roman" w:cstheme="minorHAnsi"/>
          <w:b/>
          <w:bCs/>
          <w:sz w:val="28"/>
          <w:szCs w:val="28"/>
          <w:rtl/>
        </w:rPr>
        <w:t>מקוונ</w:t>
      </w:r>
      <w:r w:rsidRPr="00DB0522">
        <w:rPr>
          <w:rFonts w:eastAsia="Times New Roman" w:cstheme="minorHAnsi" w:hint="cs"/>
          <w:b/>
          <w:bCs/>
          <w:sz w:val="28"/>
          <w:szCs w:val="28"/>
          <w:rtl/>
        </w:rPr>
        <w:t>ו</w:t>
      </w:r>
      <w:r w:rsidRPr="00DB0522">
        <w:rPr>
          <w:rFonts w:eastAsia="Times New Roman" w:cstheme="minorHAnsi"/>
          <w:b/>
          <w:bCs/>
          <w:sz w:val="28"/>
          <w:szCs w:val="28"/>
          <w:rtl/>
        </w:rPr>
        <w:t>ת</w:t>
      </w:r>
    </w:p>
    <w:bookmarkEnd w:id="0"/>
    <w:p w:rsidR="00DB0522" w:rsidRPr="007F0028" w:rsidRDefault="00DB0522" w:rsidP="00DB0522">
      <w:pPr>
        <w:pStyle w:val="a9"/>
        <w:numPr>
          <w:ilvl w:val="0"/>
          <w:numId w:val="5"/>
        </w:numPr>
        <w:bidi/>
        <w:spacing w:after="120" w:line="276" w:lineRule="auto"/>
        <w:contextualSpacing w:val="0"/>
        <w:rPr>
          <w:rFonts w:cstheme="minorHAnsi"/>
        </w:rPr>
      </w:pPr>
      <w:r w:rsidRPr="007F0028">
        <w:rPr>
          <w:rFonts w:cstheme="minorHAnsi" w:hint="cs"/>
          <w:rtl/>
        </w:rPr>
        <w:t>במחקר המתבסס על מאגר המחירים הקמעונאים של רשתות שיווק המזון</w:t>
      </w:r>
      <w:r>
        <w:rPr>
          <w:rFonts w:cstheme="minorHAnsi" w:hint="cs"/>
          <w:rtl/>
        </w:rPr>
        <w:t xml:space="preserve"> </w:t>
      </w:r>
      <w:r w:rsidRPr="00CD63F1">
        <w:rPr>
          <w:rFonts w:cstheme="minorHAnsi" w:hint="cs"/>
          <w:rtl/>
        </w:rPr>
        <w:t xml:space="preserve">נמצא שתדירות ההתאמה של מחירי המוצרים </w:t>
      </w:r>
      <w:r>
        <w:rPr>
          <w:rFonts w:cstheme="minorHAnsi" w:hint="cs"/>
          <w:rtl/>
        </w:rPr>
        <w:t xml:space="preserve">הרגילים היא </w:t>
      </w:r>
      <w:r w:rsidRPr="00CD63F1">
        <w:rPr>
          <w:rFonts w:cstheme="minorHAnsi" w:hint="cs"/>
          <w:rtl/>
        </w:rPr>
        <w:t xml:space="preserve">בממוצע </w:t>
      </w:r>
      <w:r w:rsidRPr="007F0028">
        <w:rPr>
          <w:rFonts w:cstheme="minorHAnsi" w:hint="cs"/>
          <w:rtl/>
        </w:rPr>
        <w:t>כל</w:t>
      </w:r>
      <w:r w:rsidRPr="007F0028">
        <w:rPr>
          <w:rFonts w:cstheme="minorHAnsi" w:hint="cs"/>
          <w:color w:val="FF0000"/>
          <w:rtl/>
        </w:rPr>
        <w:t xml:space="preserve"> </w:t>
      </w:r>
      <w:r>
        <w:rPr>
          <w:rFonts w:cstheme="minorHAnsi" w:hint="cs"/>
          <w:rtl/>
        </w:rPr>
        <w:t>תשעה</w:t>
      </w:r>
      <w:r w:rsidRPr="007F0028">
        <w:rPr>
          <w:rFonts w:cstheme="minorHAnsi" w:hint="cs"/>
        </w:rPr>
        <w:t xml:space="preserve"> </w:t>
      </w:r>
      <w:r w:rsidRPr="007F0028">
        <w:rPr>
          <w:rFonts w:cstheme="minorHAnsi" w:hint="cs"/>
          <w:rtl/>
        </w:rPr>
        <w:t xml:space="preserve">חודשים. </w:t>
      </w:r>
    </w:p>
    <w:p w:rsidR="00DB0522" w:rsidRPr="002D44EC" w:rsidRDefault="00DB0522" w:rsidP="00DB0522">
      <w:pPr>
        <w:pStyle w:val="a9"/>
        <w:numPr>
          <w:ilvl w:val="0"/>
          <w:numId w:val="5"/>
        </w:numPr>
        <w:bidi/>
        <w:spacing w:after="120" w:line="276" w:lineRule="auto"/>
        <w:contextualSpacing w:val="0"/>
        <w:rPr>
          <w:rFonts w:cstheme="minorHAnsi"/>
        </w:rPr>
      </w:pPr>
      <w:r w:rsidRPr="002D44EC">
        <w:rPr>
          <w:rFonts w:cstheme="minorHAnsi" w:hint="cs"/>
          <w:rtl/>
        </w:rPr>
        <w:t>תדירות התאמת המחירים גבוהה מעט יותר בחנויות המקוונות</w:t>
      </w:r>
      <w:r>
        <w:rPr>
          <w:rFonts w:cstheme="minorHAnsi" w:hint="cs"/>
          <w:rtl/>
        </w:rPr>
        <w:t xml:space="preserve"> בהשוואה לחנויות פיזיות, ו</w:t>
      </w:r>
      <w:r w:rsidRPr="002D44EC">
        <w:rPr>
          <w:rFonts w:cstheme="minorHAnsi" w:hint="cs"/>
          <w:rtl/>
        </w:rPr>
        <w:t xml:space="preserve">פיזור המחירים בחנויות </w:t>
      </w:r>
      <w:r>
        <w:rPr>
          <w:rFonts w:cstheme="minorHAnsi" w:hint="cs"/>
          <w:rtl/>
        </w:rPr>
        <w:t>ה</w:t>
      </w:r>
      <w:r w:rsidRPr="002D44EC">
        <w:rPr>
          <w:rFonts w:cstheme="minorHAnsi" w:hint="cs"/>
          <w:rtl/>
        </w:rPr>
        <w:t>מקוונות נמוך במעט מזה שבחנויות הפיזיות.</w:t>
      </w:r>
    </w:p>
    <w:p w:rsidR="00DB0522" w:rsidRPr="007F0028" w:rsidRDefault="00DB0522" w:rsidP="00DB0522">
      <w:pPr>
        <w:pStyle w:val="a9"/>
        <w:numPr>
          <w:ilvl w:val="0"/>
          <w:numId w:val="5"/>
        </w:numPr>
        <w:bidi/>
        <w:spacing w:after="120" w:line="276" w:lineRule="auto"/>
        <w:contextualSpacing w:val="0"/>
        <w:rPr>
          <w:rFonts w:cstheme="minorHAnsi"/>
        </w:rPr>
      </w:pPr>
      <w:r w:rsidRPr="007F0028">
        <w:rPr>
          <w:rFonts w:cstheme="minorHAnsi" w:hint="cs"/>
          <w:rtl/>
        </w:rPr>
        <w:t xml:space="preserve">ככל שהאינפלציה גבוהה יותר, שינויי המחירים בין החנויות נוטים להיות מתואמים יותר. לכן, </w:t>
      </w:r>
      <w:r w:rsidRPr="00CD63F1">
        <w:rPr>
          <w:rFonts w:eastAsia="Times New Roman" w:cs="Calibri" w:hint="cs"/>
          <w:rtl/>
        </w:rPr>
        <w:t xml:space="preserve">תהליך </w:t>
      </w:r>
      <w:r w:rsidRPr="00CD63F1">
        <w:rPr>
          <w:rFonts w:eastAsia="Times New Roman" w:cs="Calibri"/>
          <w:rtl/>
        </w:rPr>
        <w:t xml:space="preserve">אינפלציוני </w:t>
      </w:r>
      <w:r>
        <w:rPr>
          <w:rFonts w:eastAsia="Times New Roman" w:cs="Calibri" w:hint="cs"/>
          <w:rtl/>
        </w:rPr>
        <w:t>עלול לה</w:t>
      </w:r>
      <w:r w:rsidRPr="00CD63F1">
        <w:rPr>
          <w:rFonts w:eastAsia="Times New Roman" w:cs="Calibri"/>
          <w:rtl/>
        </w:rPr>
        <w:t>זין את עצמו</w:t>
      </w:r>
      <w:r w:rsidRPr="00CD63F1">
        <w:rPr>
          <w:rFonts w:eastAsia="Times New Roman" w:cs="Calibri" w:hint="cs"/>
          <w:rtl/>
        </w:rPr>
        <w:t xml:space="preserve"> </w:t>
      </w:r>
      <w:r>
        <w:rPr>
          <w:rFonts w:eastAsia="Times New Roman" w:cs="Calibri" w:hint="cs"/>
          <w:rtl/>
        </w:rPr>
        <w:t xml:space="preserve">באמצעות </w:t>
      </w:r>
      <w:r w:rsidRPr="00CD63F1">
        <w:rPr>
          <w:rFonts w:eastAsia="Times New Roman" w:cs="Calibri"/>
          <w:rtl/>
        </w:rPr>
        <w:t>תגוב</w:t>
      </w:r>
      <w:r w:rsidRPr="007F0028">
        <w:rPr>
          <w:rFonts w:eastAsia="Times New Roman" w:cs="Calibri"/>
          <w:rtl/>
        </w:rPr>
        <w:t xml:space="preserve">ת שרשרת </w:t>
      </w:r>
      <w:r w:rsidRPr="007F0028">
        <w:rPr>
          <w:rFonts w:cstheme="minorHAnsi" w:hint="cs"/>
          <w:rtl/>
        </w:rPr>
        <w:t>בה</w:t>
      </w:r>
      <w:r w:rsidRPr="007F0028">
        <w:rPr>
          <w:rFonts w:eastAsia="Times New Roman" w:cs="Calibri"/>
          <w:rtl/>
        </w:rPr>
        <w:t xml:space="preserve"> </w:t>
      </w:r>
      <w:r w:rsidRPr="007F0028">
        <w:rPr>
          <w:rFonts w:eastAsia="Times New Roman" w:cs="Calibri" w:hint="cs"/>
          <w:rtl/>
        </w:rPr>
        <w:t>החנויות</w:t>
      </w:r>
      <w:r w:rsidRPr="007F0028">
        <w:rPr>
          <w:rFonts w:eastAsia="Times New Roman" w:cs="Calibri"/>
          <w:rtl/>
        </w:rPr>
        <w:t xml:space="preserve"> </w:t>
      </w:r>
      <w:r w:rsidRPr="007F0028">
        <w:rPr>
          <w:rFonts w:eastAsia="Times New Roman" w:cs="Calibri" w:hint="cs"/>
          <w:rtl/>
        </w:rPr>
        <w:t>מ</w:t>
      </w:r>
      <w:r w:rsidRPr="007F0028">
        <w:rPr>
          <w:rFonts w:eastAsia="Times New Roman" w:cs="Calibri"/>
          <w:rtl/>
        </w:rPr>
        <w:t>עלות מחירים כתגובה לעליית המחירים של מתחרי</w:t>
      </w:r>
      <w:r w:rsidRPr="007F0028">
        <w:rPr>
          <w:rFonts w:eastAsia="Times New Roman" w:cs="Calibri" w:hint="cs"/>
          <w:rtl/>
        </w:rPr>
        <w:t>הן</w:t>
      </w:r>
      <w:r w:rsidRPr="007F0028">
        <w:rPr>
          <w:rFonts w:cstheme="minorHAnsi" w:hint="cs"/>
          <w:rtl/>
        </w:rPr>
        <w:t>.</w:t>
      </w:r>
    </w:p>
    <w:p w:rsidR="00DB0522" w:rsidRPr="00225C70" w:rsidRDefault="00DB0522" w:rsidP="00DB0522">
      <w:pPr>
        <w:pStyle w:val="a9"/>
        <w:bidi/>
        <w:spacing w:after="120" w:line="276" w:lineRule="auto"/>
        <w:contextualSpacing w:val="0"/>
        <w:rPr>
          <w:rFonts w:cstheme="minorHAnsi"/>
          <w:rtl/>
        </w:rPr>
      </w:pPr>
    </w:p>
    <w:p w:rsidR="00DB0522" w:rsidRDefault="00DB0522" w:rsidP="00DB0522">
      <w:pPr>
        <w:bidi/>
        <w:spacing w:before="100" w:beforeAutospacing="1" w:after="100" w:afterAutospacing="1" w:line="360" w:lineRule="auto"/>
        <w:rPr>
          <w:rFonts w:eastAsia="Times New Roman" w:cstheme="minorHAnsi"/>
          <w:rtl/>
        </w:rPr>
      </w:pPr>
      <w:r w:rsidRPr="00166B8B">
        <w:rPr>
          <w:rFonts w:eastAsia="Times New Roman" w:cs="Calibri"/>
          <w:rtl/>
        </w:rPr>
        <w:t>מחקר</w:t>
      </w:r>
      <w:r>
        <w:rPr>
          <w:rFonts w:eastAsia="Times New Roman" w:cs="Calibri" w:hint="cs"/>
          <w:rtl/>
        </w:rPr>
        <w:t>, שנערך על ידי</w:t>
      </w:r>
      <w:r w:rsidRPr="00166B8B">
        <w:rPr>
          <w:rFonts w:eastAsia="Times New Roman" w:cs="Calibri"/>
          <w:rtl/>
        </w:rPr>
        <w:t xml:space="preserve"> </w:t>
      </w:r>
      <w:r>
        <w:rPr>
          <w:rFonts w:cstheme="minorHAnsi"/>
          <w:rtl/>
        </w:rPr>
        <w:t>ד</w:t>
      </w:r>
      <w:r>
        <w:rPr>
          <w:rFonts w:cstheme="minorHAnsi" w:hint="cs"/>
          <w:rtl/>
        </w:rPr>
        <w:t>"</w:t>
      </w:r>
      <w:r>
        <w:rPr>
          <w:rFonts w:cstheme="minorHAnsi"/>
          <w:rtl/>
        </w:rPr>
        <w:t>ר</w:t>
      </w:r>
      <w:r w:rsidRPr="003627CB">
        <w:rPr>
          <w:rFonts w:cstheme="minorHAnsi"/>
          <w:rtl/>
        </w:rPr>
        <w:t xml:space="preserve"> </w:t>
      </w:r>
      <w:proofErr w:type="spellStart"/>
      <w:r w:rsidRPr="003627CB">
        <w:rPr>
          <w:rFonts w:cstheme="minorHAnsi"/>
          <w:rtl/>
        </w:rPr>
        <w:t>אילק</w:t>
      </w:r>
      <w:proofErr w:type="spellEnd"/>
      <w:r w:rsidRPr="003627CB">
        <w:rPr>
          <w:rFonts w:cstheme="minorHAnsi"/>
          <w:rtl/>
        </w:rPr>
        <w:t xml:space="preserve"> אלכס </w:t>
      </w:r>
      <w:r>
        <w:rPr>
          <w:rFonts w:cstheme="minorHAnsi" w:hint="cs"/>
          <w:rtl/>
        </w:rPr>
        <w:t>ו</w:t>
      </w:r>
      <w:r>
        <w:rPr>
          <w:rFonts w:cstheme="minorHAnsi"/>
          <w:rtl/>
        </w:rPr>
        <w:t>ד</w:t>
      </w:r>
      <w:r>
        <w:rPr>
          <w:rFonts w:cstheme="minorHAnsi" w:hint="cs"/>
          <w:rtl/>
        </w:rPr>
        <w:t>"</w:t>
      </w:r>
      <w:r w:rsidRPr="003627CB">
        <w:rPr>
          <w:rFonts w:cstheme="minorHAnsi"/>
          <w:rtl/>
        </w:rPr>
        <w:t xml:space="preserve">ר טים </w:t>
      </w:r>
      <w:proofErr w:type="spellStart"/>
      <w:r w:rsidRPr="003627CB">
        <w:rPr>
          <w:rFonts w:cstheme="minorHAnsi"/>
          <w:rtl/>
        </w:rPr>
        <w:t>גינקר</w:t>
      </w:r>
      <w:proofErr w:type="spellEnd"/>
      <w:r w:rsidRPr="003627CB">
        <w:rPr>
          <w:rFonts w:cstheme="minorHAnsi"/>
          <w:rtl/>
        </w:rPr>
        <w:t xml:space="preserve"> </w:t>
      </w:r>
      <w:r>
        <w:rPr>
          <w:rFonts w:cstheme="minorHAnsi"/>
          <w:rtl/>
        </w:rPr>
        <w:t>מבנק ישראל עם ד</w:t>
      </w:r>
      <w:r>
        <w:rPr>
          <w:rFonts w:cstheme="minorHAnsi" w:hint="cs"/>
          <w:rtl/>
        </w:rPr>
        <w:t>"</w:t>
      </w:r>
      <w:r>
        <w:rPr>
          <w:rFonts w:cstheme="minorHAnsi"/>
          <w:rtl/>
        </w:rPr>
        <w:t>ר</w:t>
      </w:r>
      <w:r w:rsidRPr="003627CB">
        <w:rPr>
          <w:rFonts w:cstheme="minorHAnsi"/>
          <w:rtl/>
        </w:rPr>
        <w:t xml:space="preserve"> אביחי שניר מאוניברסיטת בר אילן</w:t>
      </w:r>
      <w:r>
        <w:rPr>
          <w:rFonts w:cstheme="minorHAnsi" w:hint="cs"/>
          <w:rtl/>
        </w:rPr>
        <w:t>,</w:t>
      </w:r>
      <w:r w:rsidRPr="003627CB">
        <w:rPr>
          <w:rFonts w:cstheme="minorHAnsi"/>
          <w:rtl/>
        </w:rPr>
        <w:t xml:space="preserve">  </w:t>
      </w:r>
      <w:r w:rsidRPr="00DE13B1">
        <w:rPr>
          <w:rFonts w:cstheme="minorHAnsi"/>
          <w:rtl/>
        </w:rPr>
        <w:t xml:space="preserve">בוחן </w:t>
      </w:r>
      <w:r w:rsidRPr="00DE13B1">
        <w:rPr>
          <w:rFonts w:cstheme="minorHAnsi" w:hint="cs"/>
          <w:rtl/>
        </w:rPr>
        <w:t xml:space="preserve">את </w:t>
      </w:r>
      <w:r w:rsidRPr="00DE13B1">
        <w:rPr>
          <w:rFonts w:cstheme="minorHAnsi"/>
          <w:rtl/>
        </w:rPr>
        <w:t xml:space="preserve">מידת קשיחות </w:t>
      </w:r>
      <w:r w:rsidRPr="00DE13B1">
        <w:rPr>
          <w:rFonts w:cstheme="minorHAnsi" w:hint="cs"/>
          <w:rtl/>
        </w:rPr>
        <w:t>המחירים (תדירות שינויי מחירים)</w:t>
      </w:r>
      <w:r w:rsidRPr="00DE13B1">
        <w:rPr>
          <w:rFonts w:cstheme="minorHAnsi"/>
          <w:rtl/>
        </w:rPr>
        <w:t xml:space="preserve"> ו</w:t>
      </w:r>
      <w:r w:rsidRPr="00DE13B1">
        <w:rPr>
          <w:rFonts w:cstheme="minorHAnsi" w:hint="cs"/>
          <w:rtl/>
        </w:rPr>
        <w:t xml:space="preserve">את </w:t>
      </w:r>
      <w:r w:rsidRPr="00DE13B1">
        <w:rPr>
          <w:rFonts w:cstheme="minorHAnsi"/>
          <w:rtl/>
        </w:rPr>
        <w:t xml:space="preserve">סנכרון </w:t>
      </w:r>
      <w:r w:rsidRPr="00DE13B1">
        <w:rPr>
          <w:rFonts w:cstheme="minorHAnsi" w:hint="cs"/>
          <w:rtl/>
        </w:rPr>
        <w:t>שינויי ה</w:t>
      </w:r>
      <w:r w:rsidRPr="00DE13B1">
        <w:rPr>
          <w:rFonts w:cstheme="minorHAnsi"/>
          <w:rtl/>
        </w:rPr>
        <w:t>מחירים</w:t>
      </w:r>
      <w:r w:rsidRPr="00DE13B1">
        <w:rPr>
          <w:rFonts w:cstheme="minorHAnsi" w:hint="cs"/>
          <w:rtl/>
        </w:rPr>
        <w:t xml:space="preserve"> </w:t>
      </w:r>
      <w:r w:rsidRPr="00DE13B1">
        <w:rPr>
          <w:rFonts w:cstheme="minorHAnsi"/>
          <w:rtl/>
        </w:rPr>
        <w:t>בין חנויות שונות של מוצרים</w:t>
      </w:r>
      <w:r w:rsidRPr="00DE13B1">
        <w:rPr>
          <w:rFonts w:cstheme="minorHAnsi" w:hint="cs"/>
          <w:rtl/>
        </w:rPr>
        <w:t xml:space="preserve"> </w:t>
      </w:r>
      <w:r w:rsidRPr="00DE13B1">
        <w:rPr>
          <w:rFonts w:cstheme="minorHAnsi"/>
          <w:rtl/>
        </w:rPr>
        <w:t xml:space="preserve">הנמכרים בחנויות מקוונות ופיזיות </w:t>
      </w:r>
      <w:r w:rsidRPr="00DE13B1">
        <w:rPr>
          <w:rFonts w:cstheme="minorHAnsi" w:hint="cs"/>
          <w:rtl/>
        </w:rPr>
        <w:t xml:space="preserve">של רשתות מזון </w:t>
      </w:r>
      <w:r w:rsidRPr="00DE13B1">
        <w:rPr>
          <w:rFonts w:cstheme="minorHAnsi"/>
          <w:rtl/>
        </w:rPr>
        <w:t xml:space="preserve">בישראל. נושאים אלו </w:t>
      </w:r>
      <w:r w:rsidRPr="00DE13B1">
        <w:rPr>
          <w:rFonts w:cstheme="minorHAnsi" w:hint="cs"/>
          <w:rtl/>
        </w:rPr>
        <w:t>חשובים מאוד</w:t>
      </w:r>
      <w:r w:rsidRPr="00DE13B1">
        <w:rPr>
          <w:rFonts w:cstheme="minorHAnsi"/>
          <w:rtl/>
        </w:rPr>
        <w:t xml:space="preserve"> למדיניות המוניטרית </w:t>
      </w:r>
      <w:r w:rsidRPr="00DE13B1">
        <w:rPr>
          <w:rFonts w:cstheme="minorHAnsi" w:hint="cs"/>
          <w:rtl/>
        </w:rPr>
        <w:t xml:space="preserve">של הבנק המרכזי </w:t>
      </w:r>
      <w:r w:rsidRPr="00DE13B1">
        <w:rPr>
          <w:rFonts w:cstheme="minorHAnsi"/>
          <w:rtl/>
        </w:rPr>
        <w:t xml:space="preserve">מכיוון שהם משפיעים על יכולתו של הבנק להשיג יציבות מחירים. זאת משתי סיבות עיקריות: </w:t>
      </w:r>
      <w:r w:rsidRPr="00DE13B1">
        <w:rPr>
          <w:rFonts w:cstheme="minorHAnsi" w:hint="cs"/>
          <w:rtl/>
        </w:rPr>
        <w:t>ראשית, לפי התאוריה ה</w:t>
      </w:r>
      <w:r w:rsidRPr="00DE13B1">
        <w:rPr>
          <w:rFonts w:cstheme="minorHAnsi"/>
          <w:rtl/>
        </w:rPr>
        <w:t>ניאו-</w:t>
      </w:r>
      <w:proofErr w:type="spellStart"/>
      <w:r w:rsidRPr="00DE13B1">
        <w:rPr>
          <w:rFonts w:cstheme="minorHAnsi"/>
          <w:rtl/>
        </w:rPr>
        <w:t>קיינסיאנית</w:t>
      </w:r>
      <w:proofErr w:type="spellEnd"/>
      <w:r w:rsidRPr="00DE13B1">
        <w:rPr>
          <w:rFonts w:cstheme="minorHAnsi" w:hint="cs"/>
          <w:rtl/>
        </w:rPr>
        <w:t xml:space="preserve">, ככל שתדירות התאמת המחירים גבוהה יותר, קטנה האפקטיביות של המדיניות המוניטרית בייצוב האינפלציה באמצעות השפעה על המשתנים הריאליים. שנית, </w:t>
      </w:r>
      <w:r w:rsidRPr="00DE13B1">
        <w:rPr>
          <w:rFonts w:cstheme="minorHAnsi"/>
          <w:rtl/>
        </w:rPr>
        <w:t xml:space="preserve">כאשר חנויות רבות משנות מחירים באותו זמן, </w:t>
      </w:r>
      <w:r w:rsidRPr="00DE13B1">
        <w:rPr>
          <w:rFonts w:cstheme="minorHAnsi" w:hint="cs"/>
          <w:rtl/>
        </w:rPr>
        <w:t>הדבר</w:t>
      </w:r>
      <w:r w:rsidRPr="00DE13B1">
        <w:rPr>
          <w:rFonts w:cstheme="minorHAnsi"/>
          <w:rtl/>
        </w:rPr>
        <w:t xml:space="preserve"> עלול ליצור סיכון לעלייה מהירה באינפלציה</w:t>
      </w:r>
      <w:r w:rsidRPr="00166B8B">
        <w:rPr>
          <w:rFonts w:eastAsia="Times New Roman" w:cs="Calibri"/>
          <w:rtl/>
        </w:rPr>
        <w:t>.</w:t>
      </w:r>
    </w:p>
    <w:p w:rsidR="00DB0522" w:rsidRPr="00166B8B" w:rsidRDefault="00DB0522" w:rsidP="00DB0522">
      <w:pPr>
        <w:bidi/>
        <w:spacing w:before="100" w:beforeAutospacing="1" w:after="100" w:afterAutospacing="1" w:line="360" w:lineRule="auto"/>
        <w:rPr>
          <w:rFonts w:eastAsia="Times New Roman" w:cstheme="minorHAnsi"/>
          <w:rtl/>
        </w:rPr>
      </w:pPr>
      <w:r w:rsidRPr="00166B8B">
        <w:rPr>
          <w:rFonts w:eastAsia="Times New Roman" w:cs="Calibri"/>
          <w:rtl/>
        </w:rPr>
        <w:t>המחקר מוצא כי מידת קשיחות המחירים של המוצרים הנמכרים בחנויות מקוונות ו</w:t>
      </w:r>
      <w:r>
        <w:rPr>
          <w:rFonts w:eastAsia="Times New Roman" w:cs="Calibri" w:hint="cs"/>
          <w:rtl/>
        </w:rPr>
        <w:t xml:space="preserve">בחנויות </w:t>
      </w:r>
      <w:r w:rsidRPr="00166B8B">
        <w:rPr>
          <w:rFonts w:eastAsia="Times New Roman" w:cs="Calibri"/>
          <w:rtl/>
        </w:rPr>
        <w:t xml:space="preserve">פיזיות היא </w:t>
      </w:r>
      <w:r>
        <w:rPr>
          <w:rFonts w:eastAsia="Times New Roman" w:cs="Calibri" w:hint="cs"/>
          <w:rtl/>
        </w:rPr>
        <w:t xml:space="preserve">דומה </w:t>
      </w:r>
      <w:r>
        <w:rPr>
          <w:rFonts w:eastAsia="Times New Roman" w:cs="Calibri"/>
          <w:rtl/>
        </w:rPr>
        <w:t>–</w:t>
      </w:r>
      <w:r>
        <w:rPr>
          <w:rFonts w:eastAsia="Times New Roman" w:cs="Calibri" w:hint="cs"/>
          <w:rtl/>
        </w:rPr>
        <w:t xml:space="preserve"> בממוצע המחירים הרגילים מעודכנים מדי תשעה חודשים</w:t>
      </w:r>
      <w:r w:rsidRPr="00166B8B">
        <w:rPr>
          <w:rFonts w:eastAsia="Times New Roman" w:cs="Calibri"/>
          <w:rtl/>
        </w:rPr>
        <w:t xml:space="preserve">. </w:t>
      </w:r>
      <w:r>
        <w:rPr>
          <w:rFonts w:eastAsia="Times New Roman" w:cs="Calibri" w:hint="cs"/>
          <w:rtl/>
        </w:rPr>
        <w:t>פרק זמן זה גבוה משמעותית מתדירות הזעזועים שפוקדים את המשק הישראלי ומשפיעים על מבנה העלויות של החנויות ולכן מעיד על קשיחות מחירים גבוהה. הדמיון בפרקי הזמן בין עדכוני המחירים בחנויות מקוונות ופיזיות תומך בהערכה ש</w:t>
      </w:r>
      <w:r w:rsidRPr="00166B8B">
        <w:rPr>
          <w:rFonts w:eastAsia="Times New Roman" w:cs="Calibri"/>
          <w:rtl/>
        </w:rPr>
        <w:t>לעלות הפיזית של התאמת מחירים</w:t>
      </w:r>
      <w:r>
        <w:rPr>
          <w:rFonts w:eastAsia="Times New Roman" w:cs="Calibri" w:hint="cs"/>
          <w:rtl/>
        </w:rPr>
        <w:t>, כמו החלפת המדבקות על המוצרים ועל המדפים,</w:t>
      </w:r>
      <w:r w:rsidRPr="00166B8B">
        <w:rPr>
          <w:rFonts w:eastAsia="Times New Roman" w:cs="Calibri"/>
          <w:rtl/>
        </w:rPr>
        <w:t xml:space="preserve"> </w:t>
      </w:r>
      <w:r>
        <w:rPr>
          <w:rFonts w:eastAsia="Times New Roman" w:cs="Calibri" w:hint="cs"/>
          <w:rtl/>
        </w:rPr>
        <w:t>חלק קטן בסך העלות של התאמת המחירים וכי</w:t>
      </w:r>
      <w:r w:rsidRPr="00166B8B">
        <w:rPr>
          <w:rFonts w:eastAsia="Times New Roman" w:cs="Calibri"/>
          <w:rtl/>
        </w:rPr>
        <w:t xml:space="preserve"> המקור העיקרי לקשיחות מחירים נובע מעלויות שאינן פיזיות, כגון עלויות שכרוכות במעקב </w:t>
      </w:r>
      <w:r>
        <w:rPr>
          <w:rFonts w:eastAsia="Times New Roman" w:cs="Calibri" w:hint="cs"/>
          <w:rtl/>
        </w:rPr>
        <w:t>אחרי</w:t>
      </w:r>
      <w:r w:rsidRPr="00166B8B">
        <w:rPr>
          <w:rFonts w:eastAsia="Times New Roman" w:cs="Calibri"/>
          <w:rtl/>
        </w:rPr>
        <w:t xml:space="preserve"> תנאי השוק, על</w:t>
      </w:r>
      <w:r>
        <w:rPr>
          <w:rFonts w:eastAsia="Times New Roman" w:cs="Calibri" w:hint="cs"/>
          <w:rtl/>
        </w:rPr>
        <w:t>ו</w:t>
      </w:r>
      <w:r w:rsidRPr="00166B8B">
        <w:rPr>
          <w:rFonts w:eastAsia="Times New Roman" w:cs="Calibri"/>
          <w:rtl/>
        </w:rPr>
        <w:t xml:space="preserve">יות ניהוליות ברשתות וכד'. </w:t>
      </w:r>
    </w:p>
    <w:p w:rsidR="00DB0522" w:rsidRDefault="00DB0522" w:rsidP="00DB0522">
      <w:pPr>
        <w:bidi/>
        <w:spacing w:before="100" w:beforeAutospacing="1" w:after="100" w:afterAutospacing="1" w:line="360" w:lineRule="auto"/>
        <w:rPr>
          <w:rFonts w:eastAsia="Times New Roman" w:cs="Calibri"/>
          <w:rtl/>
        </w:rPr>
      </w:pPr>
      <w:r w:rsidRPr="00DF474A">
        <w:rPr>
          <w:rFonts w:eastAsia="Times New Roman" w:cs="Calibri" w:hint="cs"/>
          <w:rtl/>
        </w:rPr>
        <w:t xml:space="preserve">עוד </w:t>
      </w:r>
      <w:r>
        <w:rPr>
          <w:rFonts w:eastAsia="Times New Roman" w:cs="Calibri" w:hint="cs"/>
          <w:rtl/>
        </w:rPr>
        <w:t xml:space="preserve">מראה </w:t>
      </w:r>
      <w:r w:rsidRPr="00DF474A">
        <w:rPr>
          <w:rFonts w:eastAsia="Times New Roman" w:cs="Calibri"/>
          <w:rtl/>
        </w:rPr>
        <w:t>המחקר שיש הבדלים גדולים ב</w:t>
      </w:r>
      <w:r>
        <w:rPr>
          <w:rFonts w:eastAsia="Times New Roman" w:cs="Calibri" w:hint="cs"/>
          <w:rtl/>
        </w:rPr>
        <w:t>רמת ה</w:t>
      </w:r>
      <w:r w:rsidRPr="00DF474A">
        <w:rPr>
          <w:rFonts w:eastAsia="Times New Roman" w:cs="Calibri"/>
          <w:rtl/>
        </w:rPr>
        <w:t>מחירים בין רשתות שיווק שונות</w:t>
      </w:r>
      <w:r>
        <w:rPr>
          <w:rFonts w:eastAsia="Times New Roman" w:cs="Calibri" w:hint="cs"/>
          <w:rtl/>
        </w:rPr>
        <w:t xml:space="preserve"> ואף בין הסניפים השונים בתוך אותה רשת. נמצא גם כי </w:t>
      </w:r>
      <w:r w:rsidRPr="00DF474A">
        <w:rPr>
          <w:rFonts w:eastAsia="Times New Roman" w:cs="Calibri"/>
          <w:rtl/>
        </w:rPr>
        <w:t xml:space="preserve">כשרשת אחת משנה מחירים, האחרות לא תמיד משנות באותו </w:t>
      </w:r>
      <w:r>
        <w:rPr>
          <w:rFonts w:eastAsia="Times New Roman" w:cs="Calibri" w:hint="cs"/>
          <w:rtl/>
        </w:rPr>
        <w:t>ה</w:t>
      </w:r>
      <w:r>
        <w:rPr>
          <w:rFonts w:eastAsia="Times New Roman" w:cs="Calibri"/>
          <w:rtl/>
        </w:rPr>
        <w:t xml:space="preserve">זמן, </w:t>
      </w:r>
      <w:r>
        <w:rPr>
          <w:rFonts w:eastAsia="Times New Roman" w:cs="Calibri" w:hint="cs"/>
          <w:rtl/>
        </w:rPr>
        <w:t>הן</w:t>
      </w:r>
      <w:r w:rsidRPr="00DF474A">
        <w:rPr>
          <w:rFonts w:eastAsia="Times New Roman" w:cs="Calibri"/>
          <w:rtl/>
        </w:rPr>
        <w:t xml:space="preserve"> </w:t>
      </w:r>
      <w:r>
        <w:rPr>
          <w:rFonts w:eastAsia="Times New Roman" w:cs="Calibri" w:hint="cs"/>
          <w:rtl/>
        </w:rPr>
        <w:t>ב</w:t>
      </w:r>
      <w:r w:rsidRPr="00DF474A">
        <w:rPr>
          <w:rFonts w:eastAsia="Times New Roman" w:cs="Calibri"/>
          <w:rtl/>
        </w:rPr>
        <w:t xml:space="preserve">חנויות </w:t>
      </w:r>
      <w:r w:rsidRPr="00DF474A">
        <w:rPr>
          <w:rFonts w:eastAsia="Times New Roman" w:cs="Calibri" w:hint="cs"/>
          <w:rtl/>
        </w:rPr>
        <w:t>פיזיות</w:t>
      </w:r>
      <w:r w:rsidRPr="00DF474A">
        <w:rPr>
          <w:rFonts w:eastAsia="Times New Roman" w:cs="Calibri"/>
          <w:rtl/>
        </w:rPr>
        <w:t xml:space="preserve"> ו</w:t>
      </w:r>
      <w:r>
        <w:rPr>
          <w:rFonts w:eastAsia="Times New Roman" w:cs="Calibri" w:hint="cs"/>
          <w:rtl/>
        </w:rPr>
        <w:t>הן</w:t>
      </w:r>
      <w:r w:rsidRPr="00DF474A">
        <w:rPr>
          <w:rFonts w:eastAsia="Times New Roman" w:cs="Calibri"/>
          <w:rtl/>
        </w:rPr>
        <w:t xml:space="preserve"> </w:t>
      </w:r>
      <w:r>
        <w:rPr>
          <w:rFonts w:eastAsia="Times New Roman" w:cs="Calibri" w:hint="cs"/>
          <w:rtl/>
        </w:rPr>
        <w:t xml:space="preserve">בחנויות </w:t>
      </w:r>
      <w:r w:rsidRPr="00DF474A">
        <w:rPr>
          <w:rFonts w:eastAsia="Times New Roman" w:cs="Calibri" w:hint="cs"/>
          <w:rtl/>
        </w:rPr>
        <w:t>מקוונות</w:t>
      </w:r>
      <w:r w:rsidRPr="00DF474A">
        <w:rPr>
          <w:rFonts w:eastAsia="Times New Roman" w:cs="Calibri"/>
          <w:rtl/>
        </w:rPr>
        <w:t xml:space="preserve">. בתוך אותה רשת, הסניפים משנים מחירים באופן יותר מתואם, </w:t>
      </w:r>
      <w:r>
        <w:rPr>
          <w:rFonts w:eastAsia="Times New Roman" w:cs="Calibri" w:hint="cs"/>
          <w:rtl/>
        </w:rPr>
        <w:t>כשבוחנים את הנתונים בתדירות חודשית</w:t>
      </w:r>
      <w:r w:rsidRPr="00DF474A">
        <w:rPr>
          <w:rFonts w:eastAsia="Times New Roman" w:cs="Calibri"/>
          <w:rtl/>
        </w:rPr>
        <w:t xml:space="preserve">. </w:t>
      </w:r>
    </w:p>
    <w:p w:rsidR="00DB0522" w:rsidRPr="000F141B" w:rsidRDefault="00DB0522" w:rsidP="00DB0522">
      <w:pPr>
        <w:bidi/>
        <w:spacing w:before="100" w:beforeAutospacing="1" w:after="100" w:afterAutospacing="1" w:line="360" w:lineRule="auto"/>
        <w:rPr>
          <w:rFonts w:eastAsia="Times New Roman" w:cs="Calibri"/>
          <w:rtl/>
        </w:rPr>
      </w:pPr>
      <w:r>
        <w:rPr>
          <w:rFonts w:eastAsia="Times New Roman" w:cs="Calibri" w:hint="cs"/>
          <w:rtl/>
        </w:rPr>
        <w:lastRenderedPageBreak/>
        <w:t xml:space="preserve">בהמשך, </w:t>
      </w:r>
      <w:r w:rsidRPr="000F141B">
        <w:rPr>
          <w:rFonts w:eastAsia="Times New Roman" w:cs="Calibri"/>
          <w:rtl/>
        </w:rPr>
        <w:t xml:space="preserve">המחקר מוצא כי </w:t>
      </w:r>
      <w:r>
        <w:rPr>
          <w:rFonts w:eastAsia="Times New Roman" w:cs="Calibri" w:hint="cs"/>
          <w:rtl/>
        </w:rPr>
        <w:t xml:space="preserve">אומנם </w:t>
      </w:r>
      <w:r w:rsidRPr="000F141B">
        <w:rPr>
          <w:rFonts w:eastAsia="Times New Roman" w:cs="Calibri"/>
          <w:rtl/>
        </w:rPr>
        <w:t xml:space="preserve">מידת הסנכרון של שינויי מחירים בין הרשתות השונות היא </w:t>
      </w:r>
      <w:r>
        <w:rPr>
          <w:rFonts w:eastAsia="Times New Roman" w:cs="Calibri"/>
          <w:rtl/>
        </w:rPr>
        <w:t xml:space="preserve">נמוכה יחסית בממוצע. </w:t>
      </w:r>
      <w:r>
        <w:rPr>
          <w:rFonts w:eastAsia="Times New Roman" w:cs="Calibri" w:hint="cs"/>
          <w:rtl/>
        </w:rPr>
        <w:t>אולם</w:t>
      </w:r>
      <w:r w:rsidRPr="000F141B">
        <w:rPr>
          <w:rFonts w:eastAsia="Times New Roman" w:cs="Calibri"/>
          <w:rtl/>
        </w:rPr>
        <w:t xml:space="preserve">, בהסתכלות לאורך זמן, ככל שהסביבה האינפלציונית גבוהה יותר, כך גדל הסיכוי שהרשתות ישנו מחירים במועדים דומים. מצב זה עלול ליצור תופעה שבה עליית מחירים באחת הרשתות גוררת העלאות מחירים ברשתות האחרות, מה שעשוי להגביר </w:t>
      </w:r>
      <w:r w:rsidRPr="000F141B">
        <w:rPr>
          <w:rFonts w:eastAsia="Times New Roman" w:cs="Calibri" w:hint="cs"/>
          <w:rtl/>
        </w:rPr>
        <w:t>תהליך אינפלציוני</w:t>
      </w:r>
      <w:r w:rsidRPr="000F141B">
        <w:rPr>
          <w:rFonts w:eastAsia="Times New Roman" w:cs="Calibri"/>
        </w:rPr>
        <w:t>.</w:t>
      </w:r>
    </w:p>
    <w:p w:rsidR="00DB0522" w:rsidRPr="00225C70" w:rsidRDefault="00DB0522" w:rsidP="00DB0522">
      <w:pPr>
        <w:bidi/>
        <w:spacing w:line="360" w:lineRule="auto"/>
        <w:rPr>
          <w:rFonts w:cstheme="minorHAnsi"/>
          <w:rtl/>
        </w:rPr>
      </w:pPr>
    </w:p>
    <w:p w:rsidR="00DB0522" w:rsidRDefault="00DB0522" w:rsidP="00DB0522">
      <w:pPr>
        <w:bidi/>
        <w:spacing w:line="360" w:lineRule="auto"/>
        <w:rPr>
          <w:rFonts w:cstheme="minorHAnsi"/>
        </w:rPr>
      </w:pPr>
    </w:p>
    <w:p w:rsidR="00DB0522" w:rsidRPr="00DB0522" w:rsidRDefault="00DB0522" w:rsidP="00DB0522">
      <w:pPr>
        <w:bidi/>
        <w:spacing w:line="360" w:lineRule="auto"/>
        <w:rPr>
          <w:rFonts w:asciiTheme="minorHAnsi" w:hAnsiTheme="minorHAnsi" w:cstheme="minorHAnsi"/>
          <w:rtl/>
        </w:rPr>
      </w:pPr>
    </w:p>
    <w:p w:rsidR="00F25BB5" w:rsidRDefault="00F25BB5" w:rsidP="00DB0522">
      <w:pPr>
        <w:bidi/>
        <w:spacing w:line="360" w:lineRule="auto"/>
        <w:rPr>
          <w:rFonts w:asciiTheme="minorHAnsi" w:hAnsiTheme="minorHAnsi" w:cstheme="minorHAnsi"/>
          <w:rtl/>
        </w:rPr>
      </w:pPr>
    </w:p>
    <w:p w:rsidR="00F25BB5" w:rsidRPr="005E28F6" w:rsidRDefault="00F25BB5" w:rsidP="00DB0522">
      <w:pPr>
        <w:bidi/>
        <w:spacing w:line="360" w:lineRule="auto"/>
        <w:rPr>
          <w:rFonts w:asciiTheme="minorHAnsi" w:hAnsiTheme="minorHAnsi" w:cstheme="minorHAnsi"/>
          <w:rtl/>
        </w:rPr>
      </w:pPr>
    </w:p>
    <w:p w:rsidR="003E7478" w:rsidRPr="005E28F6" w:rsidRDefault="003E7478" w:rsidP="00DB0522">
      <w:pPr>
        <w:bidi/>
        <w:spacing w:line="360" w:lineRule="auto"/>
        <w:rPr>
          <w:rFonts w:asciiTheme="minorHAnsi" w:hAnsiTheme="minorHAnsi" w:cstheme="minorHAnsi"/>
        </w:rPr>
      </w:pPr>
    </w:p>
    <w:sectPr w:rsidR="003E7478" w:rsidRPr="005E28F6" w:rsidSect="00CC249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25BB5" w:rsidP="00F20046">
    <w:pPr>
      <w:pStyle w:val="a7"/>
      <w:rPr>
        <w:rtl/>
      </w:rPr>
    </w:pPr>
    <w:r>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2"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3"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B0C67"/>
    <w:multiLevelType w:val="hybridMultilevel"/>
    <w:tmpl w:val="F89A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522"/>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3AA7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A9D"/>
    <w:pPr>
      <w:spacing w:after="160" w:line="259" w:lineRule="auto"/>
    </w:pPr>
    <w:rPr>
      <w:rFonts w:ascii="David" w:eastAsia="David" w:hAnsi="David"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75141"/>
    <w:rPr>
      <w:color w:val="0000FF"/>
      <w:u w:val="single"/>
    </w:rPr>
  </w:style>
  <w:style w:type="paragraph" w:styleId="a3">
    <w:name w:val="Balloon Text"/>
    <w:basedOn w:val="a"/>
    <w:link w:val="a4"/>
    <w:uiPriority w:val="99"/>
    <w:semiHidden/>
    <w:unhideWhenUsed/>
    <w:rsid w:val="007B64D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B64D4"/>
    <w:rPr>
      <w:rFonts w:ascii="Tahoma" w:hAnsi="Tahoma" w:cs="Tahoma"/>
      <w:sz w:val="18"/>
      <w:szCs w:val="18"/>
    </w:rPr>
  </w:style>
  <w:style w:type="paragraph" w:styleId="a5">
    <w:name w:val="header"/>
    <w:basedOn w:val="a"/>
    <w:link w:val="a6"/>
    <w:uiPriority w:val="99"/>
    <w:unhideWhenUsed/>
    <w:rsid w:val="00E04682"/>
    <w:pPr>
      <w:tabs>
        <w:tab w:val="center" w:pos="4153"/>
        <w:tab w:val="right" w:pos="8306"/>
      </w:tabs>
      <w:spacing w:after="0" w:line="240" w:lineRule="auto"/>
    </w:pPr>
  </w:style>
  <w:style w:type="character" w:customStyle="1" w:styleId="a6">
    <w:name w:val="כותרת עליונה תו"/>
    <w:basedOn w:val="a0"/>
    <w:link w:val="a5"/>
    <w:uiPriority w:val="99"/>
    <w:rsid w:val="00E04682"/>
  </w:style>
  <w:style w:type="paragraph" w:styleId="a7">
    <w:name w:val="footer"/>
    <w:basedOn w:val="a"/>
    <w:link w:val="a8"/>
    <w:uiPriority w:val="99"/>
    <w:unhideWhenUsed/>
    <w:rsid w:val="00E04682"/>
    <w:pPr>
      <w:tabs>
        <w:tab w:val="center" w:pos="4153"/>
        <w:tab w:val="right" w:pos="8306"/>
      </w:tabs>
      <w:spacing w:after="0" w:line="240" w:lineRule="auto"/>
    </w:pPr>
  </w:style>
  <w:style w:type="character" w:customStyle="1" w:styleId="a8">
    <w:name w:val="כותרת תחתונה תו"/>
    <w:basedOn w:val="a0"/>
    <w:link w:val="a7"/>
    <w:uiPriority w:val="99"/>
    <w:rsid w:val="00E04682"/>
  </w:style>
  <w:style w:type="paragraph" w:styleId="a9">
    <w:name w:val="List Paragraph"/>
    <w:aliases w:val="פיסקת רשימה12,פיסקת רשימה121,פיסקת רשימה2,פיסקת רשימה11"/>
    <w:basedOn w:val="a"/>
    <w:link w:val="aa"/>
    <w:uiPriority w:val="34"/>
    <w:qFormat/>
    <w:rsid w:val="00CD2A65"/>
    <w:pPr>
      <w:ind w:left="720"/>
      <w:contextualSpacing/>
    </w:pPr>
  </w:style>
  <w:style w:type="character" w:styleId="ab">
    <w:name w:val="annotation reference"/>
    <w:basedOn w:val="a0"/>
    <w:uiPriority w:val="99"/>
    <w:semiHidden/>
    <w:unhideWhenUsed/>
    <w:rsid w:val="004F26A1"/>
    <w:rPr>
      <w:sz w:val="16"/>
      <w:szCs w:val="16"/>
    </w:rPr>
  </w:style>
  <w:style w:type="paragraph" w:styleId="ac">
    <w:name w:val="annotation text"/>
    <w:basedOn w:val="a"/>
    <w:link w:val="ad"/>
    <w:uiPriority w:val="99"/>
    <w:semiHidden/>
    <w:unhideWhenUsed/>
    <w:rsid w:val="004F26A1"/>
    <w:pPr>
      <w:spacing w:line="240" w:lineRule="auto"/>
    </w:pPr>
    <w:rPr>
      <w:sz w:val="20"/>
      <w:szCs w:val="20"/>
    </w:rPr>
  </w:style>
  <w:style w:type="character" w:customStyle="1" w:styleId="ad">
    <w:name w:val="טקסט הערה תו"/>
    <w:basedOn w:val="a0"/>
    <w:link w:val="ac"/>
    <w:uiPriority w:val="99"/>
    <w:semiHidden/>
    <w:rsid w:val="004F26A1"/>
    <w:rPr>
      <w:sz w:val="20"/>
      <w:szCs w:val="20"/>
    </w:rPr>
  </w:style>
  <w:style w:type="paragraph" w:styleId="ae">
    <w:name w:val="annotation subject"/>
    <w:basedOn w:val="ac"/>
    <w:next w:val="ac"/>
    <w:link w:val="af"/>
    <w:uiPriority w:val="99"/>
    <w:semiHidden/>
    <w:unhideWhenUsed/>
    <w:rsid w:val="004F26A1"/>
    <w:rPr>
      <w:b/>
      <w:bCs/>
    </w:rPr>
  </w:style>
  <w:style w:type="character" w:customStyle="1" w:styleId="af">
    <w:name w:val="נושא הערה תו"/>
    <w:basedOn w:val="ad"/>
    <w:link w:val="ae"/>
    <w:uiPriority w:val="99"/>
    <w:semiHidden/>
    <w:rsid w:val="004F26A1"/>
    <w:rPr>
      <w:b/>
      <w:bCs/>
      <w:sz w:val="20"/>
      <w:szCs w:val="20"/>
    </w:rPr>
  </w:style>
  <w:style w:type="character" w:styleId="FollowedHyperlink">
    <w:name w:val="FollowedHyperlink"/>
    <w:basedOn w:val="a0"/>
    <w:uiPriority w:val="99"/>
    <w:semiHidden/>
    <w:unhideWhenUsed/>
    <w:rsid w:val="00B569FD"/>
    <w:rPr>
      <w:color w:val="800080" w:themeColor="followedHyperlink"/>
      <w:u w:val="single"/>
    </w:rPr>
  </w:style>
  <w:style w:type="character" w:customStyle="1" w:styleId="aa">
    <w:name w:val="פיסקת רשימה תו"/>
    <w:aliases w:val="פיסקת רשימה12 תו,פיסקת רשימה121 תו,פיסקת רשימה2 תו,פיסקת רשימה11 תו"/>
    <w:basedOn w:val="a0"/>
    <w:link w:val="a9"/>
    <w:uiPriority w:val="34"/>
    <w:rsid w:val="0003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microsoft.com/office/2007/relationships/hdphoto" Target="media/hdphoto2.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4.png"/><Relationship Id="rId11" Type="http://schemas.openxmlformats.org/officeDocument/2006/relationships/hyperlink" Target="https://www.youtube.com/user/thebankofisrael" TargetMode="External"/><Relationship Id="rId5" Type="http://schemas.microsoft.com/office/2007/relationships/hdphoto" Target="media/hdphoto1.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3.png"/><Relationship Id="rId9" Type="http://schemas.microsoft.com/office/2007/relationships/hdphoto" Target="media/hdphoto3.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2150</Characters>
  <Application>Microsoft Office Word</Application>
  <DocSecurity>0</DocSecurity>
  <Lines>17</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2025-09-03T08:07:00Z</dcterms:created>
  <dcterms:modified xsi:type="dcterms:W3CDTF">2025-09-03T08:07:00Z</dcterms:modified>
</cp:coreProperties>
</file>