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51"/>
        <w:bidiVisual/>
        <w:tblW w:w="0" w:type="auto"/>
        <w:tblLayout w:type="fixed"/>
        <w:tblLook w:val="0000" w:firstRow="0" w:lastRow="0" w:firstColumn="0" w:lastColumn="0" w:noHBand="0" w:noVBand="0"/>
      </w:tblPr>
      <w:tblGrid>
        <w:gridCol w:w="2843"/>
        <w:gridCol w:w="2599"/>
        <w:gridCol w:w="3087"/>
      </w:tblGrid>
      <w:tr w:rsidR="00CB22EE" w:rsidRPr="00B92118" w:rsidTr="00610A26">
        <w:trPr>
          <w:cantSplit/>
          <w:trHeight w:val="1157"/>
        </w:trPr>
        <w:tc>
          <w:tcPr>
            <w:tcW w:w="2843" w:type="dxa"/>
            <w:tcBorders>
              <w:top w:val="nil"/>
              <w:left w:val="nil"/>
              <w:bottom w:val="nil"/>
              <w:right w:val="nil"/>
            </w:tcBorders>
            <w:vAlign w:val="center"/>
          </w:tcPr>
          <w:p w:rsidR="00CB22EE" w:rsidRPr="00B92118" w:rsidRDefault="00CB22EE" w:rsidP="00CB22EE">
            <w:pPr>
              <w:spacing w:after="0"/>
              <w:jc w:val="center"/>
              <w:rPr>
                <w:rFonts w:cstheme="minorHAnsi"/>
                <w:b/>
                <w:bCs/>
                <w:sz w:val="24"/>
                <w:szCs w:val="24"/>
                <w:rtl/>
              </w:rPr>
            </w:pPr>
            <w:r w:rsidRPr="00B92118">
              <w:rPr>
                <w:rFonts w:cs="Times New Roman"/>
                <w:b/>
                <w:bCs/>
                <w:sz w:val="24"/>
                <w:szCs w:val="24"/>
                <w:rtl/>
              </w:rPr>
              <w:t>בנק</w:t>
            </w:r>
            <w:r w:rsidRPr="00B92118">
              <w:rPr>
                <w:rFonts w:cstheme="minorHAnsi"/>
                <w:b/>
                <w:bCs/>
                <w:sz w:val="24"/>
                <w:szCs w:val="24"/>
                <w:rtl/>
                <w:lang w:bidi="ar"/>
              </w:rPr>
              <w:t xml:space="preserve"> </w:t>
            </w:r>
            <w:r w:rsidRPr="00B92118">
              <w:rPr>
                <w:rFonts w:cs="Times New Roman"/>
                <w:b/>
                <w:bCs/>
                <w:sz w:val="24"/>
                <w:szCs w:val="24"/>
                <w:rtl/>
              </w:rPr>
              <w:t>ישראל</w:t>
            </w:r>
          </w:p>
          <w:p w:rsidR="00CB22EE" w:rsidRPr="00B92118" w:rsidRDefault="00CB22EE" w:rsidP="00CB22EE">
            <w:pPr>
              <w:spacing w:after="0"/>
              <w:jc w:val="center"/>
              <w:rPr>
                <w:rFonts w:cstheme="minorHAnsi"/>
                <w:b/>
                <w:bCs/>
                <w:sz w:val="24"/>
                <w:szCs w:val="24"/>
              </w:rPr>
            </w:pPr>
            <w:r w:rsidRPr="00B92118">
              <w:rPr>
                <w:rFonts w:cs="Times New Roman"/>
                <w:b/>
                <w:bCs/>
                <w:sz w:val="24"/>
                <w:szCs w:val="24"/>
                <w:rtl/>
              </w:rPr>
              <w:t>דוברות</w:t>
            </w:r>
            <w:r w:rsidRPr="00B92118">
              <w:rPr>
                <w:rFonts w:cstheme="minorHAnsi"/>
                <w:b/>
                <w:bCs/>
                <w:sz w:val="24"/>
                <w:szCs w:val="24"/>
                <w:rtl/>
                <w:lang w:bidi="ar"/>
              </w:rPr>
              <w:t xml:space="preserve"> </w:t>
            </w:r>
            <w:r w:rsidRPr="00B92118">
              <w:rPr>
                <w:rFonts w:cs="Times New Roman"/>
                <w:b/>
                <w:bCs/>
                <w:sz w:val="24"/>
                <w:szCs w:val="24"/>
                <w:rtl/>
              </w:rPr>
              <w:t>והסברה</w:t>
            </w:r>
            <w:r w:rsidRPr="00B92118">
              <w:rPr>
                <w:rFonts w:cstheme="minorHAnsi"/>
                <w:b/>
                <w:bCs/>
                <w:sz w:val="24"/>
                <w:szCs w:val="24"/>
                <w:rtl/>
                <w:lang w:bidi="ar"/>
              </w:rPr>
              <w:t xml:space="preserve"> </w:t>
            </w:r>
            <w:r w:rsidRPr="00B92118">
              <w:rPr>
                <w:rFonts w:cs="Times New Roman"/>
                <w:b/>
                <w:bCs/>
                <w:sz w:val="24"/>
                <w:szCs w:val="24"/>
                <w:rtl/>
              </w:rPr>
              <w:t>כלכלית</w:t>
            </w:r>
          </w:p>
        </w:tc>
        <w:tc>
          <w:tcPr>
            <w:tcW w:w="2599" w:type="dxa"/>
            <w:tcBorders>
              <w:top w:val="nil"/>
              <w:left w:val="nil"/>
              <w:bottom w:val="nil"/>
              <w:right w:val="nil"/>
            </w:tcBorders>
          </w:tcPr>
          <w:p w:rsidR="00CB22EE" w:rsidRPr="00B92118" w:rsidRDefault="00CB22EE" w:rsidP="00CB22EE">
            <w:pPr>
              <w:spacing w:after="0"/>
              <w:jc w:val="center"/>
              <w:rPr>
                <w:rFonts w:cstheme="minorHAnsi"/>
                <w:b/>
                <w:bCs/>
                <w:sz w:val="24"/>
                <w:szCs w:val="24"/>
              </w:rPr>
            </w:pPr>
            <w:r w:rsidRPr="00B92118">
              <w:rPr>
                <w:rFonts w:cstheme="minorHAnsi"/>
                <w:b/>
                <w:bCs/>
                <w:noProof/>
                <w:sz w:val="24"/>
                <w:szCs w:val="24"/>
                <w:rtl/>
              </w:rPr>
              <w:drawing>
                <wp:inline distT="0" distB="0" distL="0" distR="0" wp14:anchorId="6C41AC1A" wp14:editId="2E744254">
                  <wp:extent cx="942975" cy="933450"/>
                  <wp:effectExtent l="0" t="0" r="9525" b="0"/>
                  <wp:docPr id="2" name="Picture 2" descr="C:\Users\Ayman\AppData\Local\Microsoft\Windows\INetCache\Content.Outlook\0HOE7Q1F\arabic_bank-of-israel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man\AppData\Local\Microsoft\Windows\INetCache\Content.Outlook\0HOE7Q1F\arabic_bank-of-israel (00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40" t="6141" r="7017" b="7894"/>
                          <a:stretch/>
                        </pic:blipFill>
                        <pic:spPr bwMode="auto">
                          <a:xfrm>
                            <a:off x="0" y="0"/>
                            <a:ext cx="942975" cy="9334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87" w:type="dxa"/>
            <w:tcBorders>
              <w:top w:val="nil"/>
              <w:left w:val="nil"/>
              <w:bottom w:val="nil"/>
              <w:right w:val="nil"/>
            </w:tcBorders>
            <w:vAlign w:val="center"/>
          </w:tcPr>
          <w:p w:rsidR="00CB22EE" w:rsidRPr="00B92118" w:rsidRDefault="00CB22EE" w:rsidP="00CB22EE">
            <w:pPr>
              <w:spacing w:after="0"/>
              <w:jc w:val="center"/>
              <w:rPr>
                <w:rFonts w:cstheme="minorHAnsi"/>
                <w:b/>
                <w:bCs/>
                <w:sz w:val="24"/>
                <w:szCs w:val="24"/>
                <w:rtl/>
              </w:rPr>
            </w:pPr>
            <w:r w:rsidRPr="00B92118">
              <w:rPr>
                <w:rFonts w:cs="Times New Roman"/>
                <w:b/>
                <w:bCs/>
                <w:sz w:val="24"/>
                <w:szCs w:val="24"/>
                <w:rtl/>
                <w:lang w:bidi="ar-SA"/>
              </w:rPr>
              <w:t>بنك إسرائيل</w:t>
            </w:r>
          </w:p>
          <w:p w:rsidR="00CB22EE" w:rsidRPr="00B92118" w:rsidRDefault="00CB22EE" w:rsidP="00CB22EE">
            <w:pPr>
              <w:spacing w:after="0"/>
              <w:jc w:val="center"/>
              <w:rPr>
                <w:rFonts w:cstheme="minorHAnsi"/>
                <w:b/>
                <w:bCs/>
                <w:sz w:val="24"/>
                <w:szCs w:val="24"/>
                <w:rtl/>
              </w:rPr>
            </w:pPr>
            <w:r w:rsidRPr="00B92118">
              <w:rPr>
                <w:rFonts w:cs="Times New Roman"/>
                <w:b/>
                <w:bCs/>
                <w:sz w:val="24"/>
                <w:szCs w:val="24"/>
                <w:rtl/>
                <w:lang w:bidi="ar-SA"/>
              </w:rPr>
              <w:t>المكتب الإعلامي باللغة العربيّة</w:t>
            </w:r>
          </w:p>
        </w:tc>
      </w:tr>
    </w:tbl>
    <w:p w:rsidR="007741AA" w:rsidRPr="00B92118" w:rsidRDefault="007741AA" w:rsidP="00DC0C9E">
      <w:pPr>
        <w:spacing w:after="0"/>
        <w:jc w:val="center"/>
        <w:rPr>
          <w:rFonts w:cstheme="minorHAnsi"/>
          <w:b/>
          <w:bCs/>
          <w:sz w:val="24"/>
          <w:szCs w:val="24"/>
          <w:rtl/>
          <w:lang w:bidi="ar-SA"/>
        </w:rPr>
      </w:pPr>
    </w:p>
    <w:p w:rsidR="005C2DB9" w:rsidRDefault="005C2DB9" w:rsidP="00AB2747">
      <w:pPr>
        <w:spacing w:before="100" w:beforeAutospacing="1" w:after="100" w:afterAutospacing="1" w:line="360" w:lineRule="auto"/>
        <w:jc w:val="both"/>
        <w:outlineLvl w:val="0"/>
        <w:rPr>
          <w:rFonts w:ascii="David" w:eastAsiaTheme="majorEastAsia" w:hAnsi="David" w:cstheme="majorBidi"/>
          <w:b/>
          <w:bCs/>
          <w:color w:val="2E74B5" w:themeColor="accent1" w:themeShade="BF"/>
          <w:sz w:val="32"/>
          <w:szCs w:val="32"/>
          <w:lang w:bidi="ar-SA"/>
        </w:rPr>
      </w:pPr>
    </w:p>
    <w:p w:rsidR="006861EC" w:rsidRPr="00151039" w:rsidRDefault="006861EC" w:rsidP="006861EC">
      <w:pPr>
        <w:pStyle w:val="af8"/>
        <w:rPr>
          <w:rFonts w:ascii="David" w:hAnsi="David" w:cstheme="minorBidi"/>
          <w:lang w:bidi="ar-SA"/>
        </w:rPr>
      </w:pPr>
      <w:r>
        <w:rPr>
          <w:rFonts w:ascii="David" w:hAnsi="David" w:cstheme="minorBidi" w:hint="cs"/>
          <w:rtl/>
          <w:lang w:bidi="ar-SA"/>
        </w:rPr>
        <w:t>تطور دين القطاع الخاص غير المالي في الربع الثالث من العام 2022</w:t>
      </w:r>
    </w:p>
    <w:p w:rsidR="007F4B21" w:rsidRPr="00ED6F32" w:rsidRDefault="007F4B21" w:rsidP="007F4B21">
      <w:pPr>
        <w:rPr>
          <w:rFonts w:ascii="David" w:hAnsi="David" w:cs="David"/>
          <w:rtl/>
        </w:rPr>
      </w:pPr>
    </w:p>
    <w:p w:rsidR="006861EC" w:rsidRPr="009F3C2E" w:rsidRDefault="006861EC" w:rsidP="006861EC">
      <w:pPr>
        <w:spacing w:line="360" w:lineRule="auto"/>
        <w:jc w:val="both"/>
        <w:rPr>
          <w:rFonts w:ascii="David" w:hAnsi="David" w:cs="David"/>
          <w:sz w:val="24"/>
          <w:szCs w:val="24"/>
          <w:rtl/>
          <w:lang w:bidi="ar-SA"/>
        </w:rPr>
      </w:pPr>
      <w:r w:rsidRPr="002D703E">
        <w:rPr>
          <w:rFonts w:ascii="Arial" w:hAnsi="Arial" w:cs="Arial" w:hint="cs"/>
          <w:sz w:val="24"/>
          <w:szCs w:val="24"/>
          <w:rtl/>
          <w:lang w:bidi="ar-SA"/>
        </w:rPr>
        <w:t>فيما</w:t>
      </w:r>
      <w:r w:rsidRPr="002D703E">
        <w:rPr>
          <w:rFonts w:ascii="David" w:hAnsi="David" w:cs="David"/>
          <w:sz w:val="24"/>
          <w:szCs w:val="24"/>
          <w:rtl/>
          <w:lang w:bidi="ar-SA"/>
        </w:rPr>
        <w:t xml:space="preserve"> </w:t>
      </w:r>
      <w:r w:rsidRPr="002D703E">
        <w:rPr>
          <w:rFonts w:ascii="Arial" w:hAnsi="Arial" w:cs="Arial" w:hint="cs"/>
          <w:sz w:val="24"/>
          <w:szCs w:val="24"/>
          <w:rtl/>
          <w:lang w:bidi="ar-SA"/>
        </w:rPr>
        <w:t>يلي</w:t>
      </w:r>
      <w:r w:rsidRPr="002D703E">
        <w:rPr>
          <w:rFonts w:ascii="David" w:hAnsi="David" w:cs="David"/>
          <w:sz w:val="24"/>
          <w:szCs w:val="24"/>
          <w:rtl/>
          <w:lang w:bidi="ar-SA"/>
        </w:rPr>
        <w:t xml:space="preserve"> </w:t>
      </w:r>
      <w:r w:rsidRPr="002D703E">
        <w:rPr>
          <w:rFonts w:ascii="Arial" w:hAnsi="Arial" w:cs="Arial" w:hint="cs"/>
          <w:sz w:val="24"/>
          <w:szCs w:val="24"/>
          <w:rtl/>
          <w:lang w:bidi="ar-SA"/>
        </w:rPr>
        <w:t>ملخص</w:t>
      </w:r>
      <w:r w:rsidRPr="002D703E">
        <w:rPr>
          <w:rFonts w:ascii="David" w:hAnsi="David" w:cs="David"/>
          <w:sz w:val="24"/>
          <w:szCs w:val="24"/>
          <w:rtl/>
          <w:lang w:bidi="ar-SA"/>
        </w:rPr>
        <w:t xml:space="preserve"> </w:t>
      </w:r>
      <w:r w:rsidRPr="002D703E">
        <w:rPr>
          <w:rFonts w:ascii="Arial" w:hAnsi="Arial" w:cs="Arial" w:hint="cs"/>
          <w:sz w:val="24"/>
          <w:szCs w:val="24"/>
          <w:rtl/>
          <w:lang w:bidi="ar-SA"/>
        </w:rPr>
        <w:t>التطورات</w:t>
      </w:r>
      <w:r w:rsidRPr="002D703E">
        <w:rPr>
          <w:rFonts w:ascii="David" w:hAnsi="David" w:cs="David"/>
          <w:sz w:val="24"/>
          <w:szCs w:val="24"/>
          <w:rtl/>
          <w:lang w:bidi="ar-SA"/>
        </w:rPr>
        <w:t xml:space="preserve"> </w:t>
      </w:r>
      <w:r>
        <w:rPr>
          <w:rFonts w:ascii="Arial" w:hAnsi="Arial" w:cs="Arial" w:hint="cs"/>
          <w:sz w:val="24"/>
          <w:szCs w:val="24"/>
          <w:rtl/>
          <w:lang w:bidi="ar-SA"/>
        </w:rPr>
        <w:t xml:space="preserve">في </w:t>
      </w:r>
      <w:r w:rsidRPr="002D703E">
        <w:rPr>
          <w:rFonts w:ascii="Arial" w:hAnsi="Arial" w:cs="Arial" w:hint="cs"/>
          <w:sz w:val="24"/>
          <w:szCs w:val="24"/>
          <w:rtl/>
          <w:lang w:bidi="ar-SA"/>
        </w:rPr>
        <w:t>معطيات</w:t>
      </w:r>
      <w:r w:rsidRPr="002D703E">
        <w:rPr>
          <w:rFonts w:ascii="David" w:hAnsi="David" w:cs="David"/>
          <w:sz w:val="24"/>
          <w:szCs w:val="24"/>
          <w:rtl/>
          <w:lang w:bidi="ar-SA"/>
        </w:rPr>
        <w:t xml:space="preserve"> </w:t>
      </w:r>
      <w:r>
        <w:rPr>
          <w:rFonts w:ascii="Arial" w:hAnsi="Arial" w:cs="Arial" w:hint="cs"/>
          <w:sz w:val="24"/>
          <w:szCs w:val="24"/>
          <w:rtl/>
          <w:lang w:bidi="ar-SA"/>
        </w:rPr>
        <w:t xml:space="preserve">دين </w:t>
      </w:r>
      <w:r w:rsidRPr="002D703E">
        <w:rPr>
          <w:rFonts w:ascii="Arial" w:hAnsi="Arial" w:cs="Arial" w:hint="cs"/>
          <w:sz w:val="24"/>
          <w:szCs w:val="24"/>
          <w:rtl/>
          <w:lang w:bidi="ar-SA"/>
        </w:rPr>
        <w:t>القطاع</w:t>
      </w:r>
      <w:r w:rsidRPr="002D703E">
        <w:rPr>
          <w:rFonts w:ascii="David" w:hAnsi="David" w:cs="David"/>
          <w:sz w:val="24"/>
          <w:szCs w:val="24"/>
          <w:rtl/>
          <w:lang w:bidi="ar-SA"/>
        </w:rPr>
        <w:t xml:space="preserve"> </w:t>
      </w:r>
      <w:r w:rsidRPr="002D703E">
        <w:rPr>
          <w:rFonts w:ascii="Arial" w:hAnsi="Arial" w:cs="Arial" w:hint="cs"/>
          <w:sz w:val="24"/>
          <w:szCs w:val="24"/>
          <w:rtl/>
          <w:lang w:bidi="ar-SA"/>
        </w:rPr>
        <w:t>الخاص</w:t>
      </w:r>
      <w:r w:rsidRPr="002D703E">
        <w:rPr>
          <w:rFonts w:ascii="David" w:hAnsi="David" w:cs="David"/>
          <w:sz w:val="24"/>
          <w:szCs w:val="24"/>
          <w:rtl/>
          <w:lang w:bidi="ar-SA"/>
        </w:rPr>
        <w:t xml:space="preserve"> </w:t>
      </w:r>
      <w:r w:rsidRPr="002D703E">
        <w:rPr>
          <w:rFonts w:ascii="Arial" w:hAnsi="Arial" w:cs="Arial" w:hint="cs"/>
          <w:sz w:val="24"/>
          <w:szCs w:val="24"/>
          <w:rtl/>
          <w:lang w:bidi="ar-SA"/>
        </w:rPr>
        <w:t>غير</w:t>
      </w:r>
      <w:r w:rsidRPr="002D703E">
        <w:rPr>
          <w:rFonts w:ascii="David" w:hAnsi="David" w:cs="David"/>
          <w:sz w:val="24"/>
          <w:szCs w:val="24"/>
          <w:rtl/>
          <w:lang w:bidi="ar-SA"/>
        </w:rPr>
        <w:t xml:space="preserve"> </w:t>
      </w:r>
      <w:r>
        <w:rPr>
          <w:rFonts w:ascii="David" w:hAnsi="David" w:cs="Arial" w:hint="cs"/>
          <w:sz w:val="24"/>
          <w:szCs w:val="24"/>
          <w:rtl/>
          <w:lang w:bidi="ar-SA"/>
        </w:rPr>
        <w:t>ال</w:t>
      </w:r>
      <w:r w:rsidRPr="002D703E">
        <w:rPr>
          <w:rFonts w:ascii="Arial" w:hAnsi="Arial" w:cs="Arial" w:hint="cs"/>
          <w:sz w:val="24"/>
          <w:szCs w:val="24"/>
          <w:rtl/>
          <w:lang w:bidi="ar-SA"/>
        </w:rPr>
        <w:t>مالي</w:t>
      </w:r>
      <w:r w:rsidRPr="002D703E">
        <w:rPr>
          <w:rFonts w:ascii="David" w:hAnsi="David" w:cs="David"/>
          <w:sz w:val="24"/>
          <w:szCs w:val="24"/>
          <w:rtl/>
          <w:lang w:bidi="ar-SA"/>
        </w:rPr>
        <w:t xml:space="preserve"> </w:t>
      </w:r>
      <w:r w:rsidRPr="002D703E">
        <w:rPr>
          <w:rFonts w:ascii="Arial" w:hAnsi="Arial" w:cs="Arial" w:hint="cs"/>
          <w:sz w:val="24"/>
          <w:szCs w:val="24"/>
          <w:rtl/>
          <w:lang w:bidi="ar-SA"/>
        </w:rPr>
        <w:t>في</w:t>
      </w:r>
      <w:r w:rsidRPr="002D703E">
        <w:rPr>
          <w:rFonts w:ascii="David" w:hAnsi="David" w:cs="David"/>
          <w:sz w:val="24"/>
          <w:szCs w:val="24"/>
          <w:rtl/>
          <w:lang w:bidi="ar-SA"/>
        </w:rPr>
        <w:t xml:space="preserve"> </w:t>
      </w:r>
      <w:r w:rsidRPr="002D703E">
        <w:rPr>
          <w:rFonts w:ascii="Arial" w:hAnsi="Arial" w:cs="Arial" w:hint="cs"/>
          <w:sz w:val="24"/>
          <w:szCs w:val="24"/>
          <w:rtl/>
          <w:lang w:bidi="ar-SA"/>
        </w:rPr>
        <w:t>الربع</w:t>
      </w:r>
      <w:r w:rsidRPr="002D703E">
        <w:rPr>
          <w:rFonts w:ascii="David" w:hAnsi="David" w:cs="David"/>
          <w:sz w:val="24"/>
          <w:szCs w:val="24"/>
          <w:rtl/>
          <w:lang w:bidi="ar-SA"/>
        </w:rPr>
        <w:t xml:space="preserve"> </w:t>
      </w:r>
      <w:r>
        <w:rPr>
          <w:rFonts w:ascii="Arial" w:hAnsi="Arial" w:cs="Arial" w:hint="cs"/>
          <w:sz w:val="24"/>
          <w:szCs w:val="24"/>
          <w:rtl/>
          <w:lang w:bidi="ar-SA"/>
        </w:rPr>
        <w:t>الثالث</w:t>
      </w:r>
      <w:r w:rsidRPr="002D703E">
        <w:rPr>
          <w:rFonts w:ascii="David" w:hAnsi="David" w:cs="David"/>
          <w:sz w:val="24"/>
          <w:szCs w:val="24"/>
          <w:rtl/>
          <w:lang w:bidi="ar-SA"/>
        </w:rPr>
        <w:t xml:space="preserve"> </w:t>
      </w:r>
      <w:r w:rsidRPr="002D703E">
        <w:rPr>
          <w:rFonts w:ascii="Arial" w:hAnsi="Arial" w:cs="Arial" w:hint="cs"/>
          <w:sz w:val="24"/>
          <w:szCs w:val="24"/>
          <w:rtl/>
          <w:lang w:bidi="ar-SA"/>
        </w:rPr>
        <w:t>من</w:t>
      </w:r>
      <w:r>
        <w:rPr>
          <w:rFonts w:ascii="Arial" w:hAnsi="Arial" w:cs="Arial" w:hint="cs"/>
          <w:sz w:val="24"/>
          <w:szCs w:val="24"/>
          <w:rtl/>
          <w:lang w:bidi="ar-SA"/>
        </w:rPr>
        <w:t xml:space="preserve"> هذا</w:t>
      </w:r>
      <w:r w:rsidRPr="002D703E">
        <w:rPr>
          <w:rFonts w:ascii="David" w:hAnsi="David" w:cs="David"/>
          <w:sz w:val="24"/>
          <w:szCs w:val="24"/>
          <w:rtl/>
          <w:lang w:bidi="ar-SA"/>
        </w:rPr>
        <w:t xml:space="preserve"> </w:t>
      </w:r>
      <w:r w:rsidRPr="002D703E">
        <w:rPr>
          <w:rFonts w:ascii="Arial" w:hAnsi="Arial" w:cs="Arial" w:hint="cs"/>
          <w:sz w:val="24"/>
          <w:szCs w:val="24"/>
          <w:rtl/>
          <w:lang w:bidi="ar-SA"/>
        </w:rPr>
        <w:t>العام</w:t>
      </w:r>
      <w:r w:rsidRPr="002D703E">
        <w:rPr>
          <w:rFonts w:ascii="David" w:hAnsi="David" w:cs="Times New Roman" w:hint="cs"/>
          <w:sz w:val="24"/>
          <w:szCs w:val="24"/>
          <w:rtl/>
          <w:lang w:bidi="ar-SA"/>
        </w:rPr>
        <w:t>:</w:t>
      </w:r>
      <w:r w:rsidRPr="002D703E">
        <w:rPr>
          <w:rFonts w:ascii="David" w:hAnsi="David" w:cs="David"/>
          <w:sz w:val="24"/>
          <w:szCs w:val="24"/>
          <w:rtl/>
          <w:lang w:bidi="ar-SA"/>
        </w:rPr>
        <w:t xml:space="preserve"> </w:t>
      </w:r>
    </w:p>
    <w:p w:rsidR="006861EC" w:rsidRPr="002B5AAC" w:rsidRDefault="006861EC" w:rsidP="006861EC">
      <w:pPr>
        <w:pStyle w:val="a4"/>
        <w:numPr>
          <w:ilvl w:val="0"/>
          <w:numId w:val="6"/>
        </w:numPr>
        <w:spacing w:after="0" w:line="360" w:lineRule="auto"/>
        <w:jc w:val="both"/>
        <w:rPr>
          <w:rFonts w:ascii="David" w:hAnsi="David" w:cs="David"/>
          <w:sz w:val="24"/>
          <w:szCs w:val="24"/>
        </w:rPr>
      </w:pPr>
      <w:bookmarkStart w:id="0" w:name="_GoBack"/>
      <w:r w:rsidRPr="002D703E">
        <w:rPr>
          <w:rFonts w:ascii="Arial" w:hAnsi="Arial" w:cs="Arial" w:hint="cs"/>
          <w:sz w:val="24"/>
          <w:szCs w:val="24"/>
          <w:rtl/>
          <w:lang w:bidi="ar-SA"/>
        </w:rPr>
        <w:t>تواصل</w:t>
      </w:r>
      <w:r w:rsidRPr="002D703E">
        <w:rPr>
          <w:rFonts w:ascii="David" w:hAnsi="David" w:cs="David"/>
          <w:sz w:val="24"/>
          <w:szCs w:val="24"/>
          <w:rtl/>
          <w:lang w:bidi="ar-SA"/>
        </w:rPr>
        <w:t xml:space="preserve"> </w:t>
      </w:r>
      <w:r>
        <w:rPr>
          <w:rFonts w:ascii="David" w:hAnsi="David" w:cs="Arial" w:hint="cs"/>
          <w:sz w:val="24"/>
          <w:szCs w:val="24"/>
          <w:rtl/>
          <w:lang w:bidi="ar-SA"/>
        </w:rPr>
        <w:t>ال</w:t>
      </w:r>
      <w:r w:rsidRPr="002D703E">
        <w:rPr>
          <w:rFonts w:ascii="Arial" w:hAnsi="Arial" w:cs="Arial" w:hint="cs"/>
          <w:sz w:val="24"/>
          <w:szCs w:val="24"/>
          <w:rtl/>
          <w:lang w:bidi="ar-SA"/>
        </w:rPr>
        <w:t>ارتفاع</w:t>
      </w:r>
      <w:r w:rsidRPr="002D703E">
        <w:rPr>
          <w:rFonts w:ascii="David" w:hAnsi="David" w:cs="David"/>
          <w:sz w:val="24"/>
          <w:szCs w:val="24"/>
          <w:rtl/>
          <w:lang w:bidi="ar-SA"/>
        </w:rPr>
        <w:t xml:space="preserve"> </w:t>
      </w:r>
      <w:r>
        <w:rPr>
          <w:rFonts w:ascii="Arial" w:hAnsi="Arial" w:cs="Arial" w:hint="cs"/>
          <w:sz w:val="24"/>
          <w:szCs w:val="24"/>
          <w:rtl/>
          <w:lang w:bidi="ar-SA"/>
        </w:rPr>
        <w:t xml:space="preserve">في رصيد </w:t>
      </w:r>
      <w:r w:rsidRPr="002D703E">
        <w:rPr>
          <w:rFonts w:ascii="Arial" w:hAnsi="Arial" w:cs="Arial" w:hint="cs"/>
          <w:sz w:val="24"/>
          <w:szCs w:val="24"/>
          <w:rtl/>
          <w:lang w:bidi="ar-SA"/>
        </w:rPr>
        <w:t>ديّن</w:t>
      </w:r>
      <w:r w:rsidRPr="002D703E">
        <w:rPr>
          <w:rFonts w:ascii="David" w:hAnsi="David" w:cs="David"/>
          <w:sz w:val="24"/>
          <w:szCs w:val="24"/>
          <w:rtl/>
          <w:lang w:bidi="ar-SA"/>
        </w:rPr>
        <w:t xml:space="preserve"> </w:t>
      </w:r>
      <w:r w:rsidRPr="00C055CB">
        <w:rPr>
          <w:rFonts w:ascii="Arial" w:hAnsi="Arial" w:cs="Arial" w:hint="cs"/>
          <w:sz w:val="24"/>
          <w:szCs w:val="24"/>
          <w:rtl/>
          <w:lang w:bidi="ar-SA"/>
        </w:rPr>
        <w:t>قطاع</w:t>
      </w:r>
      <w:r w:rsidRPr="00C055CB">
        <w:rPr>
          <w:rFonts w:ascii="David" w:hAnsi="David" w:cs="David"/>
          <w:sz w:val="24"/>
          <w:szCs w:val="24"/>
          <w:rtl/>
          <w:lang w:bidi="ar-SA"/>
        </w:rPr>
        <w:t xml:space="preserve"> </w:t>
      </w:r>
      <w:r w:rsidRPr="00C055CB">
        <w:rPr>
          <w:rFonts w:ascii="Arial" w:hAnsi="Arial" w:cs="Arial" w:hint="cs"/>
          <w:sz w:val="24"/>
          <w:szCs w:val="24"/>
          <w:rtl/>
          <w:lang w:bidi="ar-SA"/>
        </w:rPr>
        <w:t>الأعمال</w:t>
      </w:r>
      <w:r w:rsidRPr="002D703E">
        <w:rPr>
          <w:rFonts w:ascii="David" w:hAnsi="David" w:cs="David"/>
          <w:sz w:val="24"/>
          <w:szCs w:val="24"/>
          <w:rtl/>
          <w:lang w:bidi="ar-SA"/>
        </w:rPr>
        <w:t xml:space="preserve"> </w:t>
      </w:r>
      <w:r>
        <w:rPr>
          <w:rFonts w:ascii="Arial" w:hAnsi="Arial" w:cs="Arial" w:hint="cs"/>
          <w:sz w:val="24"/>
          <w:szCs w:val="24"/>
          <w:rtl/>
          <w:lang w:bidi="ar-SA"/>
        </w:rPr>
        <w:t>ب</w:t>
      </w:r>
      <w:r w:rsidRPr="002D703E">
        <w:rPr>
          <w:rFonts w:ascii="Arial" w:hAnsi="Arial" w:cs="Arial" w:hint="cs"/>
          <w:sz w:val="24"/>
          <w:szCs w:val="24"/>
          <w:rtl/>
          <w:lang w:bidi="ar-SA"/>
        </w:rPr>
        <w:t>نحو</w:t>
      </w:r>
      <w:r>
        <w:rPr>
          <w:rFonts w:ascii="David" w:hAnsi="David" w:cs="David"/>
          <w:sz w:val="24"/>
          <w:szCs w:val="24"/>
          <w:rtl/>
          <w:lang w:bidi="ar-SA"/>
        </w:rPr>
        <w:t xml:space="preserve"> </w:t>
      </w:r>
      <w:r>
        <w:rPr>
          <w:rFonts w:ascii="David" w:hAnsi="David" w:cs="David" w:hint="cs"/>
          <w:sz w:val="24"/>
          <w:szCs w:val="24"/>
          <w:rtl/>
          <w:lang w:bidi="ar-SA"/>
        </w:rPr>
        <w:t xml:space="preserve">20 </w:t>
      </w:r>
      <w:r w:rsidRPr="002D703E">
        <w:rPr>
          <w:rFonts w:ascii="Arial" w:hAnsi="Arial" w:cs="Arial" w:hint="cs"/>
          <w:sz w:val="24"/>
          <w:szCs w:val="24"/>
          <w:rtl/>
          <w:lang w:bidi="ar-SA"/>
        </w:rPr>
        <w:t>مليار</w:t>
      </w:r>
      <w:r w:rsidRPr="002D703E">
        <w:rPr>
          <w:rFonts w:ascii="David" w:hAnsi="David" w:cs="David"/>
          <w:sz w:val="24"/>
          <w:szCs w:val="24"/>
          <w:rtl/>
          <w:lang w:bidi="ar-SA"/>
        </w:rPr>
        <w:t xml:space="preserve"> </w:t>
      </w:r>
      <w:r w:rsidRPr="002D703E">
        <w:rPr>
          <w:rFonts w:ascii="Arial" w:hAnsi="Arial" w:cs="Arial" w:hint="cs"/>
          <w:sz w:val="24"/>
          <w:szCs w:val="24"/>
          <w:rtl/>
          <w:lang w:bidi="ar-SA"/>
        </w:rPr>
        <w:t>شيكل</w:t>
      </w:r>
      <w:r>
        <w:rPr>
          <w:rFonts w:ascii="David" w:hAnsi="David" w:cs="Times New Roman" w:hint="cs"/>
          <w:sz w:val="24"/>
          <w:szCs w:val="24"/>
          <w:rtl/>
          <w:lang w:bidi="ar-SA"/>
        </w:rPr>
        <w:t xml:space="preserve">، </w:t>
      </w:r>
      <w:r>
        <w:rPr>
          <w:rFonts w:ascii="David" w:hAnsi="David" w:cs="Times New Roman"/>
          <w:sz w:val="24"/>
          <w:szCs w:val="24"/>
          <w:rtl/>
          <w:lang w:bidi="ar-SA"/>
        </w:rPr>
        <w:t>ومع ذلك</w:t>
      </w:r>
      <w:r w:rsidRPr="006861EC">
        <w:rPr>
          <w:rFonts w:ascii="David" w:hAnsi="David" w:cs="Times New Roman"/>
          <w:sz w:val="24"/>
          <w:szCs w:val="24"/>
          <w:rtl/>
          <w:lang w:bidi="ar-SA"/>
        </w:rPr>
        <w:t>، كان هناك تباطؤ في معدل النمو الفصلي بنحو 1.7٪ مقارنة بنحو 4.7٪ في الربع السابق.</w:t>
      </w:r>
    </w:p>
    <w:bookmarkEnd w:id="0"/>
    <w:p w:rsidR="006861EC" w:rsidRPr="005460FE" w:rsidRDefault="006861EC" w:rsidP="005460FE">
      <w:pPr>
        <w:pStyle w:val="a4"/>
        <w:numPr>
          <w:ilvl w:val="0"/>
          <w:numId w:val="6"/>
        </w:numPr>
        <w:spacing w:after="0" w:line="360" w:lineRule="auto"/>
        <w:jc w:val="both"/>
        <w:rPr>
          <w:rFonts w:ascii="David" w:hAnsi="David" w:cs="David"/>
          <w:sz w:val="24"/>
          <w:szCs w:val="24"/>
        </w:rPr>
      </w:pPr>
      <w:r w:rsidRPr="002D703E">
        <w:rPr>
          <w:rFonts w:ascii="Arial" w:hAnsi="Arial" w:cs="Arial" w:hint="cs"/>
          <w:sz w:val="24"/>
          <w:szCs w:val="24"/>
          <w:rtl/>
          <w:lang w:bidi="ar-SA"/>
        </w:rPr>
        <w:t>كما</w:t>
      </w:r>
      <w:r w:rsidRPr="002D703E">
        <w:rPr>
          <w:rFonts w:ascii="David" w:hAnsi="David" w:cs="David"/>
          <w:sz w:val="24"/>
          <w:szCs w:val="24"/>
          <w:rtl/>
          <w:lang w:bidi="ar-SA"/>
        </w:rPr>
        <w:t xml:space="preserve"> </w:t>
      </w:r>
      <w:r w:rsidRPr="002D703E">
        <w:rPr>
          <w:rFonts w:ascii="Arial" w:hAnsi="Arial" w:cs="Arial" w:hint="cs"/>
          <w:sz w:val="24"/>
          <w:szCs w:val="24"/>
          <w:rtl/>
          <w:lang w:bidi="ar-SA"/>
        </w:rPr>
        <w:t>واصل</w:t>
      </w:r>
      <w:r w:rsidRPr="002D703E">
        <w:rPr>
          <w:rFonts w:ascii="David" w:hAnsi="David" w:cs="David"/>
          <w:sz w:val="24"/>
          <w:szCs w:val="24"/>
          <w:rtl/>
          <w:lang w:bidi="ar-SA"/>
        </w:rPr>
        <w:t xml:space="preserve"> </w:t>
      </w:r>
      <w:r>
        <w:rPr>
          <w:rFonts w:ascii="David" w:hAnsi="David" w:cs="Arial" w:hint="cs"/>
          <w:sz w:val="24"/>
          <w:szCs w:val="24"/>
          <w:rtl/>
          <w:lang w:bidi="ar-SA"/>
        </w:rPr>
        <w:t xml:space="preserve">رصيد </w:t>
      </w:r>
      <w:r>
        <w:rPr>
          <w:rFonts w:ascii="Arial" w:hAnsi="Arial" w:cs="Arial" w:hint="cs"/>
          <w:sz w:val="24"/>
          <w:szCs w:val="24"/>
          <w:rtl/>
          <w:lang w:bidi="ar-SA"/>
        </w:rPr>
        <w:t>دي</w:t>
      </w:r>
      <w:r w:rsidRPr="00114580">
        <w:rPr>
          <w:rFonts w:ascii="Arial" w:hAnsi="Arial" w:cs="Arial" w:hint="cs"/>
          <w:sz w:val="24"/>
          <w:szCs w:val="24"/>
          <w:rtl/>
          <w:lang w:bidi="ar-SA"/>
        </w:rPr>
        <w:t>ن</w:t>
      </w:r>
      <w:r w:rsidRPr="00114580">
        <w:rPr>
          <w:rFonts w:ascii="David" w:hAnsi="David" w:cs="David"/>
          <w:sz w:val="24"/>
          <w:szCs w:val="24"/>
          <w:rtl/>
          <w:lang w:bidi="ar-SA"/>
        </w:rPr>
        <w:t xml:space="preserve"> </w:t>
      </w:r>
      <w:r w:rsidRPr="00114580">
        <w:rPr>
          <w:rFonts w:ascii="Arial" w:hAnsi="Arial" w:cs="Arial" w:hint="cs"/>
          <w:sz w:val="24"/>
          <w:szCs w:val="24"/>
          <w:rtl/>
          <w:lang w:bidi="ar-SA"/>
        </w:rPr>
        <w:t>الأسر</w:t>
      </w:r>
      <w:r w:rsidRPr="002D703E">
        <w:rPr>
          <w:rFonts w:ascii="David" w:hAnsi="David" w:cs="David"/>
          <w:sz w:val="24"/>
          <w:szCs w:val="24"/>
          <w:rtl/>
          <w:lang w:bidi="ar-SA"/>
        </w:rPr>
        <w:t xml:space="preserve"> </w:t>
      </w:r>
      <w:r>
        <w:rPr>
          <w:rFonts w:ascii="Arial" w:hAnsi="Arial" w:cs="Arial" w:hint="cs"/>
          <w:sz w:val="24"/>
          <w:szCs w:val="24"/>
          <w:rtl/>
          <w:lang w:bidi="ar-SA"/>
        </w:rPr>
        <w:t>الارتفاع</w:t>
      </w:r>
      <w:r w:rsidRPr="002D703E">
        <w:rPr>
          <w:rFonts w:ascii="David" w:hAnsi="David" w:cs="David"/>
          <w:sz w:val="24"/>
          <w:szCs w:val="24"/>
          <w:rtl/>
          <w:lang w:bidi="ar-SA"/>
        </w:rPr>
        <w:t xml:space="preserve"> </w:t>
      </w:r>
      <w:r w:rsidRPr="002D703E">
        <w:rPr>
          <w:rFonts w:ascii="Arial" w:hAnsi="Arial" w:cs="Arial" w:hint="cs"/>
          <w:sz w:val="24"/>
          <w:szCs w:val="24"/>
          <w:rtl/>
          <w:lang w:bidi="ar-SA"/>
        </w:rPr>
        <w:t>في</w:t>
      </w:r>
      <w:r w:rsidRPr="002D703E">
        <w:rPr>
          <w:rFonts w:ascii="David" w:hAnsi="David" w:cs="David"/>
          <w:sz w:val="24"/>
          <w:szCs w:val="24"/>
          <w:rtl/>
          <w:lang w:bidi="ar-SA"/>
        </w:rPr>
        <w:t xml:space="preserve"> </w:t>
      </w:r>
      <w:r w:rsidRPr="002D703E">
        <w:rPr>
          <w:rFonts w:ascii="Arial" w:hAnsi="Arial" w:cs="Arial" w:hint="cs"/>
          <w:sz w:val="24"/>
          <w:szCs w:val="24"/>
          <w:rtl/>
          <w:lang w:bidi="ar-SA"/>
        </w:rPr>
        <w:t>هذا</w:t>
      </w:r>
      <w:r w:rsidRPr="002D703E">
        <w:rPr>
          <w:rFonts w:ascii="David" w:hAnsi="David" w:cs="David"/>
          <w:sz w:val="24"/>
          <w:szCs w:val="24"/>
          <w:rtl/>
          <w:lang w:bidi="ar-SA"/>
        </w:rPr>
        <w:t xml:space="preserve"> </w:t>
      </w:r>
      <w:r w:rsidRPr="002D703E">
        <w:rPr>
          <w:rFonts w:ascii="Arial" w:hAnsi="Arial" w:cs="Arial" w:hint="cs"/>
          <w:sz w:val="24"/>
          <w:szCs w:val="24"/>
          <w:rtl/>
          <w:lang w:bidi="ar-SA"/>
        </w:rPr>
        <w:t>الربع</w:t>
      </w:r>
      <w:r>
        <w:rPr>
          <w:rFonts w:ascii="Arial" w:hAnsi="Arial" w:cs="Arial" w:hint="cs"/>
          <w:sz w:val="24"/>
          <w:szCs w:val="24"/>
          <w:rtl/>
          <w:lang w:bidi="ar-SA"/>
        </w:rPr>
        <w:t xml:space="preserve"> لنحو 766 مليار شيكل</w:t>
      </w:r>
      <w:r>
        <w:rPr>
          <w:rFonts w:ascii="David" w:hAnsi="David" w:cs="David" w:hint="cs"/>
          <w:sz w:val="24"/>
          <w:szCs w:val="24"/>
          <w:rtl/>
          <w:lang w:bidi="ar-SA"/>
        </w:rPr>
        <w:t xml:space="preserve">: </w:t>
      </w:r>
      <w:r w:rsidRPr="006861EC">
        <w:rPr>
          <w:rFonts w:ascii="David" w:hAnsi="David" w:cs="Times New Roman"/>
          <w:sz w:val="24"/>
          <w:szCs w:val="24"/>
          <w:rtl/>
          <w:lang w:bidi="ar-SA"/>
        </w:rPr>
        <w:t>وإن كان بمعدل أقل من الربع السابق</w:t>
      </w:r>
      <w:r>
        <w:rPr>
          <w:rFonts w:ascii="David" w:hAnsi="David" w:cs="Times New Roman" w:hint="cs"/>
          <w:sz w:val="24"/>
          <w:szCs w:val="24"/>
          <w:rtl/>
          <w:lang w:bidi="ar-SA"/>
        </w:rPr>
        <w:t xml:space="preserve">، ما يقارب 2.5% مقابل نحو 3.6%، وذلك في أعقاب </w:t>
      </w:r>
      <w:r w:rsidRPr="006861EC">
        <w:rPr>
          <w:rFonts w:ascii="David" w:hAnsi="David" w:cs="Times New Roman"/>
          <w:sz w:val="24"/>
          <w:szCs w:val="24"/>
          <w:rtl/>
          <w:lang w:bidi="ar-SA"/>
        </w:rPr>
        <w:t xml:space="preserve">التباطؤ في حجم </w:t>
      </w:r>
      <w:r>
        <w:rPr>
          <w:rFonts w:ascii="David" w:hAnsi="David" w:cs="Times New Roman" w:hint="cs"/>
          <w:sz w:val="24"/>
          <w:szCs w:val="24"/>
          <w:rtl/>
          <w:lang w:bidi="ar-SA"/>
        </w:rPr>
        <w:t xml:space="preserve">قروض </w:t>
      </w:r>
      <w:r>
        <w:rPr>
          <w:rFonts w:ascii="David" w:hAnsi="David" w:cs="Times New Roman"/>
          <w:sz w:val="24"/>
          <w:szCs w:val="24"/>
          <w:rtl/>
          <w:lang w:bidi="ar-SA"/>
        </w:rPr>
        <w:t>الرهن العقاري</w:t>
      </w:r>
      <w:r>
        <w:rPr>
          <w:rFonts w:ascii="David" w:hAnsi="David" w:cs="Times New Roman" w:hint="cs"/>
          <w:sz w:val="24"/>
          <w:szCs w:val="24"/>
          <w:rtl/>
          <w:lang w:bidi="ar-SA"/>
        </w:rPr>
        <w:t xml:space="preserve"> </w:t>
      </w:r>
      <w:r w:rsidRPr="006861EC">
        <w:rPr>
          <w:rFonts w:ascii="David" w:hAnsi="David" w:cs="Times New Roman"/>
          <w:sz w:val="24"/>
          <w:szCs w:val="24"/>
          <w:rtl/>
          <w:lang w:bidi="ar-SA"/>
        </w:rPr>
        <w:t>الجديدة التي أخذتها الأسر من البنوك</w:t>
      </w:r>
      <w:r w:rsidR="005460FE">
        <w:rPr>
          <w:rFonts w:ascii="David" w:hAnsi="David" w:cs="Times New Roman" w:hint="cs"/>
          <w:sz w:val="24"/>
          <w:szCs w:val="24"/>
          <w:rtl/>
          <w:lang w:bidi="ar-SA"/>
        </w:rPr>
        <w:t>، و</w:t>
      </w:r>
      <w:r>
        <w:rPr>
          <w:rFonts w:ascii="David" w:hAnsi="David" w:cs="Arial" w:hint="cs"/>
          <w:sz w:val="24"/>
          <w:szCs w:val="24"/>
          <w:rtl/>
          <w:lang w:bidi="ar-SA"/>
        </w:rPr>
        <w:t xml:space="preserve">ارتفع رصيد دين </w:t>
      </w:r>
      <w:r>
        <w:rPr>
          <w:rFonts w:ascii="David" w:hAnsi="David" w:cs="Arial" w:hint="eastAsia"/>
          <w:sz w:val="24"/>
          <w:szCs w:val="24"/>
          <w:rtl/>
          <w:lang w:bidi="ar-SA"/>
        </w:rPr>
        <w:t>الإسكان</w:t>
      </w:r>
      <w:r w:rsidR="005460FE">
        <w:rPr>
          <w:rFonts w:ascii="David" w:hAnsi="David" w:cs="Arial" w:hint="cs"/>
          <w:sz w:val="24"/>
          <w:szCs w:val="24"/>
          <w:rtl/>
          <w:lang w:bidi="ar-SA"/>
        </w:rPr>
        <w:t xml:space="preserve"> بنحو 14 مليار (2.8%</w:t>
      </w:r>
      <w:r>
        <w:rPr>
          <w:rFonts w:ascii="David" w:hAnsi="David" w:cs="Arial" w:hint="cs"/>
          <w:sz w:val="24"/>
          <w:szCs w:val="24"/>
          <w:rtl/>
          <w:lang w:bidi="ar-SA"/>
        </w:rPr>
        <w:t>)</w:t>
      </w:r>
      <w:r w:rsidRPr="002D703E">
        <w:rPr>
          <w:rFonts w:ascii="David" w:hAnsi="David" w:cs="Times New Roman" w:hint="cs"/>
          <w:sz w:val="24"/>
          <w:szCs w:val="24"/>
          <w:rtl/>
          <w:lang w:bidi="ar-SA"/>
        </w:rPr>
        <w:t>.</w:t>
      </w:r>
      <w:r>
        <w:rPr>
          <w:rFonts w:ascii="David" w:hAnsi="David" w:hint="cs"/>
          <w:sz w:val="24"/>
          <w:szCs w:val="24"/>
          <w:rtl/>
          <w:lang w:bidi="ar-SA"/>
        </w:rPr>
        <w:t xml:space="preserve"> وسجّل أيضًا ارتفاع في رصيد الدين غ</w:t>
      </w:r>
      <w:r w:rsidR="005460FE">
        <w:rPr>
          <w:rFonts w:ascii="David" w:hAnsi="David" w:hint="cs"/>
          <w:sz w:val="24"/>
          <w:szCs w:val="24"/>
          <w:rtl/>
          <w:lang w:bidi="ar-SA"/>
        </w:rPr>
        <w:t>ير الاسكاني في هذا الربع بنحو 4 مليار (1.9%</w:t>
      </w:r>
      <w:r>
        <w:rPr>
          <w:rFonts w:ascii="David" w:hAnsi="David" w:hint="cs"/>
          <w:sz w:val="24"/>
          <w:szCs w:val="24"/>
          <w:rtl/>
          <w:lang w:bidi="ar-SA"/>
        </w:rPr>
        <w:t xml:space="preserve">). </w:t>
      </w:r>
    </w:p>
    <w:p w:rsidR="007F4B21" w:rsidRPr="002D0BB5" w:rsidRDefault="007F4B21" w:rsidP="007F4B21">
      <w:pPr>
        <w:pStyle w:val="a4"/>
        <w:spacing w:line="360" w:lineRule="auto"/>
        <w:jc w:val="both"/>
        <w:rPr>
          <w:rFonts w:ascii="David" w:hAnsi="David" w:cs="David"/>
          <w:sz w:val="24"/>
          <w:szCs w:val="24"/>
          <w:rtl/>
        </w:rPr>
      </w:pPr>
    </w:p>
    <w:p w:rsidR="00855830" w:rsidRPr="002B70CA" w:rsidRDefault="00855830" w:rsidP="002B70CA">
      <w:pPr>
        <w:spacing w:after="0" w:line="360" w:lineRule="auto"/>
        <w:jc w:val="both"/>
        <w:rPr>
          <w:rFonts w:ascii="David" w:hAnsi="David" w:cs="David"/>
          <w:b/>
          <w:bCs/>
          <w:sz w:val="24"/>
          <w:szCs w:val="24"/>
        </w:rPr>
      </w:pPr>
      <w:r w:rsidRPr="002B70CA">
        <w:rPr>
          <w:rStyle w:val="11"/>
          <w:rFonts w:ascii="David" w:hAnsi="David" w:cstheme="minorBidi" w:hint="cs"/>
          <w:rtl/>
          <w:lang w:bidi="ar-SA"/>
        </w:rPr>
        <w:t>دين قطاع الأعمال غير المالي</w:t>
      </w:r>
      <w:r w:rsidRPr="00ED6F32">
        <w:rPr>
          <w:rStyle w:val="af5"/>
          <w:rFonts w:ascii="David" w:hAnsi="David" w:cs="David"/>
          <w:b/>
          <w:bCs/>
          <w:sz w:val="24"/>
          <w:szCs w:val="24"/>
          <w:rtl/>
        </w:rPr>
        <w:footnoteReference w:id="1"/>
      </w:r>
      <w:r w:rsidRPr="002B70CA">
        <w:rPr>
          <w:rFonts w:ascii="David" w:hAnsi="David" w:cs="David"/>
          <w:b/>
          <w:bCs/>
          <w:sz w:val="24"/>
          <w:szCs w:val="24"/>
          <w:rtl/>
        </w:rPr>
        <w:t xml:space="preserve"> </w:t>
      </w:r>
    </w:p>
    <w:p w:rsidR="002614BC" w:rsidRDefault="00855830" w:rsidP="002614BC">
      <w:pPr>
        <w:spacing w:after="0" w:line="360" w:lineRule="auto"/>
        <w:jc w:val="both"/>
        <w:rPr>
          <w:rFonts w:ascii="David" w:hAnsi="David" w:cs="Times New Roman"/>
          <w:sz w:val="24"/>
          <w:szCs w:val="24"/>
          <w:rtl/>
          <w:lang w:bidi="ar-SA"/>
        </w:rPr>
      </w:pPr>
      <w:r w:rsidRPr="00855830">
        <w:rPr>
          <w:rFonts w:ascii="David" w:hAnsi="David" w:cs="Times New Roman"/>
          <w:sz w:val="24"/>
          <w:szCs w:val="24"/>
          <w:rtl/>
          <w:lang w:bidi="ar-SA"/>
        </w:rPr>
        <w:t>أ</w:t>
      </w:r>
      <w:r w:rsidRPr="00855830">
        <w:rPr>
          <w:rFonts w:ascii="David" w:hAnsi="David" w:cs="Times New Roman" w:hint="cs"/>
          <w:sz w:val="24"/>
          <w:szCs w:val="24"/>
          <w:rtl/>
          <w:lang w:bidi="ar-SA"/>
        </w:rPr>
        <w:t>وضح قسم</w:t>
      </w:r>
      <w:r w:rsidRPr="00855830">
        <w:rPr>
          <w:rFonts w:ascii="David" w:hAnsi="David" w:cs="Times New Roman"/>
          <w:sz w:val="24"/>
          <w:szCs w:val="24"/>
          <w:rtl/>
          <w:lang w:bidi="ar-SA"/>
        </w:rPr>
        <w:t xml:space="preserve"> المعلومات والإحصاء </w:t>
      </w:r>
      <w:r>
        <w:rPr>
          <w:rFonts w:ascii="David" w:hAnsi="David" w:cs="Times New Roman"/>
          <w:sz w:val="24"/>
          <w:szCs w:val="24"/>
          <w:rtl/>
          <w:lang w:bidi="ar-SA"/>
        </w:rPr>
        <w:t>أنه في الربع الثا</w:t>
      </w:r>
      <w:r>
        <w:rPr>
          <w:rFonts w:ascii="David" w:hAnsi="David" w:cs="Times New Roman" w:hint="cs"/>
          <w:sz w:val="24"/>
          <w:szCs w:val="24"/>
          <w:rtl/>
          <w:lang w:bidi="ar-SA"/>
        </w:rPr>
        <w:t>لث</w:t>
      </w:r>
      <w:r w:rsidRPr="00855830">
        <w:rPr>
          <w:rFonts w:ascii="David" w:hAnsi="David" w:cs="Times New Roman"/>
          <w:sz w:val="24"/>
          <w:szCs w:val="24"/>
          <w:rtl/>
          <w:lang w:bidi="ar-SA"/>
        </w:rPr>
        <w:t xml:space="preserve"> من عام 2022، </w:t>
      </w:r>
      <w:r>
        <w:rPr>
          <w:rFonts w:ascii="David" w:hAnsi="David" w:cs="Times New Roman" w:hint="cs"/>
          <w:sz w:val="24"/>
          <w:szCs w:val="24"/>
          <w:rtl/>
          <w:lang w:bidi="ar-SA"/>
        </w:rPr>
        <w:t xml:space="preserve">تواصل الارتفاع في </w:t>
      </w:r>
      <w:r w:rsidRPr="00855830">
        <w:rPr>
          <w:rFonts w:ascii="David" w:hAnsi="David" w:cs="Times New Roman"/>
          <w:sz w:val="24"/>
          <w:szCs w:val="24"/>
          <w:rtl/>
          <w:lang w:bidi="ar-SA"/>
        </w:rPr>
        <w:t>رصيد دي</w:t>
      </w:r>
      <w:r>
        <w:rPr>
          <w:rFonts w:ascii="David" w:hAnsi="David" w:cs="Times New Roman"/>
          <w:sz w:val="24"/>
          <w:szCs w:val="24"/>
          <w:rtl/>
          <w:lang w:bidi="ar-SA"/>
        </w:rPr>
        <w:t xml:space="preserve">ن قطاع الأعمال بنحو </w:t>
      </w:r>
      <w:r>
        <w:rPr>
          <w:rFonts w:ascii="David" w:hAnsi="David" w:cs="Times New Roman" w:hint="cs"/>
          <w:sz w:val="24"/>
          <w:szCs w:val="24"/>
          <w:rtl/>
          <w:lang w:bidi="ar-SA"/>
        </w:rPr>
        <w:t xml:space="preserve">20 </w:t>
      </w:r>
      <w:r>
        <w:rPr>
          <w:rFonts w:ascii="David" w:hAnsi="David" w:cs="Times New Roman"/>
          <w:sz w:val="24"/>
          <w:szCs w:val="24"/>
          <w:rtl/>
          <w:lang w:bidi="ar-SA"/>
        </w:rPr>
        <w:t>مليار شيكل</w:t>
      </w:r>
      <w:r w:rsidRPr="00855830">
        <w:rPr>
          <w:rFonts w:ascii="David" w:hAnsi="David" w:cs="Times New Roman"/>
          <w:sz w:val="24"/>
          <w:szCs w:val="24"/>
          <w:rtl/>
          <w:lang w:bidi="ar-SA"/>
        </w:rPr>
        <w:t xml:space="preserve"> إلى مستوى حوالي 1.2 تريليون،</w:t>
      </w:r>
      <w:r w:rsidR="005D5755" w:rsidRPr="005D5755">
        <w:rPr>
          <w:rtl/>
          <w:lang w:bidi="ar-SA"/>
        </w:rPr>
        <w:t xml:space="preserve"> </w:t>
      </w:r>
      <w:r w:rsidR="005D5755">
        <w:rPr>
          <w:rFonts w:ascii="David" w:hAnsi="David" w:cs="Times New Roman"/>
          <w:sz w:val="24"/>
          <w:szCs w:val="24"/>
          <w:rtl/>
          <w:lang w:bidi="ar-SA"/>
        </w:rPr>
        <w:t>ومع ذلك</w:t>
      </w:r>
      <w:r w:rsidR="005D5755" w:rsidRPr="005D5755">
        <w:rPr>
          <w:rFonts w:ascii="David" w:hAnsi="David" w:cs="Times New Roman"/>
          <w:sz w:val="24"/>
          <w:szCs w:val="24"/>
          <w:rtl/>
          <w:lang w:bidi="ar-SA"/>
        </w:rPr>
        <w:t>، كان هناك تباطؤ في</w:t>
      </w:r>
      <w:r w:rsidR="005D5755">
        <w:rPr>
          <w:rFonts w:ascii="David" w:hAnsi="David" w:cs="Times New Roman"/>
          <w:sz w:val="24"/>
          <w:szCs w:val="24"/>
          <w:rtl/>
          <w:lang w:bidi="ar-SA"/>
        </w:rPr>
        <w:t xml:space="preserve"> هذا الربع في معدل النمو الفصلي</w:t>
      </w:r>
      <w:r w:rsidR="005D5755" w:rsidRPr="005D5755">
        <w:rPr>
          <w:rFonts w:ascii="David" w:hAnsi="David" w:cs="Times New Roman"/>
          <w:sz w:val="24"/>
          <w:szCs w:val="24"/>
          <w:rtl/>
          <w:lang w:bidi="ar-SA"/>
        </w:rPr>
        <w:t>، بنحو 1.7٪ مقارنة بنحو 4.7٪ في الربع السابق.</w:t>
      </w:r>
      <w:r w:rsidR="005D5755">
        <w:rPr>
          <w:rFonts w:ascii="David" w:hAnsi="David" w:cs="Times New Roman" w:hint="cs"/>
          <w:sz w:val="24"/>
          <w:szCs w:val="24"/>
          <w:rtl/>
          <w:lang w:bidi="ar-SA"/>
        </w:rPr>
        <w:t xml:space="preserve"> </w:t>
      </w:r>
    </w:p>
    <w:p w:rsidR="005D5755" w:rsidRPr="002614BC" w:rsidRDefault="005D5755" w:rsidP="002614BC">
      <w:pPr>
        <w:spacing w:after="0" w:line="360" w:lineRule="auto"/>
        <w:jc w:val="both"/>
        <w:rPr>
          <w:rFonts w:ascii="David" w:hAnsi="David" w:cs="Times New Roman"/>
          <w:sz w:val="24"/>
          <w:szCs w:val="24"/>
          <w:rtl/>
          <w:lang w:bidi="ar-SA"/>
        </w:rPr>
      </w:pPr>
      <w:r>
        <w:rPr>
          <w:rFonts w:ascii="David" w:hAnsi="David" w:cs="Times New Roman" w:hint="cs"/>
          <w:sz w:val="24"/>
          <w:szCs w:val="24"/>
          <w:rtl/>
          <w:lang w:bidi="ar-SA"/>
        </w:rPr>
        <w:t>ويعود الارتفاع</w:t>
      </w:r>
      <w:r>
        <w:rPr>
          <w:rFonts w:ascii="David" w:hAnsi="David" w:cs="Times New Roman"/>
          <w:sz w:val="24"/>
          <w:szCs w:val="24"/>
          <w:rtl/>
          <w:lang w:bidi="ar-SA"/>
        </w:rPr>
        <w:t xml:space="preserve"> في رصيد الدين إلى </w:t>
      </w:r>
      <w:r>
        <w:rPr>
          <w:rFonts w:ascii="David" w:hAnsi="David" w:cs="Times New Roman" w:hint="cs"/>
          <w:sz w:val="24"/>
          <w:szCs w:val="24"/>
          <w:rtl/>
          <w:lang w:bidi="ar-SA"/>
        </w:rPr>
        <w:t>تجنيد</w:t>
      </w:r>
      <w:r w:rsidRPr="005D5755">
        <w:rPr>
          <w:rFonts w:ascii="David" w:hAnsi="David" w:cs="Times New Roman"/>
          <w:sz w:val="24"/>
          <w:szCs w:val="24"/>
          <w:rtl/>
          <w:lang w:bidi="ar-SA"/>
        </w:rPr>
        <w:t xml:space="preserve"> </w:t>
      </w:r>
      <w:r>
        <w:rPr>
          <w:rFonts w:ascii="David" w:hAnsi="David" w:cs="Times New Roman" w:hint="cs"/>
          <w:sz w:val="24"/>
          <w:szCs w:val="24"/>
          <w:rtl/>
          <w:lang w:bidi="ar-SA"/>
        </w:rPr>
        <w:t xml:space="preserve">صافي </w:t>
      </w:r>
      <w:r>
        <w:rPr>
          <w:rFonts w:ascii="David" w:hAnsi="David" w:cs="Times New Roman"/>
          <w:sz w:val="24"/>
          <w:szCs w:val="24"/>
          <w:rtl/>
          <w:lang w:bidi="ar-SA"/>
        </w:rPr>
        <w:t>الديون</w:t>
      </w:r>
      <w:r w:rsidRPr="005D5755">
        <w:rPr>
          <w:rFonts w:ascii="David" w:hAnsi="David" w:cs="Times New Roman"/>
          <w:sz w:val="24"/>
          <w:szCs w:val="24"/>
          <w:rtl/>
          <w:lang w:bidi="ar-SA"/>
        </w:rPr>
        <w:t xml:space="preserve"> في القنوات التالية - القروض المصرفية والقروض المباشرة من الهيئات المؤسسية وكذلك ال</w:t>
      </w:r>
      <w:r>
        <w:rPr>
          <w:rFonts w:ascii="David" w:hAnsi="David" w:cs="Times New Roman"/>
          <w:sz w:val="24"/>
          <w:szCs w:val="24"/>
          <w:rtl/>
          <w:lang w:bidi="ar-SA"/>
        </w:rPr>
        <w:t xml:space="preserve">سندات القابلة للتداول في </w:t>
      </w:r>
      <w:r>
        <w:rPr>
          <w:rFonts w:ascii="David" w:hAnsi="David" w:cs="Times New Roman" w:hint="cs"/>
          <w:sz w:val="24"/>
          <w:szCs w:val="24"/>
          <w:rtl/>
          <w:lang w:bidi="ar-SA"/>
        </w:rPr>
        <w:t>البلاد</w:t>
      </w:r>
      <w:r w:rsidRPr="005D5755">
        <w:rPr>
          <w:rFonts w:ascii="David" w:hAnsi="David" w:cs="Times New Roman"/>
          <w:sz w:val="24"/>
          <w:szCs w:val="24"/>
          <w:rtl/>
          <w:lang w:bidi="ar-SA"/>
        </w:rPr>
        <w:t xml:space="preserve"> والخارج. كما ساهم انخفاض قيمة الشيكل بنسبة 1.2٪ تقريبًا مقابل الدولار وارتفاع مؤشر أسعار </w:t>
      </w:r>
      <w:r>
        <w:rPr>
          <w:rFonts w:ascii="David" w:hAnsi="David" w:cs="Times New Roman"/>
          <w:sz w:val="24"/>
          <w:szCs w:val="24"/>
          <w:rtl/>
          <w:lang w:bidi="ar-SA"/>
        </w:rPr>
        <w:t>المستهلك</w:t>
      </w:r>
      <w:r w:rsidR="007F4B21" w:rsidRPr="00E21C13">
        <w:rPr>
          <w:rStyle w:val="af5"/>
          <w:rFonts w:ascii="David" w:hAnsi="David" w:cs="David"/>
          <w:rtl/>
        </w:rPr>
        <w:footnoteReference w:id="2"/>
      </w:r>
      <w:r w:rsidR="007F4B21">
        <w:rPr>
          <w:rFonts w:ascii="David" w:hAnsi="David" w:cs="David" w:hint="cs"/>
          <w:sz w:val="24"/>
          <w:szCs w:val="24"/>
          <w:rtl/>
        </w:rPr>
        <w:t xml:space="preserve"> </w:t>
      </w:r>
      <w:r w:rsidRPr="005D5755">
        <w:rPr>
          <w:rFonts w:ascii="David" w:hAnsi="David" w:cs="Times New Roman"/>
          <w:sz w:val="24"/>
          <w:szCs w:val="24"/>
          <w:rtl/>
          <w:lang w:bidi="ar-SA"/>
        </w:rPr>
        <w:t>بنسبة 1.2٪ تق</w:t>
      </w:r>
      <w:r>
        <w:rPr>
          <w:rFonts w:ascii="David" w:hAnsi="David" w:cs="Times New Roman"/>
          <w:sz w:val="24"/>
          <w:szCs w:val="24"/>
          <w:rtl/>
          <w:lang w:bidi="ar-SA"/>
        </w:rPr>
        <w:t>ريبًا في زيادة قيمة الدين بالعملة الأجنبية</w:t>
      </w:r>
      <w:r>
        <w:rPr>
          <w:rFonts w:ascii="David" w:hAnsi="David" w:cs="Times New Roman" w:hint="cs"/>
          <w:sz w:val="24"/>
          <w:szCs w:val="24"/>
          <w:rtl/>
          <w:lang w:bidi="ar-SA"/>
        </w:rPr>
        <w:t xml:space="preserve">، </w:t>
      </w:r>
      <w:r>
        <w:rPr>
          <w:rFonts w:ascii="David" w:hAnsi="David" w:cs="Times New Roman"/>
          <w:sz w:val="24"/>
          <w:szCs w:val="24"/>
          <w:rtl/>
          <w:lang w:bidi="ar-SA"/>
        </w:rPr>
        <w:t>المرتبط به</w:t>
      </w:r>
      <w:r>
        <w:rPr>
          <w:rFonts w:ascii="David" w:hAnsi="David" w:cs="Times New Roman" w:hint="cs"/>
          <w:sz w:val="24"/>
          <w:szCs w:val="24"/>
          <w:rtl/>
          <w:lang w:bidi="ar-SA"/>
        </w:rPr>
        <w:t xml:space="preserve">ا </w:t>
      </w:r>
      <w:r>
        <w:rPr>
          <w:rFonts w:ascii="David" w:hAnsi="David" w:cs="Times New Roman"/>
          <w:sz w:val="24"/>
          <w:szCs w:val="24"/>
          <w:rtl/>
          <w:lang w:bidi="ar-SA"/>
        </w:rPr>
        <w:t>والمرتبط بالمؤشر</w:t>
      </w:r>
      <w:r w:rsidRPr="005D5755">
        <w:rPr>
          <w:rFonts w:ascii="David" w:hAnsi="David" w:cs="Times New Roman"/>
          <w:sz w:val="24"/>
          <w:szCs w:val="24"/>
          <w:rtl/>
          <w:lang w:bidi="ar-SA"/>
        </w:rPr>
        <w:t xml:space="preserve">؛ </w:t>
      </w:r>
      <w:r>
        <w:rPr>
          <w:rFonts w:ascii="David" w:hAnsi="David" w:cs="Times New Roman" w:hint="cs"/>
          <w:sz w:val="24"/>
          <w:szCs w:val="24"/>
          <w:rtl/>
          <w:lang w:bidi="ar-SA"/>
        </w:rPr>
        <w:t>وتمّت موازنة هذه التأثيرات جزئيًّا</w:t>
      </w:r>
      <w:r w:rsidRPr="005D5755">
        <w:rPr>
          <w:rFonts w:ascii="David" w:hAnsi="David" w:cs="Times New Roman"/>
          <w:sz w:val="24"/>
          <w:szCs w:val="24"/>
          <w:rtl/>
          <w:lang w:bidi="ar-SA"/>
        </w:rPr>
        <w:t xml:space="preserve"> نتيجة الانخفاض الكمي في القروض من </w:t>
      </w:r>
      <w:r>
        <w:rPr>
          <w:rFonts w:ascii="David" w:hAnsi="David" w:cs="Times New Roman" w:hint="cs"/>
          <w:sz w:val="24"/>
          <w:szCs w:val="24"/>
          <w:rtl/>
          <w:lang w:bidi="ar-SA"/>
        </w:rPr>
        <w:t>المواطنين خارج البلاد</w:t>
      </w:r>
      <w:r w:rsidRPr="005D5755">
        <w:rPr>
          <w:rFonts w:ascii="David" w:hAnsi="David" w:cs="Times New Roman"/>
          <w:sz w:val="24"/>
          <w:szCs w:val="24"/>
          <w:rtl/>
          <w:lang w:bidi="ar-SA"/>
        </w:rPr>
        <w:t>.</w:t>
      </w:r>
    </w:p>
    <w:p w:rsidR="00F055A8" w:rsidRDefault="00754B8C" w:rsidP="00B612DA">
      <w:pPr>
        <w:spacing w:after="0" w:line="360" w:lineRule="auto"/>
        <w:jc w:val="both"/>
        <w:rPr>
          <w:rFonts w:ascii="David" w:hAnsi="David" w:cs="David"/>
          <w:sz w:val="24"/>
          <w:szCs w:val="24"/>
          <w:rtl/>
        </w:rPr>
      </w:pPr>
      <w:r>
        <w:rPr>
          <w:rFonts w:ascii="David" w:hAnsi="David" w:cs="Times New Roman" w:hint="cs"/>
          <w:sz w:val="24"/>
          <w:szCs w:val="24"/>
          <w:rtl/>
          <w:lang w:bidi="ar-SA"/>
        </w:rPr>
        <w:t>و</w:t>
      </w:r>
      <w:r>
        <w:rPr>
          <w:rFonts w:ascii="David" w:hAnsi="David" w:cs="Times New Roman"/>
          <w:sz w:val="24"/>
          <w:szCs w:val="24"/>
          <w:rtl/>
          <w:lang w:bidi="ar-SA"/>
        </w:rPr>
        <w:t>ظل معدل النمو السنوي ل</w:t>
      </w:r>
      <w:r>
        <w:rPr>
          <w:rFonts w:ascii="David" w:hAnsi="David" w:cs="Times New Roman" w:hint="cs"/>
          <w:sz w:val="24"/>
          <w:szCs w:val="24"/>
          <w:rtl/>
          <w:lang w:bidi="ar-SA"/>
        </w:rPr>
        <w:t>رصيد</w:t>
      </w:r>
      <w:r>
        <w:rPr>
          <w:rFonts w:ascii="David" w:hAnsi="David" w:cs="Times New Roman"/>
          <w:sz w:val="24"/>
          <w:szCs w:val="24"/>
          <w:rtl/>
          <w:lang w:bidi="ar-SA"/>
        </w:rPr>
        <w:t xml:space="preserve"> الدي</w:t>
      </w:r>
      <w:r w:rsidR="00F055A8" w:rsidRPr="00F055A8">
        <w:rPr>
          <w:rFonts w:ascii="David" w:hAnsi="David" w:cs="Times New Roman"/>
          <w:sz w:val="24"/>
          <w:szCs w:val="24"/>
          <w:rtl/>
          <w:lang w:bidi="ar-SA"/>
        </w:rPr>
        <w:t>ن</w:t>
      </w:r>
      <w:r>
        <w:rPr>
          <w:rFonts w:ascii="David" w:hAnsi="David" w:cs="Times New Roman"/>
          <w:sz w:val="24"/>
          <w:szCs w:val="24"/>
          <w:rtl/>
          <w:lang w:bidi="ar-SA"/>
        </w:rPr>
        <w:t xml:space="preserve"> للبنوك والمقرضين </w:t>
      </w:r>
      <w:r>
        <w:rPr>
          <w:rFonts w:ascii="David" w:hAnsi="David" w:cs="Times New Roman" w:hint="cs"/>
          <w:sz w:val="24"/>
          <w:szCs w:val="24"/>
          <w:rtl/>
          <w:lang w:bidi="ar-SA"/>
        </w:rPr>
        <w:t xml:space="preserve">غير المصرفيّين </w:t>
      </w:r>
      <w:r w:rsidR="00F055A8" w:rsidRPr="00F055A8">
        <w:rPr>
          <w:rFonts w:ascii="David" w:hAnsi="David" w:cs="Times New Roman"/>
          <w:sz w:val="24"/>
          <w:szCs w:val="24"/>
          <w:rtl/>
          <w:lang w:bidi="ar-SA"/>
        </w:rPr>
        <w:t>مرتفعًا في</w:t>
      </w:r>
      <w:r>
        <w:rPr>
          <w:rFonts w:ascii="David" w:hAnsi="David" w:cs="Times New Roman"/>
          <w:sz w:val="24"/>
          <w:szCs w:val="24"/>
          <w:rtl/>
          <w:lang w:bidi="ar-SA"/>
        </w:rPr>
        <w:t xml:space="preserve"> هذا الربع، لكنه انخفض بشكل طفيف</w:t>
      </w:r>
      <w:r w:rsidR="00F055A8" w:rsidRPr="00F055A8">
        <w:rPr>
          <w:rFonts w:ascii="David" w:hAnsi="David" w:cs="Times New Roman"/>
          <w:sz w:val="24"/>
          <w:szCs w:val="24"/>
          <w:rtl/>
          <w:lang w:bidi="ar-SA"/>
        </w:rPr>
        <w:t xml:space="preserve">- </w:t>
      </w:r>
      <w:r>
        <w:rPr>
          <w:rFonts w:ascii="David" w:hAnsi="David" w:cs="Times New Roman" w:hint="cs"/>
          <w:sz w:val="24"/>
          <w:szCs w:val="24"/>
          <w:rtl/>
          <w:lang w:bidi="ar-SA"/>
        </w:rPr>
        <w:t xml:space="preserve">بحيث سجّل </w:t>
      </w:r>
      <w:r w:rsidR="00F055A8" w:rsidRPr="00F055A8">
        <w:rPr>
          <w:rFonts w:ascii="David" w:hAnsi="David" w:cs="Times New Roman"/>
          <w:sz w:val="24"/>
          <w:szCs w:val="24"/>
          <w:rtl/>
          <w:lang w:bidi="ar-SA"/>
        </w:rPr>
        <w:t xml:space="preserve">في الدين للبنوك </w:t>
      </w:r>
      <w:r>
        <w:rPr>
          <w:rFonts w:ascii="David" w:hAnsi="David" w:cs="Times New Roman"/>
          <w:sz w:val="24"/>
          <w:szCs w:val="24"/>
          <w:rtl/>
          <w:lang w:bidi="ar-SA"/>
        </w:rPr>
        <w:t xml:space="preserve">معدل نمو بنحو </w:t>
      </w:r>
      <w:r>
        <w:rPr>
          <w:rFonts w:ascii="David" w:hAnsi="David" w:cs="Times New Roman" w:hint="cs"/>
          <w:sz w:val="24"/>
          <w:szCs w:val="24"/>
          <w:rtl/>
          <w:lang w:bidi="ar-SA"/>
        </w:rPr>
        <w:t xml:space="preserve">20% </w:t>
      </w:r>
      <w:r>
        <w:rPr>
          <w:rFonts w:ascii="David" w:hAnsi="David" w:cs="Times New Roman"/>
          <w:sz w:val="24"/>
          <w:szCs w:val="24"/>
          <w:rtl/>
          <w:lang w:bidi="ar-SA"/>
        </w:rPr>
        <w:t xml:space="preserve">مقارنة بـ </w:t>
      </w:r>
      <w:r>
        <w:rPr>
          <w:rFonts w:ascii="David" w:hAnsi="David" w:cs="Times New Roman" w:hint="cs"/>
          <w:sz w:val="24"/>
          <w:szCs w:val="24"/>
          <w:rtl/>
          <w:lang w:bidi="ar-SA"/>
        </w:rPr>
        <w:t xml:space="preserve">22% </w:t>
      </w:r>
      <w:r>
        <w:rPr>
          <w:rFonts w:ascii="David" w:hAnsi="David" w:cs="Times New Roman"/>
          <w:sz w:val="24"/>
          <w:szCs w:val="24"/>
          <w:rtl/>
          <w:lang w:bidi="ar-SA"/>
        </w:rPr>
        <w:t xml:space="preserve">في الربع السابق وفي </w:t>
      </w:r>
      <w:r>
        <w:rPr>
          <w:rFonts w:ascii="David" w:hAnsi="David" w:cs="Times New Roman" w:hint="cs"/>
          <w:sz w:val="24"/>
          <w:szCs w:val="24"/>
          <w:rtl/>
          <w:lang w:bidi="ar-SA"/>
        </w:rPr>
        <w:t>الدين ل</w:t>
      </w:r>
      <w:r w:rsidR="00F055A8" w:rsidRPr="00F055A8">
        <w:rPr>
          <w:rFonts w:ascii="David" w:hAnsi="David" w:cs="Times New Roman"/>
          <w:sz w:val="24"/>
          <w:szCs w:val="24"/>
          <w:rtl/>
          <w:lang w:bidi="ar-SA"/>
        </w:rPr>
        <w:t xml:space="preserve">لمقرضين غير المصرفيين </w:t>
      </w:r>
      <w:r>
        <w:rPr>
          <w:rFonts w:ascii="David" w:hAnsi="David" w:cs="Times New Roman" w:hint="cs"/>
          <w:sz w:val="24"/>
          <w:szCs w:val="24"/>
          <w:rtl/>
          <w:lang w:bidi="ar-SA"/>
        </w:rPr>
        <w:t xml:space="preserve">نحو 9% </w:t>
      </w:r>
      <w:r>
        <w:rPr>
          <w:rFonts w:ascii="David" w:hAnsi="David" w:cs="Times New Roman"/>
          <w:sz w:val="24"/>
          <w:szCs w:val="24"/>
          <w:rtl/>
          <w:lang w:bidi="ar-SA"/>
        </w:rPr>
        <w:t>مقابل 10٪. (ا</w:t>
      </w:r>
      <w:r>
        <w:rPr>
          <w:rFonts w:ascii="David" w:hAnsi="David" w:cs="Times New Roman" w:hint="cs"/>
          <w:sz w:val="24"/>
          <w:szCs w:val="24"/>
          <w:rtl/>
          <w:lang w:bidi="ar-SA"/>
        </w:rPr>
        <w:t>لرسوم البيانيّة 1، 2)</w:t>
      </w:r>
    </w:p>
    <w:p w:rsidR="00AD183C" w:rsidRPr="002B70CA" w:rsidRDefault="00B612DA" w:rsidP="00AD183C">
      <w:pPr>
        <w:spacing w:after="0" w:line="360" w:lineRule="auto"/>
        <w:jc w:val="both"/>
        <w:rPr>
          <w:rFonts w:ascii="David" w:hAnsi="David" w:cs="Times New Roman"/>
          <w:sz w:val="24"/>
          <w:szCs w:val="24"/>
          <w:rtl/>
          <w:lang w:bidi="ar-SA"/>
        </w:rPr>
      </w:pPr>
      <w:r w:rsidRPr="002B70CA">
        <w:rPr>
          <w:rFonts w:ascii="David" w:hAnsi="David" w:cs="Times New Roman"/>
          <w:sz w:val="24"/>
          <w:szCs w:val="24"/>
          <w:rtl/>
          <w:lang w:bidi="ar-SA"/>
        </w:rPr>
        <w:t>في الربع الثا</w:t>
      </w:r>
      <w:r w:rsidRPr="002B70CA">
        <w:rPr>
          <w:rFonts w:ascii="David" w:hAnsi="David" w:cs="Times New Roman" w:hint="cs"/>
          <w:sz w:val="24"/>
          <w:szCs w:val="24"/>
          <w:rtl/>
          <w:lang w:bidi="ar-SA"/>
        </w:rPr>
        <w:t>لث</w:t>
      </w:r>
      <w:r w:rsidRPr="002B70CA">
        <w:rPr>
          <w:rFonts w:ascii="David" w:hAnsi="David" w:cs="Times New Roman"/>
          <w:sz w:val="24"/>
          <w:szCs w:val="24"/>
          <w:rtl/>
          <w:lang w:bidi="ar-SA"/>
        </w:rPr>
        <w:t xml:space="preserve"> من العام، أصدر قطاع الأعمال سندات بقيمة حوالي 1</w:t>
      </w:r>
      <w:r w:rsidRPr="002B70CA">
        <w:rPr>
          <w:rFonts w:ascii="David" w:hAnsi="David" w:cs="Times New Roman" w:hint="cs"/>
          <w:sz w:val="24"/>
          <w:szCs w:val="24"/>
          <w:rtl/>
          <w:lang w:bidi="ar-SA"/>
        </w:rPr>
        <w:t xml:space="preserve">8 </w:t>
      </w:r>
      <w:r w:rsidRPr="002B70CA">
        <w:rPr>
          <w:rFonts w:ascii="David" w:hAnsi="David" w:cs="Times New Roman"/>
          <w:sz w:val="24"/>
          <w:szCs w:val="24"/>
          <w:rtl/>
          <w:lang w:bidi="ar-SA"/>
        </w:rPr>
        <w:t xml:space="preserve">مليار شيكل، </w:t>
      </w:r>
      <w:r w:rsidRPr="002B70CA">
        <w:rPr>
          <w:rFonts w:ascii="David" w:hAnsi="David" w:cs="Times New Roman" w:hint="cs"/>
          <w:sz w:val="24"/>
          <w:szCs w:val="24"/>
          <w:rtl/>
          <w:lang w:bidi="ar-SA"/>
        </w:rPr>
        <w:t xml:space="preserve">وهي </w:t>
      </w:r>
      <w:r w:rsidRPr="002B70CA">
        <w:rPr>
          <w:rFonts w:ascii="David" w:hAnsi="David" w:cs="Times New Roman"/>
          <w:sz w:val="24"/>
          <w:szCs w:val="24"/>
          <w:rtl/>
          <w:lang w:bidi="ar-SA"/>
        </w:rPr>
        <w:t>أ</w:t>
      </w:r>
      <w:r w:rsidRPr="002B70CA">
        <w:rPr>
          <w:rFonts w:ascii="David" w:hAnsi="David" w:cs="Times New Roman" w:hint="cs"/>
          <w:sz w:val="24"/>
          <w:szCs w:val="24"/>
          <w:rtl/>
          <w:lang w:bidi="ar-SA"/>
        </w:rPr>
        <w:t>على</w:t>
      </w:r>
      <w:r w:rsidRPr="002B70CA">
        <w:rPr>
          <w:rFonts w:ascii="David" w:hAnsi="David" w:cs="Times New Roman"/>
          <w:sz w:val="24"/>
          <w:szCs w:val="24"/>
          <w:rtl/>
          <w:lang w:bidi="ar-SA"/>
        </w:rPr>
        <w:t xml:space="preserve"> من المتوسط ​​الفصلي للأرباع الأربعة السابقة (حوالي 14 مليار </w:t>
      </w:r>
      <w:proofErr w:type="gramStart"/>
      <w:r w:rsidRPr="002B70CA">
        <w:rPr>
          <w:rFonts w:ascii="David" w:hAnsi="David" w:cs="Times New Roman" w:hint="cs"/>
          <w:sz w:val="24"/>
          <w:szCs w:val="24"/>
          <w:rtl/>
          <w:lang w:bidi="ar-SA"/>
        </w:rPr>
        <w:t xml:space="preserve">بالمعدّل </w:t>
      </w:r>
      <w:r w:rsidRPr="002B70CA">
        <w:rPr>
          <w:rFonts w:ascii="David" w:hAnsi="David" w:cs="Times New Roman"/>
          <w:sz w:val="24"/>
          <w:szCs w:val="24"/>
          <w:rtl/>
          <w:lang w:bidi="ar-SA"/>
        </w:rPr>
        <w:t xml:space="preserve"> ​</w:t>
      </w:r>
      <w:proofErr w:type="gramEnd"/>
      <w:r w:rsidRPr="002B70CA">
        <w:rPr>
          <w:rFonts w:ascii="David" w:hAnsi="David" w:cs="Times New Roman"/>
          <w:sz w:val="24"/>
          <w:szCs w:val="24"/>
          <w:rtl/>
          <w:lang w:bidi="ar-SA"/>
        </w:rPr>
        <w:t xml:space="preserve">​لكل ربع سنة). </w:t>
      </w:r>
      <w:r w:rsidRPr="002B70CA">
        <w:rPr>
          <w:rFonts w:ascii="David" w:hAnsi="David" w:cs="Times New Roman" w:hint="cs"/>
          <w:sz w:val="24"/>
          <w:szCs w:val="24"/>
          <w:rtl/>
          <w:lang w:bidi="ar-SA"/>
        </w:rPr>
        <w:t>و</w:t>
      </w:r>
      <w:r w:rsidRPr="002B70CA">
        <w:rPr>
          <w:rFonts w:ascii="David" w:hAnsi="David" w:cs="Times New Roman"/>
          <w:sz w:val="24"/>
          <w:szCs w:val="24"/>
          <w:rtl/>
          <w:lang w:bidi="ar-SA"/>
        </w:rPr>
        <w:t xml:space="preserve">تواصل الشركات </w:t>
      </w:r>
      <w:r w:rsidRPr="002B70CA">
        <w:rPr>
          <w:rFonts w:ascii="David" w:hAnsi="David" w:cs="Times New Roman" w:hint="cs"/>
          <w:sz w:val="24"/>
          <w:szCs w:val="24"/>
          <w:rtl/>
          <w:lang w:bidi="ar-SA"/>
        </w:rPr>
        <w:t>في</w:t>
      </w:r>
      <w:r w:rsidRPr="002B70CA">
        <w:rPr>
          <w:rFonts w:ascii="David" w:hAnsi="David" w:cs="Times New Roman"/>
          <w:sz w:val="24"/>
          <w:szCs w:val="24"/>
          <w:rtl/>
          <w:lang w:bidi="ar-SA"/>
        </w:rPr>
        <w:t xml:space="preserve"> قطاع العقارات وال</w:t>
      </w:r>
      <w:r w:rsidRPr="002B70CA">
        <w:rPr>
          <w:rFonts w:ascii="David" w:hAnsi="David" w:cs="Times New Roman" w:hint="cs"/>
          <w:sz w:val="24"/>
          <w:szCs w:val="24"/>
          <w:rtl/>
          <w:lang w:bidi="ar-SA"/>
        </w:rPr>
        <w:t>بناء</w:t>
      </w:r>
      <w:r w:rsidRPr="002B70CA">
        <w:rPr>
          <w:rFonts w:ascii="David" w:hAnsi="David" w:cs="Times New Roman"/>
          <w:sz w:val="24"/>
          <w:szCs w:val="24"/>
          <w:rtl/>
          <w:lang w:bidi="ar-SA"/>
        </w:rPr>
        <w:t xml:space="preserve"> ريادتها في </w:t>
      </w:r>
      <w:r w:rsidRPr="002B70CA">
        <w:rPr>
          <w:rFonts w:ascii="David" w:hAnsi="David" w:cs="Times New Roman" w:hint="cs"/>
          <w:sz w:val="24"/>
          <w:szCs w:val="24"/>
          <w:rtl/>
          <w:lang w:bidi="ar-SA"/>
        </w:rPr>
        <w:t>تجنيد</w:t>
      </w:r>
      <w:r w:rsidRPr="002B70CA">
        <w:rPr>
          <w:rFonts w:ascii="David" w:hAnsi="David" w:cs="Times New Roman"/>
          <w:sz w:val="24"/>
          <w:szCs w:val="24"/>
          <w:rtl/>
          <w:lang w:bidi="ar-SA"/>
        </w:rPr>
        <w:t xml:space="preserve"> الأموال</w:t>
      </w:r>
      <w:r w:rsidRPr="002B70CA">
        <w:rPr>
          <w:rFonts w:ascii="David" w:hAnsi="David" w:cs="Times New Roman" w:hint="cs"/>
          <w:sz w:val="24"/>
          <w:szCs w:val="24"/>
          <w:rtl/>
          <w:lang w:bidi="ar-SA"/>
        </w:rPr>
        <w:t>، إذ أنّ حوالي</w:t>
      </w:r>
      <w:r w:rsidRPr="002B70CA">
        <w:rPr>
          <w:rFonts w:ascii="David" w:hAnsi="David" w:cs="Times New Roman"/>
          <w:sz w:val="24"/>
          <w:szCs w:val="24"/>
          <w:rtl/>
          <w:lang w:bidi="ar-SA"/>
        </w:rPr>
        <w:t xml:space="preserve"> </w:t>
      </w:r>
      <w:r w:rsidRPr="002B70CA">
        <w:rPr>
          <w:rFonts w:ascii="David" w:hAnsi="David" w:cs="Times New Roman" w:hint="cs"/>
          <w:sz w:val="24"/>
          <w:szCs w:val="24"/>
          <w:rtl/>
          <w:lang w:bidi="ar-SA"/>
        </w:rPr>
        <w:t xml:space="preserve">56% </w:t>
      </w:r>
      <w:r w:rsidRPr="002B70CA">
        <w:rPr>
          <w:rFonts w:ascii="David" w:hAnsi="David" w:cs="Times New Roman"/>
          <w:sz w:val="24"/>
          <w:szCs w:val="24"/>
          <w:rtl/>
          <w:lang w:bidi="ar-SA"/>
        </w:rPr>
        <w:t xml:space="preserve">من الإصدارات في هذا الربع </w:t>
      </w:r>
      <w:r w:rsidRPr="002B70CA">
        <w:rPr>
          <w:rFonts w:ascii="David" w:hAnsi="David" w:cs="Times New Roman" w:hint="cs"/>
          <w:sz w:val="24"/>
          <w:szCs w:val="24"/>
          <w:rtl/>
          <w:lang w:bidi="ar-SA"/>
        </w:rPr>
        <w:t>تمّت من قبلها. وفي شهريّ تشرين الأوّل وتشرين الثاني 2022</w:t>
      </w:r>
      <w:r w:rsidRPr="002B70CA">
        <w:rPr>
          <w:rFonts w:ascii="David" w:hAnsi="David" w:cs="Times New Roman"/>
          <w:sz w:val="24"/>
          <w:szCs w:val="24"/>
          <w:rtl/>
          <w:lang w:bidi="ar-SA"/>
        </w:rPr>
        <w:t xml:space="preserve"> </w:t>
      </w:r>
      <w:r w:rsidRPr="002B70CA">
        <w:rPr>
          <w:rFonts w:ascii="David" w:hAnsi="David" w:cs="Times New Roman" w:hint="cs"/>
          <w:sz w:val="24"/>
          <w:szCs w:val="24"/>
          <w:rtl/>
          <w:lang w:bidi="ar-SA"/>
        </w:rPr>
        <w:t xml:space="preserve">أصدر قطاع الأعمال </w:t>
      </w:r>
      <w:r w:rsidRPr="002B70CA">
        <w:rPr>
          <w:rFonts w:ascii="David" w:hAnsi="David" w:cs="Times New Roman" w:hint="cs"/>
          <w:sz w:val="24"/>
          <w:szCs w:val="24"/>
          <w:rtl/>
          <w:lang w:bidi="ar-SA"/>
        </w:rPr>
        <w:lastRenderedPageBreak/>
        <w:t>سندات</w:t>
      </w:r>
      <w:r w:rsidRPr="002B70CA">
        <w:rPr>
          <w:rFonts w:ascii="David" w:hAnsi="David" w:cs="Times New Roman"/>
          <w:sz w:val="24"/>
          <w:szCs w:val="24"/>
          <w:rtl/>
          <w:lang w:bidi="ar-SA"/>
        </w:rPr>
        <w:t xml:space="preserve"> بقيمة حوالي </w:t>
      </w:r>
      <w:r w:rsidRPr="002B70CA">
        <w:rPr>
          <w:rFonts w:ascii="David" w:hAnsi="David" w:cs="Times New Roman" w:hint="cs"/>
          <w:sz w:val="24"/>
          <w:szCs w:val="24"/>
          <w:rtl/>
          <w:lang w:bidi="ar-SA"/>
        </w:rPr>
        <w:t xml:space="preserve">2.6 </w:t>
      </w:r>
      <w:r w:rsidRPr="002B70CA">
        <w:rPr>
          <w:rFonts w:ascii="David" w:hAnsi="David" w:cs="Times New Roman"/>
          <w:sz w:val="24"/>
          <w:szCs w:val="24"/>
          <w:rtl/>
          <w:lang w:bidi="ar-SA"/>
        </w:rPr>
        <w:t>مليار شيكل في المتوسط ​​الشهري، وهي نسبة أ</w:t>
      </w:r>
      <w:r w:rsidRPr="002B70CA">
        <w:rPr>
          <w:rFonts w:ascii="David" w:hAnsi="David" w:cs="Times New Roman" w:hint="cs"/>
          <w:sz w:val="24"/>
          <w:szCs w:val="24"/>
          <w:rtl/>
          <w:lang w:bidi="ar-SA"/>
        </w:rPr>
        <w:t xml:space="preserve">قل بكثير </w:t>
      </w:r>
      <w:r w:rsidRPr="002B70CA">
        <w:rPr>
          <w:rFonts w:ascii="David" w:hAnsi="David" w:cs="Times New Roman"/>
          <w:sz w:val="24"/>
          <w:szCs w:val="24"/>
          <w:rtl/>
          <w:lang w:bidi="ar-SA"/>
        </w:rPr>
        <w:t>من متوسط ​​</w:t>
      </w:r>
      <w:r w:rsidRPr="002B70CA">
        <w:rPr>
          <w:rFonts w:ascii="David" w:hAnsi="David" w:cs="Times New Roman" w:hint="cs"/>
          <w:sz w:val="24"/>
          <w:szCs w:val="24"/>
          <w:rtl/>
          <w:lang w:bidi="ar-SA"/>
        </w:rPr>
        <w:t>تجنيد الأموال الشهري</w:t>
      </w:r>
      <w:r w:rsidR="0019469A" w:rsidRPr="002B70CA">
        <w:rPr>
          <w:rFonts w:ascii="David" w:hAnsi="David" w:cs="Times New Roman" w:hint="cs"/>
          <w:sz w:val="24"/>
          <w:szCs w:val="24"/>
          <w:rtl/>
          <w:lang w:bidi="ar-SA"/>
        </w:rPr>
        <w:t xml:space="preserve"> منذ بداية العام (نحو 4.7 مليار في المتوسط الشهري)، وذلك على خلفيّة أعياد تشرين وقلة أيّام العمل في شهر تشرين الأوّل</w:t>
      </w:r>
      <w:r w:rsidRPr="002B70CA">
        <w:rPr>
          <w:rFonts w:ascii="David" w:hAnsi="David" w:cs="Times New Roman"/>
          <w:sz w:val="24"/>
          <w:szCs w:val="24"/>
          <w:rtl/>
          <w:lang w:bidi="ar-SA"/>
        </w:rPr>
        <w:t xml:space="preserve"> (</w:t>
      </w:r>
      <w:r w:rsidRPr="002B70CA">
        <w:rPr>
          <w:rFonts w:ascii="David" w:hAnsi="David" w:cs="Times New Roman" w:hint="cs"/>
          <w:sz w:val="24"/>
          <w:szCs w:val="24"/>
          <w:rtl/>
          <w:lang w:bidi="ar-SA"/>
        </w:rPr>
        <w:t>الرسم البياني</w:t>
      </w:r>
      <w:r w:rsidRPr="002B70CA">
        <w:rPr>
          <w:rFonts w:ascii="David" w:hAnsi="David" w:cs="Times New Roman"/>
          <w:sz w:val="24"/>
          <w:szCs w:val="24"/>
          <w:rtl/>
          <w:lang w:bidi="ar-SA"/>
        </w:rPr>
        <w:t xml:space="preserve"> 3).</w:t>
      </w:r>
    </w:p>
    <w:p w:rsidR="00AD183C" w:rsidRPr="002B70CA" w:rsidRDefault="00AD183C" w:rsidP="00AD183C">
      <w:pPr>
        <w:spacing w:before="240" w:after="120" w:line="360" w:lineRule="auto"/>
        <w:jc w:val="both"/>
        <w:rPr>
          <w:rFonts w:ascii="David" w:hAnsi="David" w:cs="David"/>
          <w:sz w:val="24"/>
          <w:szCs w:val="24"/>
        </w:rPr>
      </w:pPr>
      <w:r w:rsidRPr="002B70CA">
        <w:rPr>
          <w:rFonts w:ascii="David" w:hAnsi="David" w:cs="Times New Roman"/>
          <w:sz w:val="24"/>
          <w:szCs w:val="24"/>
          <w:rtl/>
          <w:lang w:bidi="ar-SA"/>
        </w:rPr>
        <w:t>في الربع الثا</w:t>
      </w:r>
      <w:r w:rsidRPr="002B70CA">
        <w:rPr>
          <w:rFonts w:ascii="David" w:hAnsi="David" w:cs="Times New Roman" w:hint="cs"/>
          <w:sz w:val="24"/>
          <w:szCs w:val="24"/>
          <w:rtl/>
          <w:lang w:bidi="ar-SA"/>
        </w:rPr>
        <w:t>لث</w:t>
      </w:r>
      <w:r w:rsidRPr="002B70CA">
        <w:rPr>
          <w:rFonts w:ascii="David" w:hAnsi="David" w:cs="Times New Roman"/>
          <w:sz w:val="24"/>
          <w:szCs w:val="24"/>
          <w:rtl/>
          <w:lang w:bidi="ar-SA"/>
        </w:rPr>
        <w:t xml:space="preserve"> من العام، </w:t>
      </w:r>
      <w:r w:rsidRPr="002B70CA">
        <w:rPr>
          <w:rFonts w:ascii="David" w:hAnsi="David" w:cs="Times New Roman" w:hint="cs"/>
          <w:sz w:val="24"/>
          <w:szCs w:val="24"/>
          <w:rtl/>
          <w:lang w:bidi="ar-SA"/>
        </w:rPr>
        <w:t>تقلّص</w:t>
      </w:r>
      <w:r w:rsidRPr="002B70CA">
        <w:rPr>
          <w:rFonts w:ascii="David" w:hAnsi="David" w:cs="Times New Roman"/>
          <w:sz w:val="24"/>
          <w:szCs w:val="24"/>
          <w:rtl/>
          <w:lang w:bidi="ar-SA"/>
        </w:rPr>
        <w:t xml:space="preserve"> ال</w:t>
      </w:r>
      <w:r w:rsidRPr="002B70CA">
        <w:rPr>
          <w:rFonts w:ascii="David" w:hAnsi="David" w:cs="Times New Roman" w:hint="cs"/>
          <w:sz w:val="24"/>
          <w:szCs w:val="24"/>
          <w:rtl/>
          <w:lang w:bidi="ar-SA"/>
        </w:rPr>
        <w:t>هامش</w:t>
      </w:r>
      <w:r w:rsidRPr="00101D28">
        <w:rPr>
          <w:rStyle w:val="af5"/>
          <w:rFonts w:ascii="David" w:hAnsi="David" w:cs="David"/>
          <w:sz w:val="24"/>
          <w:szCs w:val="24"/>
          <w:rtl/>
        </w:rPr>
        <w:footnoteReference w:id="3"/>
      </w:r>
      <w:r w:rsidRPr="002B70CA">
        <w:rPr>
          <w:rFonts w:ascii="David" w:hAnsi="David" w:cs="David"/>
          <w:b/>
          <w:bCs/>
          <w:sz w:val="24"/>
          <w:szCs w:val="24"/>
          <w:rtl/>
        </w:rPr>
        <w:t xml:space="preserve"> </w:t>
      </w:r>
      <w:r w:rsidRPr="002B70CA">
        <w:rPr>
          <w:rFonts w:ascii="David" w:hAnsi="David" w:cs="Times New Roman"/>
          <w:sz w:val="24"/>
          <w:szCs w:val="24"/>
          <w:rtl/>
          <w:lang w:bidi="ar-SA"/>
        </w:rPr>
        <w:t>بين عائد سندات الشركات المدرجة في مؤشر</w:t>
      </w:r>
      <w:r w:rsidRPr="002B70CA">
        <w:rPr>
          <w:rFonts w:ascii="David" w:hAnsi="David" w:cs="David"/>
          <w:sz w:val="24"/>
          <w:szCs w:val="24"/>
        </w:rPr>
        <w:t xml:space="preserve"> </w:t>
      </w:r>
      <w:r w:rsidRPr="002B70CA">
        <w:rPr>
          <w:rFonts w:ascii="David" w:hAnsi="David" w:hint="cs"/>
          <w:sz w:val="24"/>
          <w:szCs w:val="24"/>
          <w:rtl/>
          <w:lang w:bidi="ar-SA"/>
        </w:rPr>
        <w:t>تل بوند 60</w:t>
      </w:r>
      <w:r w:rsidRPr="002B70CA">
        <w:rPr>
          <w:rFonts w:ascii="David" w:hAnsi="David" w:cs="Times New Roman"/>
          <w:sz w:val="24"/>
          <w:szCs w:val="24"/>
          <w:rtl/>
          <w:lang w:bidi="ar-SA"/>
        </w:rPr>
        <w:t xml:space="preserve">، وعائد السندات الحكومية </w:t>
      </w:r>
      <w:r w:rsidRPr="002B70CA">
        <w:rPr>
          <w:rFonts w:ascii="David" w:hAnsi="David" w:cs="Times New Roman" w:hint="cs"/>
          <w:sz w:val="24"/>
          <w:szCs w:val="24"/>
          <w:rtl/>
          <w:lang w:bidi="ar-SA"/>
        </w:rPr>
        <w:t>المرتبطة</w:t>
      </w:r>
      <w:r w:rsidRPr="002B70CA">
        <w:rPr>
          <w:rFonts w:ascii="David" w:hAnsi="David" w:cs="Times New Roman"/>
          <w:sz w:val="24"/>
          <w:szCs w:val="24"/>
          <w:rtl/>
          <w:lang w:bidi="ar-SA"/>
        </w:rPr>
        <w:t xml:space="preserve"> </w:t>
      </w:r>
      <w:r w:rsidRPr="002B70CA">
        <w:rPr>
          <w:rFonts w:ascii="David" w:hAnsi="David" w:cs="Times New Roman" w:hint="cs"/>
          <w:sz w:val="24"/>
          <w:szCs w:val="24"/>
          <w:rtl/>
          <w:lang w:bidi="ar-SA"/>
        </w:rPr>
        <w:t>ب</w:t>
      </w:r>
      <w:r w:rsidRPr="002B70CA">
        <w:rPr>
          <w:rFonts w:ascii="David" w:hAnsi="David" w:cs="Times New Roman"/>
          <w:sz w:val="24"/>
          <w:szCs w:val="24"/>
          <w:rtl/>
          <w:lang w:bidi="ar-SA"/>
        </w:rPr>
        <w:t>ما يق</w:t>
      </w:r>
      <w:r w:rsidRPr="002B70CA">
        <w:rPr>
          <w:rFonts w:ascii="David" w:hAnsi="David" w:cs="Times New Roman" w:hint="cs"/>
          <w:sz w:val="24"/>
          <w:szCs w:val="24"/>
          <w:rtl/>
          <w:lang w:bidi="ar-SA"/>
        </w:rPr>
        <w:t>ا</w:t>
      </w:r>
      <w:r w:rsidRPr="002B70CA">
        <w:rPr>
          <w:rFonts w:ascii="David" w:hAnsi="David" w:cs="Times New Roman"/>
          <w:sz w:val="24"/>
          <w:szCs w:val="24"/>
          <w:rtl/>
          <w:lang w:bidi="ar-SA"/>
        </w:rPr>
        <w:t>ر</w:t>
      </w:r>
      <w:r w:rsidRPr="002B70CA">
        <w:rPr>
          <w:rFonts w:ascii="David" w:hAnsi="David" w:cs="Times New Roman" w:hint="cs"/>
          <w:sz w:val="24"/>
          <w:szCs w:val="24"/>
          <w:rtl/>
          <w:lang w:bidi="ar-SA"/>
        </w:rPr>
        <w:t>ب</w:t>
      </w:r>
      <w:r w:rsidRPr="002B70CA">
        <w:rPr>
          <w:rFonts w:ascii="David" w:hAnsi="David" w:cs="Times New Roman"/>
          <w:sz w:val="24"/>
          <w:szCs w:val="24"/>
          <w:rtl/>
          <w:lang w:bidi="ar-SA"/>
        </w:rPr>
        <w:t xml:space="preserve"> </w:t>
      </w:r>
      <w:r w:rsidRPr="002B70CA">
        <w:rPr>
          <w:rFonts w:ascii="David" w:hAnsi="David" w:cs="Times New Roman" w:hint="cs"/>
          <w:sz w:val="24"/>
          <w:szCs w:val="24"/>
          <w:rtl/>
          <w:lang w:bidi="ar-SA"/>
        </w:rPr>
        <w:t>0.1 ن</w:t>
      </w:r>
      <w:r w:rsidRPr="002B70CA">
        <w:rPr>
          <w:rFonts w:ascii="David" w:hAnsi="David" w:cs="Times New Roman"/>
          <w:sz w:val="24"/>
          <w:szCs w:val="24"/>
          <w:rtl/>
          <w:lang w:bidi="ar-SA"/>
        </w:rPr>
        <w:t xml:space="preserve">قطة مئوية، </w:t>
      </w:r>
      <w:r w:rsidRPr="002B70CA">
        <w:rPr>
          <w:rFonts w:ascii="David" w:hAnsi="David" w:cs="Times New Roman" w:hint="cs"/>
          <w:sz w:val="24"/>
          <w:szCs w:val="24"/>
          <w:rtl/>
          <w:lang w:bidi="ar-SA"/>
        </w:rPr>
        <w:t>لنحو 1.56 نقطة مئويّة،</w:t>
      </w:r>
      <w:r w:rsidRPr="002B70CA">
        <w:rPr>
          <w:rFonts w:ascii="David" w:hAnsi="David" w:cs="Times New Roman"/>
          <w:sz w:val="24"/>
          <w:szCs w:val="24"/>
          <w:rtl/>
          <w:lang w:bidi="ar-SA"/>
        </w:rPr>
        <w:t xml:space="preserve"> </w:t>
      </w:r>
      <w:r w:rsidRPr="002B70CA">
        <w:rPr>
          <w:rFonts w:ascii="David" w:hAnsi="David" w:cs="Times New Roman" w:hint="cs"/>
          <w:sz w:val="24"/>
          <w:szCs w:val="24"/>
          <w:rtl/>
          <w:lang w:bidi="ar-SA"/>
        </w:rPr>
        <w:t xml:space="preserve">مع ذلك، </w:t>
      </w:r>
      <w:r w:rsidRPr="002B70CA">
        <w:rPr>
          <w:rFonts w:ascii="David" w:hAnsi="David" w:cs="Times New Roman"/>
          <w:sz w:val="24"/>
          <w:szCs w:val="24"/>
          <w:rtl/>
          <w:lang w:bidi="ar-SA"/>
        </w:rPr>
        <w:t xml:space="preserve">في شهري </w:t>
      </w:r>
      <w:r w:rsidRPr="002B70CA">
        <w:rPr>
          <w:rFonts w:ascii="David" w:hAnsi="David" w:cs="Times New Roman" w:hint="cs"/>
          <w:sz w:val="24"/>
          <w:szCs w:val="24"/>
          <w:rtl/>
          <w:lang w:bidi="ar-SA"/>
        </w:rPr>
        <w:t xml:space="preserve">تشرين الأوّل وتشرين الثاني </w:t>
      </w:r>
      <w:r w:rsidRPr="002B70CA">
        <w:rPr>
          <w:rFonts w:ascii="David" w:hAnsi="David" w:cs="Times New Roman"/>
          <w:sz w:val="24"/>
          <w:szCs w:val="24"/>
          <w:rtl/>
          <w:lang w:bidi="ar-SA"/>
        </w:rPr>
        <w:t xml:space="preserve">2022، </w:t>
      </w:r>
      <w:r w:rsidRPr="002B70CA">
        <w:rPr>
          <w:rFonts w:ascii="David" w:hAnsi="David" w:cs="Times New Roman" w:hint="cs"/>
          <w:sz w:val="24"/>
          <w:szCs w:val="24"/>
          <w:rtl/>
          <w:lang w:bidi="ar-SA"/>
        </w:rPr>
        <w:t>اتسع</w:t>
      </w:r>
      <w:r w:rsidRPr="002B70CA">
        <w:rPr>
          <w:rFonts w:ascii="David" w:hAnsi="David" w:cs="Times New Roman"/>
          <w:sz w:val="24"/>
          <w:szCs w:val="24"/>
          <w:rtl/>
          <w:lang w:bidi="ar-SA"/>
        </w:rPr>
        <w:t xml:space="preserve"> هذا ال</w:t>
      </w:r>
      <w:r w:rsidRPr="002B70CA">
        <w:rPr>
          <w:rFonts w:ascii="David" w:hAnsi="David" w:cs="Times New Roman" w:hint="cs"/>
          <w:sz w:val="24"/>
          <w:szCs w:val="24"/>
          <w:rtl/>
          <w:lang w:bidi="ar-SA"/>
        </w:rPr>
        <w:t>فارق</w:t>
      </w:r>
      <w:r w:rsidRPr="002B70CA">
        <w:rPr>
          <w:rFonts w:ascii="David" w:hAnsi="David" w:cs="Times New Roman"/>
          <w:sz w:val="24"/>
          <w:szCs w:val="24"/>
          <w:rtl/>
          <w:lang w:bidi="ar-SA"/>
        </w:rPr>
        <w:t xml:space="preserve"> إلى مستوى يقارب </w:t>
      </w:r>
      <w:r w:rsidRPr="002B70CA">
        <w:rPr>
          <w:rFonts w:ascii="David" w:hAnsi="David" w:cs="Times New Roman" w:hint="cs"/>
          <w:sz w:val="24"/>
          <w:szCs w:val="24"/>
          <w:rtl/>
          <w:lang w:bidi="ar-SA"/>
        </w:rPr>
        <w:t xml:space="preserve">1.73 </w:t>
      </w:r>
      <w:r w:rsidRPr="002B70CA">
        <w:rPr>
          <w:rFonts w:ascii="David" w:hAnsi="David" w:cs="Times New Roman"/>
          <w:sz w:val="24"/>
          <w:szCs w:val="24"/>
          <w:rtl/>
          <w:lang w:bidi="ar-SA"/>
        </w:rPr>
        <w:t>نقطة مئوية. (ال</w:t>
      </w:r>
      <w:r w:rsidRPr="002B70CA">
        <w:rPr>
          <w:rFonts w:ascii="David" w:hAnsi="David" w:cs="Times New Roman" w:hint="cs"/>
          <w:sz w:val="24"/>
          <w:szCs w:val="24"/>
          <w:rtl/>
          <w:lang w:bidi="ar-SA"/>
        </w:rPr>
        <w:t>رسم البياني</w:t>
      </w:r>
      <w:r w:rsidRPr="002B70CA">
        <w:rPr>
          <w:rFonts w:ascii="David" w:hAnsi="David" w:cs="Times New Roman"/>
          <w:sz w:val="24"/>
          <w:szCs w:val="24"/>
          <w:rtl/>
          <w:lang w:bidi="ar-SA"/>
        </w:rPr>
        <w:t xml:space="preserve"> 4).</w:t>
      </w:r>
    </w:p>
    <w:p w:rsidR="00AD183C" w:rsidRPr="009B0D39" w:rsidRDefault="00AD183C" w:rsidP="00AD183C">
      <w:pPr>
        <w:pStyle w:val="a4"/>
        <w:spacing w:before="240" w:after="120" w:line="360" w:lineRule="auto"/>
        <w:jc w:val="both"/>
        <w:rPr>
          <w:rFonts w:ascii="David" w:hAnsi="David" w:cs="David"/>
          <w:sz w:val="24"/>
          <w:szCs w:val="24"/>
        </w:rPr>
      </w:pPr>
    </w:p>
    <w:p w:rsidR="007F4B21" w:rsidRPr="00E44C3B" w:rsidRDefault="007F4B21" w:rsidP="007F4B21">
      <w:pPr>
        <w:pStyle w:val="a4"/>
        <w:spacing w:before="240" w:after="120" w:line="360" w:lineRule="auto"/>
        <w:jc w:val="both"/>
        <w:rPr>
          <w:rFonts w:asciiTheme="minorBidi" w:hAnsiTheme="minorBidi"/>
          <w:sz w:val="24"/>
          <w:szCs w:val="24"/>
        </w:rPr>
      </w:pPr>
    </w:p>
    <w:p w:rsidR="007F4B21" w:rsidRPr="00CB7E9A" w:rsidRDefault="0070693B" w:rsidP="00506AA6">
      <w:pPr>
        <w:pStyle w:val="NormalWeb"/>
        <w:bidi/>
        <w:spacing w:before="0" w:beforeAutospacing="0" w:after="0" w:afterAutospacing="0" w:line="360" w:lineRule="auto"/>
        <w:ind w:left="720"/>
        <w:jc w:val="center"/>
        <w:rPr>
          <w:rFonts w:ascii="David" w:hAnsi="David" w:cs="David"/>
          <w:rtl/>
        </w:rPr>
      </w:pPr>
      <w:r>
        <w:rPr>
          <w:rFonts w:ascii="David" w:hAnsi="David" w:cs="Arial" w:hint="cs"/>
          <w:b/>
          <w:bCs/>
          <w:rtl/>
          <w:lang w:bidi="ar-SA"/>
        </w:rPr>
        <w:t>جدول</w:t>
      </w:r>
      <w:r w:rsidR="007F4B21" w:rsidRPr="00CB7E9A">
        <w:rPr>
          <w:rFonts w:ascii="David" w:hAnsi="David" w:cs="David"/>
          <w:b/>
          <w:bCs/>
          <w:rtl/>
        </w:rPr>
        <w:t xml:space="preserve"> 1: </w:t>
      </w:r>
      <w:r w:rsidR="00506AA6">
        <w:rPr>
          <w:rFonts w:ascii="David" w:hAnsi="David" w:cs="Arial" w:hint="cs"/>
          <w:b/>
          <w:bCs/>
          <w:rtl/>
          <w:lang w:bidi="ar-SA"/>
        </w:rPr>
        <w:t>توزيع دين قطاع الأعمال غير المالي</w:t>
      </w:r>
      <w:r w:rsidR="007F4B21" w:rsidRPr="00CB7E9A">
        <w:rPr>
          <w:rFonts w:ascii="David" w:hAnsi="David" w:cs="David"/>
          <w:b/>
          <w:bCs/>
          <w:rtl/>
        </w:rPr>
        <w:t xml:space="preserve"> </w:t>
      </w:r>
      <w:r w:rsidR="007F4B21" w:rsidRPr="00CB7E9A">
        <w:rPr>
          <w:rFonts w:ascii="David" w:hAnsi="David" w:cs="David"/>
          <w:sz w:val="22"/>
          <w:szCs w:val="22"/>
          <w:vertAlign w:val="superscript"/>
          <w:rtl/>
        </w:rPr>
        <w:t xml:space="preserve">1 </w:t>
      </w:r>
    </w:p>
    <w:p w:rsidR="007F4B21" w:rsidRPr="00E44C3B" w:rsidRDefault="00635DCA" w:rsidP="00635DCA">
      <w:pPr>
        <w:pStyle w:val="NormalWeb"/>
        <w:bidi/>
        <w:spacing w:before="0" w:beforeAutospacing="0" w:after="0" w:afterAutospacing="0" w:line="360" w:lineRule="auto"/>
        <w:jc w:val="center"/>
        <w:rPr>
          <w:rFonts w:asciiTheme="minorBidi" w:hAnsiTheme="minorBidi" w:cstheme="minorBidi"/>
          <w:b/>
          <w:bCs/>
          <w:rtl/>
        </w:rPr>
      </w:pPr>
      <w:r w:rsidRPr="00635DCA">
        <w:rPr>
          <w:rFonts w:asciiTheme="minorBidi" w:hAnsiTheme="minorBidi" w:cstheme="minorBidi"/>
          <w:b/>
          <w:bCs/>
          <w:noProof/>
        </w:rPr>
        <w:drawing>
          <wp:inline distT="0" distB="0" distL="0" distR="0" wp14:anchorId="7AE82CD4" wp14:editId="380CC0D8">
            <wp:extent cx="6188710" cy="3143250"/>
            <wp:effectExtent l="0" t="0" r="2540" b="0"/>
            <wp:docPr id="17"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3"/>
                    <pic:cNvPicPr>
                      <a:picLocks noChangeAspect="1"/>
                    </pic:cNvPicPr>
                  </pic:nvPicPr>
                  <pic:blipFill rotWithShape="1">
                    <a:blip r:embed="rId9"/>
                    <a:srcRect l="26909" t="15113" r="2848" b="21456"/>
                    <a:stretch/>
                  </pic:blipFill>
                  <pic:spPr>
                    <a:xfrm>
                      <a:off x="0" y="0"/>
                      <a:ext cx="6188710" cy="3143250"/>
                    </a:xfrm>
                    <a:prstGeom prst="rect">
                      <a:avLst/>
                    </a:prstGeom>
                  </pic:spPr>
                </pic:pic>
              </a:graphicData>
            </a:graphic>
          </wp:inline>
        </w:drawing>
      </w:r>
    </w:p>
    <w:p w:rsidR="007F4B21" w:rsidRDefault="007F4B21" w:rsidP="007F4B21">
      <w:pPr>
        <w:pStyle w:val="NormalWeb"/>
        <w:bidi/>
        <w:spacing w:before="0" w:beforeAutospacing="0" w:after="0" w:afterAutospacing="0" w:line="360" w:lineRule="auto"/>
        <w:jc w:val="center"/>
        <w:rPr>
          <w:rFonts w:asciiTheme="minorBidi" w:hAnsiTheme="minorBidi" w:cstheme="minorBidi"/>
          <w:b/>
          <w:bCs/>
          <w:rtl/>
        </w:rPr>
      </w:pPr>
    </w:p>
    <w:p w:rsidR="007F4B21" w:rsidRDefault="007F4B21" w:rsidP="007F4B21">
      <w:pPr>
        <w:rPr>
          <w:rFonts w:asciiTheme="minorBidi" w:hAnsiTheme="minorBidi"/>
          <w:b/>
          <w:bCs/>
          <w:sz w:val="24"/>
          <w:szCs w:val="24"/>
          <w:rtl/>
        </w:rPr>
      </w:pPr>
      <w:r>
        <w:rPr>
          <w:rFonts w:asciiTheme="minorBidi" w:hAnsiTheme="minorBidi"/>
          <w:b/>
          <w:bCs/>
          <w:rtl/>
        </w:rPr>
        <w:br w:type="page"/>
      </w:r>
    </w:p>
    <w:p w:rsidR="007F4B21" w:rsidRPr="00CB7E9A" w:rsidRDefault="0070693B" w:rsidP="0070693B">
      <w:pPr>
        <w:pStyle w:val="NormalWeb"/>
        <w:bidi/>
        <w:spacing w:before="0" w:beforeAutospacing="0" w:after="0" w:afterAutospacing="0" w:line="360" w:lineRule="auto"/>
        <w:jc w:val="center"/>
        <w:rPr>
          <w:rFonts w:ascii="David" w:hAnsi="David" w:cs="David"/>
        </w:rPr>
      </w:pPr>
      <w:r>
        <w:rPr>
          <w:rFonts w:ascii="David" w:hAnsi="David" w:cs="Arial" w:hint="cs"/>
          <w:b/>
          <w:bCs/>
          <w:rtl/>
          <w:lang w:bidi="ar-SA"/>
        </w:rPr>
        <w:lastRenderedPageBreak/>
        <w:t>رسم بياني</w:t>
      </w:r>
      <w:r w:rsidR="007F4B21" w:rsidRPr="00CB7E9A">
        <w:rPr>
          <w:rFonts w:ascii="David" w:hAnsi="David" w:cs="David"/>
          <w:b/>
          <w:bCs/>
          <w:rtl/>
        </w:rPr>
        <w:t xml:space="preserve"> 1: </w:t>
      </w:r>
      <w:r>
        <w:rPr>
          <w:rFonts w:asciiTheme="minorBidi" w:hAnsiTheme="minorBidi" w:cstheme="minorBidi" w:hint="cs"/>
          <w:b/>
          <w:bCs/>
          <w:rtl/>
          <w:lang w:bidi="ar-SA"/>
        </w:rPr>
        <w:t>مؤشّر تحركّات مجمل دين قطاع الأعمال غير المالي</w:t>
      </w:r>
    </w:p>
    <w:p w:rsidR="007F4B21" w:rsidRPr="00E44C3B" w:rsidRDefault="00B843A2" w:rsidP="007F4B21">
      <w:pPr>
        <w:pStyle w:val="a4"/>
        <w:spacing w:line="360" w:lineRule="auto"/>
        <w:ind w:left="0"/>
        <w:jc w:val="center"/>
        <w:rPr>
          <w:rFonts w:asciiTheme="minorBidi" w:hAnsiTheme="minorBidi"/>
          <w:b/>
          <w:bCs/>
          <w:sz w:val="24"/>
          <w:szCs w:val="24"/>
        </w:rPr>
      </w:pPr>
      <w:r>
        <w:rPr>
          <w:noProof/>
        </w:rPr>
        <w:drawing>
          <wp:inline distT="0" distB="0" distL="0" distR="0" wp14:anchorId="7667949A" wp14:editId="2F216B84">
            <wp:extent cx="5403501" cy="2947782"/>
            <wp:effectExtent l="0" t="0" r="6985" b="5080"/>
            <wp:docPr id="4" name="תרשים 4" descr="תרשים" title="אומדן השינוי הכמותי הרבעוני נטו בחוב של המגזר העסקי "/>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F4B21" w:rsidRPr="00CB7E9A" w:rsidRDefault="007F4B21" w:rsidP="007F4B21">
      <w:pPr>
        <w:pStyle w:val="a4"/>
        <w:spacing w:line="360" w:lineRule="auto"/>
        <w:ind w:left="0"/>
        <w:jc w:val="center"/>
        <w:rPr>
          <w:rFonts w:ascii="David" w:hAnsi="David" w:cs="David"/>
          <w:b/>
          <w:bCs/>
          <w:sz w:val="24"/>
          <w:szCs w:val="24"/>
          <w:rtl/>
        </w:rPr>
      </w:pPr>
      <w:r w:rsidRPr="00E44C3B">
        <w:rPr>
          <w:rFonts w:asciiTheme="minorBidi" w:hAnsiTheme="minorBidi"/>
          <w:b/>
          <w:bCs/>
          <w:sz w:val="24"/>
          <w:szCs w:val="24"/>
          <w:rtl/>
        </w:rPr>
        <w:t xml:space="preserve"> </w:t>
      </w:r>
    </w:p>
    <w:p w:rsidR="0070693B" w:rsidRPr="00B843A2" w:rsidRDefault="0070693B" w:rsidP="0070693B">
      <w:pPr>
        <w:spacing w:line="360" w:lineRule="auto"/>
        <w:jc w:val="center"/>
        <w:rPr>
          <w:rFonts w:asciiTheme="minorBidi" w:hAnsiTheme="minorBidi"/>
          <w:b/>
          <w:bCs/>
          <w:rtl/>
        </w:rPr>
      </w:pPr>
      <w:r w:rsidRPr="00B843A2">
        <w:rPr>
          <w:rFonts w:asciiTheme="minorBidi" w:hAnsiTheme="minorBidi" w:hint="cs"/>
          <w:b/>
          <w:bCs/>
          <w:rtl/>
          <w:lang w:bidi="ar-SA"/>
        </w:rPr>
        <w:t>الرسم البياني</w:t>
      </w:r>
      <w:r w:rsidRPr="00B843A2">
        <w:rPr>
          <w:rFonts w:asciiTheme="minorBidi" w:hAnsiTheme="minorBidi"/>
          <w:b/>
          <w:bCs/>
          <w:rtl/>
        </w:rPr>
        <w:t xml:space="preserve"> 2: </w:t>
      </w:r>
      <w:r w:rsidRPr="00B843A2">
        <w:rPr>
          <w:rFonts w:asciiTheme="minorBidi" w:hAnsiTheme="minorBidi" w:hint="cs"/>
          <w:b/>
          <w:bCs/>
          <w:rtl/>
          <w:lang w:bidi="ar-SA"/>
        </w:rPr>
        <w:t>معدّل التغيير مقارنةً بالربع الموازي من العام السابق في الدين المصرفي وغير المصرفي لقطاع الأعمال غير المالي</w:t>
      </w:r>
      <w:r w:rsidRPr="00B843A2">
        <w:rPr>
          <w:rFonts w:asciiTheme="minorBidi" w:hAnsiTheme="minorBidi"/>
          <w:b/>
          <w:bCs/>
          <w:rtl/>
        </w:rPr>
        <w:t xml:space="preserve"> </w:t>
      </w:r>
    </w:p>
    <w:p w:rsidR="007F4B21" w:rsidRPr="00E44C3B" w:rsidRDefault="00BC7F39" w:rsidP="007F4B21">
      <w:pPr>
        <w:spacing w:line="360" w:lineRule="auto"/>
        <w:jc w:val="center"/>
        <w:rPr>
          <w:rFonts w:asciiTheme="minorBidi" w:hAnsiTheme="minorBidi"/>
          <w:b/>
          <w:bCs/>
          <w:sz w:val="24"/>
          <w:szCs w:val="24"/>
          <w:rtl/>
          <w:lang w:bidi="ar-SA"/>
        </w:rPr>
      </w:pPr>
      <w:r>
        <w:rPr>
          <w:noProof/>
        </w:rPr>
        <w:drawing>
          <wp:inline distT="0" distB="0" distL="0" distR="0" wp14:anchorId="15FC6F35" wp14:editId="6321B744">
            <wp:extent cx="6188710" cy="3371850"/>
            <wp:effectExtent l="0" t="0" r="2540" b="0"/>
            <wp:docPr id="1" name="תרשים 1" descr="שיעורי השינוי לעומת הרביע המקביל בשנה הקודמת בחוב הבנקאי והחוץ-בנקאי של הסקטור העסקי " title="שיעורי השינוי לעומת הרביע המקביל בשנה הקודמת בחוב הבנקאי והחוץ-בנקאי של הסקטור העסקי "/>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F4B21" w:rsidRDefault="007F4B21" w:rsidP="007F4B21">
      <w:pPr>
        <w:rPr>
          <w:rFonts w:asciiTheme="minorBidi" w:hAnsiTheme="minorBidi"/>
          <w:b/>
          <w:bCs/>
          <w:sz w:val="24"/>
          <w:szCs w:val="24"/>
          <w:rtl/>
        </w:rPr>
      </w:pPr>
      <w:r>
        <w:rPr>
          <w:rFonts w:asciiTheme="minorBidi" w:hAnsiTheme="minorBidi"/>
          <w:b/>
          <w:bCs/>
          <w:sz w:val="24"/>
          <w:szCs w:val="24"/>
          <w:rtl/>
        </w:rPr>
        <w:br w:type="page"/>
      </w:r>
    </w:p>
    <w:p w:rsidR="0070693B" w:rsidRPr="00E44C3B" w:rsidRDefault="0070693B" w:rsidP="0070693B">
      <w:pPr>
        <w:spacing w:line="360" w:lineRule="auto"/>
        <w:jc w:val="center"/>
        <w:rPr>
          <w:rFonts w:asciiTheme="minorBidi" w:hAnsiTheme="minorBidi"/>
          <w:b/>
          <w:bCs/>
          <w:sz w:val="24"/>
          <w:szCs w:val="24"/>
        </w:rPr>
      </w:pPr>
      <w:r>
        <w:rPr>
          <w:rFonts w:asciiTheme="minorBidi" w:hAnsiTheme="minorBidi" w:hint="cs"/>
          <w:b/>
          <w:bCs/>
          <w:sz w:val="24"/>
          <w:szCs w:val="24"/>
          <w:rtl/>
          <w:lang w:bidi="ar-SA"/>
        </w:rPr>
        <w:lastRenderedPageBreak/>
        <w:t>الرسم البياني</w:t>
      </w:r>
      <w:r w:rsidRPr="00E44C3B">
        <w:rPr>
          <w:rFonts w:asciiTheme="minorBidi" w:hAnsiTheme="minorBidi"/>
          <w:b/>
          <w:bCs/>
          <w:sz w:val="24"/>
          <w:szCs w:val="24"/>
          <w:rtl/>
        </w:rPr>
        <w:t xml:space="preserve"> </w:t>
      </w:r>
      <w:r w:rsidRPr="00E44C3B">
        <w:rPr>
          <w:rFonts w:asciiTheme="minorBidi" w:hAnsiTheme="minorBidi"/>
          <w:b/>
          <w:bCs/>
          <w:sz w:val="24"/>
          <w:szCs w:val="24"/>
        </w:rPr>
        <w:t>3</w:t>
      </w:r>
      <w:r w:rsidRPr="00E44C3B">
        <w:rPr>
          <w:rFonts w:asciiTheme="minorBidi" w:hAnsiTheme="minorBidi"/>
          <w:b/>
          <w:bCs/>
          <w:sz w:val="24"/>
          <w:szCs w:val="24"/>
          <w:rtl/>
        </w:rPr>
        <w:t xml:space="preserve">: </w:t>
      </w:r>
      <w:r>
        <w:rPr>
          <w:rFonts w:asciiTheme="minorBidi" w:hAnsiTheme="minorBidi" w:hint="cs"/>
          <w:b/>
          <w:bCs/>
          <w:sz w:val="24"/>
          <w:szCs w:val="24"/>
          <w:rtl/>
          <w:lang w:bidi="ar-SA"/>
        </w:rPr>
        <w:t>إصدارات السندات للقطاع التجاري غير المالي خلال الربع، بحسب الفروع</w:t>
      </w:r>
      <w:r w:rsidRPr="00E44C3B">
        <w:rPr>
          <w:rFonts w:asciiTheme="minorBidi" w:hAnsiTheme="minorBidi"/>
          <w:b/>
          <w:bCs/>
          <w:sz w:val="24"/>
          <w:szCs w:val="24"/>
          <w:rtl/>
        </w:rPr>
        <w:t xml:space="preserve"> </w:t>
      </w:r>
    </w:p>
    <w:p w:rsidR="007F4B21" w:rsidRPr="00E44C3B" w:rsidRDefault="00764A38" w:rsidP="007F4B21">
      <w:pPr>
        <w:pStyle w:val="a4"/>
        <w:spacing w:line="360" w:lineRule="auto"/>
        <w:ind w:left="0"/>
        <w:jc w:val="center"/>
        <w:rPr>
          <w:rFonts w:asciiTheme="minorBidi" w:hAnsiTheme="minorBidi"/>
          <w:b/>
          <w:bCs/>
          <w:sz w:val="24"/>
          <w:szCs w:val="24"/>
        </w:rPr>
      </w:pPr>
      <w:r>
        <w:rPr>
          <w:noProof/>
        </w:rPr>
        <w:drawing>
          <wp:inline distT="0" distB="0" distL="0" distR="0" wp14:anchorId="15032B35" wp14:editId="6CCEF384">
            <wp:extent cx="5100565" cy="3150137"/>
            <wp:effectExtent l="0" t="0" r="5080" b="12700"/>
            <wp:docPr id="14" name="תרשים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F4B21" w:rsidRPr="00CB7E9A" w:rsidRDefault="007F4B21" w:rsidP="007F4B21">
      <w:pPr>
        <w:rPr>
          <w:rFonts w:ascii="David" w:hAnsi="David" w:cs="David"/>
          <w:b/>
          <w:bCs/>
          <w:sz w:val="24"/>
          <w:szCs w:val="24"/>
          <w:rtl/>
        </w:rPr>
      </w:pPr>
    </w:p>
    <w:p w:rsidR="0070693B" w:rsidRPr="00E44C3B" w:rsidRDefault="0070693B" w:rsidP="0070693B">
      <w:pPr>
        <w:pStyle w:val="a4"/>
        <w:spacing w:line="360" w:lineRule="auto"/>
        <w:ind w:left="360" w:right="-101"/>
        <w:jc w:val="center"/>
        <w:rPr>
          <w:rFonts w:asciiTheme="minorBidi" w:hAnsiTheme="minorBidi"/>
          <w:b/>
          <w:bCs/>
          <w:sz w:val="24"/>
          <w:szCs w:val="24"/>
          <w:rtl/>
        </w:rPr>
      </w:pPr>
      <w:r>
        <w:rPr>
          <w:rFonts w:asciiTheme="minorBidi" w:hAnsiTheme="minorBidi" w:hint="cs"/>
          <w:b/>
          <w:bCs/>
          <w:sz w:val="24"/>
          <w:szCs w:val="24"/>
          <w:rtl/>
          <w:lang w:bidi="ar-SA"/>
        </w:rPr>
        <w:t>الرسم البياني</w:t>
      </w:r>
      <w:r w:rsidRPr="00E44C3B">
        <w:rPr>
          <w:rFonts w:asciiTheme="minorBidi" w:hAnsiTheme="minorBidi"/>
          <w:b/>
          <w:bCs/>
          <w:sz w:val="24"/>
          <w:szCs w:val="24"/>
          <w:rtl/>
        </w:rPr>
        <w:t xml:space="preserve"> </w:t>
      </w:r>
      <w:r w:rsidRPr="00E44C3B">
        <w:rPr>
          <w:rFonts w:asciiTheme="minorBidi" w:hAnsiTheme="minorBidi"/>
          <w:b/>
          <w:bCs/>
          <w:sz w:val="24"/>
          <w:szCs w:val="24"/>
        </w:rPr>
        <w:t>4</w:t>
      </w:r>
      <w:r w:rsidRPr="00E44C3B">
        <w:rPr>
          <w:rFonts w:asciiTheme="minorBidi" w:hAnsiTheme="minorBidi"/>
          <w:b/>
          <w:bCs/>
          <w:sz w:val="24"/>
          <w:szCs w:val="24"/>
          <w:rtl/>
        </w:rPr>
        <w:t xml:space="preserve">: </w:t>
      </w:r>
      <w:r>
        <w:rPr>
          <w:rFonts w:asciiTheme="minorBidi" w:hAnsiTheme="minorBidi" w:hint="cs"/>
          <w:b/>
          <w:bCs/>
          <w:sz w:val="24"/>
          <w:szCs w:val="24"/>
          <w:rtl/>
          <w:lang w:bidi="ar-SA"/>
        </w:rPr>
        <w:t>الهامش بين سندات الشركات المرتبطة (تل بوند 60) والسندات الحكوميّة المرتبطة</w:t>
      </w:r>
      <w:r w:rsidRPr="00E44C3B">
        <w:rPr>
          <w:rFonts w:asciiTheme="minorBidi" w:hAnsiTheme="minorBidi"/>
          <w:b/>
          <w:bCs/>
          <w:sz w:val="24"/>
          <w:szCs w:val="24"/>
          <w:rtl/>
        </w:rPr>
        <w:t xml:space="preserve"> </w:t>
      </w:r>
      <w:r w:rsidRPr="00E44C3B">
        <w:rPr>
          <w:rFonts w:asciiTheme="minorBidi" w:hAnsiTheme="minorBidi"/>
          <w:b/>
          <w:bCs/>
          <w:sz w:val="24"/>
          <w:szCs w:val="24"/>
          <w:rtl/>
        </w:rPr>
        <w:br/>
        <w:t>(</w:t>
      </w:r>
      <w:r>
        <w:rPr>
          <w:rFonts w:asciiTheme="minorBidi" w:hAnsiTheme="minorBidi" w:hint="cs"/>
          <w:b/>
          <w:bCs/>
          <w:sz w:val="24"/>
          <w:szCs w:val="24"/>
          <w:rtl/>
          <w:lang w:bidi="ar-SA"/>
        </w:rPr>
        <w:t>معدّل شهري</w:t>
      </w:r>
      <w:r w:rsidRPr="00E44C3B">
        <w:rPr>
          <w:rFonts w:asciiTheme="minorBidi" w:hAnsiTheme="minorBidi"/>
          <w:b/>
          <w:bCs/>
          <w:sz w:val="24"/>
          <w:szCs w:val="24"/>
          <w:rtl/>
        </w:rPr>
        <w:t>)</w:t>
      </w:r>
    </w:p>
    <w:p w:rsidR="007F4B21" w:rsidRPr="00E44C3B" w:rsidRDefault="007F4B21" w:rsidP="007F4B21">
      <w:pPr>
        <w:pStyle w:val="a4"/>
        <w:spacing w:line="360" w:lineRule="auto"/>
        <w:ind w:left="-52" w:right="-101"/>
        <w:jc w:val="center"/>
        <w:rPr>
          <w:rFonts w:asciiTheme="minorBidi" w:hAnsiTheme="minorBidi"/>
          <w:b/>
          <w:bCs/>
          <w:sz w:val="24"/>
          <w:szCs w:val="24"/>
          <w:rtl/>
        </w:rPr>
      </w:pPr>
      <w:r>
        <w:rPr>
          <w:rFonts w:asciiTheme="minorBidi" w:hAnsiTheme="minorBidi"/>
          <w:b/>
          <w:bCs/>
          <w:noProof/>
          <w:sz w:val="24"/>
          <w:szCs w:val="24"/>
        </w:rPr>
        <w:drawing>
          <wp:inline distT="0" distB="0" distL="0" distR="0" wp14:anchorId="36410C37" wp14:editId="787E77F0">
            <wp:extent cx="5295900" cy="2720340"/>
            <wp:effectExtent l="0" t="0" r="0" b="3810"/>
            <wp:docPr id="13" name="Picture 13" descr="איור 4: המרווח בין אג&quot;ח חברות צמודות (תל בונד 60) לאג&quot;ח ממשלתיות צמודות &#10;(ממוצע חודשי)&#10;" title="איור 4: המרווח בין אג&quot;ח חברות צמודות (תל בונד 60) לאג&quot;ח ממשלתיות צמודו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5900" cy="2720340"/>
                    </a:xfrm>
                    <a:prstGeom prst="rect">
                      <a:avLst/>
                    </a:prstGeom>
                    <a:noFill/>
                  </pic:spPr>
                </pic:pic>
              </a:graphicData>
            </a:graphic>
          </wp:inline>
        </w:drawing>
      </w:r>
    </w:p>
    <w:p w:rsidR="007F4B21" w:rsidRPr="00E44C3B" w:rsidRDefault="007F4B21" w:rsidP="007F4B21">
      <w:pPr>
        <w:pStyle w:val="a4"/>
        <w:spacing w:line="360" w:lineRule="auto"/>
        <w:ind w:left="360" w:right="-101"/>
        <w:jc w:val="center"/>
        <w:rPr>
          <w:rFonts w:asciiTheme="minorBidi" w:hAnsiTheme="minorBidi"/>
          <w:sz w:val="24"/>
          <w:szCs w:val="24"/>
          <w:u w:val="single"/>
          <w:rtl/>
        </w:rPr>
      </w:pPr>
    </w:p>
    <w:p w:rsidR="0070693B" w:rsidRPr="002B70CA" w:rsidRDefault="0070693B" w:rsidP="0070693B">
      <w:pPr>
        <w:spacing w:after="0" w:line="360" w:lineRule="auto"/>
        <w:jc w:val="both"/>
        <w:rPr>
          <w:rStyle w:val="11"/>
          <w:rFonts w:ascii="David" w:hAnsi="David" w:cs="David"/>
          <w:rtl/>
        </w:rPr>
      </w:pPr>
      <w:r w:rsidRPr="002B70CA">
        <w:rPr>
          <w:rStyle w:val="11"/>
          <w:rFonts w:ascii="David" w:hAnsi="David" w:cs="Arial" w:hint="cs"/>
          <w:rtl/>
          <w:lang w:bidi="ar-SA"/>
        </w:rPr>
        <w:t>دين الاسر</w:t>
      </w:r>
    </w:p>
    <w:p w:rsidR="0070693B" w:rsidRPr="002B70CA" w:rsidRDefault="0070693B" w:rsidP="002B70CA">
      <w:pPr>
        <w:spacing w:before="240" w:after="120" w:line="360" w:lineRule="auto"/>
        <w:rPr>
          <w:rFonts w:ascii="David" w:hAnsi="David" w:cs="David"/>
          <w:sz w:val="24"/>
          <w:szCs w:val="24"/>
          <w:rtl/>
        </w:rPr>
      </w:pPr>
      <w:r w:rsidRPr="002B70CA">
        <w:rPr>
          <w:rFonts w:ascii="David" w:hAnsi="David" w:cs="Times New Roman"/>
          <w:sz w:val="24"/>
          <w:szCs w:val="24"/>
          <w:rtl/>
          <w:lang w:bidi="ar-SA"/>
        </w:rPr>
        <w:t>في الربع الثا</w:t>
      </w:r>
      <w:r w:rsidRPr="002B70CA">
        <w:rPr>
          <w:rFonts w:ascii="David" w:hAnsi="David" w:cs="Times New Roman" w:hint="cs"/>
          <w:sz w:val="24"/>
          <w:szCs w:val="24"/>
          <w:rtl/>
          <w:lang w:bidi="ar-SA"/>
        </w:rPr>
        <w:t>لث</w:t>
      </w:r>
      <w:r w:rsidRPr="002B70CA">
        <w:rPr>
          <w:rFonts w:ascii="David" w:hAnsi="David" w:cs="Times New Roman"/>
          <w:sz w:val="24"/>
          <w:szCs w:val="24"/>
          <w:rtl/>
          <w:lang w:bidi="ar-SA"/>
        </w:rPr>
        <w:t xml:space="preserve"> من عام 2022، </w:t>
      </w:r>
      <w:r w:rsidRPr="002B70CA">
        <w:rPr>
          <w:rFonts w:ascii="David" w:hAnsi="David" w:cs="Times New Roman" w:hint="cs"/>
          <w:sz w:val="24"/>
          <w:szCs w:val="24"/>
          <w:rtl/>
          <w:lang w:bidi="ar-SA"/>
        </w:rPr>
        <w:t>تواصل</w:t>
      </w:r>
      <w:r w:rsidRPr="002B70CA">
        <w:rPr>
          <w:rFonts w:ascii="David" w:hAnsi="David" w:cs="Times New Roman"/>
          <w:sz w:val="24"/>
          <w:szCs w:val="24"/>
          <w:rtl/>
          <w:lang w:bidi="ar-SA"/>
        </w:rPr>
        <w:t xml:space="preserve"> ال</w:t>
      </w:r>
      <w:r w:rsidRPr="002B70CA">
        <w:rPr>
          <w:rFonts w:ascii="David" w:hAnsi="David" w:cs="Times New Roman" w:hint="cs"/>
          <w:sz w:val="24"/>
          <w:szCs w:val="24"/>
          <w:rtl/>
          <w:lang w:bidi="ar-SA"/>
        </w:rPr>
        <w:t>ارتفاع</w:t>
      </w:r>
      <w:r w:rsidRPr="002B70CA">
        <w:rPr>
          <w:rFonts w:ascii="David" w:hAnsi="David" w:cs="Times New Roman"/>
          <w:sz w:val="24"/>
          <w:szCs w:val="24"/>
          <w:rtl/>
          <w:lang w:bidi="ar-SA"/>
        </w:rPr>
        <w:t xml:space="preserve"> في رصيد دين الأسر، </w:t>
      </w:r>
      <w:r w:rsidRPr="002B70CA">
        <w:rPr>
          <w:rFonts w:ascii="David" w:hAnsi="David" w:cs="Times New Roman" w:hint="cs"/>
          <w:sz w:val="24"/>
          <w:szCs w:val="24"/>
          <w:rtl/>
          <w:lang w:bidi="ar-SA"/>
        </w:rPr>
        <w:t>سواء الدين الاسكاني أو غير الاسكاني</w:t>
      </w:r>
      <w:r w:rsidRPr="002B70CA">
        <w:rPr>
          <w:rFonts w:ascii="David" w:hAnsi="David" w:cs="Times New Roman"/>
          <w:sz w:val="24"/>
          <w:szCs w:val="24"/>
          <w:rtl/>
          <w:lang w:bidi="ar-SA"/>
        </w:rPr>
        <w:t xml:space="preserve">، إلى مستوى حوالي </w:t>
      </w:r>
      <w:r w:rsidRPr="002B70CA">
        <w:rPr>
          <w:rFonts w:ascii="David" w:hAnsi="David" w:cs="Times New Roman" w:hint="cs"/>
          <w:sz w:val="24"/>
          <w:szCs w:val="24"/>
          <w:rtl/>
          <w:lang w:bidi="ar-SA"/>
        </w:rPr>
        <w:t xml:space="preserve">766 </w:t>
      </w:r>
      <w:r w:rsidRPr="002B70CA">
        <w:rPr>
          <w:rFonts w:ascii="David" w:hAnsi="David" w:cs="Times New Roman"/>
          <w:sz w:val="24"/>
          <w:szCs w:val="24"/>
          <w:rtl/>
          <w:lang w:bidi="ar-SA"/>
        </w:rPr>
        <w:t>مليار</w:t>
      </w:r>
      <w:r w:rsidRPr="002B70CA">
        <w:rPr>
          <w:rFonts w:ascii="David" w:hAnsi="David" w:cs="Times New Roman" w:hint="cs"/>
          <w:sz w:val="24"/>
          <w:szCs w:val="24"/>
          <w:rtl/>
          <w:lang w:bidi="ar-SA"/>
        </w:rPr>
        <w:t xml:space="preserve"> شيكل، وهو ارتفاع بنحو 19 </w:t>
      </w:r>
      <w:r w:rsidRPr="002B70CA">
        <w:rPr>
          <w:rFonts w:ascii="David" w:hAnsi="David" w:cs="Times New Roman"/>
          <w:sz w:val="24"/>
          <w:szCs w:val="24"/>
          <w:rtl/>
          <w:lang w:bidi="ar-SA"/>
        </w:rPr>
        <w:t>مليار</w:t>
      </w:r>
      <w:r w:rsidRPr="002B70CA">
        <w:rPr>
          <w:rFonts w:ascii="David" w:hAnsi="David" w:cs="Times New Roman" w:hint="cs"/>
          <w:sz w:val="24"/>
          <w:szCs w:val="24"/>
          <w:rtl/>
          <w:lang w:bidi="ar-SA"/>
        </w:rPr>
        <w:t>،</w:t>
      </w:r>
      <w:r w:rsidRPr="0070693B">
        <w:rPr>
          <w:rtl/>
          <w:lang w:bidi="ar-SA"/>
        </w:rPr>
        <w:t xml:space="preserve"> </w:t>
      </w:r>
      <w:r>
        <w:rPr>
          <w:rFonts w:hint="cs"/>
          <w:rtl/>
          <w:lang w:bidi="ar-SA"/>
        </w:rPr>
        <w:t xml:space="preserve">مع ذلك، </w:t>
      </w:r>
      <w:r w:rsidRPr="002B70CA">
        <w:rPr>
          <w:rFonts w:ascii="David" w:hAnsi="David" w:cs="Times New Roman"/>
          <w:sz w:val="24"/>
          <w:szCs w:val="24"/>
          <w:rtl/>
          <w:lang w:bidi="ar-SA"/>
        </w:rPr>
        <w:t xml:space="preserve">كان هناك تباطؤ في معدل نمو هذا الرصيد خلال هذا الربع بنحو 2.5٪ مقابل </w:t>
      </w:r>
      <w:r w:rsidRPr="002B70CA">
        <w:rPr>
          <w:rFonts w:ascii="David" w:hAnsi="David" w:cs="Times New Roman"/>
          <w:sz w:val="24"/>
          <w:szCs w:val="24"/>
          <w:rtl/>
          <w:lang w:bidi="ar-SA"/>
        </w:rPr>
        <w:lastRenderedPageBreak/>
        <w:t>3.6٪ في الربع السابق.</w:t>
      </w:r>
      <w:r w:rsidR="00E033B1" w:rsidRPr="002B70CA">
        <w:rPr>
          <w:rFonts w:ascii="David" w:hAnsi="David" w:cs="David" w:hint="cs"/>
          <w:sz w:val="24"/>
          <w:szCs w:val="24"/>
          <w:rtl/>
        </w:rPr>
        <w:t xml:space="preserve"> </w:t>
      </w:r>
      <w:r w:rsidR="00E033B1" w:rsidRPr="002B70CA">
        <w:rPr>
          <w:rFonts w:ascii="David" w:hAnsi="David" w:hint="cs"/>
          <w:sz w:val="24"/>
          <w:szCs w:val="24"/>
          <w:rtl/>
          <w:lang w:bidi="ar-SA"/>
        </w:rPr>
        <w:t>و</w:t>
      </w:r>
      <w:r w:rsidR="00E033B1" w:rsidRPr="002B70CA">
        <w:rPr>
          <w:rFonts w:ascii="David" w:hAnsi="David" w:cs="Times New Roman" w:hint="cs"/>
          <w:sz w:val="24"/>
          <w:szCs w:val="24"/>
          <w:rtl/>
          <w:lang w:bidi="ar-SA"/>
        </w:rPr>
        <w:t xml:space="preserve">استمرّت </w:t>
      </w:r>
      <w:r w:rsidR="00E033B1" w:rsidRPr="002B70CA">
        <w:rPr>
          <w:rFonts w:ascii="David" w:hAnsi="David" w:cs="Times New Roman"/>
          <w:sz w:val="24"/>
          <w:szCs w:val="24"/>
          <w:rtl/>
          <w:lang w:bidi="ar-SA"/>
        </w:rPr>
        <w:t>الزيادة في رصيد الدين ال</w:t>
      </w:r>
      <w:r w:rsidR="00E033B1" w:rsidRPr="002B70CA">
        <w:rPr>
          <w:rFonts w:ascii="David" w:hAnsi="David" w:cs="Times New Roman" w:hint="cs"/>
          <w:sz w:val="24"/>
          <w:szCs w:val="24"/>
          <w:rtl/>
          <w:lang w:bidi="ar-SA"/>
        </w:rPr>
        <w:t>اسكاني</w:t>
      </w:r>
      <w:r w:rsidR="00E033B1" w:rsidRPr="002B70CA">
        <w:rPr>
          <w:rFonts w:ascii="David" w:hAnsi="David" w:cs="Times New Roman"/>
          <w:sz w:val="24"/>
          <w:szCs w:val="24"/>
          <w:rtl/>
          <w:lang w:bidi="ar-SA"/>
        </w:rPr>
        <w:t xml:space="preserve"> (حوالي </w:t>
      </w:r>
      <w:r w:rsidR="00E033B1" w:rsidRPr="002B70CA">
        <w:rPr>
          <w:rFonts w:ascii="David" w:hAnsi="David" w:cs="Times New Roman" w:hint="cs"/>
          <w:sz w:val="24"/>
          <w:szCs w:val="24"/>
          <w:rtl/>
          <w:lang w:bidi="ar-SA"/>
        </w:rPr>
        <w:t>14</w:t>
      </w:r>
      <w:r w:rsidR="00E033B1" w:rsidRPr="002B70CA">
        <w:rPr>
          <w:rFonts w:ascii="David" w:hAnsi="David" w:cs="Times New Roman"/>
          <w:sz w:val="24"/>
          <w:szCs w:val="24"/>
          <w:rtl/>
          <w:lang w:bidi="ar-SA"/>
        </w:rPr>
        <w:t xml:space="preserve"> مليار شيكل، </w:t>
      </w:r>
      <w:r w:rsidR="00E033B1" w:rsidRPr="002B70CA">
        <w:rPr>
          <w:rFonts w:ascii="David" w:hAnsi="David" w:cs="Times New Roman" w:hint="cs"/>
          <w:sz w:val="24"/>
          <w:szCs w:val="24"/>
          <w:rtl/>
          <w:lang w:bidi="ar-SA"/>
        </w:rPr>
        <w:t>2.8%</w:t>
      </w:r>
      <w:r w:rsidR="00E033B1" w:rsidRPr="002B70CA">
        <w:rPr>
          <w:rFonts w:ascii="David" w:hAnsi="David" w:cs="Times New Roman"/>
          <w:sz w:val="24"/>
          <w:szCs w:val="24"/>
          <w:rtl/>
          <w:lang w:bidi="ar-SA"/>
        </w:rPr>
        <w:t>)؛</w:t>
      </w:r>
      <w:r w:rsidR="00E033B1" w:rsidRPr="002B70CA">
        <w:rPr>
          <w:rFonts w:ascii="David" w:hAnsi="David" w:cs="Times New Roman" w:hint="cs"/>
          <w:sz w:val="24"/>
          <w:szCs w:val="24"/>
          <w:rtl/>
          <w:lang w:bidi="ar-SA"/>
        </w:rPr>
        <w:t xml:space="preserve"> معظمه للبنوك،</w:t>
      </w:r>
      <w:r w:rsidR="00E033B1" w:rsidRPr="002B70CA">
        <w:rPr>
          <w:rFonts w:ascii="David" w:hAnsi="David" w:cs="Times New Roman"/>
          <w:sz w:val="24"/>
          <w:szCs w:val="24"/>
          <w:rtl/>
          <w:lang w:bidi="ar-SA"/>
        </w:rPr>
        <w:t xml:space="preserve"> كما استمر</w:t>
      </w:r>
      <w:r w:rsidR="00E033B1" w:rsidRPr="002B70CA">
        <w:rPr>
          <w:rFonts w:ascii="David" w:hAnsi="David" w:cs="Times New Roman" w:hint="cs"/>
          <w:sz w:val="24"/>
          <w:szCs w:val="24"/>
          <w:rtl/>
          <w:lang w:bidi="ar-SA"/>
        </w:rPr>
        <w:t>ت الزيادة في</w:t>
      </w:r>
      <w:r w:rsidR="00E033B1" w:rsidRPr="002B70CA">
        <w:rPr>
          <w:rFonts w:ascii="David" w:hAnsi="David" w:cs="Times New Roman"/>
          <w:sz w:val="24"/>
          <w:szCs w:val="24"/>
          <w:rtl/>
          <w:lang w:bidi="ar-SA"/>
        </w:rPr>
        <w:t xml:space="preserve"> رصيد الدين غير ال</w:t>
      </w:r>
      <w:r w:rsidR="00E033B1" w:rsidRPr="002B70CA">
        <w:rPr>
          <w:rFonts w:ascii="David" w:hAnsi="David" w:cs="Times New Roman" w:hint="cs"/>
          <w:sz w:val="24"/>
          <w:szCs w:val="24"/>
          <w:rtl/>
          <w:lang w:bidi="ar-SA"/>
        </w:rPr>
        <w:t>اسكاني</w:t>
      </w:r>
      <w:r w:rsidR="00E033B1" w:rsidRPr="002B70CA">
        <w:rPr>
          <w:rFonts w:ascii="David" w:hAnsi="David" w:cs="Times New Roman"/>
          <w:sz w:val="24"/>
          <w:szCs w:val="24"/>
          <w:rtl/>
          <w:lang w:bidi="ar-SA"/>
        </w:rPr>
        <w:t xml:space="preserve"> خلال هذا الربع</w:t>
      </w:r>
      <w:r w:rsidR="00E033B1" w:rsidRPr="002B70CA">
        <w:rPr>
          <w:rFonts w:ascii="David" w:hAnsi="David" w:cs="Times New Roman" w:hint="cs"/>
          <w:sz w:val="24"/>
          <w:szCs w:val="24"/>
          <w:rtl/>
          <w:lang w:bidi="ar-SA"/>
        </w:rPr>
        <w:t>، معظمه للبنوك وشركات بطاقات الائتمان،</w:t>
      </w:r>
      <w:r w:rsidR="00E033B1" w:rsidRPr="002B70CA">
        <w:rPr>
          <w:rFonts w:ascii="David" w:hAnsi="David" w:cs="Times New Roman"/>
          <w:sz w:val="24"/>
          <w:szCs w:val="24"/>
          <w:rtl/>
          <w:lang w:bidi="ar-SA"/>
        </w:rPr>
        <w:t xml:space="preserve"> بمعدل حوالي </w:t>
      </w:r>
      <w:r w:rsidR="00E033B1" w:rsidRPr="002B70CA">
        <w:rPr>
          <w:rFonts w:ascii="David" w:hAnsi="David" w:cs="Times New Roman" w:hint="cs"/>
          <w:sz w:val="24"/>
          <w:szCs w:val="24"/>
          <w:rtl/>
          <w:lang w:bidi="ar-SA"/>
        </w:rPr>
        <w:t xml:space="preserve">1.9% </w:t>
      </w:r>
      <w:r w:rsidR="00E033B1" w:rsidRPr="002B70CA">
        <w:rPr>
          <w:rFonts w:ascii="David" w:hAnsi="David" w:cs="Times New Roman"/>
          <w:sz w:val="24"/>
          <w:szCs w:val="24"/>
          <w:rtl/>
          <w:lang w:bidi="ar-SA"/>
        </w:rPr>
        <w:t xml:space="preserve">إلى مستوى حوالي </w:t>
      </w:r>
      <w:r w:rsidR="00E033B1" w:rsidRPr="002B70CA">
        <w:rPr>
          <w:rFonts w:ascii="David" w:hAnsi="David" w:cs="Times New Roman" w:hint="cs"/>
          <w:sz w:val="24"/>
          <w:szCs w:val="24"/>
          <w:rtl/>
          <w:lang w:bidi="ar-SA"/>
        </w:rPr>
        <w:t xml:space="preserve">232 </w:t>
      </w:r>
      <w:r w:rsidR="00E033B1" w:rsidRPr="002B70CA">
        <w:rPr>
          <w:rFonts w:ascii="David" w:hAnsi="David" w:cs="Times New Roman"/>
          <w:sz w:val="24"/>
          <w:szCs w:val="24"/>
          <w:rtl/>
          <w:lang w:bidi="ar-SA"/>
        </w:rPr>
        <w:t>مليار. (ال</w:t>
      </w:r>
      <w:r w:rsidR="00E033B1" w:rsidRPr="002B70CA">
        <w:rPr>
          <w:rFonts w:ascii="David" w:hAnsi="David" w:cs="Times New Roman" w:hint="cs"/>
          <w:sz w:val="24"/>
          <w:szCs w:val="24"/>
          <w:rtl/>
          <w:lang w:bidi="ar-SA"/>
        </w:rPr>
        <w:t>رسم البياني</w:t>
      </w:r>
      <w:r w:rsidR="00E033B1" w:rsidRPr="002B70CA">
        <w:rPr>
          <w:rFonts w:ascii="David" w:hAnsi="David" w:cs="Times New Roman"/>
          <w:sz w:val="24"/>
          <w:szCs w:val="24"/>
          <w:rtl/>
          <w:lang w:bidi="ar-SA"/>
        </w:rPr>
        <w:t xml:space="preserve"> 5).</w:t>
      </w:r>
    </w:p>
    <w:p w:rsidR="0070693B" w:rsidRPr="002B70CA" w:rsidRDefault="00E033B1" w:rsidP="002B70CA">
      <w:pPr>
        <w:spacing w:before="240" w:after="120" w:line="360" w:lineRule="auto"/>
        <w:rPr>
          <w:rFonts w:ascii="David" w:hAnsi="David" w:cs="David"/>
          <w:sz w:val="24"/>
          <w:szCs w:val="24"/>
        </w:rPr>
      </w:pPr>
      <w:r w:rsidRPr="002B70CA">
        <w:rPr>
          <w:rFonts w:ascii="David" w:hAnsi="David" w:cs="Times New Roman"/>
          <w:sz w:val="24"/>
          <w:szCs w:val="24"/>
          <w:rtl/>
          <w:lang w:bidi="ar-SA"/>
        </w:rPr>
        <w:t>في الربع الثا</w:t>
      </w:r>
      <w:r w:rsidRPr="002B70CA">
        <w:rPr>
          <w:rFonts w:ascii="David" w:hAnsi="David" w:cs="Times New Roman" w:hint="cs"/>
          <w:sz w:val="24"/>
          <w:szCs w:val="24"/>
          <w:rtl/>
          <w:lang w:bidi="ar-SA"/>
        </w:rPr>
        <w:t>لث</w:t>
      </w:r>
      <w:r w:rsidR="0070693B" w:rsidRPr="002B70CA">
        <w:rPr>
          <w:rFonts w:ascii="David" w:hAnsi="David" w:cs="Times New Roman"/>
          <w:sz w:val="24"/>
          <w:szCs w:val="24"/>
          <w:rtl/>
          <w:lang w:bidi="ar-SA"/>
        </w:rPr>
        <w:t xml:space="preserve"> من عام 2022، بلغت القروض العقا</w:t>
      </w:r>
      <w:r w:rsidRPr="002B70CA">
        <w:rPr>
          <w:rFonts w:ascii="David" w:hAnsi="David" w:cs="Times New Roman"/>
          <w:sz w:val="24"/>
          <w:szCs w:val="24"/>
          <w:rtl/>
          <w:lang w:bidi="ar-SA"/>
        </w:rPr>
        <w:t xml:space="preserve">رية الجديدة حوالي </w:t>
      </w:r>
      <w:r w:rsidRPr="002B70CA">
        <w:rPr>
          <w:rFonts w:ascii="David" w:hAnsi="David" w:cs="Times New Roman" w:hint="cs"/>
          <w:sz w:val="24"/>
          <w:szCs w:val="24"/>
          <w:rtl/>
          <w:lang w:bidi="ar-SA"/>
        </w:rPr>
        <w:t xml:space="preserve">27 </w:t>
      </w:r>
      <w:r w:rsidR="0070693B" w:rsidRPr="002B70CA">
        <w:rPr>
          <w:rFonts w:ascii="David" w:hAnsi="David" w:cs="Times New Roman"/>
          <w:sz w:val="24"/>
          <w:szCs w:val="24"/>
          <w:rtl/>
          <w:lang w:bidi="ar-SA"/>
        </w:rPr>
        <w:t>مليار شيكل</w:t>
      </w:r>
      <w:r w:rsidRPr="002B70CA">
        <w:rPr>
          <w:rFonts w:ascii="David" w:hAnsi="David" w:cs="Times New Roman"/>
          <w:sz w:val="24"/>
          <w:szCs w:val="24"/>
          <w:rtl/>
          <w:lang w:bidi="ar-SA"/>
        </w:rPr>
        <w:t xml:space="preserve">، </w:t>
      </w:r>
      <w:r w:rsidRPr="002B70CA">
        <w:rPr>
          <w:rFonts w:ascii="David" w:hAnsi="David" w:cs="Times New Roman" w:hint="cs"/>
          <w:sz w:val="24"/>
          <w:szCs w:val="24"/>
          <w:rtl/>
          <w:lang w:bidi="ar-SA"/>
        </w:rPr>
        <w:t>وهي أقل من الفترة الموازية في العام السابق (نحو 30 مليار)</w:t>
      </w:r>
      <w:r w:rsidR="0070693B" w:rsidRPr="002B70CA">
        <w:rPr>
          <w:rFonts w:ascii="David" w:hAnsi="David" w:cs="Times New Roman"/>
          <w:sz w:val="24"/>
          <w:szCs w:val="24"/>
          <w:rtl/>
          <w:lang w:bidi="ar-SA"/>
        </w:rPr>
        <w:t xml:space="preserve">. </w:t>
      </w:r>
      <w:r w:rsidR="0070693B" w:rsidRPr="002B70CA">
        <w:rPr>
          <w:rFonts w:ascii="David" w:hAnsi="David" w:cs="Times New Roman" w:hint="cs"/>
          <w:sz w:val="24"/>
          <w:szCs w:val="24"/>
          <w:rtl/>
          <w:lang w:bidi="ar-SA"/>
        </w:rPr>
        <w:t>و</w:t>
      </w:r>
      <w:r w:rsidRPr="002B70CA">
        <w:rPr>
          <w:rFonts w:ascii="David" w:hAnsi="David" w:cs="Times New Roman"/>
          <w:sz w:val="24"/>
          <w:szCs w:val="24"/>
          <w:rtl/>
          <w:lang w:bidi="ar-SA"/>
        </w:rPr>
        <w:t xml:space="preserve">في شهري </w:t>
      </w:r>
      <w:r w:rsidRPr="002B70CA">
        <w:rPr>
          <w:rFonts w:ascii="David" w:hAnsi="David" w:cs="Times New Roman" w:hint="cs"/>
          <w:sz w:val="24"/>
          <w:szCs w:val="24"/>
          <w:rtl/>
          <w:lang w:bidi="ar-SA"/>
        </w:rPr>
        <w:t>تشرين الأوّل وتشرين الثاني</w:t>
      </w:r>
      <w:r w:rsidR="0070693B" w:rsidRPr="002B70CA">
        <w:rPr>
          <w:rFonts w:ascii="David" w:hAnsi="David" w:cs="Times New Roman"/>
          <w:sz w:val="24"/>
          <w:szCs w:val="24"/>
          <w:rtl/>
          <w:lang w:bidi="ar-SA"/>
        </w:rPr>
        <w:t xml:space="preserve"> </w:t>
      </w:r>
      <w:r w:rsidRPr="002B70CA">
        <w:rPr>
          <w:rFonts w:ascii="David" w:hAnsi="David" w:cs="Times New Roman"/>
          <w:sz w:val="24"/>
          <w:szCs w:val="24"/>
          <w:rtl/>
          <w:lang w:bidi="ar-SA"/>
        </w:rPr>
        <w:t>2022</w:t>
      </w:r>
      <w:r w:rsidRPr="002B70CA">
        <w:rPr>
          <w:rFonts w:ascii="David" w:hAnsi="David" w:cs="Times New Roman" w:hint="cs"/>
          <w:sz w:val="24"/>
          <w:szCs w:val="24"/>
          <w:rtl/>
          <w:lang w:bidi="ar-SA"/>
        </w:rPr>
        <w:t>، ا</w:t>
      </w:r>
      <w:r w:rsidR="0070693B" w:rsidRPr="002B70CA">
        <w:rPr>
          <w:rFonts w:ascii="David" w:hAnsi="David" w:cs="Times New Roman"/>
          <w:sz w:val="24"/>
          <w:szCs w:val="24"/>
          <w:rtl/>
          <w:lang w:bidi="ar-SA"/>
        </w:rPr>
        <w:t xml:space="preserve">ستمر الانخفاض في </w:t>
      </w:r>
      <w:r w:rsidR="0070693B" w:rsidRPr="002B70CA">
        <w:rPr>
          <w:rFonts w:ascii="David" w:hAnsi="David" w:cs="Times New Roman" w:hint="cs"/>
          <w:sz w:val="24"/>
          <w:szCs w:val="24"/>
          <w:rtl/>
          <w:lang w:bidi="ar-SA"/>
        </w:rPr>
        <w:t xml:space="preserve">أخذ </w:t>
      </w:r>
      <w:r w:rsidR="0070693B" w:rsidRPr="002B70CA">
        <w:rPr>
          <w:rFonts w:ascii="David" w:hAnsi="David" w:cs="Times New Roman"/>
          <w:sz w:val="24"/>
          <w:szCs w:val="24"/>
          <w:rtl/>
          <w:lang w:bidi="ar-SA"/>
        </w:rPr>
        <w:t>القروض العقارية الجديدة</w:t>
      </w:r>
      <w:r w:rsidR="0070693B" w:rsidRPr="002B70CA">
        <w:rPr>
          <w:rFonts w:ascii="David" w:hAnsi="David" w:cs="Times New Roman" w:hint="cs"/>
          <w:sz w:val="24"/>
          <w:szCs w:val="24"/>
          <w:rtl/>
          <w:lang w:bidi="ar-SA"/>
        </w:rPr>
        <w:t xml:space="preserve">، بحيث </w:t>
      </w:r>
      <w:r w:rsidR="0070693B" w:rsidRPr="002B70CA">
        <w:rPr>
          <w:rFonts w:ascii="David" w:hAnsi="David" w:cs="Times New Roman"/>
          <w:sz w:val="24"/>
          <w:szCs w:val="24"/>
          <w:rtl/>
          <w:lang w:bidi="ar-SA"/>
        </w:rPr>
        <w:t>بلغت</w:t>
      </w:r>
      <w:r w:rsidRPr="002B70CA">
        <w:rPr>
          <w:rFonts w:ascii="David" w:hAnsi="David" w:cs="Times New Roman"/>
          <w:sz w:val="24"/>
          <w:szCs w:val="24"/>
          <w:rtl/>
          <w:lang w:bidi="ar-SA"/>
        </w:rPr>
        <w:t xml:space="preserve"> حوالي </w:t>
      </w:r>
      <w:r w:rsidRPr="002B70CA">
        <w:rPr>
          <w:rFonts w:ascii="David" w:hAnsi="David" w:cs="Times New Roman" w:hint="cs"/>
          <w:sz w:val="24"/>
          <w:szCs w:val="24"/>
          <w:rtl/>
          <w:lang w:bidi="ar-SA"/>
        </w:rPr>
        <w:t xml:space="preserve">14 </w:t>
      </w:r>
      <w:r w:rsidRPr="002B70CA">
        <w:rPr>
          <w:rFonts w:ascii="David" w:hAnsi="David" w:cs="Times New Roman"/>
          <w:sz w:val="24"/>
          <w:szCs w:val="24"/>
          <w:rtl/>
          <w:lang w:bidi="ar-SA"/>
        </w:rPr>
        <w:t>مليار شيكل</w:t>
      </w:r>
      <w:r w:rsidR="0070693B" w:rsidRPr="002B70CA">
        <w:rPr>
          <w:rFonts w:ascii="David" w:hAnsi="David" w:cs="Times New Roman"/>
          <w:sz w:val="24"/>
          <w:szCs w:val="24"/>
          <w:rtl/>
          <w:lang w:bidi="ar-SA"/>
        </w:rPr>
        <w:t>. (ا</w:t>
      </w:r>
      <w:r w:rsidR="0070693B" w:rsidRPr="002B70CA">
        <w:rPr>
          <w:rFonts w:ascii="David" w:hAnsi="David" w:cs="Times New Roman" w:hint="cs"/>
          <w:sz w:val="24"/>
          <w:szCs w:val="24"/>
          <w:rtl/>
          <w:lang w:bidi="ar-SA"/>
        </w:rPr>
        <w:t>لرسم البياني</w:t>
      </w:r>
      <w:r w:rsidR="0070693B" w:rsidRPr="002B70CA">
        <w:rPr>
          <w:rFonts w:ascii="David" w:hAnsi="David" w:cs="Times New Roman"/>
          <w:sz w:val="24"/>
          <w:szCs w:val="24"/>
          <w:rtl/>
          <w:lang w:bidi="ar-SA"/>
        </w:rPr>
        <w:t xml:space="preserve"> 6).</w:t>
      </w:r>
    </w:p>
    <w:p w:rsidR="0070693B" w:rsidRDefault="0070693B" w:rsidP="0070693B">
      <w:pPr>
        <w:pStyle w:val="a4"/>
        <w:spacing w:before="240" w:after="120" w:line="360" w:lineRule="auto"/>
        <w:rPr>
          <w:rFonts w:ascii="David" w:hAnsi="David" w:cs="David"/>
          <w:sz w:val="24"/>
          <w:szCs w:val="24"/>
        </w:rPr>
      </w:pPr>
    </w:p>
    <w:p w:rsidR="007F4B21" w:rsidRPr="00CB7E9A" w:rsidRDefault="00E033B1" w:rsidP="007F4B21">
      <w:pPr>
        <w:spacing w:line="360" w:lineRule="auto"/>
        <w:jc w:val="center"/>
        <w:rPr>
          <w:rFonts w:ascii="David" w:hAnsi="David" w:cs="David"/>
          <w:sz w:val="24"/>
          <w:szCs w:val="24"/>
          <w:rtl/>
        </w:rPr>
      </w:pPr>
      <w:r>
        <w:rPr>
          <w:rFonts w:asciiTheme="minorBidi" w:hAnsiTheme="minorBidi" w:hint="cs"/>
          <w:b/>
          <w:bCs/>
          <w:sz w:val="24"/>
          <w:szCs w:val="24"/>
          <w:rtl/>
          <w:lang w:bidi="ar-SA"/>
        </w:rPr>
        <w:t>جدول</w:t>
      </w:r>
      <w:r w:rsidRPr="00E44C3B">
        <w:rPr>
          <w:rFonts w:asciiTheme="minorBidi" w:hAnsiTheme="minorBidi"/>
          <w:b/>
          <w:bCs/>
          <w:sz w:val="24"/>
          <w:szCs w:val="24"/>
          <w:rtl/>
        </w:rPr>
        <w:t xml:space="preserve"> </w:t>
      </w:r>
      <w:r w:rsidRPr="00E44C3B">
        <w:rPr>
          <w:rFonts w:asciiTheme="minorBidi" w:hAnsiTheme="minorBidi"/>
          <w:b/>
          <w:bCs/>
          <w:sz w:val="24"/>
          <w:szCs w:val="24"/>
        </w:rPr>
        <w:t>2</w:t>
      </w:r>
      <w:r w:rsidRPr="00E44C3B">
        <w:rPr>
          <w:rFonts w:asciiTheme="minorBidi" w:hAnsiTheme="minorBidi"/>
          <w:b/>
          <w:bCs/>
          <w:sz w:val="24"/>
          <w:szCs w:val="24"/>
          <w:rtl/>
        </w:rPr>
        <w:t xml:space="preserve">: </w:t>
      </w:r>
      <w:r>
        <w:rPr>
          <w:rFonts w:asciiTheme="minorBidi" w:hAnsiTheme="minorBidi" w:hint="cs"/>
          <w:b/>
          <w:bCs/>
          <w:sz w:val="24"/>
          <w:szCs w:val="24"/>
          <w:rtl/>
          <w:lang w:bidi="ar-SA"/>
        </w:rPr>
        <w:t>رصيد دين الأسر</w:t>
      </w:r>
      <w:r w:rsidRPr="00CB7E9A">
        <w:rPr>
          <w:rFonts w:ascii="David" w:hAnsi="David" w:cs="David"/>
          <w:b/>
          <w:bCs/>
          <w:sz w:val="24"/>
          <w:szCs w:val="24"/>
          <w:vertAlign w:val="superscript"/>
          <w:rtl/>
        </w:rPr>
        <w:t xml:space="preserve"> </w:t>
      </w:r>
      <w:r w:rsidR="007F4B21" w:rsidRPr="00CB7E9A">
        <w:rPr>
          <w:rFonts w:ascii="David" w:hAnsi="David" w:cs="David"/>
          <w:b/>
          <w:bCs/>
          <w:sz w:val="24"/>
          <w:szCs w:val="24"/>
          <w:vertAlign w:val="superscript"/>
          <w:rtl/>
        </w:rPr>
        <w:t>1</w:t>
      </w:r>
      <w:r w:rsidR="007F4B21" w:rsidRPr="00CB7E9A">
        <w:rPr>
          <w:rFonts w:ascii="David" w:hAnsi="David" w:cs="David"/>
          <w:sz w:val="24"/>
          <w:szCs w:val="24"/>
        </w:rPr>
        <w:t xml:space="preserve"> </w:t>
      </w:r>
    </w:p>
    <w:p w:rsidR="007F4B21" w:rsidRPr="00E44C3B" w:rsidRDefault="000F7600" w:rsidP="000F7600">
      <w:pPr>
        <w:spacing w:line="360" w:lineRule="auto"/>
        <w:jc w:val="center"/>
        <w:rPr>
          <w:rFonts w:asciiTheme="minorBidi" w:hAnsiTheme="minorBidi"/>
          <w:b/>
          <w:bCs/>
          <w:sz w:val="24"/>
          <w:szCs w:val="24"/>
          <w:rtl/>
        </w:rPr>
      </w:pPr>
      <w:r w:rsidRPr="000F7600">
        <w:rPr>
          <w:rFonts w:asciiTheme="minorBidi" w:hAnsiTheme="minorBidi"/>
          <w:b/>
          <w:bCs/>
          <w:noProof/>
          <w:sz w:val="24"/>
          <w:szCs w:val="24"/>
        </w:rPr>
        <w:drawing>
          <wp:inline distT="0" distB="0" distL="0" distR="0" wp14:anchorId="7E774FAC" wp14:editId="4238635C">
            <wp:extent cx="6188710" cy="3224530"/>
            <wp:effectExtent l="0" t="0" r="2540" b="0"/>
            <wp:docPr id="1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pic:cNvPicPr>
                      <a:picLocks noChangeAspect="1"/>
                    </pic:cNvPicPr>
                  </pic:nvPicPr>
                  <pic:blipFill rotWithShape="1">
                    <a:blip r:embed="rId14"/>
                    <a:srcRect l="33171" t="22018" r="1246" b="17228"/>
                    <a:stretch/>
                  </pic:blipFill>
                  <pic:spPr>
                    <a:xfrm>
                      <a:off x="0" y="0"/>
                      <a:ext cx="6188710" cy="3224530"/>
                    </a:xfrm>
                    <a:prstGeom prst="rect">
                      <a:avLst/>
                    </a:prstGeom>
                  </pic:spPr>
                </pic:pic>
              </a:graphicData>
            </a:graphic>
          </wp:inline>
        </w:drawing>
      </w:r>
    </w:p>
    <w:p w:rsidR="007F4B21" w:rsidRPr="00E44C3B" w:rsidRDefault="007F4B21" w:rsidP="007F4B21">
      <w:pPr>
        <w:jc w:val="center"/>
        <w:rPr>
          <w:rFonts w:asciiTheme="minorBidi" w:hAnsiTheme="minorBidi"/>
          <w:b/>
          <w:bCs/>
          <w:sz w:val="24"/>
          <w:szCs w:val="24"/>
          <w:rtl/>
        </w:rPr>
      </w:pPr>
    </w:p>
    <w:p w:rsidR="007F4B21" w:rsidRPr="00E44C3B" w:rsidRDefault="007F4B21" w:rsidP="007F4B21">
      <w:pPr>
        <w:jc w:val="center"/>
        <w:rPr>
          <w:rFonts w:asciiTheme="minorBidi" w:hAnsiTheme="minorBidi"/>
          <w:b/>
          <w:bCs/>
          <w:sz w:val="24"/>
          <w:szCs w:val="24"/>
          <w:rtl/>
        </w:rPr>
      </w:pPr>
    </w:p>
    <w:p w:rsidR="007F4B21" w:rsidRPr="00E44C3B" w:rsidRDefault="007F4B21" w:rsidP="007F4B21">
      <w:pPr>
        <w:jc w:val="center"/>
        <w:rPr>
          <w:rFonts w:asciiTheme="minorBidi" w:hAnsiTheme="minorBidi"/>
          <w:b/>
          <w:bCs/>
          <w:sz w:val="24"/>
          <w:szCs w:val="24"/>
          <w:rtl/>
        </w:rPr>
      </w:pPr>
    </w:p>
    <w:p w:rsidR="007F4B21" w:rsidRPr="00E44C3B" w:rsidRDefault="007F4B21" w:rsidP="007F4B21">
      <w:pPr>
        <w:jc w:val="center"/>
        <w:rPr>
          <w:rFonts w:asciiTheme="minorBidi" w:hAnsiTheme="minorBidi"/>
          <w:b/>
          <w:bCs/>
          <w:sz w:val="24"/>
          <w:szCs w:val="24"/>
          <w:rtl/>
        </w:rPr>
      </w:pPr>
    </w:p>
    <w:p w:rsidR="00E033B1" w:rsidRPr="00E44C3B" w:rsidRDefault="007F4B21" w:rsidP="00960325">
      <w:pPr>
        <w:jc w:val="center"/>
        <w:rPr>
          <w:rFonts w:asciiTheme="minorBidi" w:hAnsiTheme="minorBidi"/>
          <w:b/>
          <w:bCs/>
          <w:sz w:val="24"/>
          <w:szCs w:val="24"/>
        </w:rPr>
      </w:pPr>
      <w:r w:rsidRPr="00E44C3B">
        <w:rPr>
          <w:rFonts w:asciiTheme="minorBidi" w:hAnsiTheme="minorBidi"/>
          <w:b/>
          <w:bCs/>
          <w:sz w:val="24"/>
          <w:szCs w:val="24"/>
          <w:rtl/>
        </w:rPr>
        <w:br w:type="page"/>
      </w:r>
      <w:r w:rsidR="00E033B1">
        <w:rPr>
          <w:rFonts w:asciiTheme="minorBidi" w:hAnsiTheme="minorBidi" w:hint="cs"/>
          <w:b/>
          <w:bCs/>
          <w:sz w:val="24"/>
          <w:szCs w:val="24"/>
          <w:rtl/>
          <w:lang w:bidi="ar-SA"/>
        </w:rPr>
        <w:lastRenderedPageBreak/>
        <w:t>الرسم البياني</w:t>
      </w:r>
      <w:r w:rsidR="00E033B1" w:rsidRPr="00E44C3B">
        <w:rPr>
          <w:rFonts w:asciiTheme="minorBidi" w:hAnsiTheme="minorBidi"/>
          <w:b/>
          <w:bCs/>
          <w:sz w:val="24"/>
          <w:szCs w:val="24"/>
          <w:rtl/>
        </w:rPr>
        <w:t xml:space="preserve"> </w:t>
      </w:r>
      <w:r w:rsidR="00E033B1" w:rsidRPr="00E44C3B">
        <w:rPr>
          <w:rFonts w:asciiTheme="minorBidi" w:hAnsiTheme="minorBidi"/>
          <w:b/>
          <w:bCs/>
          <w:sz w:val="24"/>
          <w:szCs w:val="24"/>
        </w:rPr>
        <w:t>5</w:t>
      </w:r>
      <w:r w:rsidR="00E033B1" w:rsidRPr="00E44C3B">
        <w:rPr>
          <w:rFonts w:asciiTheme="minorBidi" w:hAnsiTheme="minorBidi"/>
          <w:b/>
          <w:bCs/>
          <w:sz w:val="24"/>
          <w:szCs w:val="24"/>
          <w:rtl/>
        </w:rPr>
        <w:t xml:space="preserve">: </w:t>
      </w:r>
      <w:r w:rsidR="00E033B1">
        <w:rPr>
          <w:rFonts w:asciiTheme="minorBidi" w:hAnsiTheme="minorBidi" w:hint="cs"/>
          <w:b/>
          <w:bCs/>
          <w:sz w:val="24"/>
          <w:szCs w:val="24"/>
          <w:rtl/>
          <w:lang w:bidi="ar-SA"/>
        </w:rPr>
        <w:t>معدّل التغيير مقارنةً بالربع الموازي من العام السابق في دين الأسر الاسكاني وغير الاسكاني</w:t>
      </w:r>
    </w:p>
    <w:p w:rsidR="007F4B21" w:rsidRPr="00E44C3B" w:rsidRDefault="00F443A6" w:rsidP="007F4B21">
      <w:pPr>
        <w:jc w:val="center"/>
        <w:rPr>
          <w:rFonts w:asciiTheme="minorBidi" w:hAnsiTheme="minorBidi"/>
          <w:b/>
          <w:bCs/>
          <w:sz w:val="24"/>
          <w:szCs w:val="24"/>
          <w:rtl/>
          <w:lang w:bidi="ar-SA"/>
        </w:rPr>
      </w:pPr>
      <w:r>
        <w:rPr>
          <w:noProof/>
        </w:rPr>
        <w:drawing>
          <wp:inline distT="0" distB="0" distL="0" distR="0" wp14:anchorId="24628E61" wp14:editId="5812C24F">
            <wp:extent cx="6188710" cy="2828290"/>
            <wp:effectExtent l="0" t="0" r="2540" b="10160"/>
            <wp:docPr id="15" name="תרשים 15" descr="תרשים" title="שיעורי השינוי לעומת הרביע המקביל בשנה הקודמת בחוב של משקי הבית לדיור ושלא לדיור"/>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F4B21" w:rsidRPr="00E44C3B" w:rsidRDefault="007F4B21" w:rsidP="007F4B21">
      <w:pPr>
        <w:jc w:val="center"/>
        <w:rPr>
          <w:rFonts w:asciiTheme="minorBidi" w:hAnsiTheme="minorBidi"/>
          <w:b/>
          <w:bCs/>
          <w:sz w:val="24"/>
          <w:szCs w:val="24"/>
          <w:rtl/>
        </w:rPr>
      </w:pPr>
    </w:p>
    <w:p w:rsidR="00E033B1" w:rsidRPr="00E44C3B" w:rsidRDefault="00E033B1" w:rsidP="00E033B1">
      <w:pPr>
        <w:jc w:val="center"/>
        <w:rPr>
          <w:rFonts w:asciiTheme="minorBidi" w:hAnsiTheme="minorBidi"/>
          <w:b/>
          <w:bCs/>
          <w:sz w:val="24"/>
          <w:szCs w:val="24"/>
          <w:rtl/>
        </w:rPr>
      </w:pPr>
    </w:p>
    <w:p w:rsidR="00E033B1" w:rsidRPr="00E44C3B" w:rsidRDefault="00E033B1" w:rsidP="00E033B1">
      <w:pPr>
        <w:jc w:val="center"/>
        <w:rPr>
          <w:rFonts w:asciiTheme="minorBidi" w:hAnsiTheme="minorBidi"/>
          <w:b/>
          <w:bCs/>
          <w:sz w:val="24"/>
          <w:szCs w:val="24"/>
          <w:rtl/>
        </w:rPr>
      </w:pPr>
      <w:r>
        <w:rPr>
          <w:rFonts w:asciiTheme="minorBidi" w:hAnsiTheme="minorBidi" w:hint="cs"/>
          <w:b/>
          <w:bCs/>
          <w:sz w:val="24"/>
          <w:szCs w:val="24"/>
          <w:rtl/>
          <w:lang w:bidi="ar-SA"/>
        </w:rPr>
        <w:t>الرسم البياني</w:t>
      </w:r>
      <w:r w:rsidRPr="00E44C3B">
        <w:rPr>
          <w:rFonts w:asciiTheme="minorBidi" w:hAnsiTheme="minorBidi"/>
          <w:b/>
          <w:bCs/>
          <w:sz w:val="24"/>
          <w:szCs w:val="24"/>
          <w:rtl/>
        </w:rPr>
        <w:t xml:space="preserve"> 6: </w:t>
      </w:r>
      <w:r>
        <w:rPr>
          <w:rFonts w:asciiTheme="minorBidi" w:hAnsiTheme="minorBidi" w:hint="cs"/>
          <w:b/>
          <w:bCs/>
          <w:sz w:val="24"/>
          <w:szCs w:val="24"/>
          <w:rtl/>
          <w:lang w:bidi="ar-SA"/>
        </w:rPr>
        <w:t>مجموع القروض الجديدة لشراء شقّة سكنيّة التي وفرتها البنوك للجمهور (قروض الرهن العقاري)</w:t>
      </w:r>
      <w:r w:rsidRPr="00E44C3B">
        <w:rPr>
          <w:rFonts w:asciiTheme="minorBidi" w:hAnsiTheme="minorBidi"/>
          <w:b/>
          <w:bCs/>
          <w:sz w:val="24"/>
          <w:szCs w:val="24"/>
          <w:rtl/>
        </w:rPr>
        <w:t xml:space="preserve"> </w:t>
      </w:r>
    </w:p>
    <w:p w:rsidR="007F4B21" w:rsidRPr="00E44C3B" w:rsidRDefault="007F4B21" w:rsidP="007F4B21">
      <w:pPr>
        <w:jc w:val="center"/>
        <w:rPr>
          <w:rFonts w:asciiTheme="minorBidi" w:hAnsiTheme="minorBidi"/>
          <w:b/>
          <w:bCs/>
          <w:sz w:val="24"/>
          <w:szCs w:val="24"/>
          <w:rtl/>
        </w:rPr>
      </w:pPr>
    </w:p>
    <w:p w:rsidR="007F4B21" w:rsidRPr="00E44C3B" w:rsidRDefault="003956B8" w:rsidP="003956B8">
      <w:pPr>
        <w:spacing w:line="360" w:lineRule="auto"/>
        <w:jc w:val="center"/>
        <w:rPr>
          <w:rFonts w:asciiTheme="minorBidi" w:hAnsiTheme="minorBidi"/>
          <w:sz w:val="24"/>
          <w:szCs w:val="24"/>
          <w:rtl/>
        </w:rPr>
      </w:pPr>
      <w:r w:rsidRPr="003956B8">
        <w:rPr>
          <w:rFonts w:asciiTheme="minorBidi" w:hAnsiTheme="minorBidi"/>
          <w:noProof/>
          <w:sz w:val="24"/>
          <w:szCs w:val="24"/>
        </w:rPr>
        <w:drawing>
          <wp:inline distT="0" distB="0" distL="0" distR="0" wp14:anchorId="6B255C4E" wp14:editId="13531400">
            <wp:extent cx="6188710" cy="3409315"/>
            <wp:effectExtent l="0" t="0" r="2540" b="635"/>
            <wp:docPr id="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1"/>
                    <pic:cNvPicPr>
                      <a:picLocks noChangeAspect="1"/>
                    </pic:cNvPicPr>
                  </pic:nvPicPr>
                  <pic:blipFill rotWithShape="1">
                    <a:blip r:embed="rId16"/>
                    <a:srcRect l="16667" t="37983" r="36197" b="15847"/>
                    <a:stretch/>
                  </pic:blipFill>
                  <pic:spPr>
                    <a:xfrm>
                      <a:off x="0" y="0"/>
                      <a:ext cx="6188710" cy="3409315"/>
                    </a:xfrm>
                    <a:prstGeom prst="rect">
                      <a:avLst/>
                    </a:prstGeom>
                  </pic:spPr>
                </pic:pic>
              </a:graphicData>
            </a:graphic>
          </wp:inline>
        </w:drawing>
      </w:r>
    </w:p>
    <w:p w:rsidR="00E033B1" w:rsidRPr="00ED6F32" w:rsidRDefault="00E033B1" w:rsidP="00E033B1">
      <w:pPr>
        <w:pStyle w:val="a4"/>
        <w:spacing w:before="480" w:line="360" w:lineRule="auto"/>
        <w:ind w:left="0"/>
        <w:rPr>
          <w:rFonts w:ascii="David" w:hAnsi="David" w:cs="David"/>
          <w:sz w:val="24"/>
          <w:szCs w:val="24"/>
          <w:rtl/>
        </w:rPr>
      </w:pPr>
      <w:r>
        <w:rPr>
          <w:rFonts w:ascii="David" w:hAnsi="David" w:hint="cs"/>
          <w:sz w:val="24"/>
          <w:szCs w:val="24"/>
          <w:rtl/>
          <w:lang w:bidi="ar-SA"/>
        </w:rPr>
        <w:lastRenderedPageBreak/>
        <w:t xml:space="preserve">لمزيد من المعلومات حول الموضوع، اضغطوا على الرابط  </w:t>
      </w:r>
      <w:hyperlink r:id="rId17" w:history="1">
        <w:r>
          <w:rPr>
            <w:rStyle w:val="Hyperlink"/>
            <w:rFonts w:ascii="David" w:hAnsi="David" w:hint="cs"/>
            <w:sz w:val="24"/>
            <w:szCs w:val="24"/>
            <w:rtl/>
            <w:lang w:bidi="ar-SA"/>
          </w:rPr>
          <w:t>أرصدة الائتمان في الجهاز الاقتصادي</w:t>
        </w:r>
      </w:hyperlink>
      <w:r w:rsidRPr="00ED6F32">
        <w:rPr>
          <w:rFonts w:ascii="David" w:hAnsi="David" w:cs="David"/>
          <w:sz w:val="24"/>
          <w:szCs w:val="24"/>
          <w:rtl/>
        </w:rPr>
        <w:t xml:space="preserve">, </w:t>
      </w:r>
      <w:r>
        <w:rPr>
          <w:rFonts w:ascii="David" w:hAnsi="David" w:cs="Arial" w:hint="cs"/>
          <w:sz w:val="24"/>
          <w:szCs w:val="24"/>
          <w:rtl/>
          <w:lang w:bidi="ar-SA"/>
        </w:rPr>
        <w:t>الرابط</w:t>
      </w:r>
      <w:r w:rsidRPr="00ED6F32">
        <w:rPr>
          <w:rFonts w:ascii="David" w:hAnsi="David" w:cs="David"/>
          <w:sz w:val="24"/>
          <w:szCs w:val="24"/>
          <w:rtl/>
        </w:rPr>
        <w:t xml:space="preserve"> </w:t>
      </w:r>
      <w:hyperlink r:id="rId18" w:history="1">
        <w:r>
          <w:rPr>
            <w:rStyle w:val="Hyperlink"/>
            <w:rFonts w:ascii="David" w:hAnsi="David" w:hint="cs"/>
            <w:sz w:val="24"/>
            <w:szCs w:val="24"/>
            <w:rtl/>
            <w:lang w:bidi="ar-SA"/>
          </w:rPr>
          <w:t>لمعطيات قروض الرهن العقاري</w:t>
        </w:r>
      </w:hyperlink>
      <w:r w:rsidRPr="00ED6F32">
        <w:rPr>
          <w:rFonts w:ascii="David" w:hAnsi="David" w:cs="David"/>
          <w:sz w:val="24"/>
          <w:szCs w:val="24"/>
          <w:rtl/>
        </w:rPr>
        <w:t xml:space="preserve">, </w:t>
      </w:r>
      <w:r>
        <w:rPr>
          <w:rFonts w:ascii="David" w:hAnsi="David" w:cs="Arial" w:hint="cs"/>
          <w:sz w:val="24"/>
          <w:szCs w:val="24"/>
          <w:rtl/>
          <w:lang w:bidi="ar-SA"/>
        </w:rPr>
        <w:t>الرابط لمعطيات</w:t>
      </w:r>
      <w:r w:rsidRPr="00ED6F32">
        <w:rPr>
          <w:rFonts w:ascii="David" w:hAnsi="David" w:cs="David"/>
          <w:sz w:val="24"/>
          <w:szCs w:val="24"/>
          <w:rtl/>
        </w:rPr>
        <w:t xml:space="preserve"> </w:t>
      </w:r>
      <w:hyperlink r:id="rId19" w:history="1">
        <w:r>
          <w:rPr>
            <w:rStyle w:val="Hyperlink"/>
            <w:rFonts w:ascii="David" w:hAnsi="David" w:hint="cs"/>
            <w:sz w:val="24"/>
            <w:szCs w:val="24"/>
            <w:rtl/>
            <w:lang w:bidi="ar-SA"/>
          </w:rPr>
          <w:t>الأسعار في البنوك</w:t>
        </w:r>
      </w:hyperlink>
      <w:r w:rsidRPr="00ED6F32">
        <w:rPr>
          <w:rFonts w:ascii="David" w:hAnsi="David" w:cs="David"/>
          <w:sz w:val="24"/>
          <w:szCs w:val="24"/>
          <w:rtl/>
        </w:rPr>
        <w:t xml:space="preserve">. </w:t>
      </w:r>
    </w:p>
    <w:p w:rsidR="00E033B1" w:rsidRDefault="00E033B1" w:rsidP="007F4B21">
      <w:pPr>
        <w:spacing w:before="100" w:beforeAutospacing="1" w:after="100" w:afterAutospacing="1" w:line="360" w:lineRule="auto"/>
        <w:jc w:val="both"/>
        <w:outlineLvl w:val="0"/>
        <w:rPr>
          <w:rFonts w:ascii="David" w:eastAsiaTheme="majorEastAsia" w:hAnsi="David" w:cstheme="majorBidi"/>
          <w:b/>
          <w:bCs/>
          <w:color w:val="2E74B5" w:themeColor="accent1" w:themeShade="BF"/>
          <w:sz w:val="32"/>
          <w:szCs w:val="32"/>
          <w:rtl/>
        </w:rPr>
      </w:pPr>
    </w:p>
    <w:sectPr w:rsidR="00E033B1" w:rsidSect="00691DD9">
      <w:footerReference w:type="default" r:id="rId20"/>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BEB" w:rsidRDefault="004E5BEB" w:rsidP="00691DD9">
      <w:pPr>
        <w:spacing w:after="0" w:line="240" w:lineRule="auto"/>
      </w:pPr>
      <w:r>
        <w:separator/>
      </w:r>
    </w:p>
  </w:endnote>
  <w:endnote w:type="continuationSeparator" w:id="0">
    <w:p w:rsidR="004E5BEB" w:rsidRDefault="004E5BEB" w:rsidP="00691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26" w:rsidRDefault="00610A26">
    <w:pPr>
      <w:pStyle w:val="aa"/>
      <w:rPr>
        <w:rtl/>
      </w:rPr>
    </w:pPr>
  </w:p>
  <w:p w:rsidR="00610A26" w:rsidRDefault="00610A2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BEB" w:rsidRDefault="004E5BEB" w:rsidP="00691DD9">
      <w:pPr>
        <w:spacing w:after="0" w:line="240" w:lineRule="auto"/>
      </w:pPr>
      <w:r>
        <w:separator/>
      </w:r>
    </w:p>
  </w:footnote>
  <w:footnote w:type="continuationSeparator" w:id="0">
    <w:p w:rsidR="004E5BEB" w:rsidRDefault="004E5BEB" w:rsidP="00691DD9">
      <w:pPr>
        <w:spacing w:after="0" w:line="240" w:lineRule="auto"/>
      </w:pPr>
      <w:r>
        <w:continuationSeparator/>
      </w:r>
    </w:p>
  </w:footnote>
  <w:footnote w:id="1">
    <w:p w:rsidR="00855830" w:rsidRPr="00105A31" w:rsidRDefault="00855830" w:rsidP="00855830">
      <w:pPr>
        <w:pStyle w:val="af3"/>
        <w:rPr>
          <w:rFonts w:ascii="David" w:hAnsi="David"/>
          <w:sz w:val="22"/>
          <w:szCs w:val="22"/>
          <w:rtl/>
        </w:rPr>
      </w:pPr>
      <w:r w:rsidRPr="00105A31">
        <w:rPr>
          <w:rStyle w:val="af5"/>
          <w:rFonts w:ascii="David" w:hAnsi="David"/>
          <w:sz w:val="22"/>
          <w:szCs w:val="22"/>
        </w:rPr>
        <w:footnoteRef/>
      </w:r>
      <w:r w:rsidRPr="00105A31">
        <w:rPr>
          <w:rFonts w:ascii="David" w:hAnsi="David"/>
          <w:sz w:val="22"/>
          <w:szCs w:val="22"/>
        </w:rPr>
        <w:t xml:space="preserve"> </w:t>
      </w:r>
      <w:r>
        <w:rPr>
          <w:rFonts w:asciiTheme="minorBidi" w:hAnsiTheme="minorBidi" w:cstheme="minorBidi" w:hint="cs"/>
          <w:rtl/>
          <w:lang w:bidi="ar-SA"/>
        </w:rPr>
        <w:t xml:space="preserve">الشركات التجاريّة الاسرائيليّة، دون البنوك وشركات بطاقات الائتمان وشركات التأمين. </w:t>
      </w:r>
    </w:p>
  </w:footnote>
  <w:footnote w:id="2">
    <w:p w:rsidR="007F4B21" w:rsidRPr="00E21C13" w:rsidRDefault="007F4B21" w:rsidP="0074798C">
      <w:pPr>
        <w:pStyle w:val="af3"/>
        <w:rPr>
          <w:rFonts w:asciiTheme="minorBidi" w:hAnsiTheme="minorBidi" w:cstheme="minorBidi"/>
          <w:rtl/>
          <w:lang w:bidi="ar-SA"/>
        </w:rPr>
      </w:pPr>
      <w:r w:rsidRPr="00C84639">
        <w:rPr>
          <w:rStyle w:val="af5"/>
          <w:rFonts w:ascii="David" w:hAnsi="David"/>
        </w:rPr>
        <w:footnoteRef/>
      </w:r>
      <w:r w:rsidRPr="00C84639">
        <w:rPr>
          <w:rFonts w:ascii="David" w:hAnsi="David"/>
          <w:rtl/>
        </w:rPr>
        <w:t xml:space="preserve"> </w:t>
      </w:r>
      <w:r w:rsidR="0074798C">
        <w:rPr>
          <w:rFonts w:asciiTheme="minorBidi" w:hAnsiTheme="minorBidi" w:cs="Arial"/>
          <w:rtl/>
          <w:lang w:bidi="ar-SA"/>
        </w:rPr>
        <w:t xml:space="preserve">يتم </w:t>
      </w:r>
      <w:r w:rsidR="0074798C">
        <w:rPr>
          <w:rFonts w:asciiTheme="minorBidi" w:hAnsiTheme="minorBidi" w:cs="Arial" w:hint="cs"/>
          <w:rtl/>
          <w:lang w:bidi="ar-SA"/>
        </w:rPr>
        <w:t>حساب</w:t>
      </w:r>
      <w:r w:rsidR="0074798C" w:rsidRPr="0074798C">
        <w:rPr>
          <w:rFonts w:asciiTheme="minorBidi" w:hAnsiTheme="minorBidi" w:cs="Arial"/>
          <w:rtl/>
          <w:lang w:bidi="ar-SA"/>
        </w:rPr>
        <w:t xml:space="preserve"> الأرصدة المرتبطة بالمؤشر وفقً</w:t>
      </w:r>
      <w:r w:rsidR="0074798C">
        <w:rPr>
          <w:rFonts w:asciiTheme="minorBidi" w:hAnsiTheme="minorBidi" w:cs="Arial"/>
          <w:rtl/>
          <w:lang w:bidi="ar-SA"/>
        </w:rPr>
        <w:t>ا لمؤشر معروف عند إعداد ال</w:t>
      </w:r>
      <w:r w:rsidR="0074798C">
        <w:rPr>
          <w:rFonts w:asciiTheme="minorBidi" w:hAnsiTheme="minorBidi" w:cs="Arial" w:hint="cs"/>
          <w:rtl/>
          <w:lang w:bidi="ar-SA"/>
        </w:rPr>
        <w:t>تقارير</w:t>
      </w:r>
      <w:r w:rsidR="0074798C">
        <w:rPr>
          <w:rFonts w:asciiTheme="minorBidi" w:hAnsiTheme="minorBidi" w:cs="Arial"/>
          <w:rtl/>
          <w:lang w:bidi="ar-SA"/>
        </w:rPr>
        <w:t xml:space="preserve"> المالية</w:t>
      </w:r>
      <w:r w:rsidR="0074798C" w:rsidRPr="0074798C">
        <w:rPr>
          <w:rFonts w:asciiTheme="minorBidi" w:hAnsiTheme="minorBidi" w:cs="Arial"/>
          <w:rtl/>
          <w:lang w:bidi="ar-SA"/>
        </w:rPr>
        <w:t xml:space="preserve">، وبالتالي </w:t>
      </w:r>
      <w:r w:rsidR="0074798C">
        <w:rPr>
          <w:rFonts w:asciiTheme="minorBidi" w:hAnsiTheme="minorBidi" w:cs="Arial"/>
          <w:rtl/>
          <w:lang w:bidi="ar-SA"/>
        </w:rPr>
        <w:t>فإن التغيير في مؤشر الأسعار ي</w:t>
      </w:r>
      <w:r w:rsidR="0074798C">
        <w:rPr>
          <w:rFonts w:asciiTheme="minorBidi" w:hAnsiTheme="minorBidi" w:cs="Arial" w:hint="cs"/>
          <w:rtl/>
          <w:lang w:bidi="ar-SA"/>
        </w:rPr>
        <w:t>تطرّق</w:t>
      </w:r>
      <w:r w:rsidR="0074798C" w:rsidRPr="0074798C">
        <w:rPr>
          <w:rFonts w:asciiTheme="minorBidi" w:hAnsiTheme="minorBidi" w:cs="Arial"/>
          <w:rtl/>
          <w:lang w:bidi="ar-SA"/>
        </w:rPr>
        <w:t xml:space="preserve"> إلى التغيير بين </w:t>
      </w:r>
      <w:r w:rsidR="0074798C">
        <w:rPr>
          <w:rFonts w:asciiTheme="minorBidi" w:hAnsiTheme="minorBidi" w:cs="Arial" w:hint="cs"/>
          <w:rtl/>
          <w:lang w:bidi="ar-SA"/>
        </w:rPr>
        <w:t>ال</w:t>
      </w:r>
      <w:r w:rsidR="0074798C" w:rsidRPr="0074798C">
        <w:rPr>
          <w:rFonts w:asciiTheme="minorBidi" w:hAnsiTheme="minorBidi" w:cs="Arial"/>
          <w:rtl/>
          <w:lang w:bidi="ar-SA"/>
        </w:rPr>
        <w:t xml:space="preserve">مؤشر </w:t>
      </w:r>
      <w:r w:rsidR="0074798C">
        <w:rPr>
          <w:rFonts w:asciiTheme="minorBidi" w:hAnsiTheme="minorBidi" w:cs="Arial" w:hint="cs"/>
          <w:rtl/>
          <w:lang w:bidi="ar-SA"/>
        </w:rPr>
        <w:t>ال</w:t>
      </w:r>
      <w:r w:rsidR="0074798C">
        <w:rPr>
          <w:rFonts w:asciiTheme="minorBidi" w:hAnsiTheme="minorBidi" w:cs="Arial"/>
          <w:rtl/>
          <w:lang w:bidi="ar-SA"/>
        </w:rPr>
        <w:t xml:space="preserve">معروف والمؤشر في الشهر الذي </w:t>
      </w:r>
      <w:r w:rsidR="0074798C" w:rsidRPr="0074798C">
        <w:rPr>
          <w:rFonts w:asciiTheme="minorBidi" w:hAnsiTheme="minorBidi" w:cs="Arial"/>
          <w:rtl/>
          <w:lang w:bidi="ar-SA"/>
        </w:rPr>
        <w:t>سبقه.</w:t>
      </w:r>
    </w:p>
  </w:footnote>
  <w:footnote w:id="3">
    <w:p w:rsidR="00AD183C" w:rsidRPr="00884ED4" w:rsidRDefault="00AD183C" w:rsidP="00AD183C">
      <w:pPr>
        <w:pStyle w:val="af3"/>
        <w:rPr>
          <w:rFonts w:asciiTheme="minorBidi" w:hAnsiTheme="minorBidi" w:cstheme="minorBidi"/>
          <w:rtl/>
        </w:rPr>
      </w:pPr>
      <w:r w:rsidRPr="00105A31">
        <w:rPr>
          <w:rStyle w:val="af5"/>
          <w:rFonts w:ascii="David" w:hAnsi="David"/>
          <w:sz w:val="22"/>
          <w:szCs w:val="22"/>
        </w:rPr>
        <w:footnoteRef/>
      </w:r>
      <w:r w:rsidRPr="00105A31">
        <w:rPr>
          <w:rFonts w:ascii="David" w:hAnsi="David"/>
          <w:sz w:val="22"/>
          <w:szCs w:val="22"/>
        </w:rPr>
        <w:t xml:space="preserve"> </w:t>
      </w:r>
      <w:r>
        <w:rPr>
          <w:rFonts w:asciiTheme="minorBidi" w:hAnsiTheme="minorBidi" w:cstheme="minorBidi" w:hint="cs"/>
          <w:rtl/>
          <w:lang w:bidi="ar-SA"/>
        </w:rPr>
        <w:t xml:space="preserve">يتم حساب التغيير في الهامش من ربع إلى ربع على أنّه الفارق بين متوسط الهامش في الشهر الأخير للربع المستطلع ومتوسط الهامش في الشهر الأخير للربع السابق.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18961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36411A"/>
    <w:multiLevelType w:val="hybridMultilevel"/>
    <w:tmpl w:val="052C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A136B"/>
    <w:multiLevelType w:val="hybridMultilevel"/>
    <w:tmpl w:val="997E1024"/>
    <w:lvl w:ilvl="0" w:tplc="5A38B28E">
      <w:start w:val="1"/>
      <w:numFmt w:val="arabicAlpha"/>
      <w:lvlText w:val="%1."/>
      <w:lvlJc w:val="left"/>
      <w:pPr>
        <w:ind w:left="1080" w:hanging="360"/>
      </w:pPr>
      <w:rPr>
        <w:rFonts w:eastAsiaTheme="majorEastAsia" w:cstheme="minorBidi" w:hint="default"/>
        <w:color w:val="2E74B5" w:themeColor="accent1" w:themeShade="BF"/>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034AED"/>
    <w:multiLevelType w:val="hybridMultilevel"/>
    <w:tmpl w:val="DB2A76CE"/>
    <w:lvl w:ilvl="0" w:tplc="192AAB94">
      <w:start w:val="1"/>
      <w:numFmt w:val="arabicAlpha"/>
      <w:lvlText w:val="%1."/>
      <w:lvlJc w:val="left"/>
      <w:pPr>
        <w:ind w:left="720" w:hanging="360"/>
      </w:pPr>
      <w:rPr>
        <w:rFonts w:ascii="David" w:eastAsiaTheme="majorEastAsia" w:hAnsi="David"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5319A"/>
    <w:multiLevelType w:val="hybridMultilevel"/>
    <w:tmpl w:val="47388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7741A3"/>
    <w:multiLevelType w:val="hybridMultilevel"/>
    <w:tmpl w:val="134C921E"/>
    <w:lvl w:ilvl="0" w:tplc="0FD0F420">
      <w:start w:val="1"/>
      <w:numFmt w:val="decimal"/>
      <w:pStyle w:val="1"/>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5F80030F"/>
    <w:multiLevelType w:val="hybridMultilevel"/>
    <w:tmpl w:val="DB2A76CE"/>
    <w:lvl w:ilvl="0" w:tplc="192AAB94">
      <w:start w:val="1"/>
      <w:numFmt w:val="arabicAlpha"/>
      <w:lvlText w:val="%1."/>
      <w:lvlJc w:val="left"/>
      <w:pPr>
        <w:ind w:left="720" w:hanging="360"/>
      </w:pPr>
      <w:rPr>
        <w:rFonts w:ascii="David" w:eastAsiaTheme="majorEastAsia" w:hAnsi="David"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007A1"/>
    <w:multiLevelType w:val="hybridMultilevel"/>
    <w:tmpl w:val="773A65F2"/>
    <w:lvl w:ilvl="0" w:tplc="AAE6AD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7"/>
  </w:num>
  <w:num w:numId="6">
    <w:abstractNumId w:val="4"/>
  </w:num>
  <w:num w:numId="7">
    <w:abstractNumId w:val="2"/>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B4"/>
    <w:rsid w:val="00000F43"/>
    <w:rsid w:val="00004BA1"/>
    <w:rsid w:val="00005050"/>
    <w:rsid w:val="00005C66"/>
    <w:rsid w:val="00005DD0"/>
    <w:rsid w:val="00005EA2"/>
    <w:rsid w:val="00005F19"/>
    <w:rsid w:val="000060D6"/>
    <w:rsid w:val="000070EF"/>
    <w:rsid w:val="00007A44"/>
    <w:rsid w:val="00010448"/>
    <w:rsid w:val="0001053A"/>
    <w:rsid w:val="000105FD"/>
    <w:rsid w:val="000109A5"/>
    <w:rsid w:val="00011A5F"/>
    <w:rsid w:val="00012770"/>
    <w:rsid w:val="000132DC"/>
    <w:rsid w:val="000141D5"/>
    <w:rsid w:val="0001432C"/>
    <w:rsid w:val="0001437C"/>
    <w:rsid w:val="000146E5"/>
    <w:rsid w:val="000158CC"/>
    <w:rsid w:val="00015B58"/>
    <w:rsid w:val="00016530"/>
    <w:rsid w:val="00016685"/>
    <w:rsid w:val="00016C4F"/>
    <w:rsid w:val="00017534"/>
    <w:rsid w:val="00020023"/>
    <w:rsid w:val="0002023F"/>
    <w:rsid w:val="0002032A"/>
    <w:rsid w:val="0002034A"/>
    <w:rsid w:val="00020734"/>
    <w:rsid w:val="000208E0"/>
    <w:rsid w:val="00020DDB"/>
    <w:rsid w:val="00021120"/>
    <w:rsid w:val="000219B6"/>
    <w:rsid w:val="00022702"/>
    <w:rsid w:val="00023E6C"/>
    <w:rsid w:val="0002483E"/>
    <w:rsid w:val="00025A75"/>
    <w:rsid w:val="00026378"/>
    <w:rsid w:val="00026FC0"/>
    <w:rsid w:val="0002714C"/>
    <w:rsid w:val="000274DC"/>
    <w:rsid w:val="00027D0B"/>
    <w:rsid w:val="00030611"/>
    <w:rsid w:val="0003093A"/>
    <w:rsid w:val="00030B7C"/>
    <w:rsid w:val="00030F15"/>
    <w:rsid w:val="0003150B"/>
    <w:rsid w:val="000316E1"/>
    <w:rsid w:val="000318FB"/>
    <w:rsid w:val="00031D28"/>
    <w:rsid w:val="00032B9E"/>
    <w:rsid w:val="00033F74"/>
    <w:rsid w:val="00034102"/>
    <w:rsid w:val="00034E87"/>
    <w:rsid w:val="000352E4"/>
    <w:rsid w:val="00037C9F"/>
    <w:rsid w:val="0004168A"/>
    <w:rsid w:val="00041901"/>
    <w:rsid w:val="00041AE9"/>
    <w:rsid w:val="00041C0B"/>
    <w:rsid w:val="00041CBC"/>
    <w:rsid w:val="00042FFC"/>
    <w:rsid w:val="000431B0"/>
    <w:rsid w:val="00043264"/>
    <w:rsid w:val="00043711"/>
    <w:rsid w:val="00044BCD"/>
    <w:rsid w:val="00044C36"/>
    <w:rsid w:val="000453A4"/>
    <w:rsid w:val="00045A2F"/>
    <w:rsid w:val="00045FF5"/>
    <w:rsid w:val="00046158"/>
    <w:rsid w:val="00046669"/>
    <w:rsid w:val="00046928"/>
    <w:rsid w:val="00046CDD"/>
    <w:rsid w:val="00047B0C"/>
    <w:rsid w:val="00047F7A"/>
    <w:rsid w:val="000500F0"/>
    <w:rsid w:val="000512A3"/>
    <w:rsid w:val="0005148D"/>
    <w:rsid w:val="00051796"/>
    <w:rsid w:val="0005226F"/>
    <w:rsid w:val="00052492"/>
    <w:rsid w:val="0005289A"/>
    <w:rsid w:val="00052B96"/>
    <w:rsid w:val="00052C7B"/>
    <w:rsid w:val="00052F63"/>
    <w:rsid w:val="0005362E"/>
    <w:rsid w:val="0005469F"/>
    <w:rsid w:val="0005471E"/>
    <w:rsid w:val="000548C1"/>
    <w:rsid w:val="00054FC9"/>
    <w:rsid w:val="00055974"/>
    <w:rsid w:val="00056247"/>
    <w:rsid w:val="00056272"/>
    <w:rsid w:val="00056DE5"/>
    <w:rsid w:val="0005725F"/>
    <w:rsid w:val="0006013F"/>
    <w:rsid w:val="00061223"/>
    <w:rsid w:val="00061340"/>
    <w:rsid w:val="0006190A"/>
    <w:rsid w:val="00061E0F"/>
    <w:rsid w:val="000639F1"/>
    <w:rsid w:val="00064003"/>
    <w:rsid w:val="00064343"/>
    <w:rsid w:val="00064E40"/>
    <w:rsid w:val="0006532B"/>
    <w:rsid w:val="000656B6"/>
    <w:rsid w:val="00065932"/>
    <w:rsid w:val="0006593F"/>
    <w:rsid w:val="000676B6"/>
    <w:rsid w:val="00067CFF"/>
    <w:rsid w:val="000701AF"/>
    <w:rsid w:val="00070D5E"/>
    <w:rsid w:val="00071126"/>
    <w:rsid w:val="00071244"/>
    <w:rsid w:val="00071622"/>
    <w:rsid w:val="000719E1"/>
    <w:rsid w:val="00071B1A"/>
    <w:rsid w:val="00072508"/>
    <w:rsid w:val="00072649"/>
    <w:rsid w:val="00073378"/>
    <w:rsid w:val="0007364B"/>
    <w:rsid w:val="000738BF"/>
    <w:rsid w:val="00074024"/>
    <w:rsid w:val="00074315"/>
    <w:rsid w:val="00074B5F"/>
    <w:rsid w:val="00075515"/>
    <w:rsid w:val="000759C2"/>
    <w:rsid w:val="000761C0"/>
    <w:rsid w:val="000772C7"/>
    <w:rsid w:val="0007795A"/>
    <w:rsid w:val="0008121A"/>
    <w:rsid w:val="0008196B"/>
    <w:rsid w:val="00081DDD"/>
    <w:rsid w:val="0008281B"/>
    <w:rsid w:val="00082E87"/>
    <w:rsid w:val="0008393E"/>
    <w:rsid w:val="00083C99"/>
    <w:rsid w:val="00084BF4"/>
    <w:rsid w:val="0008521B"/>
    <w:rsid w:val="00086458"/>
    <w:rsid w:val="000864A8"/>
    <w:rsid w:val="0009011F"/>
    <w:rsid w:val="00090A00"/>
    <w:rsid w:val="00091FDA"/>
    <w:rsid w:val="00093B71"/>
    <w:rsid w:val="000944AF"/>
    <w:rsid w:val="000948A0"/>
    <w:rsid w:val="00094F56"/>
    <w:rsid w:val="00095137"/>
    <w:rsid w:val="000958EE"/>
    <w:rsid w:val="000960F6"/>
    <w:rsid w:val="00096737"/>
    <w:rsid w:val="0009685B"/>
    <w:rsid w:val="00096CCF"/>
    <w:rsid w:val="0009705B"/>
    <w:rsid w:val="000972AA"/>
    <w:rsid w:val="000A0576"/>
    <w:rsid w:val="000A05A8"/>
    <w:rsid w:val="000A071B"/>
    <w:rsid w:val="000A0D44"/>
    <w:rsid w:val="000A16E9"/>
    <w:rsid w:val="000A18BB"/>
    <w:rsid w:val="000A31A7"/>
    <w:rsid w:val="000A3506"/>
    <w:rsid w:val="000A3B04"/>
    <w:rsid w:val="000A3FD8"/>
    <w:rsid w:val="000A5286"/>
    <w:rsid w:val="000A66BD"/>
    <w:rsid w:val="000A68E3"/>
    <w:rsid w:val="000A7D66"/>
    <w:rsid w:val="000B0B31"/>
    <w:rsid w:val="000B0BC6"/>
    <w:rsid w:val="000B0CA5"/>
    <w:rsid w:val="000B112B"/>
    <w:rsid w:val="000B11D5"/>
    <w:rsid w:val="000B126F"/>
    <w:rsid w:val="000B14C0"/>
    <w:rsid w:val="000B18D4"/>
    <w:rsid w:val="000B2409"/>
    <w:rsid w:val="000B3173"/>
    <w:rsid w:val="000B33A4"/>
    <w:rsid w:val="000B3DB0"/>
    <w:rsid w:val="000B3DDF"/>
    <w:rsid w:val="000B3FB3"/>
    <w:rsid w:val="000B430B"/>
    <w:rsid w:val="000B460A"/>
    <w:rsid w:val="000B5C48"/>
    <w:rsid w:val="000C01A2"/>
    <w:rsid w:val="000C0256"/>
    <w:rsid w:val="000C0FA6"/>
    <w:rsid w:val="000C106D"/>
    <w:rsid w:val="000C1847"/>
    <w:rsid w:val="000C18B3"/>
    <w:rsid w:val="000C20FE"/>
    <w:rsid w:val="000C2880"/>
    <w:rsid w:val="000C435D"/>
    <w:rsid w:val="000C443E"/>
    <w:rsid w:val="000C4850"/>
    <w:rsid w:val="000C4E7D"/>
    <w:rsid w:val="000C57E1"/>
    <w:rsid w:val="000C6EB3"/>
    <w:rsid w:val="000C7A30"/>
    <w:rsid w:val="000C7FD6"/>
    <w:rsid w:val="000D0319"/>
    <w:rsid w:val="000D0A2F"/>
    <w:rsid w:val="000D1997"/>
    <w:rsid w:val="000D4769"/>
    <w:rsid w:val="000D556C"/>
    <w:rsid w:val="000D748B"/>
    <w:rsid w:val="000E0CB8"/>
    <w:rsid w:val="000E0DED"/>
    <w:rsid w:val="000E2459"/>
    <w:rsid w:val="000E2B18"/>
    <w:rsid w:val="000E2E96"/>
    <w:rsid w:val="000E3466"/>
    <w:rsid w:val="000E34E8"/>
    <w:rsid w:val="000E3C77"/>
    <w:rsid w:val="000E3E9A"/>
    <w:rsid w:val="000E48B4"/>
    <w:rsid w:val="000E5074"/>
    <w:rsid w:val="000E63C0"/>
    <w:rsid w:val="000E657B"/>
    <w:rsid w:val="000E68C2"/>
    <w:rsid w:val="000E75A8"/>
    <w:rsid w:val="000E7A07"/>
    <w:rsid w:val="000F0164"/>
    <w:rsid w:val="000F04D7"/>
    <w:rsid w:val="000F0A8F"/>
    <w:rsid w:val="000F1998"/>
    <w:rsid w:val="000F1A83"/>
    <w:rsid w:val="000F25FA"/>
    <w:rsid w:val="000F260A"/>
    <w:rsid w:val="000F2D2C"/>
    <w:rsid w:val="000F338C"/>
    <w:rsid w:val="000F3DEF"/>
    <w:rsid w:val="000F4B98"/>
    <w:rsid w:val="000F4BA0"/>
    <w:rsid w:val="000F4FE2"/>
    <w:rsid w:val="000F556B"/>
    <w:rsid w:val="000F557C"/>
    <w:rsid w:val="000F5712"/>
    <w:rsid w:val="000F59E3"/>
    <w:rsid w:val="000F64DD"/>
    <w:rsid w:val="000F74EB"/>
    <w:rsid w:val="000F7600"/>
    <w:rsid w:val="00100F1F"/>
    <w:rsid w:val="00101AF1"/>
    <w:rsid w:val="00101FF4"/>
    <w:rsid w:val="001020A3"/>
    <w:rsid w:val="00103254"/>
    <w:rsid w:val="00103482"/>
    <w:rsid w:val="00103CC0"/>
    <w:rsid w:val="0010472C"/>
    <w:rsid w:val="00104786"/>
    <w:rsid w:val="001057E5"/>
    <w:rsid w:val="00106383"/>
    <w:rsid w:val="00106A5F"/>
    <w:rsid w:val="00107CE3"/>
    <w:rsid w:val="00107E7B"/>
    <w:rsid w:val="00110784"/>
    <w:rsid w:val="00110AFC"/>
    <w:rsid w:val="00111C1D"/>
    <w:rsid w:val="00112BF8"/>
    <w:rsid w:val="00113502"/>
    <w:rsid w:val="0011509D"/>
    <w:rsid w:val="001157F1"/>
    <w:rsid w:val="0011654F"/>
    <w:rsid w:val="001168EC"/>
    <w:rsid w:val="001169F5"/>
    <w:rsid w:val="00116A38"/>
    <w:rsid w:val="00116C68"/>
    <w:rsid w:val="00116CC2"/>
    <w:rsid w:val="00116D84"/>
    <w:rsid w:val="00116F12"/>
    <w:rsid w:val="00117F9A"/>
    <w:rsid w:val="0012012A"/>
    <w:rsid w:val="001203D1"/>
    <w:rsid w:val="00120D1C"/>
    <w:rsid w:val="00121466"/>
    <w:rsid w:val="00122914"/>
    <w:rsid w:val="00122F46"/>
    <w:rsid w:val="001243AD"/>
    <w:rsid w:val="00124473"/>
    <w:rsid w:val="00124A38"/>
    <w:rsid w:val="00124EA4"/>
    <w:rsid w:val="001267BA"/>
    <w:rsid w:val="0012772B"/>
    <w:rsid w:val="0012788C"/>
    <w:rsid w:val="00130D10"/>
    <w:rsid w:val="00131217"/>
    <w:rsid w:val="00131357"/>
    <w:rsid w:val="00131EBB"/>
    <w:rsid w:val="0013297E"/>
    <w:rsid w:val="00133BAB"/>
    <w:rsid w:val="0013456E"/>
    <w:rsid w:val="00134776"/>
    <w:rsid w:val="001368A5"/>
    <w:rsid w:val="00136B51"/>
    <w:rsid w:val="00136C41"/>
    <w:rsid w:val="001374A8"/>
    <w:rsid w:val="001409FD"/>
    <w:rsid w:val="00140BB9"/>
    <w:rsid w:val="00140E6B"/>
    <w:rsid w:val="00140FA0"/>
    <w:rsid w:val="00141454"/>
    <w:rsid w:val="00141DAA"/>
    <w:rsid w:val="001420C8"/>
    <w:rsid w:val="0014362F"/>
    <w:rsid w:val="00146862"/>
    <w:rsid w:val="00146E06"/>
    <w:rsid w:val="00146E07"/>
    <w:rsid w:val="00150F75"/>
    <w:rsid w:val="0015101B"/>
    <w:rsid w:val="0015133F"/>
    <w:rsid w:val="00151BC9"/>
    <w:rsid w:val="0015205A"/>
    <w:rsid w:val="001522AD"/>
    <w:rsid w:val="001525BA"/>
    <w:rsid w:val="00152C76"/>
    <w:rsid w:val="00152F9E"/>
    <w:rsid w:val="0015328A"/>
    <w:rsid w:val="0015342A"/>
    <w:rsid w:val="00153C57"/>
    <w:rsid w:val="00153EBF"/>
    <w:rsid w:val="00155499"/>
    <w:rsid w:val="0015557A"/>
    <w:rsid w:val="00155A1F"/>
    <w:rsid w:val="00155BCB"/>
    <w:rsid w:val="001562BF"/>
    <w:rsid w:val="001578BB"/>
    <w:rsid w:val="00160233"/>
    <w:rsid w:val="001607CC"/>
    <w:rsid w:val="00160B81"/>
    <w:rsid w:val="00160EEF"/>
    <w:rsid w:val="0016160C"/>
    <w:rsid w:val="0016192A"/>
    <w:rsid w:val="00162EC3"/>
    <w:rsid w:val="0016651A"/>
    <w:rsid w:val="00166A75"/>
    <w:rsid w:val="00166B35"/>
    <w:rsid w:val="0016742A"/>
    <w:rsid w:val="00167549"/>
    <w:rsid w:val="001675DB"/>
    <w:rsid w:val="0016796A"/>
    <w:rsid w:val="00167B10"/>
    <w:rsid w:val="00167ECD"/>
    <w:rsid w:val="00170D1C"/>
    <w:rsid w:val="00171C8B"/>
    <w:rsid w:val="00174689"/>
    <w:rsid w:val="00174ADC"/>
    <w:rsid w:val="001753D3"/>
    <w:rsid w:val="001756F9"/>
    <w:rsid w:val="00175A15"/>
    <w:rsid w:val="00176377"/>
    <w:rsid w:val="001765B4"/>
    <w:rsid w:val="00176ED4"/>
    <w:rsid w:val="00177954"/>
    <w:rsid w:val="00180192"/>
    <w:rsid w:val="001807A6"/>
    <w:rsid w:val="00180C2E"/>
    <w:rsid w:val="001816B0"/>
    <w:rsid w:val="00181C77"/>
    <w:rsid w:val="00181E6D"/>
    <w:rsid w:val="001820B5"/>
    <w:rsid w:val="00182817"/>
    <w:rsid w:val="001835ED"/>
    <w:rsid w:val="00183654"/>
    <w:rsid w:val="001843A0"/>
    <w:rsid w:val="0018450A"/>
    <w:rsid w:val="00184BFF"/>
    <w:rsid w:val="00186F49"/>
    <w:rsid w:val="001879F1"/>
    <w:rsid w:val="00187CB7"/>
    <w:rsid w:val="00187CDC"/>
    <w:rsid w:val="00190A88"/>
    <w:rsid w:val="001917CB"/>
    <w:rsid w:val="00191E38"/>
    <w:rsid w:val="001928EA"/>
    <w:rsid w:val="00192B9D"/>
    <w:rsid w:val="0019469A"/>
    <w:rsid w:val="00194E51"/>
    <w:rsid w:val="00195747"/>
    <w:rsid w:val="0019582C"/>
    <w:rsid w:val="00195A69"/>
    <w:rsid w:val="001970E9"/>
    <w:rsid w:val="00197903"/>
    <w:rsid w:val="001A0071"/>
    <w:rsid w:val="001A01AD"/>
    <w:rsid w:val="001A126B"/>
    <w:rsid w:val="001A1E6B"/>
    <w:rsid w:val="001A2692"/>
    <w:rsid w:val="001A3A11"/>
    <w:rsid w:val="001A4119"/>
    <w:rsid w:val="001A48BF"/>
    <w:rsid w:val="001A4B64"/>
    <w:rsid w:val="001A4B8E"/>
    <w:rsid w:val="001A4D0C"/>
    <w:rsid w:val="001A54A7"/>
    <w:rsid w:val="001A6560"/>
    <w:rsid w:val="001A6EAC"/>
    <w:rsid w:val="001A734E"/>
    <w:rsid w:val="001A781C"/>
    <w:rsid w:val="001B0112"/>
    <w:rsid w:val="001B085E"/>
    <w:rsid w:val="001B0A04"/>
    <w:rsid w:val="001B0E12"/>
    <w:rsid w:val="001B1147"/>
    <w:rsid w:val="001B11CC"/>
    <w:rsid w:val="001B1340"/>
    <w:rsid w:val="001B1342"/>
    <w:rsid w:val="001B1461"/>
    <w:rsid w:val="001B2AEE"/>
    <w:rsid w:val="001B3488"/>
    <w:rsid w:val="001B3BB8"/>
    <w:rsid w:val="001B4028"/>
    <w:rsid w:val="001B4D8C"/>
    <w:rsid w:val="001B545C"/>
    <w:rsid w:val="001B679F"/>
    <w:rsid w:val="001B75AA"/>
    <w:rsid w:val="001C0029"/>
    <w:rsid w:val="001C22D9"/>
    <w:rsid w:val="001C2731"/>
    <w:rsid w:val="001C28BC"/>
    <w:rsid w:val="001C2A9E"/>
    <w:rsid w:val="001C2D02"/>
    <w:rsid w:val="001C3010"/>
    <w:rsid w:val="001C30FE"/>
    <w:rsid w:val="001C44F6"/>
    <w:rsid w:val="001C715D"/>
    <w:rsid w:val="001C761F"/>
    <w:rsid w:val="001C7C54"/>
    <w:rsid w:val="001D115F"/>
    <w:rsid w:val="001D1645"/>
    <w:rsid w:val="001D26CF"/>
    <w:rsid w:val="001D2E6A"/>
    <w:rsid w:val="001D323B"/>
    <w:rsid w:val="001D340B"/>
    <w:rsid w:val="001D3B31"/>
    <w:rsid w:val="001D50E2"/>
    <w:rsid w:val="001D514D"/>
    <w:rsid w:val="001D5441"/>
    <w:rsid w:val="001D6029"/>
    <w:rsid w:val="001D6CFB"/>
    <w:rsid w:val="001D6E2E"/>
    <w:rsid w:val="001D6F14"/>
    <w:rsid w:val="001D7A8E"/>
    <w:rsid w:val="001E1096"/>
    <w:rsid w:val="001E1175"/>
    <w:rsid w:val="001E1D71"/>
    <w:rsid w:val="001E2E92"/>
    <w:rsid w:val="001E3537"/>
    <w:rsid w:val="001E38CB"/>
    <w:rsid w:val="001E3D10"/>
    <w:rsid w:val="001E3E6D"/>
    <w:rsid w:val="001E3F16"/>
    <w:rsid w:val="001E4A32"/>
    <w:rsid w:val="001E5330"/>
    <w:rsid w:val="001E5FB6"/>
    <w:rsid w:val="001E6D91"/>
    <w:rsid w:val="001E7E69"/>
    <w:rsid w:val="001F0355"/>
    <w:rsid w:val="001F054A"/>
    <w:rsid w:val="001F0A6D"/>
    <w:rsid w:val="001F131D"/>
    <w:rsid w:val="001F16C0"/>
    <w:rsid w:val="001F1980"/>
    <w:rsid w:val="001F30DB"/>
    <w:rsid w:val="001F31F9"/>
    <w:rsid w:val="001F43DA"/>
    <w:rsid w:val="001F4AC9"/>
    <w:rsid w:val="001F575D"/>
    <w:rsid w:val="001F5766"/>
    <w:rsid w:val="001F60EF"/>
    <w:rsid w:val="001F680F"/>
    <w:rsid w:val="001F6815"/>
    <w:rsid w:val="001F707E"/>
    <w:rsid w:val="001F7770"/>
    <w:rsid w:val="001F77C0"/>
    <w:rsid w:val="002002E2"/>
    <w:rsid w:val="0020174A"/>
    <w:rsid w:val="0020176B"/>
    <w:rsid w:val="0020254E"/>
    <w:rsid w:val="002033D4"/>
    <w:rsid w:val="00203B9E"/>
    <w:rsid w:val="0020471A"/>
    <w:rsid w:val="00204A23"/>
    <w:rsid w:val="00205E45"/>
    <w:rsid w:val="00205FE9"/>
    <w:rsid w:val="00206ED3"/>
    <w:rsid w:val="0020763D"/>
    <w:rsid w:val="002102F2"/>
    <w:rsid w:val="002109E2"/>
    <w:rsid w:val="002109FF"/>
    <w:rsid w:val="00212BBB"/>
    <w:rsid w:val="00212E5A"/>
    <w:rsid w:val="0021377A"/>
    <w:rsid w:val="00213B1A"/>
    <w:rsid w:val="00213D33"/>
    <w:rsid w:val="002145B8"/>
    <w:rsid w:val="0021553D"/>
    <w:rsid w:val="0022061A"/>
    <w:rsid w:val="00220CE0"/>
    <w:rsid w:val="0022105E"/>
    <w:rsid w:val="00221125"/>
    <w:rsid w:val="002226B4"/>
    <w:rsid w:val="002236EE"/>
    <w:rsid w:val="00223A7F"/>
    <w:rsid w:val="002244EA"/>
    <w:rsid w:val="00224830"/>
    <w:rsid w:val="002252FB"/>
    <w:rsid w:val="00225530"/>
    <w:rsid w:val="002255BB"/>
    <w:rsid w:val="002263C7"/>
    <w:rsid w:val="002268FD"/>
    <w:rsid w:val="0022710A"/>
    <w:rsid w:val="0022746B"/>
    <w:rsid w:val="002276FD"/>
    <w:rsid w:val="00227813"/>
    <w:rsid w:val="00230618"/>
    <w:rsid w:val="002324FE"/>
    <w:rsid w:val="00233A07"/>
    <w:rsid w:val="00234E18"/>
    <w:rsid w:val="00235EB9"/>
    <w:rsid w:val="00236138"/>
    <w:rsid w:val="002362BA"/>
    <w:rsid w:val="00240249"/>
    <w:rsid w:val="00240B8B"/>
    <w:rsid w:val="00240C77"/>
    <w:rsid w:val="00241242"/>
    <w:rsid w:val="0024295F"/>
    <w:rsid w:val="002435A0"/>
    <w:rsid w:val="002437BE"/>
    <w:rsid w:val="00243D9E"/>
    <w:rsid w:val="00244213"/>
    <w:rsid w:val="00244B0A"/>
    <w:rsid w:val="00245CB3"/>
    <w:rsid w:val="00245DC8"/>
    <w:rsid w:val="0024742D"/>
    <w:rsid w:val="00250685"/>
    <w:rsid w:val="0025113E"/>
    <w:rsid w:val="00251EFD"/>
    <w:rsid w:val="002520CA"/>
    <w:rsid w:val="00252811"/>
    <w:rsid w:val="0025477E"/>
    <w:rsid w:val="00254793"/>
    <w:rsid w:val="00254A17"/>
    <w:rsid w:val="00254FFA"/>
    <w:rsid w:val="00255940"/>
    <w:rsid w:val="00255A9A"/>
    <w:rsid w:val="002565B7"/>
    <w:rsid w:val="00256B54"/>
    <w:rsid w:val="002576D4"/>
    <w:rsid w:val="0025778D"/>
    <w:rsid w:val="00257967"/>
    <w:rsid w:val="00257E64"/>
    <w:rsid w:val="00260364"/>
    <w:rsid w:val="002606E8"/>
    <w:rsid w:val="00260C4A"/>
    <w:rsid w:val="002613F6"/>
    <w:rsid w:val="002614BC"/>
    <w:rsid w:val="0026159A"/>
    <w:rsid w:val="00261A52"/>
    <w:rsid w:val="00261EE7"/>
    <w:rsid w:val="0026217B"/>
    <w:rsid w:val="002626B4"/>
    <w:rsid w:val="00262CB4"/>
    <w:rsid w:val="00263111"/>
    <w:rsid w:val="002631FC"/>
    <w:rsid w:val="00263686"/>
    <w:rsid w:val="00263A3E"/>
    <w:rsid w:val="00263AF2"/>
    <w:rsid w:val="00263F9B"/>
    <w:rsid w:val="0026439E"/>
    <w:rsid w:val="0026490C"/>
    <w:rsid w:val="00265130"/>
    <w:rsid w:val="00265190"/>
    <w:rsid w:val="00265305"/>
    <w:rsid w:val="0026536C"/>
    <w:rsid w:val="002660FB"/>
    <w:rsid w:val="002670B5"/>
    <w:rsid w:val="0026765F"/>
    <w:rsid w:val="002676B1"/>
    <w:rsid w:val="00267C7A"/>
    <w:rsid w:val="00267E6C"/>
    <w:rsid w:val="00267F15"/>
    <w:rsid w:val="00270086"/>
    <w:rsid w:val="0027034F"/>
    <w:rsid w:val="002704E0"/>
    <w:rsid w:val="00270C7A"/>
    <w:rsid w:val="00270F34"/>
    <w:rsid w:val="00271025"/>
    <w:rsid w:val="002711D3"/>
    <w:rsid w:val="00271751"/>
    <w:rsid w:val="00271B39"/>
    <w:rsid w:val="00271BA2"/>
    <w:rsid w:val="00273B9E"/>
    <w:rsid w:val="00273E97"/>
    <w:rsid w:val="002745E8"/>
    <w:rsid w:val="00274695"/>
    <w:rsid w:val="00274D6A"/>
    <w:rsid w:val="002750BA"/>
    <w:rsid w:val="00276080"/>
    <w:rsid w:val="002764C2"/>
    <w:rsid w:val="00276537"/>
    <w:rsid w:val="00276FFC"/>
    <w:rsid w:val="00277134"/>
    <w:rsid w:val="00280871"/>
    <w:rsid w:val="002814A4"/>
    <w:rsid w:val="002828F8"/>
    <w:rsid w:val="002838F3"/>
    <w:rsid w:val="00283D23"/>
    <w:rsid w:val="00284009"/>
    <w:rsid w:val="00284160"/>
    <w:rsid w:val="00285146"/>
    <w:rsid w:val="002852EC"/>
    <w:rsid w:val="002854C0"/>
    <w:rsid w:val="002856F4"/>
    <w:rsid w:val="00285AC8"/>
    <w:rsid w:val="00287772"/>
    <w:rsid w:val="00290063"/>
    <w:rsid w:val="00290258"/>
    <w:rsid w:val="00291C59"/>
    <w:rsid w:val="0029228F"/>
    <w:rsid w:val="00292879"/>
    <w:rsid w:val="00292F09"/>
    <w:rsid w:val="0029302A"/>
    <w:rsid w:val="002935E7"/>
    <w:rsid w:val="00293983"/>
    <w:rsid w:val="00293A9D"/>
    <w:rsid w:val="00293DC6"/>
    <w:rsid w:val="00294164"/>
    <w:rsid w:val="002947C5"/>
    <w:rsid w:val="00294841"/>
    <w:rsid w:val="002949C1"/>
    <w:rsid w:val="00294BCB"/>
    <w:rsid w:val="0029593A"/>
    <w:rsid w:val="00296227"/>
    <w:rsid w:val="00297C6C"/>
    <w:rsid w:val="002A001A"/>
    <w:rsid w:val="002A0417"/>
    <w:rsid w:val="002A0F47"/>
    <w:rsid w:val="002A13D1"/>
    <w:rsid w:val="002A163D"/>
    <w:rsid w:val="002A1CFA"/>
    <w:rsid w:val="002A1E9E"/>
    <w:rsid w:val="002A35ED"/>
    <w:rsid w:val="002A3882"/>
    <w:rsid w:val="002A481D"/>
    <w:rsid w:val="002A4C77"/>
    <w:rsid w:val="002A5FC2"/>
    <w:rsid w:val="002A70A3"/>
    <w:rsid w:val="002A7143"/>
    <w:rsid w:val="002A7C4E"/>
    <w:rsid w:val="002B01CD"/>
    <w:rsid w:val="002B1AF7"/>
    <w:rsid w:val="002B1C55"/>
    <w:rsid w:val="002B2576"/>
    <w:rsid w:val="002B2D28"/>
    <w:rsid w:val="002B387F"/>
    <w:rsid w:val="002B40DE"/>
    <w:rsid w:val="002B45EE"/>
    <w:rsid w:val="002B49B5"/>
    <w:rsid w:val="002B579A"/>
    <w:rsid w:val="002B5C18"/>
    <w:rsid w:val="002B6095"/>
    <w:rsid w:val="002B66FB"/>
    <w:rsid w:val="002B6DBE"/>
    <w:rsid w:val="002B70CA"/>
    <w:rsid w:val="002B759F"/>
    <w:rsid w:val="002B78E2"/>
    <w:rsid w:val="002C0261"/>
    <w:rsid w:val="002C0555"/>
    <w:rsid w:val="002C0B35"/>
    <w:rsid w:val="002C0CDD"/>
    <w:rsid w:val="002C1869"/>
    <w:rsid w:val="002C1FC7"/>
    <w:rsid w:val="002C2211"/>
    <w:rsid w:val="002C247D"/>
    <w:rsid w:val="002C2976"/>
    <w:rsid w:val="002C2AD6"/>
    <w:rsid w:val="002C2E9C"/>
    <w:rsid w:val="002C3A0E"/>
    <w:rsid w:val="002C467B"/>
    <w:rsid w:val="002C4878"/>
    <w:rsid w:val="002C495E"/>
    <w:rsid w:val="002C4B23"/>
    <w:rsid w:val="002C4E36"/>
    <w:rsid w:val="002C55D2"/>
    <w:rsid w:val="002C6A98"/>
    <w:rsid w:val="002C713F"/>
    <w:rsid w:val="002C7430"/>
    <w:rsid w:val="002C7731"/>
    <w:rsid w:val="002C7BF7"/>
    <w:rsid w:val="002D0000"/>
    <w:rsid w:val="002D04A9"/>
    <w:rsid w:val="002D0FC1"/>
    <w:rsid w:val="002D1067"/>
    <w:rsid w:val="002D128E"/>
    <w:rsid w:val="002D3967"/>
    <w:rsid w:val="002D413F"/>
    <w:rsid w:val="002D4361"/>
    <w:rsid w:val="002D483E"/>
    <w:rsid w:val="002D58A8"/>
    <w:rsid w:val="002D5E2E"/>
    <w:rsid w:val="002D7346"/>
    <w:rsid w:val="002D78F3"/>
    <w:rsid w:val="002D7B21"/>
    <w:rsid w:val="002D7F09"/>
    <w:rsid w:val="002E0C7D"/>
    <w:rsid w:val="002E1536"/>
    <w:rsid w:val="002E1DD4"/>
    <w:rsid w:val="002E2A27"/>
    <w:rsid w:val="002E30B4"/>
    <w:rsid w:val="002E3B5A"/>
    <w:rsid w:val="002E5945"/>
    <w:rsid w:val="002E5FB1"/>
    <w:rsid w:val="002E6B10"/>
    <w:rsid w:val="002E6B11"/>
    <w:rsid w:val="002E6E07"/>
    <w:rsid w:val="002E7A60"/>
    <w:rsid w:val="002E7F59"/>
    <w:rsid w:val="002F0E49"/>
    <w:rsid w:val="002F0FC7"/>
    <w:rsid w:val="002F1857"/>
    <w:rsid w:val="002F28CA"/>
    <w:rsid w:val="002F578C"/>
    <w:rsid w:val="002F6775"/>
    <w:rsid w:val="002F7431"/>
    <w:rsid w:val="003002A5"/>
    <w:rsid w:val="003008F6"/>
    <w:rsid w:val="0030112C"/>
    <w:rsid w:val="0030193F"/>
    <w:rsid w:val="00301CB8"/>
    <w:rsid w:val="00302B21"/>
    <w:rsid w:val="00302D9F"/>
    <w:rsid w:val="003031D8"/>
    <w:rsid w:val="0030368C"/>
    <w:rsid w:val="0030390E"/>
    <w:rsid w:val="0030447A"/>
    <w:rsid w:val="00304C0F"/>
    <w:rsid w:val="003051D3"/>
    <w:rsid w:val="00305B22"/>
    <w:rsid w:val="0030644A"/>
    <w:rsid w:val="003066E8"/>
    <w:rsid w:val="00306EFC"/>
    <w:rsid w:val="003076AE"/>
    <w:rsid w:val="00310560"/>
    <w:rsid w:val="003108D0"/>
    <w:rsid w:val="00310FC9"/>
    <w:rsid w:val="0031106D"/>
    <w:rsid w:val="003110F6"/>
    <w:rsid w:val="003115AB"/>
    <w:rsid w:val="0031187F"/>
    <w:rsid w:val="003119BE"/>
    <w:rsid w:val="00312F15"/>
    <w:rsid w:val="00313E4C"/>
    <w:rsid w:val="003159D4"/>
    <w:rsid w:val="00316A06"/>
    <w:rsid w:val="00316B55"/>
    <w:rsid w:val="00316BBB"/>
    <w:rsid w:val="00317236"/>
    <w:rsid w:val="00317540"/>
    <w:rsid w:val="00317647"/>
    <w:rsid w:val="00317C58"/>
    <w:rsid w:val="00320A16"/>
    <w:rsid w:val="00320FF4"/>
    <w:rsid w:val="00321C57"/>
    <w:rsid w:val="00322CFD"/>
    <w:rsid w:val="003232F9"/>
    <w:rsid w:val="0032419E"/>
    <w:rsid w:val="003251C1"/>
    <w:rsid w:val="00325843"/>
    <w:rsid w:val="00325C92"/>
    <w:rsid w:val="00326A20"/>
    <w:rsid w:val="00326E3A"/>
    <w:rsid w:val="003276B5"/>
    <w:rsid w:val="00327843"/>
    <w:rsid w:val="003303DF"/>
    <w:rsid w:val="003305CE"/>
    <w:rsid w:val="00332CDF"/>
    <w:rsid w:val="00334635"/>
    <w:rsid w:val="003346EE"/>
    <w:rsid w:val="003358AF"/>
    <w:rsid w:val="00335A83"/>
    <w:rsid w:val="00336071"/>
    <w:rsid w:val="00336596"/>
    <w:rsid w:val="00336AC4"/>
    <w:rsid w:val="00336F32"/>
    <w:rsid w:val="00337CBA"/>
    <w:rsid w:val="00337E03"/>
    <w:rsid w:val="00340058"/>
    <w:rsid w:val="00341400"/>
    <w:rsid w:val="00341552"/>
    <w:rsid w:val="00342D9E"/>
    <w:rsid w:val="00345481"/>
    <w:rsid w:val="00345E82"/>
    <w:rsid w:val="00346320"/>
    <w:rsid w:val="00347469"/>
    <w:rsid w:val="003477BB"/>
    <w:rsid w:val="00347B65"/>
    <w:rsid w:val="00350138"/>
    <w:rsid w:val="00350175"/>
    <w:rsid w:val="00350AAA"/>
    <w:rsid w:val="003517A4"/>
    <w:rsid w:val="00352020"/>
    <w:rsid w:val="003523EB"/>
    <w:rsid w:val="00352D9D"/>
    <w:rsid w:val="0035335C"/>
    <w:rsid w:val="0035355B"/>
    <w:rsid w:val="00354291"/>
    <w:rsid w:val="003545DF"/>
    <w:rsid w:val="0035465F"/>
    <w:rsid w:val="0035624D"/>
    <w:rsid w:val="0035698A"/>
    <w:rsid w:val="00356D72"/>
    <w:rsid w:val="003576BE"/>
    <w:rsid w:val="00357A80"/>
    <w:rsid w:val="00357BD0"/>
    <w:rsid w:val="00357CEF"/>
    <w:rsid w:val="003600BD"/>
    <w:rsid w:val="003606EC"/>
    <w:rsid w:val="00360A00"/>
    <w:rsid w:val="00360D5E"/>
    <w:rsid w:val="00360F77"/>
    <w:rsid w:val="0036107F"/>
    <w:rsid w:val="00361D7F"/>
    <w:rsid w:val="0036298D"/>
    <w:rsid w:val="003633BC"/>
    <w:rsid w:val="0036354C"/>
    <w:rsid w:val="003639D2"/>
    <w:rsid w:val="00364143"/>
    <w:rsid w:val="003641FE"/>
    <w:rsid w:val="003642D4"/>
    <w:rsid w:val="00364FE4"/>
    <w:rsid w:val="003659A0"/>
    <w:rsid w:val="00365A8B"/>
    <w:rsid w:val="00366027"/>
    <w:rsid w:val="0036766F"/>
    <w:rsid w:val="00370993"/>
    <w:rsid w:val="00370C71"/>
    <w:rsid w:val="00371148"/>
    <w:rsid w:val="00371706"/>
    <w:rsid w:val="00372447"/>
    <w:rsid w:val="0037248D"/>
    <w:rsid w:val="00372824"/>
    <w:rsid w:val="00372B6D"/>
    <w:rsid w:val="00372DCB"/>
    <w:rsid w:val="0037395F"/>
    <w:rsid w:val="00374CD5"/>
    <w:rsid w:val="00374D77"/>
    <w:rsid w:val="0037581B"/>
    <w:rsid w:val="003761F9"/>
    <w:rsid w:val="00377994"/>
    <w:rsid w:val="00377C7E"/>
    <w:rsid w:val="00380343"/>
    <w:rsid w:val="0038078D"/>
    <w:rsid w:val="00381155"/>
    <w:rsid w:val="00381935"/>
    <w:rsid w:val="00381BB0"/>
    <w:rsid w:val="00383782"/>
    <w:rsid w:val="00383874"/>
    <w:rsid w:val="003846F0"/>
    <w:rsid w:val="0038522B"/>
    <w:rsid w:val="0038557C"/>
    <w:rsid w:val="003863BF"/>
    <w:rsid w:val="0039042B"/>
    <w:rsid w:val="0039054D"/>
    <w:rsid w:val="00392005"/>
    <w:rsid w:val="00392151"/>
    <w:rsid w:val="003929A9"/>
    <w:rsid w:val="0039308A"/>
    <w:rsid w:val="00393477"/>
    <w:rsid w:val="003934AE"/>
    <w:rsid w:val="00394163"/>
    <w:rsid w:val="00395587"/>
    <w:rsid w:val="003956B8"/>
    <w:rsid w:val="00397860"/>
    <w:rsid w:val="003A0428"/>
    <w:rsid w:val="003A11AA"/>
    <w:rsid w:val="003A148F"/>
    <w:rsid w:val="003A2674"/>
    <w:rsid w:val="003A305E"/>
    <w:rsid w:val="003A362E"/>
    <w:rsid w:val="003A479F"/>
    <w:rsid w:val="003A4890"/>
    <w:rsid w:val="003A4FBC"/>
    <w:rsid w:val="003A6591"/>
    <w:rsid w:val="003A7C92"/>
    <w:rsid w:val="003A7F29"/>
    <w:rsid w:val="003A7FD5"/>
    <w:rsid w:val="003B16BB"/>
    <w:rsid w:val="003B2618"/>
    <w:rsid w:val="003B27D8"/>
    <w:rsid w:val="003B3138"/>
    <w:rsid w:val="003B3381"/>
    <w:rsid w:val="003B33E9"/>
    <w:rsid w:val="003B392B"/>
    <w:rsid w:val="003B4790"/>
    <w:rsid w:val="003B55C1"/>
    <w:rsid w:val="003B5652"/>
    <w:rsid w:val="003B57A6"/>
    <w:rsid w:val="003B5EBC"/>
    <w:rsid w:val="003B6E6B"/>
    <w:rsid w:val="003C0AD4"/>
    <w:rsid w:val="003C14F0"/>
    <w:rsid w:val="003C177F"/>
    <w:rsid w:val="003C1F5E"/>
    <w:rsid w:val="003C258F"/>
    <w:rsid w:val="003C34D1"/>
    <w:rsid w:val="003C35E2"/>
    <w:rsid w:val="003C37BE"/>
    <w:rsid w:val="003C3A84"/>
    <w:rsid w:val="003C41D0"/>
    <w:rsid w:val="003C4C76"/>
    <w:rsid w:val="003C505C"/>
    <w:rsid w:val="003C657E"/>
    <w:rsid w:val="003C6863"/>
    <w:rsid w:val="003C6AC0"/>
    <w:rsid w:val="003C71BE"/>
    <w:rsid w:val="003C7BCC"/>
    <w:rsid w:val="003C7C74"/>
    <w:rsid w:val="003C7DE9"/>
    <w:rsid w:val="003C7F60"/>
    <w:rsid w:val="003D02C7"/>
    <w:rsid w:val="003D17AE"/>
    <w:rsid w:val="003D20FE"/>
    <w:rsid w:val="003D2AA4"/>
    <w:rsid w:val="003D36C5"/>
    <w:rsid w:val="003D3EC4"/>
    <w:rsid w:val="003D4CB9"/>
    <w:rsid w:val="003D4E1E"/>
    <w:rsid w:val="003D50AA"/>
    <w:rsid w:val="003D50B6"/>
    <w:rsid w:val="003D7DB6"/>
    <w:rsid w:val="003E0591"/>
    <w:rsid w:val="003E0ED5"/>
    <w:rsid w:val="003E108D"/>
    <w:rsid w:val="003E1121"/>
    <w:rsid w:val="003E1AF7"/>
    <w:rsid w:val="003E2842"/>
    <w:rsid w:val="003E30EA"/>
    <w:rsid w:val="003E49A4"/>
    <w:rsid w:val="003E4F43"/>
    <w:rsid w:val="003E500F"/>
    <w:rsid w:val="003E524B"/>
    <w:rsid w:val="003E53B1"/>
    <w:rsid w:val="003E5633"/>
    <w:rsid w:val="003E5E45"/>
    <w:rsid w:val="003E5EA9"/>
    <w:rsid w:val="003E661F"/>
    <w:rsid w:val="003E6E15"/>
    <w:rsid w:val="003E775E"/>
    <w:rsid w:val="003E7A7F"/>
    <w:rsid w:val="003E7D5A"/>
    <w:rsid w:val="003E7E23"/>
    <w:rsid w:val="003E7E39"/>
    <w:rsid w:val="003F093C"/>
    <w:rsid w:val="003F0D9A"/>
    <w:rsid w:val="003F0DF4"/>
    <w:rsid w:val="003F141E"/>
    <w:rsid w:val="003F180D"/>
    <w:rsid w:val="003F241E"/>
    <w:rsid w:val="003F2513"/>
    <w:rsid w:val="003F2B03"/>
    <w:rsid w:val="003F2B9A"/>
    <w:rsid w:val="003F31B6"/>
    <w:rsid w:val="003F3AC5"/>
    <w:rsid w:val="003F626F"/>
    <w:rsid w:val="003F6F4B"/>
    <w:rsid w:val="003F6F67"/>
    <w:rsid w:val="003F7236"/>
    <w:rsid w:val="003F7A8E"/>
    <w:rsid w:val="003F7C22"/>
    <w:rsid w:val="003F7CA3"/>
    <w:rsid w:val="004006E5"/>
    <w:rsid w:val="00400CDD"/>
    <w:rsid w:val="00402378"/>
    <w:rsid w:val="00402DD6"/>
    <w:rsid w:val="004037C2"/>
    <w:rsid w:val="00403CBC"/>
    <w:rsid w:val="00403EC2"/>
    <w:rsid w:val="0040417B"/>
    <w:rsid w:val="0040455C"/>
    <w:rsid w:val="00404DCD"/>
    <w:rsid w:val="00404FCB"/>
    <w:rsid w:val="0040518C"/>
    <w:rsid w:val="00405683"/>
    <w:rsid w:val="00405795"/>
    <w:rsid w:val="004062C2"/>
    <w:rsid w:val="00407032"/>
    <w:rsid w:val="00407E07"/>
    <w:rsid w:val="004103B2"/>
    <w:rsid w:val="004106F5"/>
    <w:rsid w:val="00410D97"/>
    <w:rsid w:val="004116E6"/>
    <w:rsid w:val="00412937"/>
    <w:rsid w:val="00412E9C"/>
    <w:rsid w:val="0041380E"/>
    <w:rsid w:val="00413C9D"/>
    <w:rsid w:val="00413CF1"/>
    <w:rsid w:val="00413E7F"/>
    <w:rsid w:val="00413E93"/>
    <w:rsid w:val="004148A4"/>
    <w:rsid w:val="00416028"/>
    <w:rsid w:val="00416F05"/>
    <w:rsid w:val="00420969"/>
    <w:rsid w:val="00420F90"/>
    <w:rsid w:val="0042149A"/>
    <w:rsid w:val="00421548"/>
    <w:rsid w:val="00421B01"/>
    <w:rsid w:val="00422A5F"/>
    <w:rsid w:val="00422E1F"/>
    <w:rsid w:val="004237A0"/>
    <w:rsid w:val="00427DF9"/>
    <w:rsid w:val="004303FC"/>
    <w:rsid w:val="00430697"/>
    <w:rsid w:val="00430AA5"/>
    <w:rsid w:val="00431433"/>
    <w:rsid w:val="00431634"/>
    <w:rsid w:val="00431BD3"/>
    <w:rsid w:val="00431EC9"/>
    <w:rsid w:val="004326CB"/>
    <w:rsid w:val="0043365B"/>
    <w:rsid w:val="00433B2E"/>
    <w:rsid w:val="00433E1C"/>
    <w:rsid w:val="00435AFF"/>
    <w:rsid w:val="004367C5"/>
    <w:rsid w:val="00436A60"/>
    <w:rsid w:val="00437680"/>
    <w:rsid w:val="00437959"/>
    <w:rsid w:val="00437AEC"/>
    <w:rsid w:val="00437F4A"/>
    <w:rsid w:val="00440A9B"/>
    <w:rsid w:val="004412D4"/>
    <w:rsid w:val="004417E0"/>
    <w:rsid w:val="00442C04"/>
    <w:rsid w:val="0044306E"/>
    <w:rsid w:val="0044415C"/>
    <w:rsid w:val="00444431"/>
    <w:rsid w:val="00444790"/>
    <w:rsid w:val="00447E9E"/>
    <w:rsid w:val="00450099"/>
    <w:rsid w:val="0045011E"/>
    <w:rsid w:val="00450985"/>
    <w:rsid w:val="00450ABE"/>
    <w:rsid w:val="004514C3"/>
    <w:rsid w:val="00451A42"/>
    <w:rsid w:val="00451B55"/>
    <w:rsid w:val="00451B98"/>
    <w:rsid w:val="00451FEA"/>
    <w:rsid w:val="004529D5"/>
    <w:rsid w:val="00453802"/>
    <w:rsid w:val="00454271"/>
    <w:rsid w:val="00454B08"/>
    <w:rsid w:val="00454BF1"/>
    <w:rsid w:val="00454F70"/>
    <w:rsid w:val="004550A4"/>
    <w:rsid w:val="004552EF"/>
    <w:rsid w:val="0045548E"/>
    <w:rsid w:val="00456A1A"/>
    <w:rsid w:val="00456AEA"/>
    <w:rsid w:val="00457278"/>
    <w:rsid w:val="0045749D"/>
    <w:rsid w:val="00457616"/>
    <w:rsid w:val="00460DA3"/>
    <w:rsid w:val="00461805"/>
    <w:rsid w:val="00462EA7"/>
    <w:rsid w:val="00462ED5"/>
    <w:rsid w:val="004633FE"/>
    <w:rsid w:val="004640B8"/>
    <w:rsid w:val="00464735"/>
    <w:rsid w:val="004653ED"/>
    <w:rsid w:val="00465568"/>
    <w:rsid w:val="004657AD"/>
    <w:rsid w:val="004661D0"/>
    <w:rsid w:val="00466B59"/>
    <w:rsid w:val="00467095"/>
    <w:rsid w:val="00467395"/>
    <w:rsid w:val="00467D5F"/>
    <w:rsid w:val="004709AA"/>
    <w:rsid w:val="004717B2"/>
    <w:rsid w:val="00473B98"/>
    <w:rsid w:val="00473E05"/>
    <w:rsid w:val="00474653"/>
    <w:rsid w:val="00475B00"/>
    <w:rsid w:val="00477600"/>
    <w:rsid w:val="00480425"/>
    <w:rsid w:val="00481080"/>
    <w:rsid w:val="0048269B"/>
    <w:rsid w:val="00482F24"/>
    <w:rsid w:val="00484B00"/>
    <w:rsid w:val="00484F87"/>
    <w:rsid w:val="00485A16"/>
    <w:rsid w:val="00485F4D"/>
    <w:rsid w:val="00486F41"/>
    <w:rsid w:val="0049090F"/>
    <w:rsid w:val="00490CD0"/>
    <w:rsid w:val="004914F3"/>
    <w:rsid w:val="004917A3"/>
    <w:rsid w:val="00491BA4"/>
    <w:rsid w:val="00491DF0"/>
    <w:rsid w:val="0049258E"/>
    <w:rsid w:val="00492AC2"/>
    <w:rsid w:val="004933BF"/>
    <w:rsid w:val="004938FC"/>
    <w:rsid w:val="00493938"/>
    <w:rsid w:val="00494177"/>
    <w:rsid w:val="004942DD"/>
    <w:rsid w:val="0049482D"/>
    <w:rsid w:val="004949D6"/>
    <w:rsid w:val="00494D30"/>
    <w:rsid w:val="004953B0"/>
    <w:rsid w:val="00495410"/>
    <w:rsid w:val="0049606E"/>
    <w:rsid w:val="00496188"/>
    <w:rsid w:val="0049732F"/>
    <w:rsid w:val="00497A8F"/>
    <w:rsid w:val="004A0B36"/>
    <w:rsid w:val="004A1143"/>
    <w:rsid w:val="004A1BD8"/>
    <w:rsid w:val="004A1C35"/>
    <w:rsid w:val="004A2292"/>
    <w:rsid w:val="004A24DF"/>
    <w:rsid w:val="004A350B"/>
    <w:rsid w:val="004A39D1"/>
    <w:rsid w:val="004A3D2C"/>
    <w:rsid w:val="004A6258"/>
    <w:rsid w:val="004A661B"/>
    <w:rsid w:val="004A75E0"/>
    <w:rsid w:val="004A7936"/>
    <w:rsid w:val="004A7B0C"/>
    <w:rsid w:val="004A7CB5"/>
    <w:rsid w:val="004B0186"/>
    <w:rsid w:val="004B0EF1"/>
    <w:rsid w:val="004B1075"/>
    <w:rsid w:val="004B1F2D"/>
    <w:rsid w:val="004B2213"/>
    <w:rsid w:val="004B3916"/>
    <w:rsid w:val="004B3ED7"/>
    <w:rsid w:val="004B3F98"/>
    <w:rsid w:val="004B5135"/>
    <w:rsid w:val="004B5566"/>
    <w:rsid w:val="004B5C93"/>
    <w:rsid w:val="004B6001"/>
    <w:rsid w:val="004B6570"/>
    <w:rsid w:val="004B74C4"/>
    <w:rsid w:val="004B7D80"/>
    <w:rsid w:val="004B7EA6"/>
    <w:rsid w:val="004C01B3"/>
    <w:rsid w:val="004C092C"/>
    <w:rsid w:val="004C0E63"/>
    <w:rsid w:val="004C1456"/>
    <w:rsid w:val="004C1B76"/>
    <w:rsid w:val="004C1FBB"/>
    <w:rsid w:val="004C2891"/>
    <w:rsid w:val="004C3359"/>
    <w:rsid w:val="004C3736"/>
    <w:rsid w:val="004C3CD8"/>
    <w:rsid w:val="004C3EAA"/>
    <w:rsid w:val="004C3EF7"/>
    <w:rsid w:val="004C41A8"/>
    <w:rsid w:val="004C49CB"/>
    <w:rsid w:val="004C4A0B"/>
    <w:rsid w:val="004C5514"/>
    <w:rsid w:val="004C5B2D"/>
    <w:rsid w:val="004C66AD"/>
    <w:rsid w:val="004C6FE9"/>
    <w:rsid w:val="004C7B89"/>
    <w:rsid w:val="004C7D73"/>
    <w:rsid w:val="004D0888"/>
    <w:rsid w:val="004D106A"/>
    <w:rsid w:val="004D12F3"/>
    <w:rsid w:val="004D19AB"/>
    <w:rsid w:val="004D1F24"/>
    <w:rsid w:val="004D1F2A"/>
    <w:rsid w:val="004D2633"/>
    <w:rsid w:val="004D2C3C"/>
    <w:rsid w:val="004D2D6A"/>
    <w:rsid w:val="004D3B85"/>
    <w:rsid w:val="004D3F1D"/>
    <w:rsid w:val="004D43A1"/>
    <w:rsid w:val="004D4489"/>
    <w:rsid w:val="004D467A"/>
    <w:rsid w:val="004D5806"/>
    <w:rsid w:val="004D59CA"/>
    <w:rsid w:val="004D6292"/>
    <w:rsid w:val="004D63BF"/>
    <w:rsid w:val="004D6AB1"/>
    <w:rsid w:val="004D7232"/>
    <w:rsid w:val="004D7265"/>
    <w:rsid w:val="004D7458"/>
    <w:rsid w:val="004D748C"/>
    <w:rsid w:val="004E0250"/>
    <w:rsid w:val="004E0982"/>
    <w:rsid w:val="004E0FD6"/>
    <w:rsid w:val="004E1030"/>
    <w:rsid w:val="004E188D"/>
    <w:rsid w:val="004E1A80"/>
    <w:rsid w:val="004E1B01"/>
    <w:rsid w:val="004E1D9F"/>
    <w:rsid w:val="004E1E4A"/>
    <w:rsid w:val="004E213F"/>
    <w:rsid w:val="004E2B14"/>
    <w:rsid w:val="004E2BCD"/>
    <w:rsid w:val="004E3BB3"/>
    <w:rsid w:val="004E3F46"/>
    <w:rsid w:val="004E4022"/>
    <w:rsid w:val="004E4099"/>
    <w:rsid w:val="004E43EB"/>
    <w:rsid w:val="004E46AC"/>
    <w:rsid w:val="004E5885"/>
    <w:rsid w:val="004E5BEB"/>
    <w:rsid w:val="004E6D64"/>
    <w:rsid w:val="004E7D0E"/>
    <w:rsid w:val="004F1179"/>
    <w:rsid w:val="004F1C4A"/>
    <w:rsid w:val="004F2229"/>
    <w:rsid w:val="004F2A2D"/>
    <w:rsid w:val="004F2AF7"/>
    <w:rsid w:val="004F2C51"/>
    <w:rsid w:val="004F2DAD"/>
    <w:rsid w:val="004F323A"/>
    <w:rsid w:val="004F3E0E"/>
    <w:rsid w:val="004F3F47"/>
    <w:rsid w:val="004F46DD"/>
    <w:rsid w:val="004F4F8C"/>
    <w:rsid w:val="004F5026"/>
    <w:rsid w:val="004F50AB"/>
    <w:rsid w:val="004F57A0"/>
    <w:rsid w:val="0050037C"/>
    <w:rsid w:val="00503D1E"/>
    <w:rsid w:val="005043C1"/>
    <w:rsid w:val="00504AB6"/>
    <w:rsid w:val="00504C7C"/>
    <w:rsid w:val="00505800"/>
    <w:rsid w:val="00506606"/>
    <w:rsid w:val="00506AA6"/>
    <w:rsid w:val="00506DAC"/>
    <w:rsid w:val="00510495"/>
    <w:rsid w:val="00510750"/>
    <w:rsid w:val="00510844"/>
    <w:rsid w:val="00511E6A"/>
    <w:rsid w:val="00511EF6"/>
    <w:rsid w:val="00512034"/>
    <w:rsid w:val="00512B47"/>
    <w:rsid w:val="00512F11"/>
    <w:rsid w:val="0051301C"/>
    <w:rsid w:val="00514825"/>
    <w:rsid w:val="00514CC9"/>
    <w:rsid w:val="0051516C"/>
    <w:rsid w:val="005151EA"/>
    <w:rsid w:val="00515336"/>
    <w:rsid w:val="00515806"/>
    <w:rsid w:val="00516A1C"/>
    <w:rsid w:val="00516C2C"/>
    <w:rsid w:val="005177C8"/>
    <w:rsid w:val="00517B53"/>
    <w:rsid w:val="00517EE6"/>
    <w:rsid w:val="00520BB0"/>
    <w:rsid w:val="0052183C"/>
    <w:rsid w:val="00521FC5"/>
    <w:rsid w:val="00522412"/>
    <w:rsid w:val="0052293F"/>
    <w:rsid w:val="005235BD"/>
    <w:rsid w:val="00523687"/>
    <w:rsid w:val="0052400D"/>
    <w:rsid w:val="00524D50"/>
    <w:rsid w:val="005255E2"/>
    <w:rsid w:val="00530064"/>
    <w:rsid w:val="005301F2"/>
    <w:rsid w:val="0053097C"/>
    <w:rsid w:val="00530C71"/>
    <w:rsid w:val="00531132"/>
    <w:rsid w:val="005316DE"/>
    <w:rsid w:val="00532C78"/>
    <w:rsid w:val="00532D97"/>
    <w:rsid w:val="005335DD"/>
    <w:rsid w:val="00534784"/>
    <w:rsid w:val="00536079"/>
    <w:rsid w:val="0053607F"/>
    <w:rsid w:val="0053640C"/>
    <w:rsid w:val="005369F5"/>
    <w:rsid w:val="00536AED"/>
    <w:rsid w:val="0053743B"/>
    <w:rsid w:val="005374B1"/>
    <w:rsid w:val="005374DA"/>
    <w:rsid w:val="00537619"/>
    <w:rsid w:val="00537DAB"/>
    <w:rsid w:val="00537F3C"/>
    <w:rsid w:val="005406B7"/>
    <w:rsid w:val="00540A56"/>
    <w:rsid w:val="00541077"/>
    <w:rsid w:val="005410AF"/>
    <w:rsid w:val="005415CC"/>
    <w:rsid w:val="00541CFD"/>
    <w:rsid w:val="00542210"/>
    <w:rsid w:val="00542619"/>
    <w:rsid w:val="0054268C"/>
    <w:rsid w:val="00542A9E"/>
    <w:rsid w:val="0054327A"/>
    <w:rsid w:val="005448AF"/>
    <w:rsid w:val="00544FE9"/>
    <w:rsid w:val="00544FF7"/>
    <w:rsid w:val="00545877"/>
    <w:rsid w:val="005460FE"/>
    <w:rsid w:val="00546FC7"/>
    <w:rsid w:val="00547888"/>
    <w:rsid w:val="00550BA6"/>
    <w:rsid w:val="00551072"/>
    <w:rsid w:val="0055146A"/>
    <w:rsid w:val="00551851"/>
    <w:rsid w:val="00551F73"/>
    <w:rsid w:val="0055231F"/>
    <w:rsid w:val="0055255B"/>
    <w:rsid w:val="00552B33"/>
    <w:rsid w:val="00552D01"/>
    <w:rsid w:val="005530E0"/>
    <w:rsid w:val="005534BD"/>
    <w:rsid w:val="0055384F"/>
    <w:rsid w:val="00553D38"/>
    <w:rsid w:val="00554D28"/>
    <w:rsid w:val="0055500D"/>
    <w:rsid w:val="00557B05"/>
    <w:rsid w:val="00557F52"/>
    <w:rsid w:val="00560056"/>
    <w:rsid w:val="00560718"/>
    <w:rsid w:val="0056192C"/>
    <w:rsid w:val="00561B84"/>
    <w:rsid w:val="005625DD"/>
    <w:rsid w:val="00562CB1"/>
    <w:rsid w:val="00563489"/>
    <w:rsid w:val="00563688"/>
    <w:rsid w:val="00563B34"/>
    <w:rsid w:val="00564237"/>
    <w:rsid w:val="00565045"/>
    <w:rsid w:val="005653C4"/>
    <w:rsid w:val="00565ED9"/>
    <w:rsid w:val="00566865"/>
    <w:rsid w:val="00571A41"/>
    <w:rsid w:val="00572827"/>
    <w:rsid w:val="0057294A"/>
    <w:rsid w:val="00572EA5"/>
    <w:rsid w:val="00573072"/>
    <w:rsid w:val="0057371F"/>
    <w:rsid w:val="005738BC"/>
    <w:rsid w:val="0057399D"/>
    <w:rsid w:val="00573C74"/>
    <w:rsid w:val="005740C8"/>
    <w:rsid w:val="0057456C"/>
    <w:rsid w:val="00574D0F"/>
    <w:rsid w:val="005751C4"/>
    <w:rsid w:val="00575524"/>
    <w:rsid w:val="00575A47"/>
    <w:rsid w:val="00576209"/>
    <w:rsid w:val="00576E06"/>
    <w:rsid w:val="0057701C"/>
    <w:rsid w:val="00577108"/>
    <w:rsid w:val="0057759A"/>
    <w:rsid w:val="005775B1"/>
    <w:rsid w:val="0057761B"/>
    <w:rsid w:val="00577738"/>
    <w:rsid w:val="005779F7"/>
    <w:rsid w:val="00580763"/>
    <w:rsid w:val="0058220C"/>
    <w:rsid w:val="00582911"/>
    <w:rsid w:val="005830F8"/>
    <w:rsid w:val="00583957"/>
    <w:rsid w:val="00583AE6"/>
    <w:rsid w:val="00583EB2"/>
    <w:rsid w:val="0058450A"/>
    <w:rsid w:val="00584A25"/>
    <w:rsid w:val="00585710"/>
    <w:rsid w:val="00585E94"/>
    <w:rsid w:val="0058662B"/>
    <w:rsid w:val="005866D0"/>
    <w:rsid w:val="00587BA8"/>
    <w:rsid w:val="00587BB5"/>
    <w:rsid w:val="005905C2"/>
    <w:rsid w:val="00590BEE"/>
    <w:rsid w:val="00590C11"/>
    <w:rsid w:val="00591488"/>
    <w:rsid w:val="0059279A"/>
    <w:rsid w:val="00592844"/>
    <w:rsid w:val="00592BBF"/>
    <w:rsid w:val="00592C97"/>
    <w:rsid w:val="00593057"/>
    <w:rsid w:val="00593918"/>
    <w:rsid w:val="0059486F"/>
    <w:rsid w:val="005949E1"/>
    <w:rsid w:val="00594D8E"/>
    <w:rsid w:val="00595C04"/>
    <w:rsid w:val="0059609A"/>
    <w:rsid w:val="0059624F"/>
    <w:rsid w:val="00597069"/>
    <w:rsid w:val="005972BD"/>
    <w:rsid w:val="005973FD"/>
    <w:rsid w:val="00597681"/>
    <w:rsid w:val="00597745"/>
    <w:rsid w:val="00597BF7"/>
    <w:rsid w:val="00597FF0"/>
    <w:rsid w:val="005A0E1A"/>
    <w:rsid w:val="005A238B"/>
    <w:rsid w:val="005A2B37"/>
    <w:rsid w:val="005A3667"/>
    <w:rsid w:val="005A41FD"/>
    <w:rsid w:val="005A4B11"/>
    <w:rsid w:val="005A6974"/>
    <w:rsid w:val="005B00C6"/>
    <w:rsid w:val="005B04B0"/>
    <w:rsid w:val="005B13BD"/>
    <w:rsid w:val="005B1D65"/>
    <w:rsid w:val="005B1D85"/>
    <w:rsid w:val="005B2F0D"/>
    <w:rsid w:val="005B306A"/>
    <w:rsid w:val="005B3142"/>
    <w:rsid w:val="005B4101"/>
    <w:rsid w:val="005B431A"/>
    <w:rsid w:val="005B5794"/>
    <w:rsid w:val="005B668B"/>
    <w:rsid w:val="005B6AE6"/>
    <w:rsid w:val="005B773D"/>
    <w:rsid w:val="005C0B30"/>
    <w:rsid w:val="005C0CC0"/>
    <w:rsid w:val="005C14A6"/>
    <w:rsid w:val="005C235D"/>
    <w:rsid w:val="005C2DB9"/>
    <w:rsid w:val="005C2E76"/>
    <w:rsid w:val="005C3643"/>
    <w:rsid w:val="005C381E"/>
    <w:rsid w:val="005C3F28"/>
    <w:rsid w:val="005C419F"/>
    <w:rsid w:val="005C4B03"/>
    <w:rsid w:val="005C4B30"/>
    <w:rsid w:val="005C4D4A"/>
    <w:rsid w:val="005C5300"/>
    <w:rsid w:val="005C5622"/>
    <w:rsid w:val="005C565C"/>
    <w:rsid w:val="005C60EB"/>
    <w:rsid w:val="005C681D"/>
    <w:rsid w:val="005C6844"/>
    <w:rsid w:val="005C7540"/>
    <w:rsid w:val="005C7BC1"/>
    <w:rsid w:val="005D0AC5"/>
    <w:rsid w:val="005D0E9F"/>
    <w:rsid w:val="005D1EC3"/>
    <w:rsid w:val="005D24AD"/>
    <w:rsid w:val="005D2E31"/>
    <w:rsid w:val="005D31C6"/>
    <w:rsid w:val="005D38E4"/>
    <w:rsid w:val="005D3D7A"/>
    <w:rsid w:val="005D45CF"/>
    <w:rsid w:val="005D558F"/>
    <w:rsid w:val="005D5755"/>
    <w:rsid w:val="005D62EB"/>
    <w:rsid w:val="005D7562"/>
    <w:rsid w:val="005D7E2B"/>
    <w:rsid w:val="005D7E39"/>
    <w:rsid w:val="005E05F9"/>
    <w:rsid w:val="005E175E"/>
    <w:rsid w:val="005E2035"/>
    <w:rsid w:val="005E36F2"/>
    <w:rsid w:val="005E3915"/>
    <w:rsid w:val="005E479A"/>
    <w:rsid w:val="005E4DD3"/>
    <w:rsid w:val="005E5672"/>
    <w:rsid w:val="005E5E2B"/>
    <w:rsid w:val="005E629C"/>
    <w:rsid w:val="005E6B3E"/>
    <w:rsid w:val="005E6E56"/>
    <w:rsid w:val="005E71EF"/>
    <w:rsid w:val="005E749D"/>
    <w:rsid w:val="005E78B1"/>
    <w:rsid w:val="005F07E5"/>
    <w:rsid w:val="005F231D"/>
    <w:rsid w:val="005F343F"/>
    <w:rsid w:val="005F3C1E"/>
    <w:rsid w:val="005F3EC0"/>
    <w:rsid w:val="005F44B4"/>
    <w:rsid w:val="005F61D2"/>
    <w:rsid w:val="005F78E1"/>
    <w:rsid w:val="005F7E8D"/>
    <w:rsid w:val="006000DB"/>
    <w:rsid w:val="006009F7"/>
    <w:rsid w:val="00600CE5"/>
    <w:rsid w:val="00600E5C"/>
    <w:rsid w:val="006012AD"/>
    <w:rsid w:val="00601844"/>
    <w:rsid w:val="00601883"/>
    <w:rsid w:val="00601CED"/>
    <w:rsid w:val="00602045"/>
    <w:rsid w:val="006022FF"/>
    <w:rsid w:val="00602719"/>
    <w:rsid w:val="00603031"/>
    <w:rsid w:val="00603718"/>
    <w:rsid w:val="006038AA"/>
    <w:rsid w:val="00603F7B"/>
    <w:rsid w:val="006044B3"/>
    <w:rsid w:val="00604F97"/>
    <w:rsid w:val="006067DE"/>
    <w:rsid w:val="0060689B"/>
    <w:rsid w:val="00606BB2"/>
    <w:rsid w:val="00607251"/>
    <w:rsid w:val="00610A26"/>
    <w:rsid w:val="00610A6E"/>
    <w:rsid w:val="00611356"/>
    <w:rsid w:val="006117CB"/>
    <w:rsid w:val="00612124"/>
    <w:rsid w:val="00612ADA"/>
    <w:rsid w:val="00612F4C"/>
    <w:rsid w:val="00612FD1"/>
    <w:rsid w:val="00613100"/>
    <w:rsid w:val="006133DC"/>
    <w:rsid w:val="00613F02"/>
    <w:rsid w:val="006146AE"/>
    <w:rsid w:val="00614AB4"/>
    <w:rsid w:val="00615FE2"/>
    <w:rsid w:val="00616332"/>
    <w:rsid w:val="00616795"/>
    <w:rsid w:val="00617C24"/>
    <w:rsid w:val="00617CEB"/>
    <w:rsid w:val="006206AF"/>
    <w:rsid w:val="00620F89"/>
    <w:rsid w:val="0062152D"/>
    <w:rsid w:val="006219A6"/>
    <w:rsid w:val="00621ECA"/>
    <w:rsid w:val="00622149"/>
    <w:rsid w:val="0062281C"/>
    <w:rsid w:val="006228AA"/>
    <w:rsid w:val="0062309A"/>
    <w:rsid w:val="0062342A"/>
    <w:rsid w:val="006239EF"/>
    <w:rsid w:val="00625A02"/>
    <w:rsid w:val="00626248"/>
    <w:rsid w:val="00626415"/>
    <w:rsid w:val="00630C67"/>
    <w:rsid w:val="00631531"/>
    <w:rsid w:val="006317B6"/>
    <w:rsid w:val="00631909"/>
    <w:rsid w:val="00632A17"/>
    <w:rsid w:val="00632C56"/>
    <w:rsid w:val="00632E3F"/>
    <w:rsid w:val="00632EB3"/>
    <w:rsid w:val="006343B8"/>
    <w:rsid w:val="00634542"/>
    <w:rsid w:val="00634668"/>
    <w:rsid w:val="006355F3"/>
    <w:rsid w:val="00635DCA"/>
    <w:rsid w:val="006362B6"/>
    <w:rsid w:val="0063632B"/>
    <w:rsid w:val="00636DF2"/>
    <w:rsid w:val="006372EE"/>
    <w:rsid w:val="0063737D"/>
    <w:rsid w:val="00637E86"/>
    <w:rsid w:val="00637EA8"/>
    <w:rsid w:val="00640DD3"/>
    <w:rsid w:val="00642F28"/>
    <w:rsid w:val="0064370F"/>
    <w:rsid w:val="00643930"/>
    <w:rsid w:val="00643CD8"/>
    <w:rsid w:val="00643E8D"/>
    <w:rsid w:val="0064474C"/>
    <w:rsid w:val="00644920"/>
    <w:rsid w:val="00644A6F"/>
    <w:rsid w:val="00644B53"/>
    <w:rsid w:val="0064505F"/>
    <w:rsid w:val="006451D4"/>
    <w:rsid w:val="00645596"/>
    <w:rsid w:val="006456EF"/>
    <w:rsid w:val="00646A28"/>
    <w:rsid w:val="00646E50"/>
    <w:rsid w:val="00647A32"/>
    <w:rsid w:val="0065022D"/>
    <w:rsid w:val="00650E18"/>
    <w:rsid w:val="00651002"/>
    <w:rsid w:val="006513D7"/>
    <w:rsid w:val="00653E3C"/>
    <w:rsid w:val="0065434A"/>
    <w:rsid w:val="00654BC0"/>
    <w:rsid w:val="0065517C"/>
    <w:rsid w:val="006557FF"/>
    <w:rsid w:val="00655867"/>
    <w:rsid w:val="00656222"/>
    <w:rsid w:val="006563D9"/>
    <w:rsid w:val="00656BA2"/>
    <w:rsid w:val="00657064"/>
    <w:rsid w:val="0066053C"/>
    <w:rsid w:val="00660E85"/>
    <w:rsid w:val="006618AA"/>
    <w:rsid w:val="00661F3F"/>
    <w:rsid w:val="006621FE"/>
    <w:rsid w:val="006625A5"/>
    <w:rsid w:val="00663B99"/>
    <w:rsid w:val="00664362"/>
    <w:rsid w:val="00664FFC"/>
    <w:rsid w:val="0066550B"/>
    <w:rsid w:val="00670749"/>
    <w:rsid w:val="00670DC6"/>
    <w:rsid w:val="00672A5E"/>
    <w:rsid w:val="00672CBD"/>
    <w:rsid w:val="00674404"/>
    <w:rsid w:val="006747E2"/>
    <w:rsid w:val="00675417"/>
    <w:rsid w:val="00675960"/>
    <w:rsid w:val="00675E6C"/>
    <w:rsid w:val="00676C8C"/>
    <w:rsid w:val="0067700B"/>
    <w:rsid w:val="00677299"/>
    <w:rsid w:val="006819B0"/>
    <w:rsid w:val="00682818"/>
    <w:rsid w:val="00682D1E"/>
    <w:rsid w:val="00683667"/>
    <w:rsid w:val="00683C59"/>
    <w:rsid w:val="00684234"/>
    <w:rsid w:val="006853F2"/>
    <w:rsid w:val="006855D7"/>
    <w:rsid w:val="00685C31"/>
    <w:rsid w:val="006861EC"/>
    <w:rsid w:val="00686259"/>
    <w:rsid w:val="006863F3"/>
    <w:rsid w:val="0068661B"/>
    <w:rsid w:val="00686A39"/>
    <w:rsid w:val="00686D5E"/>
    <w:rsid w:val="006909AD"/>
    <w:rsid w:val="00691DD9"/>
    <w:rsid w:val="006922E1"/>
    <w:rsid w:val="006927EB"/>
    <w:rsid w:val="00694609"/>
    <w:rsid w:val="006956B2"/>
    <w:rsid w:val="006958A2"/>
    <w:rsid w:val="006958B9"/>
    <w:rsid w:val="00695C40"/>
    <w:rsid w:val="00697A8A"/>
    <w:rsid w:val="006A03C5"/>
    <w:rsid w:val="006A0704"/>
    <w:rsid w:val="006A0824"/>
    <w:rsid w:val="006A12FE"/>
    <w:rsid w:val="006A15D7"/>
    <w:rsid w:val="006A1A53"/>
    <w:rsid w:val="006A2595"/>
    <w:rsid w:val="006A41E9"/>
    <w:rsid w:val="006A4C2A"/>
    <w:rsid w:val="006A5048"/>
    <w:rsid w:val="006A5AC3"/>
    <w:rsid w:val="006A744A"/>
    <w:rsid w:val="006B021A"/>
    <w:rsid w:val="006B0DE1"/>
    <w:rsid w:val="006B2116"/>
    <w:rsid w:val="006B249E"/>
    <w:rsid w:val="006B268E"/>
    <w:rsid w:val="006B3007"/>
    <w:rsid w:val="006B388A"/>
    <w:rsid w:val="006B4109"/>
    <w:rsid w:val="006B4CFE"/>
    <w:rsid w:val="006B4D82"/>
    <w:rsid w:val="006B4F03"/>
    <w:rsid w:val="006B5E0E"/>
    <w:rsid w:val="006B6AC2"/>
    <w:rsid w:val="006B6E9A"/>
    <w:rsid w:val="006B7395"/>
    <w:rsid w:val="006B7ED5"/>
    <w:rsid w:val="006C102E"/>
    <w:rsid w:val="006C1321"/>
    <w:rsid w:val="006C158F"/>
    <w:rsid w:val="006C1A11"/>
    <w:rsid w:val="006C1B25"/>
    <w:rsid w:val="006C1D0C"/>
    <w:rsid w:val="006C255F"/>
    <w:rsid w:val="006C2BEF"/>
    <w:rsid w:val="006C2E09"/>
    <w:rsid w:val="006C2F09"/>
    <w:rsid w:val="006C3350"/>
    <w:rsid w:val="006C38CC"/>
    <w:rsid w:val="006C4AC3"/>
    <w:rsid w:val="006C4E79"/>
    <w:rsid w:val="006C67B5"/>
    <w:rsid w:val="006C7EB0"/>
    <w:rsid w:val="006C7EE9"/>
    <w:rsid w:val="006D002F"/>
    <w:rsid w:val="006D079E"/>
    <w:rsid w:val="006D103E"/>
    <w:rsid w:val="006D1347"/>
    <w:rsid w:val="006D14DF"/>
    <w:rsid w:val="006D17FC"/>
    <w:rsid w:val="006D23A5"/>
    <w:rsid w:val="006D2500"/>
    <w:rsid w:val="006D2708"/>
    <w:rsid w:val="006D3E25"/>
    <w:rsid w:val="006D4045"/>
    <w:rsid w:val="006D4323"/>
    <w:rsid w:val="006D507A"/>
    <w:rsid w:val="006D5E31"/>
    <w:rsid w:val="006D5EA8"/>
    <w:rsid w:val="006D6B52"/>
    <w:rsid w:val="006D7214"/>
    <w:rsid w:val="006D77B8"/>
    <w:rsid w:val="006D78E8"/>
    <w:rsid w:val="006D7A38"/>
    <w:rsid w:val="006D7A5F"/>
    <w:rsid w:val="006D7E98"/>
    <w:rsid w:val="006E0B8F"/>
    <w:rsid w:val="006E0C38"/>
    <w:rsid w:val="006E17E1"/>
    <w:rsid w:val="006E1A9C"/>
    <w:rsid w:val="006E24EB"/>
    <w:rsid w:val="006E2DBB"/>
    <w:rsid w:val="006E3315"/>
    <w:rsid w:val="006E3F4F"/>
    <w:rsid w:val="006E4FF6"/>
    <w:rsid w:val="006E5A12"/>
    <w:rsid w:val="006E6139"/>
    <w:rsid w:val="006E614C"/>
    <w:rsid w:val="006E618B"/>
    <w:rsid w:val="006E69E0"/>
    <w:rsid w:val="006E79A0"/>
    <w:rsid w:val="006E7E1A"/>
    <w:rsid w:val="006F32B9"/>
    <w:rsid w:val="006F3E19"/>
    <w:rsid w:val="006F517C"/>
    <w:rsid w:val="006F57AF"/>
    <w:rsid w:val="006F58E8"/>
    <w:rsid w:val="006F7546"/>
    <w:rsid w:val="006F7FB5"/>
    <w:rsid w:val="00700006"/>
    <w:rsid w:val="00700A51"/>
    <w:rsid w:val="0070115D"/>
    <w:rsid w:val="00701877"/>
    <w:rsid w:val="00702910"/>
    <w:rsid w:val="007029A7"/>
    <w:rsid w:val="00702ECC"/>
    <w:rsid w:val="0070384F"/>
    <w:rsid w:val="00704160"/>
    <w:rsid w:val="0070487F"/>
    <w:rsid w:val="00704DEC"/>
    <w:rsid w:val="00706806"/>
    <w:rsid w:val="0070693B"/>
    <w:rsid w:val="0070772E"/>
    <w:rsid w:val="007078A5"/>
    <w:rsid w:val="007101D9"/>
    <w:rsid w:val="00710E2C"/>
    <w:rsid w:val="00711007"/>
    <w:rsid w:val="007115E0"/>
    <w:rsid w:val="0071160C"/>
    <w:rsid w:val="00713709"/>
    <w:rsid w:val="00714745"/>
    <w:rsid w:val="00714820"/>
    <w:rsid w:val="00714F53"/>
    <w:rsid w:val="00714F61"/>
    <w:rsid w:val="007151F6"/>
    <w:rsid w:val="00715567"/>
    <w:rsid w:val="0071559F"/>
    <w:rsid w:val="00716704"/>
    <w:rsid w:val="00716AE5"/>
    <w:rsid w:val="00716B4B"/>
    <w:rsid w:val="00716D01"/>
    <w:rsid w:val="007172B7"/>
    <w:rsid w:val="007176A2"/>
    <w:rsid w:val="00717897"/>
    <w:rsid w:val="0072047E"/>
    <w:rsid w:val="00720AF9"/>
    <w:rsid w:val="007218AC"/>
    <w:rsid w:val="00721F98"/>
    <w:rsid w:val="00722496"/>
    <w:rsid w:val="00722CBF"/>
    <w:rsid w:val="00722DED"/>
    <w:rsid w:val="0072305A"/>
    <w:rsid w:val="0072326F"/>
    <w:rsid w:val="00723501"/>
    <w:rsid w:val="00723612"/>
    <w:rsid w:val="00723617"/>
    <w:rsid w:val="00724150"/>
    <w:rsid w:val="00724E2B"/>
    <w:rsid w:val="00724E45"/>
    <w:rsid w:val="00726359"/>
    <w:rsid w:val="0072733C"/>
    <w:rsid w:val="007327A4"/>
    <w:rsid w:val="00734C60"/>
    <w:rsid w:val="007354B2"/>
    <w:rsid w:val="00735905"/>
    <w:rsid w:val="00736AEB"/>
    <w:rsid w:val="00737304"/>
    <w:rsid w:val="007376EC"/>
    <w:rsid w:val="0073790F"/>
    <w:rsid w:val="00740840"/>
    <w:rsid w:val="007414A2"/>
    <w:rsid w:val="00741F4D"/>
    <w:rsid w:val="00742046"/>
    <w:rsid w:val="0074221B"/>
    <w:rsid w:val="007430B5"/>
    <w:rsid w:val="00743D8C"/>
    <w:rsid w:val="007442FC"/>
    <w:rsid w:val="00744797"/>
    <w:rsid w:val="00744FCD"/>
    <w:rsid w:val="00745C88"/>
    <w:rsid w:val="00745E05"/>
    <w:rsid w:val="00746350"/>
    <w:rsid w:val="0074653A"/>
    <w:rsid w:val="007468AB"/>
    <w:rsid w:val="00746CAC"/>
    <w:rsid w:val="00746F96"/>
    <w:rsid w:val="007474AF"/>
    <w:rsid w:val="0074798C"/>
    <w:rsid w:val="0075014E"/>
    <w:rsid w:val="007508DD"/>
    <w:rsid w:val="00750AC8"/>
    <w:rsid w:val="00751151"/>
    <w:rsid w:val="007514A4"/>
    <w:rsid w:val="007533D0"/>
    <w:rsid w:val="00753A81"/>
    <w:rsid w:val="00754A97"/>
    <w:rsid w:val="00754B67"/>
    <w:rsid w:val="00754B8C"/>
    <w:rsid w:val="00755BB0"/>
    <w:rsid w:val="00756F69"/>
    <w:rsid w:val="007578E8"/>
    <w:rsid w:val="00757904"/>
    <w:rsid w:val="00757DA8"/>
    <w:rsid w:val="00760D15"/>
    <w:rsid w:val="00760EA7"/>
    <w:rsid w:val="007611E5"/>
    <w:rsid w:val="0076266B"/>
    <w:rsid w:val="00762761"/>
    <w:rsid w:val="00763D46"/>
    <w:rsid w:val="00763D49"/>
    <w:rsid w:val="00764A38"/>
    <w:rsid w:val="00764D86"/>
    <w:rsid w:val="00764F8E"/>
    <w:rsid w:val="0076502F"/>
    <w:rsid w:val="00765566"/>
    <w:rsid w:val="00765634"/>
    <w:rsid w:val="00765C3F"/>
    <w:rsid w:val="0076681C"/>
    <w:rsid w:val="00767B8E"/>
    <w:rsid w:val="00767BAF"/>
    <w:rsid w:val="00772FB2"/>
    <w:rsid w:val="00773C10"/>
    <w:rsid w:val="00773D23"/>
    <w:rsid w:val="0077400A"/>
    <w:rsid w:val="007741AA"/>
    <w:rsid w:val="00774E2C"/>
    <w:rsid w:val="00775BE5"/>
    <w:rsid w:val="00775DE7"/>
    <w:rsid w:val="00775F21"/>
    <w:rsid w:val="00777A8F"/>
    <w:rsid w:val="00780827"/>
    <w:rsid w:val="0078092F"/>
    <w:rsid w:val="00780A80"/>
    <w:rsid w:val="00781D79"/>
    <w:rsid w:val="0078211F"/>
    <w:rsid w:val="007829C6"/>
    <w:rsid w:val="00783D71"/>
    <w:rsid w:val="00784766"/>
    <w:rsid w:val="00785910"/>
    <w:rsid w:val="0078723A"/>
    <w:rsid w:val="0078786C"/>
    <w:rsid w:val="00787F90"/>
    <w:rsid w:val="00790328"/>
    <w:rsid w:val="007911BC"/>
    <w:rsid w:val="00791B6C"/>
    <w:rsid w:val="0079205A"/>
    <w:rsid w:val="007925AC"/>
    <w:rsid w:val="0079275C"/>
    <w:rsid w:val="00792AC3"/>
    <w:rsid w:val="00792ECA"/>
    <w:rsid w:val="007941F2"/>
    <w:rsid w:val="00794459"/>
    <w:rsid w:val="00795A7F"/>
    <w:rsid w:val="00795BBC"/>
    <w:rsid w:val="00795D4E"/>
    <w:rsid w:val="007967F9"/>
    <w:rsid w:val="00796829"/>
    <w:rsid w:val="00796921"/>
    <w:rsid w:val="00797A63"/>
    <w:rsid w:val="007A03A3"/>
    <w:rsid w:val="007A10B6"/>
    <w:rsid w:val="007A1357"/>
    <w:rsid w:val="007A1F63"/>
    <w:rsid w:val="007A246E"/>
    <w:rsid w:val="007A2700"/>
    <w:rsid w:val="007A27AB"/>
    <w:rsid w:val="007A2AE3"/>
    <w:rsid w:val="007A3B2B"/>
    <w:rsid w:val="007A4799"/>
    <w:rsid w:val="007A6107"/>
    <w:rsid w:val="007A687C"/>
    <w:rsid w:val="007A702F"/>
    <w:rsid w:val="007A7754"/>
    <w:rsid w:val="007B0AFB"/>
    <w:rsid w:val="007B1382"/>
    <w:rsid w:val="007B16AD"/>
    <w:rsid w:val="007B1CB9"/>
    <w:rsid w:val="007B1D0C"/>
    <w:rsid w:val="007B3BAC"/>
    <w:rsid w:val="007B3D03"/>
    <w:rsid w:val="007B3F22"/>
    <w:rsid w:val="007B56CC"/>
    <w:rsid w:val="007B6B35"/>
    <w:rsid w:val="007C0186"/>
    <w:rsid w:val="007C03B7"/>
    <w:rsid w:val="007C0514"/>
    <w:rsid w:val="007C0AA2"/>
    <w:rsid w:val="007C1B13"/>
    <w:rsid w:val="007C283E"/>
    <w:rsid w:val="007C4952"/>
    <w:rsid w:val="007C69AA"/>
    <w:rsid w:val="007C6FB5"/>
    <w:rsid w:val="007C7163"/>
    <w:rsid w:val="007D2F4A"/>
    <w:rsid w:val="007D390A"/>
    <w:rsid w:val="007D3E0F"/>
    <w:rsid w:val="007D3EC5"/>
    <w:rsid w:val="007D4ABA"/>
    <w:rsid w:val="007D4B03"/>
    <w:rsid w:val="007D4B21"/>
    <w:rsid w:val="007D650C"/>
    <w:rsid w:val="007D6BF4"/>
    <w:rsid w:val="007D71A0"/>
    <w:rsid w:val="007D77A2"/>
    <w:rsid w:val="007E024E"/>
    <w:rsid w:val="007E0782"/>
    <w:rsid w:val="007E137E"/>
    <w:rsid w:val="007E145B"/>
    <w:rsid w:val="007E1DB6"/>
    <w:rsid w:val="007E2090"/>
    <w:rsid w:val="007E20BB"/>
    <w:rsid w:val="007E292D"/>
    <w:rsid w:val="007E2A84"/>
    <w:rsid w:val="007E2B0A"/>
    <w:rsid w:val="007E2E01"/>
    <w:rsid w:val="007E3F56"/>
    <w:rsid w:val="007E52A8"/>
    <w:rsid w:val="007F04BE"/>
    <w:rsid w:val="007F0A68"/>
    <w:rsid w:val="007F0D3A"/>
    <w:rsid w:val="007F1052"/>
    <w:rsid w:val="007F28D4"/>
    <w:rsid w:val="007F40A4"/>
    <w:rsid w:val="007F42B4"/>
    <w:rsid w:val="007F4968"/>
    <w:rsid w:val="007F496E"/>
    <w:rsid w:val="007F4B21"/>
    <w:rsid w:val="007F5139"/>
    <w:rsid w:val="007F5A1F"/>
    <w:rsid w:val="007F5D6A"/>
    <w:rsid w:val="007F6777"/>
    <w:rsid w:val="007F740F"/>
    <w:rsid w:val="007F7DE5"/>
    <w:rsid w:val="00800830"/>
    <w:rsid w:val="00801078"/>
    <w:rsid w:val="00801396"/>
    <w:rsid w:val="008016D6"/>
    <w:rsid w:val="0080214B"/>
    <w:rsid w:val="008023F0"/>
    <w:rsid w:val="00802E4A"/>
    <w:rsid w:val="008032B7"/>
    <w:rsid w:val="008042BA"/>
    <w:rsid w:val="00806DB2"/>
    <w:rsid w:val="00811CC5"/>
    <w:rsid w:val="00812E35"/>
    <w:rsid w:val="0081371E"/>
    <w:rsid w:val="0081451D"/>
    <w:rsid w:val="00814E8A"/>
    <w:rsid w:val="008156EE"/>
    <w:rsid w:val="00815935"/>
    <w:rsid w:val="00815B0E"/>
    <w:rsid w:val="0081626B"/>
    <w:rsid w:val="00820776"/>
    <w:rsid w:val="00820DA6"/>
    <w:rsid w:val="00820ED5"/>
    <w:rsid w:val="0082103B"/>
    <w:rsid w:val="00821B28"/>
    <w:rsid w:val="0082241D"/>
    <w:rsid w:val="00822D95"/>
    <w:rsid w:val="00822EC0"/>
    <w:rsid w:val="00823371"/>
    <w:rsid w:val="00823389"/>
    <w:rsid w:val="00823844"/>
    <w:rsid w:val="008238DC"/>
    <w:rsid w:val="00823D0A"/>
    <w:rsid w:val="00824A3A"/>
    <w:rsid w:val="00824A74"/>
    <w:rsid w:val="00825B93"/>
    <w:rsid w:val="00825F70"/>
    <w:rsid w:val="00826E1B"/>
    <w:rsid w:val="00827118"/>
    <w:rsid w:val="00827512"/>
    <w:rsid w:val="00827686"/>
    <w:rsid w:val="00827F99"/>
    <w:rsid w:val="008301D1"/>
    <w:rsid w:val="00830DAA"/>
    <w:rsid w:val="00832011"/>
    <w:rsid w:val="00832C71"/>
    <w:rsid w:val="008341D3"/>
    <w:rsid w:val="00835721"/>
    <w:rsid w:val="0083575A"/>
    <w:rsid w:val="00835866"/>
    <w:rsid w:val="00835D49"/>
    <w:rsid w:val="008361AC"/>
    <w:rsid w:val="0083681F"/>
    <w:rsid w:val="008377BF"/>
    <w:rsid w:val="00840170"/>
    <w:rsid w:val="00840379"/>
    <w:rsid w:val="00840606"/>
    <w:rsid w:val="008412CF"/>
    <w:rsid w:val="00841BA5"/>
    <w:rsid w:val="00842CEB"/>
    <w:rsid w:val="00842D55"/>
    <w:rsid w:val="0084321E"/>
    <w:rsid w:val="00843593"/>
    <w:rsid w:val="008438A4"/>
    <w:rsid w:val="00843B9F"/>
    <w:rsid w:val="00843F01"/>
    <w:rsid w:val="00844231"/>
    <w:rsid w:val="008443B2"/>
    <w:rsid w:val="00844685"/>
    <w:rsid w:val="00844E9E"/>
    <w:rsid w:val="00845F47"/>
    <w:rsid w:val="00846C08"/>
    <w:rsid w:val="0085231D"/>
    <w:rsid w:val="008544DD"/>
    <w:rsid w:val="0085463C"/>
    <w:rsid w:val="00854EB2"/>
    <w:rsid w:val="00855830"/>
    <w:rsid w:val="00855D22"/>
    <w:rsid w:val="00856274"/>
    <w:rsid w:val="00857347"/>
    <w:rsid w:val="0085759B"/>
    <w:rsid w:val="008577D1"/>
    <w:rsid w:val="00860647"/>
    <w:rsid w:val="00860EF5"/>
    <w:rsid w:val="00860EF8"/>
    <w:rsid w:val="00861B84"/>
    <w:rsid w:val="00861FFB"/>
    <w:rsid w:val="00862134"/>
    <w:rsid w:val="008623F5"/>
    <w:rsid w:val="00862A24"/>
    <w:rsid w:val="00863250"/>
    <w:rsid w:val="00863801"/>
    <w:rsid w:val="0086410D"/>
    <w:rsid w:val="008643B3"/>
    <w:rsid w:val="0086485F"/>
    <w:rsid w:val="00864F8D"/>
    <w:rsid w:val="00866609"/>
    <w:rsid w:val="008700A8"/>
    <w:rsid w:val="00870328"/>
    <w:rsid w:val="00870D06"/>
    <w:rsid w:val="00870D85"/>
    <w:rsid w:val="0087164A"/>
    <w:rsid w:val="00872D11"/>
    <w:rsid w:val="00873A8C"/>
    <w:rsid w:val="00875C7E"/>
    <w:rsid w:val="0087626F"/>
    <w:rsid w:val="00877012"/>
    <w:rsid w:val="0087746B"/>
    <w:rsid w:val="008774BD"/>
    <w:rsid w:val="00877AEF"/>
    <w:rsid w:val="0088088F"/>
    <w:rsid w:val="00880B84"/>
    <w:rsid w:val="00881157"/>
    <w:rsid w:val="00881648"/>
    <w:rsid w:val="00881706"/>
    <w:rsid w:val="00881985"/>
    <w:rsid w:val="008820CB"/>
    <w:rsid w:val="008822A7"/>
    <w:rsid w:val="00882383"/>
    <w:rsid w:val="0088336A"/>
    <w:rsid w:val="00883480"/>
    <w:rsid w:val="0088360F"/>
    <w:rsid w:val="0088363F"/>
    <w:rsid w:val="00883EEC"/>
    <w:rsid w:val="0088411E"/>
    <w:rsid w:val="0088419F"/>
    <w:rsid w:val="008853F4"/>
    <w:rsid w:val="008865F2"/>
    <w:rsid w:val="008875CC"/>
    <w:rsid w:val="00891008"/>
    <w:rsid w:val="00891C44"/>
    <w:rsid w:val="008925AB"/>
    <w:rsid w:val="0089290A"/>
    <w:rsid w:val="008929B4"/>
    <w:rsid w:val="0089347F"/>
    <w:rsid w:val="00893F45"/>
    <w:rsid w:val="00895C5D"/>
    <w:rsid w:val="008965C0"/>
    <w:rsid w:val="00896842"/>
    <w:rsid w:val="00896C1B"/>
    <w:rsid w:val="00897079"/>
    <w:rsid w:val="008974DF"/>
    <w:rsid w:val="00897662"/>
    <w:rsid w:val="008A0848"/>
    <w:rsid w:val="008A1E28"/>
    <w:rsid w:val="008A20AF"/>
    <w:rsid w:val="008A23DB"/>
    <w:rsid w:val="008A354F"/>
    <w:rsid w:val="008A40FE"/>
    <w:rsid w:val="008A4FBE"/>
    <w:rsid w:val="008A5350"/>
    <w:rsid w:val="008A5941"/>
    <w:rsid w:val="008A6194"/>
    <w:rsid w:val="008A7FD7"/>
    <w:rsid w:val="008B0BAA"/>
    <w:rsid w:val="008B1089"/>
    <w:rsid w:val="008B118A"/>
    <w:rsid w:val="008B1C8D"/>
    <w:rsid w:val="008B3475"/>
    <w:rsid w:val="008B3B0E"/>
    <w:rsid w:val="008B3C5B"/>
    <w:rsid w:val="008B4019"/>
    <w:rsid w:val="008B42C1"/>
    <w:rsid w:val="008B4F73"/>
    <w:rsid w:val="008B56B5"/>
    <w:rsid w:val="008B65A9"/>
    <w:rsid w:val="008B65CC"/>
    <w:rsid w:val="008B672F"/>
    <w:rsid w:val="008B6971"/>
    <w:rsid w:val="008B6C35"/>
    <w:rsid w:val="008B6C77"/>
    <w:rsid w:val="008B7382"/>
    <w:rsid w:val="008B73D5"/>
    <w:rsid w:val="008B7566"/>
    <w:rsid w:val="008B798B"/>
    <w:rsid w:val="008C0F37"/>
    <w:rsid w:val="008C10F3"/>
    <w:rsid w:val="008C1117"/>
    <w:rsid w:val="008C1B6F"/>
    <w:rsid w:val="008C26AB"/>
    <w:rsid w:val="008C2EF7"/>
    <w:rsid w:val="008C2FBB"/>
    <w:rsid w:val="008C3679"/>
    <w:rsid w:val="008C3A19"/>
    <w:rsid w:val="008C3B45"/>
    <w:rsid w:val="008C4BC4"/>
    <w:rsid w:val="008C4C53"/>
    <w:rsid w:val="008C5045"/>
    <w:rsid w:val="008D0BA8"/>
    <w:rsid w:val="008D1371"/>
    <w:rsid w:val="008D161A"/>
    <w:rsid w:val="008D22B7"/>
    <w:rsid w:val="008D237A"/>
    <w:rsid w:val="008D2B38"/>
    <w:rsid w:val="008D2C06"/>
    <w:rsid w:val="008D2E8C"/>
    <w:rsid w:val="008D2FA5"/>
    <w:rsid w:val="008D3680"/>
    <w:rsid w:val="008D3793"/>
    <w:rsid w:val="008D3C4C"/>
    <w:rsid w:val="008D4321"/>
    <w:rsid w:val="008D4349"/>
    <w:rsid w:val="008D49B8"/>
    <w:rsid w:val="008D5048"/>
    <w:rsid w:val="008D5347"/>
    <w:rsid w:val="008D657C"/>
    <w:rsid w:val="008E1463"/>
    <w:rsid w:val="008E1871"/>
    <w:rsid w:val="008E18E8"/>
    <w:rsid w:val="008E1941"/>
    <w:rsid w:val="008E1E1E"/>
    <w:rsid w:val="008E2474"/>
    <w:rsid w:val="008E3E26"/>
    <w:rsid w:val="008E417A"/>
    <w:rsid w:val="008E4210"/>
    <w:rsid w:val="008E46CF"/>
    <w:rsid w:val="008E50DD"/>
    <w:rsid w:val="008E67DD"/>
    <w:rsid w:val="008E762C"/>
    <w:rsid w:val="008E7D70"/>
    <w:rsid w:val="008F03D6"/>
    <w:rsid w:val="008F063B"/>
    <w:rsid w:val="008F0C0A"/>
    <w:rsid w:val="008F193C"/>
    <w:rsid w:val="008F2C28"/>
    <w:rsid w:val="008F3725"/>
    <w:rsid w:val="008F3A13"/>
    <w:rsid w:val="008F3B83"/>
    <w:rsid w:val="008F400C"/>
    <w:rsid w:val="008F43C7"/>
    <w:rsid w:val="008F5BD3"/>
    <w:rsid w:val="008F61E1"/>
    <w:rsid w:val="008F62B7"/>
    <w:rsid w:val="008F66BD"/>
    <w:rsid w:val="008F7225"/>
    <w:rsid w:val="008F7335"/>
    <w:rsid w:val="0090152E"/>
    <w:rsid w:val="00901CBA"/>
    <w:rsid w:val="00901D48"/>
    <w:rsid w:val="009024BB"/>
    <w:rsid w:val="009028F7"/>
    <w:rsid w:val="00902B2C"/>
    <w:rsid w:val="00902D45"/>
    <w:rsid w:val="00903EB5"/>
    <w:rsid w:val="009043C8"/>
    <w:rsid w:val="009048D1"/>
    <w:rsid w:val="00905702"/>
    <w:rsid w:val="00905D06"/>
    <w:rsid w:val="00906036"/>
    <w:rsid w:val="00906A02"/>
    <w:rsid w:val="00906F1F"/>
    <w:rsid w:val="009079A5"/>
    <w:rsid w:val="00907B51"/>
    <w:rsid w:val="00910251"/>
    <w:rsid w:val="00910390"/>
    <w:rsid w:val="00910842"/>
    <w:rsid w:val="009124AF"/>
    <w:rsid w:val="009133DE"/>
    <w:rsid w:val="00913415"/>
    <w:rsid w:val="00913725"/>
    <w:rsid w:val="00913C42"/>
    <w:rsid w:val="009153AF"/>
    <w:rsid w:val="00916428"/>
    <w:rsid w:val="00916CE9"/>
    <w:rsid w:val="0091772D"/>
    <w:rsid w:val="00917F66"/>
    <w:rsid w:val="00920B2B"/>
    <w:rsid w:val="00920FC6"/>
    <w:rsid w:val="009218B9"/>
    <w:rsid w:val="0092236A"/>
    <w:rsid w:val="00923DB9"/>
    <w:rsid w:val="0092488D"/>
    <w:rsid w:val="00925645"/>
    <w:rsid w:val="00926BE1"/>
    <w:rsid w:val="0093104A"/>
    <w:rsid w:val="00931781"/>
    <w:rsid w:val="009352D4"/>
    <w:rsid w:val="00935F48"/>
    <w:rsid w:val="00936692"/>
    <w:rsid w:val="009367A2"/>
    <w:rsid w:val="009368B6"/>
    <w:rsid w:val="0093727B"/>
    <w:rsid w:val="00937BB1"/>
    <w:rsid w:val="00937CD2"/>
    <w:rsid w:val="0094026C"/>
    <w:rsid w:val="00941118"/>
    <w:rsid w:val="00941B9B"/>
    <w:rsid w:val="00942807"/>
    <w:rsid w:val="00943889"/>
    <w:rsid w:val="00945A32"/>
    <w:rsid w:val="00946896"/>
    <w:rsid w:val="009472A8"/>
    <w:rsid w:val="0094741B"/>
    <w:rsid w:val="00950020"/>
    <w:rsid w:val="00950AF7"/>
    <w:rsid w:val="00950E86"/>
    <w:rsid w:val="009518C2"/>
    <w:rsid w:val="00951C32"/>
    <w:rsid w:val="009528F8"/>
    <w:rsid w:val="00952B1C"/>
    <w:rsid w:val="00952B8C"/>
    <w:rsid w:val="00953D4E"/>
    <w:rsid w:val="00953FDF"/>
    <w:rsid w:val="0095477C"/>
    <w:rsid w:val="00954867"/>
    <w:rsid w:val="00954889"/>
    <w:rsid w:val="00955619"/>
    <w:rsid w:val="00955BFD"/>
    <w:rsid w:val="009566DC"/>
    <w:rsid w:val="0095675B"/>
    <w:rsid w:val="0095745A"/>
    <w:rsid w:val="00960325"/>
    <w:rsid w:val="00961E82"/>
    <w:rsid w:val="00961EBE"/>
    <w:rsid w:val="00962561"/>
    <w:rsid w:val="00962C23"/>
    <w:rsid w:val="00962F50"/>
    <w:rsid w:val="0096309C"/>
    <w:rsid w:val="009630AC"/>
    <w:rsid w:val="0096464E"/>
    <w:rsid w:val="00965364"/>
    <w:rsid w:val="009653C5"/>
    <w:rsid w:val="009656DE"/>
    <w:rsid w:val="0096577C"/>
    <w:rsid w:val="0096698E"/>
    <w:rsid w:val="00970F2C"/>
    <w:rsid w:val="00971236"/>
    <w:rsid w:val="00971A54"/>
    <w:rsid w:val="00971FAD"/>
    <w:rsid w:val="00972603"/>
    <w:rsid w:val="00972839"/>
    <w:rsid w:val="00973282"/>
    <w:rsid w:val="00974C00"/>
    <w:rsid w:val="00974F3A"/>
    <w:rsid w:val="0097552D"/>
    <w:rsid w:val="00975615"/>
    <w:rsid w:val="00977A54"/>
    <w:rsid w:val="00980155"/>
    <w:rsid w:val="00981B02"/>
    <w:rsid w:val="00981D81"/>
    <w:rsid w:val="00981E60"/>
    <w:rsid w:val="00981FE3"/>
    <w:rsid w:val="00982CD3"/>
    <w:rsid w:val="009835AD"/>
    <w:rsid w:val="00983639"/>
    <w:rsid w:val="009841BA"/>
    <w:rsid w:val="00984278"/>
    <w:rsid w:val="0098461A"/>
    <w:rsid w:val="00987201"/>
    <w:rsid w:val="0098732B"/>
    <w:rsid w:val="00987C18"/>
    <w:rsid w:val="00990044"/>
    <w:rsid w:val="009912BB"/>
    <w:rsid w:val="00991365"/>
    <w:rsid w:val="00991620"/>
    <w:rsid w:val="00991876"/>
    <w:rsid w:val="00992688"/>
    <w:rsid w:val="00992E77"/>
    <w:rsid w:val="0099337B"/>
    <w:rsid w:val="00993CCA"/>
    <w:rsid w:val="00993EF5"/>
    <w:rsid w:val="00994112"/>
    <w:rsid w:val="00994273"/>
    <w:rsid w:val="00996C79"/>
    <w:rsid w:val="00996F63"/>
    <w:rsid w:val="009972A7"/>
    <w:rsid w:val="009972AB"/>
    <w:rsid w:val="0099784C"/>
    <w:rsid w:val="009A00E3"/>
    <w:rsid w:val="009A049C"/>
    <w:rsid w:val="009A0E51"/>
    <w:rsid w:val="009A1DFB"/>
    <w:rsid w:val="009A25DF"/>
    <w:rsid w:val="009A3E20"/>
    <w:rsid w:val="009A6EA7"/>
    <w:rsid w:val="009A70C5"/>
    <w:rsid w:val="009A7876"/>
    <w:rsid w:val="009A7A13"/>
    <w:rsid w:val="009B05DF"/>
    <w:rsid w:val="009B1673"/>
    <w:rsid w:val="009B20AC"/>
    <w:rsid w:val="009B2DD8"/>
    <w:rsid w:val="009B3594"/>
    <w:rsid w:val="009B3B8E"/>
    <w:rsid w:val="009B4B71"/>
    <w:rsid w:val="009B4C4A"/>
    <w:rsid w:val="009B6ABD"/>
    <w:rsid w:val="009B6C75"/>
    <w:rsid w:val="009B6CC1"/>
    <w:rsid w:val="009B6DD1"/>
    <w:rsid w:val="009C052D"/>
    <w:rsid w:val="009C1089"/>
    <w:rsid w:val="009C2CB6"/>
    <w:rsid w:val="009C300B"/>
    <w:rsid w:val="009C3468"/>
    <w:rsid w:val="009C3936"/>
    <w:rsid w:val="009C3C6A"/>
    <w:rsid w:val="009C4211"/>
    <w:rsid w:val="009C4576"/>
    <w:rsid w:val="009C48F5"/>
    <w:rsid w:val="009C4A06"/>
    <w:rsid w:val="009C4CD2"/>
    <w:rsid w:val="009C4F73"/>
    <w:rsid w:val="009C64E2"/>
    <w:rsid w:val="009C66C7"/>
    <w:rsid w:val="009C6A79"/>
    <w:rsid w:val="009C71ED"/>
    <w:rsid w:val="009C7AAB"/>
    <w:rsid w:val="009D0907"/>
    <w:rsid w:val="009D14A7"/>
    <w:rsid w:val="009D1769"/>
    <w:rsid w:val="009D1BC0"/>
    <w:rsid w:val="009D1CF4"/>
    <w:rsid w:val="009D2081"/>
    <w:rsid w:val="009D26E9"/>
    <w:rsid w:val="009D2A56"/>
    <w:rsid w:val="009D42D2"/>
    <w:rsid w:val="009D47D4"/>
    <w:rsid w:val="009D4F53"/>
    <w:rsid w:val="009D5811"/>
    <w:rsid w:val="009D5E4B"/>
    <w:rsid w:val="009D5FFC"/>
    <w:rsid w:val="009D6BFF"/>
    <w:rsid w:val="009D72EC"/>
    <w:rsid w:val="009D73EE"/>
    <w:rsid w:val="009D7A99"/>
    <w:rsid w:val="009D7AFC"/>
    <w:rsid w:val="009E0099"/>
    <w:rsid w:val="009E04E1"/>
    <w:rsid w:val="009E0905"/>
    <w:rsid w:val="009E1101"/>
    <w:rsid w:val="009E18EE"/>
    <w:rsid w:val="009E2F73"/>
    <w:rsid w:val="009E34F0"/>
    <w:rsid w:val="009E35D5"/>
    <w:rsid w:val="009E36B7"/>
    <w:rsid w:val="009E3DDD"/>
    <w:rsid w:val="009E458C"/>
    <w:rsid w:val="009E5031"/>
    <w:rsid w:val="009E6B01"/>
    <w:rsid w:val="009F090D"/>
    <w:rsid w:val="009F1361"/>
    <w:rsid w:val="009F1FD8"/>
    <w:rsid w:val="009F2598"/>
    <w:rsid w:val="009F26A7"/>
    <w:rsid w:val="009F2BEE"/>
    <w:rsid w:val="009F2D64"/>
    <w:rsid w:val="009F2DC2"/>
    <w:rsid w:val="009F3B6E"/>
    <w:rsid w:val="009F6009"/>
    <w:rsid w:val="009F70BF"/>
    <w:rsid w:val="009F734A"/>
    <w:rsid w:val="00A003B4"/>
    <w:rsid w:val="00A005BF"/>
    <w:rsid w:val="00A006FF"/>
    <w:rsid w:val="00A017E6"/>
    <w:rsid w:val="00A01A94"/>
    <w:rsid w:val="00A01AB0"/>
    <w:rsid w:val="00A01B77"/>
    <w:rsid w:val="00A02046"/>
    <w:rsid w:val="00A02431"/>
    <w:rsid w:val="00A02668"/>
    <w:rsid w:val="00A02BA3"/>
    <w:rsid w:val="00A03CBA"/>
    <w:rsid w:val="00A05EF1"/>
    <w:rsid w:val="00A060C7"/>
    <w:rsid w:val="00A1077F"/>
    <w:rsid w:val="00A116C9"/>
    <w:rsid w:val="00A11FC6"/>
    <w:rsid w:val="00A1274E"/>
    <w:rsid w:val="00A12F7E"/>
    <w:rsid w:val="00A13387"/>
    <w:rsid w:val="00A1402A"/>
    <w:rsid w:val="00A1443C"/>
    <w:rsid w:val="00A14DB6"/>
    <w:rsid w:val="00A15679"/>
    <w:rsid w:val="00A163EC"/>
    <w:rsid w:val="00A16571"/>
    <w:rsid w:val="00A20C59"/>
    <w:rsid w:val="00A2228F"/>
    <w:rsid w:val="00A22B6A"/>
    <w:rsid w:val="00A22BAD"/>
    <w:rsid w:val="00A23E8D"/>
    <w:rsid w:val="00A24C0F"/>
    <w:rsid w:val="00A250E8"/>
    <w:rsid w:val="00A257C5"/>
    <w:rsid w:val="00A259F3"/>
    <w:rsid w:val="00A2618F"/>
    <w:rsid w:val="00A265B7"/>
    <w:rsid w:val="00A26654"/>
    <w:rsid w:val="00A2668F"/>
    <w:rsid w:val="00A26924"/>
    <w:rsid w:val="00A26AE6"/>
    <w:rsid w:val="00A274A0"/>
    <w:rsid w:val="00A27DAD"/>
    <w:rsid w:val="00A300C3"/>
    <w:rsid w:val="00A314B9"/>
    <w:rsid w:val="00A32E7C"/>
    <w:rsid w:val="00A3341D"/>
    <w:rsid w:val="00A33E1A"/>
    <w:rsid w:val="00A34747"/>
    <w:rsid w:val="00A34E59"/>
    <w:rsid w:val="00A34EBD"/>
    <w:rsid w:val="00A3548C"/>
    <w:rsid w:val="00A3593F"/>
    <w:rsid w:val="00A3613A"/>
    <w:rsid w:val="00A369A9"/>
    <w:rsid w:val="00A379AF"/>
    <w:rsid w:val="00A37F8B"/>
    <w:rsid w:val="00A40174"/>
    <w:rsid w:val="00A401C8"/>
    <w:rsid w:val="00A40C9B"/>
    <w:rsid w:val="00A40E50"/>
    <w:rsid w:val="00A4108C"/>
    <w:rsid w:val="00A412A5"/>
    <w:rsid w:val="00A417C8"/>
    <w:rsid w:val="00A41A66"/>
    <w:rsid w:val="00A42967"/>
    <w:rsid w:val="00A42F7A"/>
    <w:rsid w:val="00A43675"/>
    <w:rsid w:val="00A439BD"/>
    <w:rsid w:val="00A44126"/>
    <w:rsid w:val="00A4412D"/>
    <w:rsid w:val="00A44652"/>
    <w:rsid w:val="00A44933"/>
    <w:rsid w:val="00A4498C"/>
    <w:rsid w:val="00A44F59"/>
    <w:rsid w:val="00A45F0F"/>
    <w:rsid w:val="00A466ED"/>
    <w:rsid w:val="00A4687D"/>
    <w:rsid w:val="00A51AF5"/>
    <w:rsid w:val="00A52516"/>
    <w:rsid w:val="00A52BD6"/>
    <w:rsid w:val="00A52C18"/>
    <w:rsid w:val="00A52ED4"/>
    <w:rsid w:val="00A5325A"/>
    <w:rsid w:val="00A533A0"/>
    <w:rsid w:val="00A5393C"/>
    <w:rsid w:val="00A53CD5"/>
    <w:rsid w:val="00A542D3"/>
    <w:rsid w:val="00A55F38"/>
    <w:rsid w:val="00A60020"/>
    <w:rsid w:val="00A607FC"/>
    <w:rsid w:val="00A60CAF"/>
    <w:rsid w:val="00A611CF"/>
    <w:rsid w:val="00A62CB5"/>
    <w:rsid w:val="00A63A64"/>
    <w:rsid w:val="00A64324"/>
    <w:rsid w:val="00A657C3"/>
    <w:rsid w:val="00A70511"/>
    <w:rsid w:val="00A70C20"/>
    <w:rsid w:val="00A70DE7"/>
    <w:rsid w:val="00A713E4"/>
    <w:rsid w:val="00A71C1C"/>
    <w:rsid w:val="00A71E81"/>
    <w:rsid w:val="00A7292C"/>
    <w:rsid w:val="00A734B0"/>
    <w:rsid w:val="00A74129"/>
    <w:rsid w:val="00A7469F"/>
    <w:rsid w:val="00A74B36"/>
    <w:rsid w:val="00A75E03"/>
    <w:rsid w:val="00A8042E"/>
    <w:rsid w:val="00A811A1"/>
    <w:rsid w:val="00A82351"/>
    <w:rsid w:val="00A82B11"/>
    <w:rsid w:val="00A83878"/>
    <w:rsid w:val="00A83A35"/>
    <w:rsid w:val="00A83E76"/>
    <w:rsid w:val="00A84AF0"/>
    <w:rsid w:val="00A84C16"/>
    <w:rsid w:val="00A85B97"/>
    <w:rsid w:val="00A86BFB"/>
    <w:rsid w:val="00A90BE5"/>
    <w:rsid w:val="00A911B9"/>
    <w:rsid w:val="00A915FF"/>
    <w:rsid w:val="00A9310C"/>
    <w:rsid w:val="00A95A6C"/>
    <w:rsid w:val="00A95BB1"/>
    <w:rsid w:val="00A95D3F"/>
    <w:rsid w:val="00A95DDF"/>
    <w:rsid w:val="00A96C3F"/>
    <w:rsid w:val="00A96F1F"/>
    <w:rsid w:val="00A9754C"/>
    <w:rsid w:val="00AA03F2"/>
    <w:rsid w:val="00AA04D4"/>
    <w:rsid w:val="00AA12D9"/>
    <w:rsid w:val="00AA13BA"/>
    <w:rsid w:val="00AA155C"/>
    <w:rsid w:val="00AA1C6E"/>
    <w:rsid w:val="00AA1F2C"/>
    <w:rsid w:val="00AA26E3"/>
    <w:rsid w:val="00AA277E"/>
    <w:rsid w:val="00AA289B"/>
    <w:rsid w:val="00AA32C5"/>
    <w:rsid w:val="00AA32E5"/>
    <w:rsid w:val="00AA3C57"/>
    <w:rsid w:val="00AA44EB"/>
    <w:rsid w:val="00AA4562"/>
    <w:rsid w:val="00AA6626"/>
    <w:rsid w:val="00AA67DF"/>
    <w:rsid w:val="00AA6997"/>
    <w:rsid w:val="00AA6FB4"/>
    <w:rsid w:val="00AA766C"/>
    <w:rsid w:val="00AB1750"/>
    <w:rsid w:val="00AB1888"/>
    <w:rsid w:val="00AB19BF"/>
    <w:rsid w:val="00AB202F"/>
    <w:rsid w:val="00AB2094"/>
    <w:rsid w:val="00AB2391"/>
    <w:rsid w:val="00AB2747"/>
    <w:rsid w:val="00AB3282"/>
    <w:rsid w:val="00AB3680"/>
    <w:rsid w:val="00AB4058"/>
    <w:rsid w:val="00AB42E1"/>
    <w:rsid w:val="00AB5813"/>
    <w:rsid w:val="00AB6354"/>
    <w:rsid w:val="00AB6496"/>
    <w:rsid w:val="00AB65F9"/>
    <w:rsid w:val="00AB7315"/>
    <w:rsid w:val="00AB7895"/>
    <w:rsid w:val="00AB792A"/>
    <w:rsid w:val="00AC01E1"/>
    <w:rsid w:val="00AC0D56"/>
    <w:rsid w:val="00AC0E04"/>
    <w:rsid w:val="00AC1831"/>
    <w:rsid w:val="00AC1B2F"/>
    <w:rsid w:val="00AC2F44"/>
    <w:rsid w:val="00AC312B"/>
    <w:rsid w:val="00AC382D"/>
    <w:rsid w:val="00AC3D0E"/>
    <w:rsid w:val="00AC3F29"/>
    <w:rsid w:val="00AC4B7D"/>
    <w:rsid w:val="00AC5381"/>
    <w:rsid w:val="00AC56F1"/>
    <w:rsid w:val="00AC5B60"/>
    <w:rsid w:val="00AC6E9B"/>
    <w:rsid w:val="00AC7B9B"/>
    <w:rsid w:val="00AC7D35"/>
    <w:rsid w:val="00AD01D5"/>
    <w:rsid w:val="00AD0A8C"/>
    <w:rsid w:val="00AD0B56"/>
    <w:rsid w:val="00AD0E54"/>
    <w:rsid w:val="00AD10B8"/>
    <w:rsid w:val="00AD183C"/>
    <w:rsid w:val="00AD18A8"/>
    <w:rsid w:val="00AD1F0D"/>
    <w:rsid w:val="00AD208B"/>
    <w:rsid w:val="00AD20FB"/>
    <w:rsid w:val="00AD319A"/>
    <w:rsid w:val="00AD37C3"/>
    <w:rsid w:val="00AD3BBD"/>
    <w:rsid w:val="00AD4C7F"/>
    <w:rsid w:val="00AD52CD"/>
    <w:rsid w:val="00AD5670"/>
    <w:rsid w:val="00AD56FF"/>
    <w:rsid w:val="00AD5B62"/>
    <w:rsid w:val="00AD5BFF"/>
    <w:rsid w:val="00AD65AB"/>
    <w:rsid w:val="00AD7744"/>
    <w:rsid w:val="00AD7941"/>
    <w:rsid w:val="00AD7B93"/>
    <w:rsid w:val="00AE0335"/>
    <w:rsid w:val="00AE04E9"/>
    <w:rsid w:val="00AE10FD"/>
    <w:rsid w:val="00AE1EB5"/>
    <w:rsid w:val="00AE2004"/>
    <w:rsid w:val="00AE2876"/>
    <w:rsid w:val="00AE2D0E"/>
    <w:rsid w:val="00AE34DC"/>
    <w:rsid w:val="00AE37C9"/>
    <w:rsid w:val="00AE3E62"/>
    <w:rsid w:val="00AE433D"/>
    <w:rsid w:val="00AE4780"/>
    <w:rsid w:val="00AE4AC7"/>
    <w:rsid w:val="00AE61B4"/>
    <w:rsid w:val="00AE67B5"/>
    <w:rsid w:val="00AF02CA"/>
    <w:rsid w:val="00AF0580"/>
    <w:rsid w:val="00AF0F70"/>
    <w:rsid w:val="00AF1608"/>
    <w:rsid w:val="00AF1B77"/>
    <w:rsid w:val="00AF2275"/>
    <w:rsid w:val="00AF39D5"/>
    <w:rsid w:val="00AF45D6"/>
    <w:rsid w:val="00AF4675"/>
    <w:rsid w:val="00AF47AD"/>
    <w:rsid w:val="00AF4F33"/>
    <w:rsid w:val="00AF5155"/>
    <w:rsid w:val="00AF5422"/>
    <w:rsid w:val="00AF5880"/>
    <w:rsid w:val="00AF6A4A"/>
    <w:rsid w:val="00AF6B4E"/>
    <w:rsid w:val="00AF6F46"/>
    <w:rsid w:val="00AF7F03"/>
    <w:rsid w:val="00B0002D"/>
    <w:rsid w:val="00B003C7"/>
    <w:rsid w:val="00B00857"/>
    <w:rsid w:val="00B009AE"/>
    <w:rsid w:val="00B0145A"/>
    <w:rsid w:val="00B01701"/>
    <w:rsid w:val="00B01769"/>
    <w:rsid w:val="00B019FB"/>
    <w:rsid w:val="00B01CCE"/>
    <w:rsid w:val="00B02F18"/>
    <w:rsid w:val="00B032A4"/>
    <w:rsid w:val="00B03DAD"/>
    <w:rsid w:val="00B053BD"/>
    <w:rsid w:val="00B05AA0"/>
    <w:rsid w:val="00B05B5A"/>
    <w:rsid w:val="00B05DBF"/>
    <w:rsid w:val="00B06721"/>
    <w:rsid w:val="00B075FD"/>
    <w:rsid w:val="00B07CA0"/>
    <w:rsid w:val="00B10311"/>
    <w:rsid w:val="00B10B27"/>
    <w:rsid w:val="00B10CE6"/>
    <w:rsid w:val="00B11180"/>
    <w:rsid w:val="00B12355"/>
    <w:rsid w:val="00B125A0"/>
    <w:rsid w:val="00B13D46"/>
    <w:rsid w:val="00B13DE6"/>
    <w:rsid w:val="00B13E30"/>
    <w:rsid w:val="00B151B1"/>
    <w:rsid w:val="00B15A90"/>
    <w:rsid w:val="00B168CF"/>
    <w:rsid w:val="00B169DA"/>
    <w:rsid w:val="00B16FED"/>
    <w:rsid w:val="00B17A8C"/>
    <w:rsid w:val="00B2000B"/>
    <w:rsid w:val="00B2009C"/>
    <w:rsid w:val="00B20F0F"/>
    <w:rsid w:val="00B20F16"/>
    <w:rsid w:val="00B20F82"/>
    <w:rsid w:val="00B21C31"/>
    <w:rsid w:val="00B2209E"/>
    <w:rsid w:val="00B22CB1"/>
    <w:rsid w:val="00B23345"/>
    <w:rsid w:val="00B2394E"/>
    <w:rsid w:val="00B245EC"/>
    <w:rsid w:val="00B24918"/>
    <w:rsid w:val="00B2616C"/>
    <w:rsid w:val="00B275D6"/>
    <w:rsid w:val="00B277CC"/>
    <w:rsid w:val="00B27ACD"/>
    <w:rsid w:val="00B27C1A"/>
    <w:rsid w:val="00B27C25"/>
    <w:rsid w:val="00B30C5E"/>
    <w:rsid w:val="00B3105D"/>
    <w:rsid w:val="00B312A7"/>
    <w:rsid w:val="00B332FE"/>
    <w:rsid w:val="00B33634"/>
    <w:rsid w:val="00B33CAC"/>
    <w:rsid w:val="00B34251"/>
    <w:rsid w:val="00B35097"/>
    <w:rsid w:val="00B3560B"/>
    <w:rsid w:val="00B35DCE"/>
    <w:rsid w:val="00B36C0D"/>
    <w:rsid w:val="00B3701B"/>
    <w:rsid w:val="00B40C20"/>
    <w:rsid w:val="00B41DC1"/>
    <w:rsid w:val="00B43093"/>
    <w:rsid w:val="00B442D7"/>
    <w:rsid w:val="00B445E9"/>
    <w:rsid w:val="00B452C0"/>
    <w:rsid w:val="00B45751"/>
    <w:rsid w:val="00B45E14"/>
    <w:rsid w:val="00B45F94"/>
    <w:rsid w:val="00B4727C"/>
    <w:rsid w:val="00B479D4"/>
    <w:rsid w:val="00B5082C"/>
    <w:rsid w:val="00B51754"/>
    <w:rsid w:val="00B517AC"/>
    <w:rsid w:val="00B51AE4"/>
    <w:rsid w:val="00B51BB0"/>
    <w:rsid w:val="00B52110"/>
    <w:rsid w:val="00B522B6"/>
    <w:rsid w:val="00B525C4"/>
    <w:rsid w:val="00B52FA5"/>
    <w:rsid w:val="00B53065"/>
    <w:rsid w:val="00B5339F"/>
    <w:rsid w:val="00B53971"/>
    <w:rsid w:val="00B5439C"/>
    <w:rsid w:val="00B54DEE"/>
    <w:rsid w:val="00B559C6"/>
    <w:rsid w:val="00B55B51"/>
    <w:rsid w:val="00B5767D"/>
    <w:rsid w:val="00B57B78"/>
    <w:rsid w:val="00B57C2F"/>
    <w:rsid w:val="00B60274"/>
    <w:rsid w:val="00B60692"/>
    <w:rsid w:val="00B60854"/>
    <w:rsid w:val="00B60E9E"/>
    <w:rsid w:val="00B612DA"/>
    <w:rsid w:val="00B6266D"/>
    <w:rsid w:val="00B65898"/>
    <w:rsid w:val="00B65CFF"/>
    <w:rsid w:val="00B65EAC"/>
    <w:rsid w:val="00B66DED"/>
    <w:rsid w:val="00B67C91"/>
    <w:rsid w:val="00B72368"/>
    <w:rsid w:val="00B72B88"/>
    <w:rsid w:val="00B7318A"/>
    <w:rsid w:val="00B73244"/>
    <w:rsid w:val="00B7367D"/>
    <w:rsid w:val="00B73815"/>
    <w:rsid w:val="00B73A64"/>
    <w:rsid w:val="00B73D45"/>
    <w:rsid w:val="00B73F69"/>
    <w:rsid w:val="00B7405E"/>
    <w:rsid w:val="00B745A6"/>
    <w:rsid w:val="00B75725"/>
    <w:rsid w:val="00B75B15"/>
    <w:rsid w:val="00B76392"/>
    <w:rsid w:val="00B76658"/>
    <w:rsid w:val="00B77201"/>
    <w:rsid w:val="00B77EBC"/>
    <w:rsid w:val="00B80ABA"/>
    <w:rsid w:val="00B80DF8"/>
    <w:rsid w:val="00B8265A"/>
    <w:rsid w:val="00B82A9C"/>
    <w:rsid w:val="00B8305F"/>
    <w:rsid w:val="00B843A2"/>
    <w:rsid w:val="00B84431"/>
    <w:rsid w:val="00B84476"/>
    <w:rsid w:val="00B85B29"/>
    <w:rsid w:val="00B85B47"/>
    <w:rsid w:val="00B8735A"/>
    <w:rsid w:val="00B87B4C"/>
    <w:rsid w:val="00B87C8E"/>
    <w:rsid w:val="00B906BF"/>
    <w:rsid w:val="00B907E4"/>
    <w:rsid w:val="00B90B10"/>
    <w:rsid w:val="00B9105D"/>
    <w:rsid w:val="00B92118"/>
    <w:rsid w:val="00B92AE9"/>
    <w:rsid w:val="00B93414"/>
    <w:rsid w:val="00B93717"/>
    <w:rsid w:val="00B939B4"/>
    <w:rsid w:val="00B9617C"/>
    <w:rsid w:val="00B969DC"/>
    <w:rsid w:val="00B96E8A"/>
    <w:rsid w:val="00BA21FC"/>
    <w:rsid w:val="00BA22A8"/>
    <w:rsid w:val="00BA28E7"/>
    <w:rsid w:val="00BA2CFF"/>
    <w:rsid w:val="00BA2D51"/>
    <w:rsid w:val="00BA3251"/>
    <w:rsid w:val="00BA355F"/>
    <w:rsid w:val="00BA3D60"/>
    <w:rsid w:val="00BA446B"/>
    <w:rsid w:val="00BA490C"/>
    <w:rsid w:val="00BA497B"/>
    <w:rsid w:val="00BA4ECA"/>
    <w:rsid w:val="00BA5032"/>
    <w:rsid w:val="00BA57C5"/>
    <w:rsid w:val="00BA5BAE"/>
    <w:rsid w:val="00BA5D66"/>
    <w:rsid w:val="00BA64AB"/>
    <w:rsid w:val="00BA73C3"/>
    <w:rsid w:val="00BA75D3"/>
    <w:rsid w:val="00BA7874"/>
    <w:rsid w:val="00BB2BA7"/>
    <w:rsid w:val="00BB30F9"/>
    <w:rsid w:val="00BB3832"/>
    <w:rsid w:val="00BB3950"/>
    <w:rsid w:val="00BB3B4B"/>
    <w:rsid w:val="00BB3D7D"/>
    <w:rsid w:val="00BB42DF"/>
    <w:rsid w:val="00BB431E"/>
    <w:rsid w:val="00BB4FD3"/>
    <w:rsid w:val="00BB594F"/>
    <w:rsid w:val="00BB7150"/>
    <w:rsid w:val="00BB7BBD"/>
    <w:rsid w:val="00BB7C6B"/>
    <w:rsid w:val="00BB7C6D"/>
    <w:rsid w:val="00BC0319"/>
    <w:rsid w:val="00BC0354"/>
    <w:rsid w:val="00BC09CD"/>
    <w:rsid w:val="00BC1038"/>
    <w:rsid w:val="00BC10D8"/>
    <w:rsid w:val="00BC16EC"/>
    <w:rsid w:val="00BC24A9"/>
    <w:rsid w:val="00BC2CCB"/>
    <w:rsid w:val="00BC4DDE"/>
    <w:rsid w:val="00BC54F4"/>
    <w:rsid w:val="00BC5914"/>
    <w:rsid w:val="00BC71B8"/>
    <w:rsid w:val="00BC7AD0"/>
    <w:rsid w:val="00BC7F39"/>
    <w:rsid w:val="00BD13F3"/>
    <w:rsid w:val="00BD1C31"/>
    <w:rsid w:val="00BD238C"/>
    <w:rsid w:val="00BD2DD9"/>
    <w:rsid w:val="00BD2E7B"/>
    <w:rsid w:val="00BD3A5D"/>
    <w:rsid w:val="00BD3AC9"/>
    <w:rsid w:val="00BD4530"/>
    <w:rsid w:val="00BD4A7D"/>
    <w:rsid w:val="00BD5437"/>
    <w:rsid w:val="00BD78D2"/>
    <w:rsid w:val="00BE0355"/>
    <w:rsid w:val="00BE119D"/>
    <w:rsid w:val="00BE13A3"/>
    <w:rsid w:val="00BE2661"/>
    <w:rsid w:val="00BE2B62"/>
    <w:rsid w:val="00BE346B"/>
    <w:rsid w:val="00BE46F4"/>
    <w:rsid w:val="00BE4B8E"/>
    <w:rsid w:val="00BE6103"/>
    <w:rsid w:val="00BE6BA2"/>
    <w:rsid w:val="00BE70C0"/>
    <w:rsid w:val="00BE7479"/>
    <w:rsid w:val="00BE799E"/>
    <w:rsid w:val="00BE79BF"/>
    <w:rsid w:val="00BF03FC"/>
    <w:rsid w:val="00BF0C20"/>
    <w:rsid w:val="00BF14D6"/>
    <w:rsid w:val="00BF1542"/>
    <w:rsid w:val="00BF1846"/>
    <w:rsid w:val="00BF193D"/>
    <w:rsid w:val="00BF2000"/>
    <w:rsid w:val="00BF31B2"/>
    <w:rsid w:val="00BF3D8D"/>
    <w:rsid w:val="00BF43C1"/>
    <w:rsid w:val="00BF4612"/>
    <w:rsid w:val="00BF47F8"/>
    <w:rsid w:val="00BF5974"/>
    <w:rsid w:val="00BF6864"/>
    <w:rsid w:val="00BF6A16"/>
    <w:rsid w:val="00BF71DF"/>
    <w:rsid w:val="00C0083F"/>
    <w:rsid w:val="00C023FC"/>
    <w:rsid w:val="00C03333"/>
    <w:rsid w:val="00C03491"/>
    <w:rsid w:val="00C03D80"/>
    <w:rsid w:val="00C03F1E"/>
    <w:rsid w:val="00C04F93"/>
    <w:rsid w:val="00C05405"/>
    <w:rsid w:val="00C05983"/>
    <w:rsid w:val="00C06A1E"/>
    <w:rsid w:val="00C06ACB"/>
    <w:rsid w:val="00C07137"/>
    <w:rsid w:val="00C0734C"/>
    <w:rsid w:val="00C100FC"/>
    <w:rsid w:val="00C10417"/>
    <w:rsid w:val="00C104C2"/>
    <w:rsid w:val="00C10FC9"/>
    <w:rsid w:val="00C114E7"/>
    <w:rsid w:val="00C117AE"/>
    <w:rsid w:val="00C12CD8"/>
    <w:rsid w:val="00C12E41"/>
    <w:rsid w:val="00C13151"/>
    <w:rsid w:val="00C13B0C"/>
    <w:rsid w:val="00C14268"/>
    <w:rsid w:val="00C1528B"/>
    <w:rsid w:val="00C1568F"/>
    <w:rsid w:val="00C15CD2"/>
    <w:rsid w:val="00C161CA"/>
    <w:rsid w:val="00C170A9"/>
    <w:rsid w:val="00C20437"/>
    <w:rsid w:val="00C20E70"/>
    <w:rsid w:val="00C20E7B"/>
    <w:rsid w:val="00C226FF"/>
    <w:rsid w:val="00C22DDA"/>
    <w:rsid w:val="00C243E2"/>
    <w:rsid w:val="00C24575"/>
    <w:rsid w:val="00C26357"/>
    <w:rsid w:val="00C26A30"/>
    <w:rsid w:val="00C301AE"/>
    <w:rsid w:val="00C3057D"/>
    <w:rsid w:val="00C30BE3"/>
    <w:rsid w:val="00C3178A"/>
    <w:rsid w:val="00C31B57"/>
    <w:rsid w:val="00C31E94"/>
    <w:rsid w:val="00C3215D"/>
    <w:rsid w:val="00C328E3"/>
    <w:rsid w:val="00C330A0"/>
    <w:rsid w:val="00C338DF"/>
    <w:rsid w:val="00C339F0"/>
    <w:rsid w:val="00C33D6D"/>
    <w:rsid w:val="00C344BA"/>
    <w:rsid w:val="00C34E28"/>
    <w:rsid w:val="00C35493"/>
    <w:rsid w:val="00C35A59"/>
    <w:rsid w:val="00C36187"/>
    <w:rsid w:val="00C3680F"/>
    <w:rsid w:val="00C36E60"/>
    <w:rsid w:val="00C372B4"/>
    <w:rsid w:val="00C37580"/>
    <w:rsid w:val="00C41186"/>
    <w:rsid w:val="00C411EC"/>
    <w:rsid w:val="00C42141"/>
    <w:rsid w:val="00C4268A"/>
    <w:rsid w:val="00C42CF0"/>
    <w:rsid w:val="00C4305B"/>
    <w:rsid w:val="00C430F4"/>
    <w:rsid w:val="00C4367E"/>
    <w:rsid w:val="00C4435F"/>
    <w:rsid w:val="00C45097"/>
    <w:rsid w:val="00C459B0"/>
    <w:rsid w:val="00C477C0"/>
    <w:rsid w:val="00C50535"/>
    <w:rsid w:val="00C50587"/>
    <w:rsid w:val="00C513CE"/>
    <w:rsid w:val="00C5155A"/>
    <w:rsid w:val="00C52104"/>
    <w:rsid w:val="00C528F5"/>
    <w:rsid w:val="00C533B8"/>
    <w:rsid w:val="00C5470E"/>
    <w:rsid w:val="00C55552"/>
    <w:rsid w:val="00C55556"/>
    <w:rsid w:val="00C55625"/>
    <w:rsid w:val="00C5571F"/>
    <w:rsid w:val="00C56707"/>
    <w:rsid w:val="00C57585"/>
    <w:rsid w:val="00C57AC0"/>
    <w:rsid w:val="00C6007F"/>
    <w:rsid w:val="00C60196"/>
    <w:rsid w:val="00C6068F"/>
    <w:rsid w:val="00C60B8E"/>
    <w:rsid w:val="00C61570"/>
    <w:rsid w:val="00C6203A"/>
    <w:rsid w:val="00C62549"/>
    <w:rsid w:val="00C62DA0"/>
    <w:rsid w:val="00C63898"/>
    <w:rsid w:val="00C63D2D"/>
    <w:rsid w:val="00C65701"/>
    <w:rsid w:val="00C6591E"/>
    <w:rsid w:val="00C65C90"/>
    <w:rsid w:val="00C66256"/>
    <w:rsid w:val="00C6712F"/>
    <w:rsid w:val="00C67263"/>
    <w:rsid w:val="00C705B3"/>
    <w:rsid w:val="00C70D26"/>
    <w:rsid w:val="00C718B1"/>
    <w:rsid w:val="00C71BE3"/>
    <w:rsid w:val="00C7255A"/>
    <w:rsid w:val="00C72ABC"/>
    <w:rsid w:val="00C72B8D"/>
    <w:rsid w:val="00C72DB0"/>
    <w:rsid w:val="00C7460D"/>
    <w:rsid w:val="00C7509E"/>
    <w:rsid w:val="00C773BB"/>
    <w:rsid w:val="00C776D3"/>
    <w:rsid w:val="00C77FFB"/>
    <w:rsid w:val="00C806F2"/>
    <w:rsid w:val="00C81EB2"/>
    <w:rsid w:val="00C83018"/>
    <w:rsid w:val="00C8337C"/>
    <w:rsid w:val="00C8378C"/>
    <w:rsid w:val="00C84D5C"/>
    <w:rsid w:val="00C85280"/>
    <w:rsid w:val="00C85610"/>
    <w:rsid w:val="00C856D3"/>
    <w:rsid w:val="00C85F29"/>
    <w:rsid w:val="00C86F8A"/>
    <w:rsid w:val="00C900C2"/>
    <w:rsid w:val="00C9033F"/>
    <w:rsid w:val="00C90393"/>
    <w:rsid w:val="00C906B6"/>
    <w:rsid w:val="00C909F5"/>
    <w:rsid w:val="00C92899"/>
    <w:rsid w:val="00C936C8"/>
    <w:rsid w:val="00C93C1E"/>
    <w:rsid w:val="00C942FD"/>
    <w:rsid w:val="00C94409"/>
    <w:rsid w:val="00C9443F"/>
    <w:rsid w:val="00C955EF"/>
    <w:rsid w:val="00C964C5"/>
    <w:rsid w:val="00C96FE7"/>
    <w:rsid w:val="00C97F26"/>
    <w:rsid w:val="00CA0EB6"/>
    <w:rsid w:val="00CA12E6"/>
    <w:rsid w:val="00CA1666"/>
    <w:rsid w:val="00CA19FE"/>
    <w:rsid w:val="00CA24AD"/>
    <w:rsid w:val="00CA24BD"/>
    <w:rsid w:val="00CA2560"/>
    <w:rsid w:val="00CA368B"/>
    <w:rsid w:val="00CA3A75"/>
    <w:rsid w:val="00CA3F0A"/>
    <w:rsid w:val="00CA44CF"/>
    <w:rsid w:val="00CA4985"/>
    <w:rsid w:val="00CA4B97"/>
    <w:rsid w:val="00CA4E59"/>
    <w:rsid w:val="00CA56A8"/>
    <w:rsid w:val="00CA57EB"/>
    <w:rsid w:val="00CA63F1"/>
    <w:rsid w:val="00CA677C"/>
    <w:rsid w:val="00CA6A9B"/>
    <w:rsid w:val="00CA6F61"/>
    <w:rsid w:val="00CA7007"/>
    <w:rsid w:val="00CA7E5D"/>
    <w:rsid w:val="00CB1083"/>
    <w:rsid w:val="00CB1E84"/>
    <w:rsid w:val="00CB22EE"/>
    <w:rsid w:val="00CB251D"/>
    <w:rsid w:val="00CB2D31"/>
    <w:rsid w:val="00CB2E46"/>
    <w:rsid w:val="00CB30E8"/>
    <w:rsid w:val="00CB3B92"/>
    <w:rsid w:val="00CB41BD"/>
    <w:rsid w:val="00CB44C2"/>
    <w:rsid w:val="00CB4A04"/>
    <w:rsid w:val="00CB5871"/>
    <w:rsid w:val="00CB5DBD"/>
    <w:rsid w:val="00CB6141"/>
    <w:rsid w:val="00CB6783"/>
    <w:rsid w:val="00CB6A9F"/>
    <w:rsid w:val="00CC01AE"/>
    <w:rsid w:val="00CC0535"/>
    <w:rsid w:val="00CC0FA0"/>
    <w:rsid w:val="00CC1511"/>
    <w:rsid w:val="00CC1CAB"/>
    <w:rsid w:val="00CC3864"/>
    <w:rsid w:val="00CC4CF6"/>
    <w:rsid w:val="00CC53BC"/>
    <w:rsid w:val="00CC55F0"/>
    <w:rsid w:val="00CC5934"/>
    <w:rsid w:val="00CC6999"/>
    <w:rsid w:val="00CC6B91"/>
    <w:rsid w:val="00CC7DA6"/>
    <w:rsid w:val="00CD05E9"/>
    <w:rsid w:val="00CD05F4"/>
    <w:rsid w:val="00CD0D9D"/>
    <w:rsid w:val="00CD34ED"/>
    <w:rsid w:val="00CD39C1"/>
    <w:rsid w:val="00CD3FB8"/>
    <w:rsid w:val="00CD40D2"/>
    <w:rsid w:val="00CD4543"/>
    <w:rsid w:val="00CD55E9"/>
    <w:rsid w:val="00CD652B"/>
    <w:rsid w:val="00CD6D0D"/>
    <w:rsid w:val="00CE0A19"/>
    <w:rsid w:val="00CE1742"/>
    <w:rsid w:val="00CE23D8"/>
    <w:rsid w:val="00CE2D5E"/>
    <w:rsid w:val="00CE2D85"/>
    <w:rsid w:val="00CE3AD8"/>
    <w:rsid w:val="00CE438F"/>
    <w:rsid w:val="00CE4718"/>
    <w:rsid w:val="00CE4866"/>
    <w:rsid w:val="00CE55DA"/>
    <w:rsid w:val="00CE5682"/>
    <w:rsid w:val="00CE5EA9"/>
    <w:rsid w:val="00CE611D"/>
    <w:rsid w:val="00CE6E1D"/>
    <w:rsid w:val="00CE71C4"/>
    <w:rsid w:val="00CE745F"/>
    <w:rsid w:val="00CE74C8"/>
    <w:rsid w:val="00CE75A3"/>
    <w:rsid w:val="00CE7A60"/>
    <w:rsid w:val="00CE7F3D"/>
    <w:rsid w:val="00CF03FF"/>
    <w:rsid w:val="00CF055B"/>
    <w:rsid w:val="00CF06EF"/>
    <w:rsid w:val="00CF0890"/>
    <w:rsid w:val="00CF0F3C"/>
    <w:rsid w:val="00CF110B"/>
    <w:rsid w:val="00CF161D"/>
    <w:rsid w:val="00CF3000"/>
    <w:rsid w:val="00CF42AE"/>
    <w:rsid w:val="00CF45F1"/>
    <w:rsid w:val="00CF63BB"/>
    <w:rsid w:val="00CF6C81"/>
    <w:rsid w:val="00CF7040"/>
    <w:rsid w:val="00CF724B"/>
    <w:rsid w:val="00CF7778"/>
    <w:rsid w:val="00CF7C46"/>
    <w:rsid w:val="00CF7D17"/>
    <w:rsid w:val="00D010D8"/>
    <w:rsid w:val="00D01147"/>
    <w:rsid w:val="00D02005"/>
    <w:rsid w:val="00D02034"/>
    <w:rsid w:val="00D02CCF"/>
    <w:rsid w:val="00D02D5E"/>
    <w:rsid w:val="00D03A76"/>
    <w:rsid w:val="00D04134"/>
    <w:rsid w:val="00D05009"/>
    <w:rsid w:val="00D054A6"/>
    <w:rsid w:val="00D0678A"/>
    <w:rsid w:val="00D06B1F"/>
    <w:rsid w:val="00D0750A"/>
    <w:rsid w:val="00D077B6"/>
    <w:rsid w:val="00D1109C"/>
    <w:rsid w:val="00D11336"/>
    <w:rsid w:val="00D1136E"/>
    <w:rsid w:val="00D12351"/>
    <w:rsid w:val="00D132A8"/>
    <w:rsid w:val="00D13738"/>
    <w:rsid w:val="00D13A5B"/>
    <w:rsid w:val="00D13DAF"/>
    <w:rsid w:val="00D14782"/>
    <w:rsid w:val="00D14CDB"/>
    <w:rsid w:val="00D1562E"/>
    <w:rsid w:val="00D17344"/>
    <w:rsid w:val="00D17D01"/>
    <w:rsid w:val="00D20545"/>
    <w:rsid w:val="00D20CCF"/>
    <w:rsid w:val="00D2153A"/>
    <w:rsid w:val="00D21854"/>
    <w:rsid w:val="00D21F93"/>
    <w:rsid w:val="00D2234B"/>
    <w:rsid w:val="00D225B6"/>
    <w:rsid w:val="00D2321A"/>
    <w:rsid w:val="00D2326F"/>
    <w:rsid w:val="00D235BC"/>
    <w:rsid w:val="00D23BA1"/>
    <w:rsid w:val="00D2499C"/>
    <w:rsid w:val="00D25E84"/>
    <w:rsid w:val="00D2609D"/>
    <w:rsid w:val="00D26BDE"/>
    <w:rsid w:val="00D26ECF"/>
    <w:rsid w:val="00D27459"/>
    <w:rsid w:val="00D30B71"/>
    <w:rsid w:val="00D31740"/>
    <w:rsid w:val="00D31B01"/>
    <w:rsid w:val="00D31B64"/>
    <w:rsid w:val="00D323FE"/>
    <w:rsid w:val="00D3264E"/>
    <w:rsid w:val="00D32711"/>
    <w:rsid w:val="00D32BC6"/>
    <w:rsid w:val="00D32BFB"/>
    <w:rsid w:val="00D33246"/>
    <w:rsid w:val="00D33B78"/>
    <w:rsid w:val="00D3428E"/>
    <w:rsid w:val="00D34A1C"/>
    <w:rsid w:val="00D34F87"/>
    <w:rsid w:val="00D3581D"/>
    <w:rsid w:val="00D35A0C"/>
    <w:rsid w:val="00D35F0F"/>
    <w:rsid w:val="00D40490"/>
    <w:rsid w:val="00D411E7"/>
    <w:rsid w:val="00D415B4"/>
    <w:rsid w:val="00D41BD1"/>
    <w:rsid w:val="00D42026"/>
    <w:rsid w:val="00D42FE5"/>
    <w:rsid w:val="00D435DE"/>
    <w:rsid w:val="00D440E2"/>
    <w:rsid w:val="00D44B17"/>
    <w:rsid w:val="00D44CBA"/>
    <w:rsid w:val="00D44CF4"/>
    <w:rsid w:val="00D4548A"/>
    <w:rsid w:val="00D457A4"/>
    <w:rsid w:val="00D45AB1"/>
    <w:rsid w:val="00D45DBB"/>
    <w:rsid w:val="00D45F95"/>
    <w:rsid w:val="00D46735"/>
    <w:rsid w:val="00D46BA6"/>
    <w:rsid w:val="00D46BF5"/>
    <w:rsid w:val="00D47032"/>
    <w:rsid w:val="00D4780E"/>
    <w:rsid w:val="00D47A7D"/>
    <w:rsid w:val="00D47B6B"/>
    <w:rsid w:val="00D507F2"/>
    <w:rsid w:val="00D5091D"/>
    <w:rsid w:val="00D516F1"/>
    <w:rsid w:val="00D527CE"/>
    <w:rsid w:val="00D53392"/>
    <w:rsid w:val="00D54B2F"/>
    <w:rsid w:val="00D55192"/>
    <w:rsid w:val="00D55466"/>
    <w:rsid w:val="00D57F58"/>
    <w:rsid w:val="00D6009C"/>
    <w:rsid w:val="00D614AC"/>
    <w:rsid w:val="00D61659"/>
    <w:rsid w:val="00D61DD5"/>
    <w:rsid w:val="00D62470"/>
    <w:rsid w:val="00D63767"/>
    <w:rsid w:val="00D639AB"/>
    <w:rsid w:val="00D63A2E"/>
    <w:rsid w:val="00D65510"/>
    <w:rsid w:val="00D6554D"/>
    <w:rsid w:val="00D6574B"/>
    <w:rsid w:val="00D6609B"/>
    <w:rsid w:val="00D660E5"/>
    <w:rsid w:val="00D660F6"/>
    <w:rsid w:val="00D662DF"/>
    <w:rsid w:val="00D66327"/>
    <w:rsid w:val="00D70519"/>
    <w:rsid w:val="00D71AA5"/>
    <w:rsid w:val="00D71C09"/>
    <w:rsid w:val="00D71F5A"/>
    <w:rsid w:val="00D72328"/>
    <w:rsid w:val="00D72B6E"/>
    <w:rsid w:val="00D72C4A"/>
    <w:rsid w:val="00D730DC"/>
    <w:rsid w:val="00D73333"/>
    <w:rsid w:val="00D73E90"/>
    <w:rsid w:val="00D74127"/>
    <w:rsid w:val="00D745E4"/>
    <w:rsid w:val="00D74744"/>
    <w:rsid w:val="00D75ED8"/>
    <w:rsid w:val="00D767AB"/>
    <w:rsid w:val="00D768A4"/>
    <w:rsid w:val="00D7773B"/>
    <w:rsid w:val="00D80651"/>
    <w:rsid w:val="00D8070A"/>
    <w:rsid w:val="00D80A3E"/>
    <w:rsid w:val="00D815AF"/>
    <w:rsid w:val="00D81B81"/>
    <w:rsid w:val="00D82E50"/>
    <w:rsid w:val="00D83E96"/>
    <w:rsid w:val="00D84AE6"/>
    <w:rsid w:val="00D84D85"/>
    <w:rsid w:val="00D853AE"/>
    <w:rsid w:val="00D85BC6"/>
    <w:rsid w:val="00D865A3"/>
    <w:rsid w:val="00D86C60"/>
    <w:rsid w:val="00D86F35"/>
    <w:rsid w:val="00D86FA8"/>
    <w:rsid w:val="00D87040"/>
    <w:rsid w:val="00D8771A"/>
    <w:rsid w:val="00D87A0E"/>
    <w:rsid w:val="00D90646"/>
    <w:rsid w:val="00D911C3"/>
    <w:rsid w:val="00D91215"/>
    <w:rsid w:val="00D92416"/>
    <w:rsid w:val="00D92EC9"/>
    <w:rsid w:val="00D941C0"/>
    <w:rsid w:val="00D945A4"/>
    <w:rsid w:val="00D95DF4"/>
    <w:rsid w:val="00D96170"/>
    <w:rsid w:val="00D968B3"/>
    <w:rsid w:val="00D96F8B"/>
    <w:rsid w:val="00D970FE"/>
    <w:rsid w:val="00D97BA5"/>
    <w:rsid w:val="00DA01AD"/>
    <w:rsid w:val="00DA38AA"/>
    <w:rsid w:val="00DA3B20"/>
    <w:rsid w:val="00DA3BE9"/>
    <w:rsid w:val="00DA4C25"/>
    <w:rsid w:val="00DA67F9"/>
    <w:rsid w:val="00DA686B"/>
    <w:rsid w:val="00DA6B4E"/>
    <w:rsid w:val="00DA6E8F"/>
    <w:rsid w:val="00DA7425"/>
    <w:rsid w:val="00DA7545"/>
    <w:rsid w:val="00DB07E7"/>
    <w:rsid w:val="00DB0A0A"/>
    <w:rsid w:val="00DB1358"/>
    <w:rsid w:val="00DB197D"/>
    <w:rsid w:val="00DB1E61"/>
    <w:rsid w:val="00DB23E3"/>
    <w:rsid w:val="00DB245C"/>
    <w:rsid w:val="00DB2D3F"/>
    <w:rsid w:val="00DB2F7D"/>
    <w:rsid w:val="00DB3FEC"/>
    <w:rsid w:val="00DB4B70"/>
    <w:rsid w:val="00DB513D"/>
    <w:rsid w:val="00DB515F"/>
    <w:rsid w:val="00DB53E7"/>
    <w:rsid w:val="00DB5939"/>
    <w:rsid w:val="00DB5FF5"/>
    <w:rsid w:val="00DB638F"/>
    <w:rsid w:val="00DB7B16"/>
    <w:rsid w:val="00DB7C60"/>
    <w:rsid w:val="00DB7F5D"/>
    <w:rsid w:val="00DC0379"/>
    <w:rsid w:val="00DC047E"/>
    <w:rsid w:val="00DC0C46"/>
    <w:rsid w:val="00DC0C9E"/>
    <w:rsid w:val="00DC1DFF"/>
    <w:rsid w:val="00DC322C"/>
    <w:rsid w:val="00DC343F"/>
    <w:rsid w:val="00DC3552"/>
    <w:rsid w:val="00DC3E80"/>
    <w:rsid w:val="00DC43B6"/>
    <w:rsid w:val="00DC482D"/>
    <w:rsid w:val="00DC4CF3"/>
    <w:rsid w:val="00DC69EB"/>
    <w:rsid w:val="00DC7274"/>
    <w:rsid w:val="00DC7304"/>
    <w:rsid w:val="00DD0163"/>
    <w:rsid w:val="00DD1045"/>
    <w:rsid w:val="00DD1E14"/>
    <w:rsid w:val="00DD30E2"/>
    <w:rsid w:val="00DD3290"/>
    <w:rsid w:val="00DD3A12"/>
    <w:rsid w:val="00DD4A4A"/>
    <w:rsid w:val="00DD4BA9"/>
    <w:rsid w:val="00DD5927"/>
    <w:rsid w:val="00DD604B"/>
    <w:rsid w:val="00DD63B5"/>
    <w:rsid w:val="00DE134C"/>
    <w:rsid w:val="00DE1D0F"/>
    <w:rsid w:val="00DE2318"/>
    <w:rsid w:val="00DE23CE"/>
    <w:rsid w:val="00DE299E"/>
    <w:rsid w:val="00DE29FE"/>
    <w:rsid w:val="00DE3324"/>
    <w:rsid w:val="00DE3372"/>
    <w:rsid w:val="00DE394C"/>
    <w:rsid w:val="00DE3F9C"/>
    <w:rsid w:val="00DE424B"/>
    <w:rsid w:val="00DE50EE"/>
    <w:rsid w:val="00DE5632"/>
    <w:rsid w:val="00DE5A40"/>
    <w:rsid w:val="00DE664A"/>
    <w:rsid w:val="00DE7C6C"/>
    <w:rsid w:val="00DF1334"/>
    <w:rsid w:val="00DF13E0"/>
    <w:rsid w:val="00DF2138"/>
    <w:rsid w:val="00DF2296"/>
    <w:rsid w:val="00DF2BDC"/>
    <w:rsid w:val="00DF2DAD"/>
    <w:rsid w:val="00DF33EB"/>
    <w:rsid w:val="00DF3B74"/>
    <w:rsid w:val="00DF45F8"/>
    <w:rsid w:val="00DF47A1"/>
    <w:rsid w:val="00DF4841"/>
    <w:rsid w:val="00DF4A8F"/>
    <w:rsid w:val="00DF5A71"/>
    <w:rsid w:val="00DF5BDC"/>
    <w:rsid w:val="00DF7D57"/>
    <w:rsid w:val="00E00120"/>
    <w:rsid w:val="00E00227"/>
    <w:rsid w:val="00E0062D"/>
    <w:rsid w:val="00E0085F"/>
    <w:rsid w:val="00E00ABE"/>
    <w:rsid w:val="00E01A9F"/>
    <w:rsid w:val="00E01F87"/>
    <w:rsid w:val="00E02EAB"/>
    <w:rsid w:val="00E02EC9"/>
    <w:rsid w:val="00E033B1"/>
    <w:rsid w:val="00E043DB"/>
    <w:rsid w:val="00E046B0"/>
    <w:rsid w:val="00E04D8A"/>
    <w:rsid w:val="00E050B2"/>
    <w:rsid w:val="00E0510F"/>
    <w:rsid w:val="00E059A2"/>
    <w:rsid w:val="00E06F5B"/>
    <w:rsid w:val="00E07A0F"/>
    <w:rsid w:val="00E07CF5"/>
    <w:rsid w:val="00E10D0E"/>
    <w:rsid w:val="00E1151C"/>
    <w:rsid w:val="00E116ED"/>
    <w:rsid w:val="00E11938"/>
    <w:rsid w:val="00E121C5"/>
    <w:rsid w:val="00E13F6C"/>
    <w:rsid w:val="00E13FC1"/>
    <w:rsid w:val="00E149A7"/>
    <w:rsid w:val="00E14B3C"/>
    <w:rsid w:val="00E14F1A"/>
    <w:rsid w:val="00E15388"/>
    <w:rsid w:val="00E177C5"/>
    <w:rsid w:val="00E17974"/>
    <w:rsid w:val="00E17DF3"/>
    <w:rsid w:val="00E200EB"/>
    <w:rsid w:val="00E20F57"/>
    <w:rsid w:val="00E212EF"/>
    <w:rsid w:val="00E21D80"/>
    <w:rsid w:val="00E222C1"/>
    <w:rsid w:val="00E227EE"/>
    <w:rsid w:val="00E22F47"/>
    <w:rsid w:val="00E23561"/>
    <w:rsid w:val="00E24B5B"/>
    <w:rsid w:val="00E2559C"/>
    <w:rsid w:val="00E265ED"/>
    <w:rsid w:val="00E26DDB"/>
    <w:rsid w:val="00E30593"/>
    <w:rsid w:val="00E31023"/>
    <w:rsid w:val="00E31BCD"/>
    <w:rsid w:val="00E31FA0"/>
    <w:rsid w:val="00E33042"/>
    <w:rsid w:val="00E3325E"/>
    <w:rsid w:val="00E336DB"/>
    <w:rsid w:val="00E33F4C"/>
    <w:rsid w:val="00E3480D"/>
    <w:rsid w:val="00E34981"/>
    <w:rsid w:val="00E36A32"/>
    <w:rsid w:val="00E36D77"/>
    <w:rsid w:val="00E371CC"/>
    <w:rsid w:val="00E413CF"/>
    <w:rsid w:val="00E4174B"/>
    <w:rsid w:val="00E417AF"/>
    <w:rsid w:val="00E43406"/>
    <w:rsid w:val="00E434B7"/>
    <w:rsid w:val="00E43880"/>
    <w:rsid w:val="00E44FA7"/>
    <w:rsid w:val="00E45B21"/>
    <w:rsid w:val="00E463C0"/>
    <w:rsid w:val="00E465A1"/>
    <w:rsid w:val="00E4679B"/>
    <w:rsid w:val="00E478F1"/>
    <w:rsid w:val="00E47B06"/>
    <w:rsid w:val="00E47B9E"/>
    <w:rsid w:val="00E50461"/>
    <w:rsid w:val="00E51425"/>
    <w:rsid w:val="00E524E9"/>
    <w:rsid w:val="00E534D1"/>
    <w:rsid w:val="00E5362D"/>
    <w:rsid w:val="00E54440"/>
    <w:rsid w:val="00E5500D"/>
    <w:rsid w:val="00E557AE"/>
    <w:rsid w:val="00E55C1E"/>
    <w:rsid w:val="00E55EF7"/>
    <w:rsid w:val="00E562ED"/>
    <w:rsid w:val="00E56A48"/>
    <w:rsid w:val="00E5709F"/>
    <w:rsid w:val="00E57D26"/>
    <w:rsid w:val="00E603AF"/>
    <w:rsid w:val="00E6337B"/>
    <w:rsid w:val="00E6393F"/>
    <w:rsid w:val="00E63E81"/>
    <w:rsid w:val="00E645A5"/>
    <w:rsid w:val="00E64884"/>
    <w:rsid w:val="00E64C43"/>
    <w:rsid w:val="00E64E38"/>
    <w:rsid w:val="00E65489"/>
    <w:rsid w:val="00E65B88"/>
    <w:rsid w:val="00E65E1F"/>
    <w:rsid w:val="00E660B1"/>
    <w:rsid w:val="00E671E6"/>
    <w:rsid w:val="00E67F31"/>
    <w:rsid w:val="00E71F02"/>
    <w:rsid w:val="00E7351B"/>
    <w:rsid w:val="00E73A3F"/>
    <w:rsid w:val="00E7525D"/>
    <w:rsid w:val="00E7642F"/>
    <w:rsid w:val="00E768D7"/>
    <w:rsid w:val="00E76E31"/>
    <w:rsid w:val="00E77B14"/>
    <w:rsid w:val="00E81EBD"/>
    <w:rsid w:val="00E8270D"/>
    <w:rsid w:val="00E829FB"/>
    <w:rsid w:val="00E82F39"/>
    <w:rsid w:val="00E8360C"/>
    <w:rsid w:val="00E87023"/>
    <w:rsid w:val="00E872D7"/>
    <w:rsid w:val="00E90081"/>
    <w:rsid w:val="00E90082"/>
    <w:rsid w:val="00E904CE"/>
    <w:rsid w:val="00E905B0"/>
    <w:rsid w:val="00E908A8"/>
    <w:rsid w:val="00E90AD3"/>
    <w:rsid w:val="00E924C5"/>
    <w:rsid w:val="00E92DF1"/>
    <w:rsid w:val="00E931E8"/>
    <w:rsid w:val="00E93A7E"/>
    <w:rsid w:val="00E93CC3"/>
    <w:rsid w:val="00E9414C"/>
    <w:rsid w:val="00E94169"/>
    <w:rsid w:val="00E94629"/>
    <w:rsid w:val="00E952EA"/>
    <w:rsid w:val="00E96E19"/>
    <w:rsid w:val="00E972E9"/>
    <w:rsid w:val="00E97A48"/>
    <w:rsid w:val="00EA1011"/>
    <w:rsid w:val="00EA2315"/>
    <w:rsid w:val="00EA2380"/>
    <w:rsid w:val="00EA2CBF"/>
    <w:rsid w:val="00EA445C"/>
    <w:rsid w:val="00EA445F"/>
    <w:rsid w:val="00EA4792"/>
    <w:rsid w:val="00EA4875"/>
    <w:rsid w:val="00EA4ED7"/>
    <w:rsid w:val="00EA5DFF"/>
    <w:rsid w:val="00EA6402"/>
    <w:rsid w:val="00EA6B57"/>
    <w:rsid w:val="00EB0033"/>
    <w:rsid w:val="00EB1016"/>
    <w:rsid w:val="00EB1DDE"/>
    <w:rsid w:val="00EB2350"/>
    <w:rsid w:val="00EB2CEB"/>
    <w:rsid w:val="00EB355D"/>
    <w:rsid w:val="00EB3D69"/>
    <w:rsid w:val="00EB43B3"/>
    <w:rsid w:val="00EB4467"/>
    <w:rsid w:val="00EB4AAF"/>
    <w:rsid w:val="00EB4BD4"/>
    <w:rsid w:val="00EB4C8C"/>
    <w:rsid w:val="00EB4CD5"/>
    <w:rsid w:val="00EB5638"/>
    <w:rsid w:val="00EC0583"/>
    <w:rsid w:val="00EC08AD"/>
    <w:rsid w:val="00EC12BB"/>
    <w:rsid w:val="00EC2337"/>
    <w:rsid w:val="00EC25BD"/>
    <w:rsid w:val="00EC2929"/>
    <w:rsid w:val="00EC3F26"/>
    <w:rsid w:val="00EC47EA"/>
    <w:rsid w:val="00EC4EDE"/>
    <w:rsid w:val="00EC52FE"/>
    <w:rsid w:val="00EC558A"/>
    <w:rsid w:val="00EC65FD"/>
    <w:rsid w:val="00EC6DE9"/>
    <w:rsid w:val="00EC7316"/>
    <w:rsid w:val="00EC7FC9"/>
    <w:rsid w:val="00ED041E"/>
    <w:rsid w:val="00ED074C"/>
    <w:rsid w:val="00ED156E"/>
    <w:rsid w:val="00ED1E99"/>
    <w:rsid w:val="00ED2291"/>
    <w:rsid w:val="00ED2379"/>
    <w:rsid w:val="00ED2470"/>
    <w:rsid w:val="00ED3CE9"/>
    <w:rsid w:val="00ED3D68"/>
    <w:rsid w:val="00ED40DB"/>
    <w:rsid w:val="00ED451A"/>
    <w:rsid w:val="00ED47CD"/>
    <w:rsid w:val="00ED5C87"/>
    <w:rsid w:val="00ED6447"/>
    <w:rsid w:val="00ED6B46"/>
    <w:rsid w:val="00ED6D55"/>
    <w:rsid w:val="00EE01C1"/>
    <w:rsid w:val="00EE1528"/>
    <w:rsid w:val="00EE1C03"/>
    <w:rsid w:val="00EE1FEC"/>
    <w:rsid w:val="00EE21DF"/>
    <w:rsid w:val="00EE227B"/>
    <w:rsid w:val="00EE241A"/>
    <w:rsid w:val="00EE2434"/>
    <w:rsid w:val="00EE34E1"/>
    <w:rsid w:val="00EE3CE6"/>
    <w:rsid w:val="00EE42A7"/>
    <w:rsid w:val="00EE5A1D"/>
    <w:rsid w:val="00EE6607"/>
    <w:rsid w:val="00EE674B"/>
    <w:rsid w:val="00EE6B8A"/>
    <w:rsid w:val="00EE7131"/>
    <w:rsid w:val="00EF02A6"/>
    <w:rsid w:val="00EF035C"/>
    <w:rsid w:val="00EF0BA5"/>
    <w:rsid w:val="00EF1064"/>
    <w:rsid w:val="00EF1786"/>
    <w:rsid w:val="00EF1D67"/>
    <w:rsid w:val="00EF1F9F"/>
    <w:rsid w:val="00EF3579"/>
    <w:rsid w:val="00EF3A07"/>
    <w:rsid w:val="00EF3A85"/>
    <w:rsid w:val="00EF4AD5"/>
    <w:rsid w:val="00EF544C"/>
    <w:rsid w:val="00EF57B1"/>
    <w:rsid w:val="00EF5912"/>
    <w:rsid w:val="00EF6C4A"/>
    <w:rsid w:val="00EF7324"/>
    <w:rsid w:val="00F008D5"/>
    <w:rsid w:val="00F00FAB"/>
    <w:rsid w:val="00F01979"/>
    <w:rsid w:val="00F01A29"/>
    <w:rsid w:val="00F02062"/>
    <w:rsid w:val="00F02259"/>
    <w:rsid w:val="00F02348"/>
    <w:rsid w:val="00F02D21"/>
    <w:rsid w:val="00F0302B"/>
    <w:rsid w:val="00F0477E"/>
    <w:rsid w:val="00F053B7"/>
    <w:rsid w:val="00F055A8"/>
    <w:rsid w:val="00F0636A"/>
    <w:rsid w:val="00F07463"/>
    <w:rsid w:val="00F07BAB"/>
    <w:rsid w:val="00F07F24"/>
    <w:rsid w:val="00F07F65"/>
    <w:rsid w:val="00F1061C"/>
    <w:rsid w:val="00F10D81"/>
    <w:rsid w:val="00F11CF0"/>
    <w:rsid w:val="00F11D32"/>
    <w:rsid w:val="00F12967"/>
    <w:rsid w:val="00F1317F"/>
    <w:rsid w:val="00F132CA"/>
    <w:rsid w:val="00F133C9"/>
    <w:rsid w:val="00F136D7"/>
    <w:rsid w:val="00F137B3"/>
    <w:rsid w:val="00F143AC"/>
    <w:rsid w:val="00F144D7"/>
    <w:rsid w:val="00F15056"/>
    <w:rsid w:val="00F169D9"/>
    <w:rsid w:val="00F171F2"/>
    <w:rsid w:val="00F1771F"/>
    <w:rsid w:val="00F17972"/>
    <w:rsid w:val="00F17EDB"/>
    <w:rsid w:val="00F210A5"/>
    <w:rsid w:val="00F224AD"/>
    <w:rsid w:val="00F22B82"/>
    <w:rsid w:val="00F235D9"/>
    <w:rsid w:val="00F239F5"/>
    <w:rsid w:val="00F23F91"/>
    <w:rsid w:val="00F26629"/>
    <w:rsid w:val="00F26AD3"/>
    <w:rsid w:val="00F2783F"/>
    <w:rsid w:val="00F27E70"/>
    <w:rsid w:val="00F30903"/>
    <w:rsid w:val="00F31895"/>
    <w:rsid w:val="00F32280"/>
    <w:rsid w:val="00F32D83"/>
    <w:rsid w:val="00F32F90"/>
    <w:rsid w:val="00F33874"/>
    <w:rsid w:val="00F33E1F"/>
    <w:rsid w:val="00F345FA"/>
    <w:rsid w:val="00F34676"/>
    <w:rsid w:val="00F34B6F"/>
    <w:rsid w:val="00F35F06"/>
    <w:rsid w:val="00F375D4"/>
    <w:rsid w:val="00F401B4"/>
    <w:rsid w:val="00F413EB"/>
    <w:rsid w:val="00F41678"/>
    <w:rsid w:val="00F419E3"/>
    <w:rsid w:val="00F41F81"/>
    <w:rsid w:val="00F4229B"/>
    <w:rsid w:val="00F42DE4"/>
    <w:rsid w:val="00F435FC"/>
    <w:rsid w:val="00F43A67"/>
    <w:rsid w:val="00F443A6"/>
    <w:rsid w:val="00F4551B"/>
    <w:rsid w:val="00F4633E"/>
    <w:rsid w:val="00F46596"/>
    <w:rsid w:val="00F46C94"/>
    <w:rsid w:val="00F46EA7"/>
    <w:rsid w:val="00F47170"/>
    <w:rsid w:val="00F47D7B"/>
    <w:rsid w:val="00F500EB"/>
    <w:rsid w:val="00F50326"/>
    <w:rsid w:val="00F51808"/>
    <w:rsid w:val="00F51B19"/>
    <w:rsid w:val="00F52635"/>
    <w:rsid w:val="00F527C0"/>
    <w:rsid w:val="00F52BB0"/>
    <w:rsid w:val="00F53754"/>
    <w:rsid w:val="00F53E30"/>
    <w:rsid w:val="00F55A10"/>
    <w:rsid w:val="00F572A0"/>
    <w:rsid w:val="00F57775"/>
    <w:rsid w:val="00F57EDF"/>
    <w:rsid w:val="00F624D4"/>
    <w:rsid w:val="00F63F6C"/>
    <w:rsid w:val="00F64508"/>
    <w:rsid w:val="00F65CEC"/>
    <w:rsid w:val="00F65F02"/>
    <w:rsid w:val="00F66503"/>
    <w:rsid w:val="00F66ADB"/>
    <w:rsid w:val="00F67517"/>
    <w:rsid w:val="00F67905"/>
    <w:rsid w:val="00F70055"/>
    <w:rsid w:val="00F70323"/>
    <w:rsid w:val="00F70A25"/>
    <w:rsid w:val="00F70F01"/>
    <w:rsid w:val="00F716F5"/>
    <w:rsid w:val="00F72678"/>
    <w:rsid w:val="00F72ABE"/>
    <w:rsid w:val="00F72B0C"/>
    <w:rsid w:val="00F73334"/>
    <w:rsid w:val="00F73747"/>
    <w:rsid w:val="00F7406D"/>
    <w:rsid w:val="00F7502B"/>
    <w:rsid w:val="00F752FD"/>
    <w:rsid w:val="00F756B5"/>
    <w:rsid w:val="00F75DE3"/>
    <w:rsid w:val="00F771DE"/>
    <w:rsid w:val="00F772C7"/>
    <w:rsid w:val="00F7767E"/>
    <w:rsid w:val="00F77BFD"/>
    <w:rsid w:val="00F77C0C"/>
    <w:rsid w:val="00F80710"/>
    <w:rsid w:val="00F807BF"/>
    <w:rsid w:val="00F81530"/>
    <w:rsid w:val="00F816E4"/>
    <w:rsid w:val="00F81E09"/>
    <w:rsid w:val="00F820D2"/>
    <w:rsid w:val="00F821EA"/>
    <w:rsid w:val="00F82C61"/>
    <w:rsid w:val="00F83162"/>
    <w:rsid w:val="00F831DC"/>
    <w:rsid w:val="00F8413C"/>
    <w:rsid w:val="00F90928"/>
    <w:rsid w:val="00F912FC"/>
    <w:rsid w:val="00F918EC"/>
    <w:rsid w:val="00F92905"/>
    <w:rsid w:val="00F92A7E"/>
    <w:rsid w:val="00F92B8A"/>
    <w:rsid w:val="00F9306E"/>
    <w:rsid w:val="00F932BD"/>
    <w:rsid w:val="00F9406B"/>
    <w:rsid w:val="00F94AFB"/>
    <w:rsid w:val="00F96629"/>
    <w:rsid w:val="00F966C9"/>
    <w:rsid w:val="00F96B42"/>
    <w:rsid w:val="00F96F50"/>
    <w:rsid w:val="00F97323"/>
    <w:rsid w:val="00F973AA"/>
    <w:rsid w:val="00F9779C"/>
    <w:rsid w:val="00FA00C1"/>
    <w:rsid w:val="00FA00C9"/>
    <w:rsid w:val="00FA043A"/>
    <w:rsid w:val="00FA069A"/>
    <w:rsid w:val="00FA1031"/>
    <w:rsid w:val="00FA169C"/>
    <w:rsid w:val="00FA1A73"/>
    <w:rsid w:val="00FA1B26"/>
    <w:rsid w:val="00FA2800"/>
    <w:rsid w:val="00FA38EA"/>
    <w:rsid w:val="00FA5EDB"/>
    <w:rsid w:val="00FA64EE"/>
    <w:rsid w:val="00FA67B7"/>
    <w:rsid w:val="00FA76C6"/>
    <w:rsid w:val="00FA7F19"/>
    <w:rsid w:val="00FB0B2A"/>
    <w:rsid w:val="00FB1222"/>
    <w:rsid w:val="00FB16F3"/>
    <w:rsid w:val="00FB1A02"/>
    <w:rsid w:val="00FB20CA"/>
    <w:rsid w:val="00FB29C5"/>
    <w:rsid w:val="00FB2E2F"/>
    <w:rsid w:val="00FB3AEE"/>
    <w:rsid w:val="00FB407E"/>
    <w:rsid w:val="00FB460D"/>
    <w:rsid w:val="00FB66B4"/>
    <w:rsid w:val="00FB6C44"/>
    <w:rsid w:val="00FB6C8C"/>
    <w:rsid w:val="00FB6F84"/>
    <w:rsid w:val="00FB710C"/>
    <w:rsid w:val="00FC09A8"/>
    <w:rsid w:val="00FC0A13"/>
    <w:rsid w:val="00FC0CD9"/>
    <w:rsid w:val="00FC0D89"/>
    <w:rsid w:val="00FC1039"/>
    <w:rsid w:val="00FC12DC"/>
    <w:rsid w:val="00FC1424"/>
    <w:rsid w:val="00FC2265"/>
    <w:rsid w:val="00FC24C3"/>
    <w:rsid w:val="00FC2B2D"/>
    <w:rsid w:val="00FC2E33"/>
    <w:rsid w:val="00FC3A34"/>
    <w:rsid w:val="00FC3B32"/>
    <w:rsid w:val="00FC43B1"/>
    <w:rsid w:val="00FC457F"/>
    <w:rsid w:val="00FC47D3"/>
    <w:rsid w:val="00FC48C1"/>
    <w:rsid w:val="00FC4D8B"/>
    <w:rsid w:val="00FC5622"/>
    <w:rsid w:val="00FC59F6"/>
    <w:rsid w:val="00FC7D8A"/>
    <w:rsid w:val="00FC7E09"/>
    <w:rsid w:val="00FD037F"/>
    <w:rsid w:val="00FD0C68"/>
    <w:rsid w:val="00FD0DAE"/>
    <w:rsid w:val="00FD18F0"/>
    <w:rsid w:val="00FD2768"/>
    <w:rsid w:val="00FD39EF"/>
    <w:rsid w:val="00FD3C9A"/>
    <w:rsid w:val="00FD4C82"/>
    <w:rsid w:val="00FD5035"/>
    <w:rsid w:val="00FD5A72"/>
    <w:rsid w:val="00FD5CE8"/>
    <w:rsid w:val="00FD63D7"/>
    <w:rsid w:val="00FD72FA"/>
    <w:rsid w:val="00FD7A3A"/>
    <w:rsid w:val="00FE0502"/>
    <w:rsid w:val="00FE0CBE"/>
    <w:rsid w:val="00FE2915"/>
    <w:rsid w:val="00FE365E"/>
    <w:rsid w:val="00FE3B5A"/>
    <w:rsid w:val="00FE4427"/>
    <w:rsid w:val="00FE6028"/>
    <w:rsid w:val="00FE607E"/>
    <w:rsid w:val="00FE65BB"/>
    <w:rsid w:val="00FE666F"/>
    <w:rsid w:val="00FE690B"/>
    <w:rsid w:val="00FE6B17"/>
    <w:rsid w:val="00FE78AE"/>
    <w:rsid w:val="00FF36D5"/>
    <w:rsid w:val="00FF37ED"/>
    <w:rsid w:val="00FF4979"/>
    <w:rsid w:val="00FF4AC2"/>
    <w:rsid w:val="00FF59CF"/>
    <w:rsid w:val="00FF5D0B"/>
    <w:rsid w:val="00FF773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89AA4B4-9CF7-43BF-823D-287FDEB2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58A8"/>
    <w:pPr>
      <w:bidi/>
      <w:spacing w:after="200" w:line="276" w:lineRule="auto"/>
    </w:pPr>
  </w:style>
  <w:style w:type="paragraph" w:styleId="10">
    <w:name w:val="heading 1"/>
    <w:basedOn w:val="a0"/>
    <w:next w:val="a0"/>
    <w:link w:val="11"/>
    <w:uiPriority w:val="9"/>
    <w:qFormat/>
    <w:rsid w:val="00F1505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next w:val="a0"/>
    <w:link w:val="20"/>
    <w:uiPriority w:val="9"/>
    <w:semiHidden/>
    <w:unhideWhenUsed/>
    <w:qFormat/>
    <w:rsid w:val="006044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4148A4"/>
    <w:pPr>
      <w:ind w:left="720"/>
      <w:contextualSpacing/>
    </w:pPr>
  </w:style>
  <w:style w:type="paragraph" w:styleId="a6">
    <w:name w:val="Balloon Text"/>
    <w:basedOn w:val="a0"/>
    <w:link w:val="a7"/>
    <w:uiPriority w:val="99"/>
    <w:semiHidden/>
    <w:unhideWhenUsed/>
    <w:rsid w:val="00691DD9"/>
    <w:pPr>
      <w:spacing w:after="0" w:line="240" w:lineRule="auto"/>
    </w:pPr>
    <w:rPr>
      <w:rFonts w:ascii="Tahoma" w:hAnsi="Tahoma" w:cs="Tahoma"/>
      <w:sz w:val="16"/>
      <w:szCs w:val="16"/>
    </w:rPr>
  </w:style>
  <w:style w:type="character" w:customStyle="1" w:styleId="a7">
    <w:name w:val="טקסט בלונים תו"/>
    <w:basedOn w:val="a1"/>
    <w:link w:val="a6"/>
    <w:uiPriority w:val="99"/>
    <w:semiHidden/>
    <w:rsid w:val="00691DD9"/>
    <w:rPr>
      <w:rFonts w:ascii="Tahoma" w:hAnsi="Tahoma" w:cs="Tahoma"/>
      <w:sz w:val="16"/>
      <w:szCs w:val="16"/>
    </w:rPr>
  </w:style>
  <w:style w:type="paragraph" w:styleId="a8">
    <w:name w:val="header"/>
    <w:basedOn w:val="a0"/>
    <w:link w:val="a9"/>
    <w:uiPriority w:val="99"/>
    <w:unhideWhenUsed/>
    <w:rsid w:val="00691DD9"/>
    <w:pPr>
      <w:tabs>
        <w:tab w:val="center" w:pos="4153"/>
        <w:tab w:val="right" w:pos="8306"/>
      </w:tabs>
      <w:spacing w:after="0" w:line="240" w:lineRule="auto"/>
    </w:pPr>
  </w:style>
  <w:style w:type="character" w:customStyle="1" w:styleId="a9">
    <w:name w:val="כותרת עליונה תו"/>
    <w:basedOn w:val="a1"/>
    <w:link w:val="a8"/>
    <w:uiPriority w:val="99"/>
    <w:rsid w:val="00691DD9"/>
  </w:style>
  <w:style w:type="paragraph" w:styleId="aa">
    <w:name w:val="footer"/>
    <w:basedOn w:val="a0"/>
    <w:link w:val="ab"/>
    <w:uiPriority w:val="99"/>
    <w:unhideWhenUsed/>
    <w:rsid w:val="00691DD9"/>
    <w:pPr>
      <w:tabs>
        <w:tab w:val="center" w:pos="4153"/>
        <w:tab w:val="right" w:pos="8306"/>
      </w:tabs>
      <w:spacing w:after="0" w:line="240" w:lineRule="auto"/>
    </w:pPr>
  </w:style>
  <w:style w:type="character" w:customStyle="1" w:styleId="ab">
    <w:name w:val="כותרת תחתונה תו"/>
    <w:basedOn w:val="a1"/>
    <w:link w:val="aa"/>
    <w:uiPriority w:val="99"/>
    <w:rsid w:val="00691DD9"/>
  </w:style>
  <w:style w:type="character" w:styleId="ac">
    <w:name w:val="Strong"/>
    <w:basedOn w:val="a1"/>
    <w:uiPriority w:val="22"/>
    <w:qFormat/>
    <w:rsid w:val="00473B98"/>
    <w:rPr>
      <w:b/>
      <w:bCs/>
    </w:rPr>
  </w:style>
  <w:style w:type="character" w:customStyle="1" w:styleId="11">
    <w:name w:val="כותרת 1 תו"/>
    <w:basedOn w:val="a1"/>
    <w:link w:val="10"/>
    <w:uiPriority w:val="9"/>
    <w:rsid w:val="00F15056"/>
    <w:rPr>
      <w:rFonts w:asciiTheme="majorHAnsi" w:eastAsiaTheme="majorEastAsia" w:hAnsiTheme="majorHAnsi" w:cstheme="majorBidi"/>
      <w:b/>
      <w:bCs/>
      <w:color w:val="2E74B5" w:themeColor="accent1" w:themeShade="BF"/>
      <w:sz w:val="28"/>
      <w:szCs w:val="28"/>
    </w:rPr>
  </w:style>
  <w:style w:type="character" w:styleId="Hyperlink">
    <w:name w:val="Hyperlink"/>
    <w:basedOn w:val="a1"/>
    <w:uiPriority w:val="99"/>
    <w:unhideWhenUsed/>
    <w:rsid w:val="00F15056"/>
    <w:rPr>
      <w:color w:val="0563C1" w:themeColor="hyperlink"/>
      <w:u w:val="single"/>
    </w:rPr>
  </w:style>
  <w:style w:type="character" w:customStyle="1" w:styleId="a5">
    <w:name w:val="פיסקת רשימה תו"/>
    <w:link w:val="a4"/>
    <w:uiPriority w:val="34"/>
    <w:locked/>
    <w:rsid w:val="000F5712"/>
  </w:style>
  <w:style w:type="paragraph" w:styleId="NormalWeb">
    <w:name w:val="Normal (Web)"/>
    <w:basedOn w:val="a0"/>
    <w:uiPriority w:val="99"/>
    <w:unhideWhenUsed/>
    <w:rsid w:val="00517B5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d">
    <w:name w:val="annotation reference"/>
    <w:basedOn w:val="a1"/>
    <w:uiPriority w:val="99"/>
    <w:semiHidden/>
    <w:unhideWhenUsed/>
    <w:rsid w:val="00827F99"/>
    <w:rPr>
      <w:sz w:val="16"/>
      <w:szCs w:val="16"/>
    </w:rPr>
  </w:style>
  <w:style w:type="paragraph" w:styleId="ae">
    <w:name w:val="annotation text"/>
    <w:basedOn w:val="a0"/>
    <w:link w:val="af"/>
    <w:uiPriority w:val="99"/>
    <w:unhideWhenUsed/>
    <w:rsid w:val="00827F99"/>
    <w:pPr>
      <w:spacing w:line="240" w:lineRule="auto"/>
    </w:pPr>
    <w:rPr>
      <w:sz w:val="20"/>
      <w:szCs w:val="20"/>
    </w:rPr>
  </w:style>
  <w:style w:type="character" w:customStyle="1" w:styleId="af">
    <w:name w:val="טקסט הערה תו"/>
    <w:basedOn w:val="a1"/>
    <w:link w:val="ae"/>
    <w:uiPriority w:val="99"/>
    <w:rsid w:val="00827F99"/>
    <w:rPr>
      <w:sz w:val="20"/>
      <w:szCs w:val="20"/>
    </w:rPr>
  </w:style>
  <w:style w:type="paragraph" w:styleId="af0">
    <w:name w:val="annotation subject"/>
    <w:basedOn w:val="ae"/>
    <w:next w:val="ae"/>
    <w:link w:val="af1"/>
    <w:uiPriority w:val="99"/>
    <w:semiHidden/>
    <w:unhideWhenUsed/>
    <w:rsid w:val="00827F99"/>
    <w:rPr>
      <w:b/>
      <w:bCs/>
    </w:rPr>
  </w:style>
  <w:style w:type="character" w:customStyle="1" w:styleId="af1">
    <w:name w:val="נושא הערה תו"/>
    <w:basedOn w:val="af"/>
    <w:link w:val="af0"/>
    <w:uiPriority w:val="99"/>
    <w:semiHidden/>
    <w:rsid w:val="00827F99"/>
    <w:rPr>
      <w:b/>
      <w:bCs/>
      <w:sz w:val="20"/>
      <w:szCs w:val="20"/>
    </w:rPr>
  </w:style>
  <w:style w:type="paragraph" w:styleId="af2">
    <w:name w:val="Revision"/>
    <w:hidden/>
    <w:uiPriority w:val="99"/>
    <w:semiHidden/>
    <w:rsid w:val="00827F99"/>
    <w:pPr>
      <w:spacing w:after="0" w:line="240" w:lineRule="auto"/>
    </w:pPr>
  </w:style>
  <w:style w:type="character" w:styleId="FollowedHyperlink">
    <w:name w:val="FollowedHyperlink"/>
    <w:basedOn w:val="a1"/>
    <w:uiPriority w:val="99"/>
    <w:semiHidden/>
    <w:unhideWhenUsed/>
    <w:rsid w:val="001D7A8E"/>
    <w:rPr>
      <w:color w:val="954F72" w:themeColor="followedHyperlink"/>
      <w:u w:val="single"/>
    </w:rPr>
  </w:style>
  <w:style w:type="paragraph" w:styleId="af3">
    <w:name w:val="footnote text"/>
    <w:aliases w:val="טקסט הערות שוליים תו,טקסט הערות שוליים תו תו,תו תו תו,טקסט הערות שוליים תו2,טקסט הערות שוליים תו1 תו,תו תו תו1,Footnote Text תו,fn,fn Char,single space,Footnote Text Char Char Char Char Char Char,Footnote Text Char1,תו תו,תו,Footnote"/>
    <w:basedOn w:val="a0"/>
    <w:link w:val="af4"/>
    <w:uiPriority w:val="99"/>
    <w:qFormat/>
    <w:rsid w:val="00B3560B"/>
    <w:pPr>
      <w:tabs>
        <w:tab w:val="left" w:pos="567"/>
        <w:tab w:val="left" w:pos="1134"/>
        <w:tab w:val="left" w:pos="1814"/>
        <w:tab w:val="left" w:pos="2665"/>
      </w:tabs>
      <w:spacing w:after="0" w:line="360" w:lineRule="auto"/>
      <w:jc w:val="both"/>
    </w:pPr>
    <w:rPr>
      <w:rFonts w:ascii="Times New Roman" w:eastAsia="Times New Roman" w:hAnsi="Times New Roman" w:cs="David"/>
      <w:sz w:val="20"/>
      <w:szCs w:val="20"/>
    </w:rPr>
  </w:style>
  <w:style w:type="character" w:customStyle="1" w:styleId="af4">
    <w:name w:val="טקסט הערת שוליים תו"/>
    <w:aliases w:val="טקסט הערות שוליים תו תו1,טקסט הערות שוליים תו תו תו,תו תו תו תו,טקסט הערות שוליים תו2 תו,טקסט הערות שוליים תו1 תו תו,תו תו תו1 תו,Footnote Text תו תו,fn תו,fn Char תו,single space תו,Footnote Text Char Char Char Char Char Char תו"/>
    <w:basedOn w:val="a1"/>
    <w:link w:val="af3"/>
    <w:uiPriority w:val="99"/>
    <w:rsid w:val="00B3560B"/>
    <w:rPr>
      <w:rFonts w:ascii="Times New Roman" w:eastAsia="Times New Roman" w:hAnsi="Times New Roman" w:cs="David"/>
      <w:sz w:val="20"/>
      <w:szCs w:val="20"/>
    </w:rPr>
  </w:style>
  <w:style w:type="character" w:styleId="af5">
    <w:name w:val="footnote reference"/>
    <w:aliases w:val="טקסט הערת שוליים חדש,Footnote Reference Number,Footnote Reference_LVL6,Footnote Reference_LVL61,Footnote Reference_LVL62,Footnote Reference_LVL63,Footnote Reference_LVL64,fr,SUPERS,EN Footnote Reference,number,Footnote symbol"/>
    <w:uiPriority w:val="99"/>
    <w:rsid w:val="00B3560B"/>
    <w:rPr>
      <w:vertAlign w:val="superscript"/>
    </w:rPr>
  </w:style>
  <w:style w:type="character" w:customStyle="1" w:styleId="20">
    <w:name w:val="כותרת 2 תו"/>
    <w:basedOn w:val="a1"/>
    <w:link w:val="2"/>
    <w:uiPriority w:val="9"/>
    <w:semiHidden/>
    <w:rsid w:val="006044B3"/>
    <w:rPr>
      <w:rFonts w:asciiTheme="majorHAnsi" w:eastAsiaTheme="majorEastAsia" w:hAnsiTheme="majorHAnsi" w:cstheme="majorBidi"/>
      <w:color w:val="2E74B5" w:themeColor="accent1" w:themeShade="BF"/>
      <w:sz w:val="26"/>
      <w:szCs w:val="26"/>
    </w:rPr>
  </w:style>
  <w:style w:type="paragraph" w:styleId="af6">
    <w:name w:val="Plain Text"/>
    <w:basedOn w:val="a0"/>
    <w:link w:val="af7"/>
    <w:uiPriority w:val="99"/>
    <w:unhideWhenUsed/>
    <w:rsid w:val="00C50587"/>
    <w:pPr>
      <w:bidi w:val="0"/>
      <w:spacing w:after="0" w:line="240" w:lineRule="auto"/>
    </w:pPr>
    <w:rPr>
      <w:rFonts w:ascii="Calibri" w:hAnsi="Calibri"/>
      <w:szCs w:val="21"/>
      <w:lang w:bidi="ar-SA"/>
    </w:rPr>
  </w:style>
  <w:style w:type="character" w:customStyle="1" w:styleId="af7">
    <w:name w:val="טקסט רגיל תו"/>
    <w:basedOn w:val="a1"/>
    <w:link w:val="af6"/>
    <w:uiPriority w:val="99"/>
    <w:rsid w:val="00C50587"/>
    <w:rPr>
      <w:rFonts w:ascii="Calibri" w:hAnsi="Calibri"/>
      <w:szCs w:val="21"/>
      <w:lang w:bidi="ar-SA"/>
    </w:rPr>
  </w:style>
  <w:style w:type="paragraph" w:styleId="af8">
    <w:name w:val="Title"/>
    <w:basedOn w:val="a0"/>
    <w:next w:val="a0"/>
    <w:link w:val="af9"/>
    <w:uiPriority w:val="10"/>
    <w:qFormat/>
    <w:rsid w:val="00D80651"/>
    <w:pPr>
      <w:bidi w:val="0"/>
      <w:spacing w:after="0" w:line="240" w:lineRule="auto"/>
      <w:jc w:val="center"/>
    </w:pPr>
    <w:rPr>
      <w:rFonts w:ascii="Times New Roman" w:eastAsia="Times New Roman" w:hAnsi="Times New Roman" w:cs="David"/>
      <w:b/>
      <w:bCs/>
      <w:sz w:val="26"/>
      <w:szCs w:val="26"/>
    </w:rPr>
  </w:style>
  <w:style w:type="character" w:customStyle="1" w:styleId="af9">
    <w:name w:val="כותרת טקסט תו"/>
    <w:basedOn w:val="a1"/>
    <w:link w:val="af8"/>
    <w:uiPriority w:val="10"/>
    <w:rsid w:val="00D80651"/>
    <w:rPr>
      <w:rFonts w:ascii="Times New Roman" w:eastAsia="Times New Roman" w:hAnsi="Times New Roman" w:cs="David"/>
      <w:b/>
      <w:bCs/>
      <w:sz w:val="26"/>
      <w:szCs w:val="26"/>
    </w:rPr>
  </w:style>
  <w:style w:type="table" w:styleId="afa">
    <w:name w:val="Table Grid"/>
    <w:basedOn w:val="a2"/>
    <w:uiPriority w:val="39"/>
    <w:rsid w:val="00AC1B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131357"/>
    <w:pPr>
      <w:bidi/>
      <w:spacing w:after="0" w:line="240" w:lineRule="auto"/>
    </w:pPr>
  </w:style>
  <w:style w:type="paragraph" w:styleId="a">
    <w:name w:val="List Bullet"/>
    <w:basedOn w:val="a0"/>
    <w:uiPriority w:val="99"/>
    <w:unhideWhenUsed/>
    <w:rsid w:val="00F1317F"/>
    <w:pPr>
      <w:numPr>
        <w:numId w:val="1"/>
      </w:numPr>
      <w:contextualSpacing/>
    </w:pPr>
  </w:style>
  <w:style w:type="paragraph" w:customStyle="1" w:styleId="xs4">
    <w:name w:val="x_s4"/>
    <w:basedOn w:val="a0"/>
    <w:rsid w:val="00BF3D8D"/>
    <w:pPr>
      <w:bidi w:val="0"/>
      <w:spacing w:before="100" w:beforeAutospacing="1" w:after="100" w:afterAutospacing="1" w:line="240" w:lineRule="auto"/>
    </w:pPr>
    <w:rPr>
      <w:rFonts w:ascii="Times New Roman" w:eastAsia="Calibri" w:hAnsi="Times New Roman" w:cs="Times New Roman"/>
      <w:sz w:val="24"/>
      <w:szCs w:val="24"/>
    </w:rPr>
  </w:style>
  <w:style w:type="paragraph" w:customStyle="1" w:styleId="12">
    <w:name w:val="פיסקת רשימה1"/>
    <w:basedOn w:val="a0"/>
    <w:uiPriority w:val="99"/>
    <w:rsid w:val="00CD39C1"/>
    <w:pPr>
      <w:ind w:left="720"/>
    </w:pPr>
    <w:rPr>
      <w:rFonts w:ascii="Calibri" w:eastAsia="Times New Roman" w:hAnsi="Calibri" w:cs="Arial"/>
    </w:rPr>
  </w:style>
  <w:style w:type="character" w:customStyle="1" w:styleId="13">
    <w:name w:val="טקסט הערת שוליים תו1"/>
    <w:aliases w:val="fn תו1,fn Char תו1,single space תו1,Footnote Text Char Char Char Char Char Char תו1,Footnote Text Char1 תו1,Footnote Text Char Char תו1,Footnote תו1,Fußnote תו1,FSR footnote תו1,lábléc תו1,FOOTNOTES תו1,Footnote Text Char2 Char תו"/>
    <w:basedOn w:val="a1"/>
    <w:uiPriority w:val="99"/>
    <w:locked/>
    <w:rsid w:val="0042149A"/>
    <w:rPr>
      <w:rFonts w:asciiTheme="majorBidi" w:hAnsiTheme="majorBidi" w:cs="Times New Roman"/>
      <w:sz w:val="20"/>
      <w:szCs w:val="20"/>
    </w:rPr>
  </w:style>
  <w:style w:type="paragraph" w:customStyle="1" w:styleId="ms-rtefontsize-3">
    <w:name w:val="ms-rtefontsize-3"/>
    <w:basedOn w:val="a0"/>
    <w:rsid w:val="00F11D3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forecolor-5-01">
    <w:name w:val="ms-rtethemeforecolor-5-01"/>
    <w:basedOn w:val="a0"/>
    <w:rsid w:val="00F11D3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c">
    <w:name w:val="Block Text"/>
    <w:basedOn w:val="a0"/>
    <w:rsid w:val="009D1CF4"/>
    <w:pPr>
      <w:spacing w:after="120" w:line="480" w:lineRule="auto"/>
      <w:ind w:left="-57" w:hanging="1"/>
      <w:jc w:val="both"/>
    </w:pPr>
    <w:rPr>
      <w:rFonts w:ascii="Times New Roman" w:eastAsia="Times New Roman" w:hAnsi="Times New Roman" w:cs="David"/>
      <w:szCs w:val="24"/>
      <w:lang w:eastAsia="he-IL"/>
    </w:rPr>
  </w:style>
  <w:style w:type="paragraph" w:customStyle="1" w:styleId="21">
    <w:name w:val="בולטים לתמצית 2"/>
    <w:basedOn w:val="a0"/>
    <w:uiPriority w:val="99"/>
    <w:rsid w:val="001562BF"/>
    <w:pPr>
      <w:suppressAutoHyphens/>
      <w:autoSpaceDE w:val="0"/>
      <w:autoSpaceDN w:val="0"/>
      <w:adjustRightInd w:val="0"/>
      <w:spacing w:after="0" w:line="316" w:lineRule="atLeast"/>
      <w:ind w:left="454" w:right="227" w:hanging="283"/>
      <w:jc w:val="both"/>
      <w:textAlignment w:val="baseline"/>
    </w:pPr>
    <w:rPr>
      <w:rFonts w:ascii="David" w:hAnsi="David" w:cs="David"/>
      <w:color w:val="000000"/>
    </w:rPr>
  </w:style>
  <w:style w:type="table" w:customStyle="1" w:styleId="22">
    <w:name w:val="טבלת רשת2"/>
    <w:basedOn w:val="a2"/>
    <w:rsid w:val="005530E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a1"/>
    <w:rsid w:val="00167ECD"/>
  </w:style>
  <w:style w:type="paragraph" w:styleId="afd">
    <w:name w:val="caption"/>
    <w:basedOn w:val="a0"/>
    <w:next w:val="a0"/>
    <w:unhideWhenUsed/>
    <w:qFormat/>
    <w:rsid w:val="00BA57C5"/>
    <w:pPr>
      <w:bidi w:val="0"/>
      <w:spacing w:line="240" w:lineRule="auto"/>
    </w:pPr>
    <w:rPr>
      <w:i/>
      <w:iCs/>
      <w:color w:val="44546A" w:themeColor="text2"/>
      <w:sz w:val="18"/>
      <w:szCs w:val="18"/>
    </w:rPr>
  </w:style>
  <w:style w:type="paragraph" w:customStyle="1" w:styleId="afe">
    <w:name w:val="כותרת ראשית"/>
    <w:basedOn w:val="af8"/>
    <w:link w:val="aff"/>
    <w:qFormat/>
    <w:rsid w:val="00B92118"/>
    <w:pPr>
      <w:bidi/>
      <w:spacing w:before="240" w:after="60"/>
      <w:outlineLvl w:val="0"/>
    </w:pPr>
    <w:rPr>
      <w:rFonts w:asciiTheme="majorHAnsi" w:eastAsiaTheme="majorEastAsia" w:hAnsiTheme="majorHAnsi"/>
      <w:kern w:val="28"/>
      <w:sz w:val="28"/>
      <w:szCs w:val="28"/>
      <w:u w:val="single"/>
      <w:lang w:eastAsia="he-IL"/>
    </w:rPr>
  </w:style>
  <w:style w:type="paragraph" w:customStyle="1" w:styleId="aff0">
    <w:name w:val="כותרת לוח"/>
    <w:basedOn w:val="af8"/>
    <w:link w:val="aff1"/>
    <w:qFormat/>
    <w:rsid w:val="00B92118"/>
    <w:pPr>
      <w:bidi/>
      <w:spacing w:before="240" w:after="60"/>
      <w:outlineLvl w:val="0"/>
    </w:pPr>
    <w:rPr>
      <w:rFonts w:asciiTheme="majorHAnsi" w:eastAsiaTheme="majorEastAsia" w:hAnsiTheme="majorHAnsi"/>
      <w:kern w:val="28"/>
      <w:sz w:val="24"/>
      <w:szCs w:val="24"/>
      <w:u w:val="single"/>
      <w:lang w:eastAsia="he-IL"/>
    </w:rPr>
  </w:style>
  <w:style w:type="character" w:customStyle="1" w:styleId="aff">
    <w:name w:val="כותרת ראשית תו"/>
    <w:basedOn w:val="af9"/>
    <w:link w:val="afe"/>
    <w:rsid w:val="00B92118"/>
    <w:rPr>
      <w:rFonts w:asciiTheme="majorHAnsi" w:eastAsiaTheme="majorEastAsia" w:hAnsiTheme="majorHAnsi" w:cs="David"/>
      <w:b/>
      <w:bCs/>
      <w:kern w:val="28"/>
      <w:sz w:val="28"/>
      <w:szCs w:val="28"/>
      <w:u w:val="single"/>
      <w:lang w:eastAsia="he-IL"/>
    </w:rPr>
  </w:style>
  <w:style w:type="paragraph" w:customStyle="1" w:styleId="1">
    <w:name w:val="כותרת משנה 1"/>
    <w:basedOn w:val="10"/>
    <w:link w:val="14"/>
    <w:qFormat/>
    <w:rsid w:val="00B92118"/>
    <w:pPr>
      <w:keepLines w:val="0"/>
      <w:numPr>
        <w:numId w:val="2"/>
      </w:numPr>
      <w:spacing w:before="0" w:line="360" w:lineRule="auto"/>
    </w:pPr>
    <w:rPr>
      <w:rFonts w:ascii="Arial" w:eastAsia="Times New Roman" w:hAnsi="Arial" w:cs="David"/>
      <w:sz w:val="24"/>
      <w:szCs w:val="24"/>
      <w:u w:val="single"/>
      <w:lang w:eastAsia="he-IL"/>
    </w:rPr>
  </w:style>
  <w:style w:type="character" w:customStyle="1" w:styleId="aff1">
    <w:name w:val="כותרת לוח תו"/>
    <w:basedOn w:val="af9"/>
    <w:link w:val="aff0"/>
    <w:rsid w:val="00B92118"/>
    <w:rPr>
      <w:rFonts w:asciiTheme="majorHAnsi" w:eastAsiaTheme="majorEastAsia" w:hAnsiTheme="majorHAnsi" w:cs="David"/>
      <w:b/>
      <w:bCs/>
      <w:kern w:val="28"/>
      <w:sz w:val="24"/>
      <w:szCs w:val="24"/>
      <w:u w:val="single"/>
      <w:lang w:eastAsia="he-IL"/>
    </w:rPr>
  </w:style>
  <w:style w:type="paragraph" w:customStyle="1" w:styleId="23">
    <w:name w:val="כותרת משנה 2"/>
    <w:basedOn w:val="a0"/>
    <w:link w:val="24"/>
    <w:qFormat/>
    <w:rsid w:val="00B92118"/>
    <w:pPr>
      <w:spacing w:after="0" w:line="360" w:lineRule="auto"/>
      <w:ind w:right="426"/>
      <w:jc w:val="both"/>
    </w:pPr>
    <w:rPr>
      <w:rFonts w:ascii="Times New Roman" w:eastAsia="Times New Roman" w:hAnsi="Times New Roman" w:cs="David"/>
      <w:sz w:val="24"/>
      <w:szCs w:val="24"/>
      <w:lang w:eastAsia="he-IL"/>
    </w:rPr>
  </w:style>
  <w:style w:type="character" w:customStyle="1" w:styleId="14">
    <w:name w:val="כותרת משנה 1 תו"/>
    <w:basedOn w:val="11"/>
    <w:link w:val="1"/>
    <w:rsid w:val="00B92118"/>
    <w:rPr>
      <w:rFonts w:ascii="Arial" w:eastAsia="Times New Roman" w:hAnsi="Arial" w:cs="David"/>
      <w:b/>
      <w:bCs/>
      <w:color w:val="2E74B5" w:themeColor="accent1" w:themeShade="BF"/>
      <w:sz w:val="24"/>
      <w:szCs w:val="24"/>
      <w:u w:val="single"/>
      <w:lang w:eastAsia="he-IL"/>
    </w:rPr>
  </w:style>
  <w:style w:type="character" w:customStyle="1" w:styleId="24">
    <w:name w:val="כותרת משנה 2 תו"/>
    <w:basedOn w:val="a1"/>
    <w:link w:val="23"/>
    <w:rsid w:val="00B92118"/>
    <w:rPr>
      <w:rFonts w:ascii="Times New Roman" w:eastAsia="Times New Roman" w:hAnsi="Times New Roman" w:cs="David"/>
      <w:sz w:val="24"/>
      <w:szCs w:val="24"/>
      <w:lang w:eastAsia="he-IL"/>
    </w:rPr>
  </w:style>
  <w:style w:type="paragraph" w:styleId="aff2">
    <w:name w:val="endnote text"/>
    <w:basedOn w:val="a0"/>
    <w:link w:val="aff3"/>
    <w:semiHidden/>
    <w:unhideWhenUsed/>
    <w:rsid w:val="00B92118"/>
    <w:pPr>
      <w:spacing w:after="0" w:line="240" w:lineRule="auto"/>
    </w:pPr>
    <w:rPr>
      <w:rFonts w:ascii="Times New Roman" w:eastAsia="Times New Roman" w:hAnsi="Times New Roman" w:cs="Times New Roman"/>
      <w:sz w:val="20"/>
      <w:szCs w:val="20"/>
      <w:lang w:eastAsia="he-IL"/>
    </w:rPr>
  </w:style>
  <w:style w:type="character" w:customStyle="1" w:styleId="aff3">
    <w:name w:val="טקסט הערת סיום תו"/>
    <w:basedOn w:val="a1"/>
    <w:link w:val="aff2"/>
    <w:semiHidden/>
    <w:rsid w:val="00B92118"/>
    <w:rPr>
      <w:rFonts w:ascii="Times New Roman" w:eastAsia="Times New Roman" w:hAnsi="Times New Roman" w:cs="Times New Roman"/>
      <w:sz w:val="20"/>
      <w:szCs w:val="20"/>
      <w:lang w:eastAsia="he-IL"/>
    </w:rPr>
  </w:style>
  <w:style w:type="character" w:styleId="aff4">
    <w:name w:val="endnote reference"/>
    <w:basedOn w:val="a1"/>
    <w:semiHidden/>
    <w:unhideWhenUsed/>
    <w:rsid w:val="00B92118"/>
    <w:rPr>
      <w:vertAlign w:val="superscript"/>
    </w:rPr>
  </w:style>
  <w:style w:type="character" w:customStyle="1" w:styleId="default">
    <w:name w:val="default"/>
    <w:rsid w:val="000E68C2"/>
    <w:rPr>
      <w:rFonts w:ascii="Times New Roman" w:hAnsi="Times New Roman" w:cs="Times New Roman"/>
      <w:sz w:val="26"/>
      <w:szCs w:val="26"/>
    </w:rPr>
  </w:style>
  <w:style w:type="paragraph" w:customStyle="1" w:styleId="P00">
    <w:name w:val="P00"/>
    <w:rsid w:val="000E68C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Default0">
    <w:name w:val="Default"/>
    <w:rsid w:val="00530064"/>
    <w:pPr>
      <w:autoSpaceDE w:val="0"/>
      <w:autoSpaceDN w:val="0"/>
      <w:bidi/>
      <w:adjustRightInd w:val="0"/>
      <w:spacing w:after="0" w:line="360" w:lineRule="auto"/>
      <w:jc w:val="both"/>
    </w:pPr>
    <w:rPr>
      <w:rFonts w:asciiTheme="majorBidi" w:hAnsiTheme="majorBidi" w:cs="Davi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046">
      <w:bodyDiv w:val="1"/>
      <w:marLeft w:val="0"/>
      <w:marRight w:val="0"/>
      <w:marTop w:val="0"/>
      <w:marBottom w:val="0"/>
      <w:divBdr>
        <w:top w:val="none" w:sz="0" w:space="0" w:color="auto"/>
        <w:left w:val="none" w:sz="0" w:space="0" w:color="auto"/>
        <w:bottom w:val="none" w:sz="0" w:space="0" w:color="auto"/>
        <w:right w:val="none" w:sz="0" w:space="0" w:color="auto"/>
      </w:divBdr>
    </w:div>
    <w:div w:id="31276157">
      <w:bodyDiv w:val="1"/>
      <w:marLeft w:val="0"/>
      <w:marRight w:val="0"/>
      <w:marTop w:val="0"/>
      <w:marBottom w:val="0"/>
      <w:divBdr>
        <w:top w:val="none" w:sz="0" w:space="0" w:color="auto"/>
        <w:left w:val="none" w:sz="0" w:space="0" w:color="auto"/>
        <w:bottom w:val="none" w:sz="0" w:space="0" w:color="auto"/>
        <w:right w:val="none" w:sz="0" w:space="0" w:color="auto"/>
      </w:divBdr>
    </w:div>
    <w:div w:id="42292266">
      <w:bodyDiv w:val="1"/>
      <w:marLeft w:val="0"/>
      <w:marRight w:val="0"/>
      <w:marTop w:val="0"/>
      <w:marBottom w:val="0"/>
      <w:divBdr>
        <w:top w:val="none" w:sz="0" w:space="0" w:color="auto"/>
        <w:left w:val="none" w:sz="0" w:space="0" w:color="auto"/>
        <w:bottom w:val="none" w:sz="0" w:space="0" w:color="auto"/>
        <w:right w:val="none" w:sz="0" w:space="0" w:color="auto"/>
      </w:divBdr>
      <w:divsChild>
        <w:div w:id="1858687772">
          <w:marLeft w:val="0"/>
          <w:marRight w:val="0"/>
          <w:marTop w:val="0"/>
          <w:marBottom w:val="0"/>
          <w:divBdr>
            <w:top w:val="none" w:sz="0" w:space="0" w:color="auto"/>
            <w:left w:val="none" w:sz="0" w:space="0" w:color="auto"/>
            <w:bottom w:val="none" w:sz="0" w:space="0" w:color="auto"/>
            <w:right w:val="none" w:sz="0" w:space="0" w:color="auto"/>
          </w:divBdr>
          <w:divsChild>
            <w:div w:id="214241004">
              <w:marLeft w:val="0"/>
              <w:marRight w:val="0"/>
              <w:marTop w:val="0"/>
              <w:marBottom w:val="0"/>
              <w:divBdr>
                <w:top w:val="none" w:sz="0" w:space="0" w:color="auto"/>
                <w:left w:val="none" w:sz="0" w:space="0" w:color="auto"/>
                <w:bottom w:val="none" w:sz="0" w:space="0" w:color="auto"/>
                <w:right w:val="none" w:sz="0" w:space="0" w:color="auto"/>
              </w:divBdr>
              <w:divsChild>
                <w:div w:id="271599271">
                  <w:marLeft w:val="0"/>
                  <w:marRight w:val="0"/>
                  <w:marTop w:val="0"/>
                  <w:marBottom w:val="0"/>
                  <w:divBdr>
                    <w:top w:val="none" w:sz="0" w:space="0" w:color="auto"/>
                    <w:left w:val="none" w:sz="0" w:space="0" w:color="auto"/>
                    <w:bottom w:val="none" w:sz="0" w:space="0" w:color="auto"/>
                    <w:right w:val="none" w:sz="0" w:space="0" w:color="auto"/>
                  </w:divBdr>
                  <w:divsChild>
                    <w:div w:id="1743444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94608473">
          <w:marLeft w:val="0"/>
          <w:marRight w:val="0"/>
          <w:marTop w:val="0"/>
          <w:marBottom w:val="0"/>
          <w:divBdr>
            <w:top w:val="none" w:sz="0" w:space="0" w:color="auto"/>
            <w:left w:val="none" w:sz="0" w:space="0" w:color="auto"/>
            <w:bottom w:val="none" w:sz="0" w:space="0" w:color="auto"/>
            <w:right w:val="none" w:sz="0" w:space="0" w:color="auto"/>
          </w:divBdr>
          <w:divsChild>
            <w:div w:id="420831093">
              <w:marLeft w:val="0"/>
              <w:marRight w:val="0"/>
              <w:marTop w:val="0"/>
              <w:marBottom w:val="0"/>
              <w:divBdr>
                <w:top w:val="none" w:sz="0" w:space="0" w:color="auto"/>
                <w:left w:val="none" w:sz="0" w:space="0" w:color="auto"/>
                <w:bottom w:val="none" w:sz="0" w:space="0" w:color="auto"/>
                <w:right w:val="none" w:sz="0" w:space="0" w:color="auto"/>
              </w:divBdr>
              <w:divsChild>
                <w:div w:id="534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8747">
      <w:bodyDiv w:val="1"/>
      <w:marLeft w:val="0"/>
      <w:marRight w:val="0"/>
      <w:marTop w:val="0"/>
      <w:marBottom w:val="0"/>
      <w:divBdr>
        <w:top w:val="none" w:sz="0" w:space="0" w:color="auto"/>
        <w:left w:val="none" w:sz="0" w:space="0" w:color="auto"/>
        <w:bottom w:val="none" w:sz="0" w:space="0" w:color="auto"/>
        <w:right w:val="none" w:sz="0" w:space="0" w:color="auto"/>
      </w:divBdr>
    </w:div>
    <w:div w:id="248931023">
      <w:bodyDiv w:val="1"/>
      <w:marLeft w:val="0"/>
      <w:marRight w:val="0"/>
      <w:marTop w:val="0"/>
      <w:marBottom w:val="0"/>
      <w:divBdr>
        <w:top w:val="none" w:sz="0" w:space="0" w:color="auto"/>
        <w:left w:val="none" w:sz="0" w:space="0" w:color="auto"/>
        <w:bottom w:val="none" w:sz="0" w:space="0" w:color="auto"/>
        <w:right w:val="none" w:sz="0" w:space="0" w:color="auto"/>
      </w:divBdr>
      <w:divsChild>
        <w:div w:id="596907174">
          <w:marLeft w:val="0"/>
          <w:marRight w:val="1267"/>
          <w:marTop w:val="0"/>
          <w:marBottom w:val="0"/>
          <w:divBdr>
            <w:top w:val="none" w:sz="0" w:space="0" w:color="auto"/>
            <w:left w:val="none" w:sz="0" w:space="0" w:color="auto"/>
            <w:bottom w:val="none" w:sz="0" w:space="0" w:color="auto"/>
            <w:right w:val="none" w:sz="0" w:space="0" w:color="auto"/>
          </w:divBdr>
        </w:div>
        <w:div w:id="238489198">
          <w:marLeft w:val="0"/>
          <w:marRight w:val="1267"/>
          <w:marTop w:val="0"/>
          <w:marBottom w:val="0"/>
          <w:divBdr>
            <w:top w:val="none" w:sz="0" w:space="0" w:color="auto"/>
            <w:left w:val="none" w:sz="0" w:space="0" w:color="auto"/>
            <w:bottom w:val="none" w:sz="0" w:space="0" w:color="auto"/>
            <w:right w:val="none" w:sz="0" w:space="0" w:color="auto"/>
          </w:divBdr>
        </w:div>
        <w:div w:id="826020889">
          <w:marLeft w:val="0"/>
          <w:marRight w:val="1267"/>
          <w:marTop w:val="0"/>
          <w:marBottom w:val="0"/>
          <w:divBdr>
            <w:top w:val="none" w:sz="0" w:space="0" w:color="auto"/>
            <w:left w:val="none" w:sz="0" w:space="0" w:color="auto"/>
            <w:bottom w:val="none" w:sz="0" w:space="0" w:color="auto"/>
            <w:right w:val="none" w:sz="0" w:space="0" w:color="auto"/>
          </w:divBdr>
        </w:div>
        <w:div w:id="297103318">
          <w:marLeft w:val="0"/>
          <w:marRight w:val="1267"/>
          <w:marTop w:val="0"/>
          <w:marBottom w:val="0"/>
          <w:divBdr>
            <w:top w:val="none" w:sz="0" w:space="0" w:color="auto"/>
            <w:left w:val="none" w:sz="0" w:space="0" w:color="auto"/>
            <w:bottom w:val="none" w:sz="0" w:space="0" w:color="auto"/>
            <w:right w:val="none" w:sz="0" w:space="0" w:color="auto"/>
          </w:divBdr>
        </w:div>
        <w:div w:id="68042045">
          <w:marLeft w:val="0"/>
          <w:marRight w:val="1267"/>
          <w:marTop w:val="0"/>
          <w:marBottom w:val="0"/>
          <w:divBdr>
            <w:top w:val="none" w:sz="0" w:space="0" w:color="auto"/>
            <w:left w:val="none" w:sz="0" w:space="0" w:color="auto"/>
            <w:bottom w:val="none" w:sz="0" w:space="0" w:color="auto"/>
            <w:right w:val="none" w:sz="0" w:space="0" w:color="auto"/>
          </w:divBdr>
        </w:div>
        <w:div w:id="1269043442">
          <w:marLeft w:val="0"/>
          <w:marRight w:val="1267"/>
          <w:marTop w:val="0"/>
          <w:marBottom w:val="0"/>
          <w:divBdr>
            <w:top w:val="none" w:sz="0" w:space="0" w:color="auto"/>
            <w:left w:val="none" w:sz="0" w:space="0" w:color="auto"/>
            <w:bottom w:val="none" w:sz="0" w:space="0" w:color="auto"/>
            <w:right w:val="none" w:sz="0" w:space="0" w:color="auto"/>
          </w:divBdr>
        </w:div>
      </w:divsChild>
    </w:div>
    <w:div w:id="259147933">
      <w:bodyDiv w:val="1"/>
      <w:marLeft w:val="0"/>
      <w:marRight w:val="0"/>
      <w:marTop w:val="0"/>
      <w:marBottom w:val="0"/>
      <w:divBdr>
        <w:top w:val="none" w:sz="0" w:space="0" w:color="auto"/>
        <w:left w:val="none" w:sz="0" w:space="0" w:color="auto"/>
        <w:bottom w:val="none" w:sz="0" w:space="0" w:color="auto"/>
        <w:right w:val="none" w:sz="0" w:space="0" w:color="auto"/>
      </w:divBdr>
      <w:divsChild>
        <w:div w:id="518272707">
          <w:marLeft w:val="0"/>
          <w:marRight w:val="0"/>
          <w:marTop w:val="0"/>
          <w:marBottom w:val="0"/>
          <w:divBdr>
            <w:top w:val="none" w:sz="0" w:space="0" w:color="auto"/>
            <w:left w:val="none" w:sz="0" w:space="0" w:color="auto"/>
            <w:bottom w:val="none" w:sz="0" w:space="0" w:color="auto"/>
            <w:right w:val="none" w:sz="0" w:space="0" w:color="auto"/>
          </w:divBdr>
          <w:divsChild>
            <w:div w:id="165051078">
              <w:marLeft w:val="0"/>
              <w:marRight w:val="0"/>
              <w:marTop w:val="0"/>
              <w:marBottom w:val="0"/>
              <w:divBdr>
                <w:top w:val="none" w:sz="0" w:space="0" w:color="auto"/>
                <w:left w:val="none" w:sz="0" w:space="0" w:color="auto"/>
                <w:bottom w:val="none" w:sz="0" w:space="0" w:color="auto"/>
                <w:right w:val="none" w:sz="0" w:space="0" w:color="auto"/>
              </w:divBdr>
              <w:divsChild>
                <w:div w:id="2144303960">
                  <w:marLeft w:val="0"/>
                  <w:marRight w:val="0"/>
                  <w:marTop w:val="255"/>
                  <w:marBottom w:val="0"/>
                  <w:divBdr>
                    <w:top w:val="none" w:sz="0" w:space="0" w:color="auto"/>
                    <w:left w:val="none" w:sz="0" w:space="0" w:color="auto"/>
                    <w:bottom w:val="none" w:sz="0" w:space="0" w:color="auto"/>
                    <w:right w:val="none" w:sz="0" w:space="0" w:color="auto"/>
                  </w:divBdr>
                  <w:divsChild>
                    <w:div w:id="1316959102">
                      <w:marLeft w:val="0"/>
                      <w:marRight w:val="0"/>
                      <w:marTop w:val="0"/>
                      <w:marBottom w:val="0"/>
                      <w:divBdr>
                        <w:top w:val="single" w:sz="6" w:space="4" w:color="D4E0E4"/>
                        <w:left w:val="single" w:sz="6" w:space="11" w:color="D4E0E4"/>
                        <w:bottom w:val="single" w:sz="6" w:space="0" w:color="D4E0E4"/>
                        <w:right w:val="none" w:sz="0" w:space="11" w:color="auto"/>
                      </w:divBdr>
                      <w:divsChild>
                        <w:div w:id="1113356086">
                          <w:marLeft w:val="0"/>
                          <w:marRight w:val="0"/>
                          <w:marTop w:val="0"/>
                          <w:marBottom w:val="0"/>
                          <w:divBdr>
                            <w:top w:val="none" w:sz="0" w:space="0" w:color="auto"/>
                            <w:left w:val="none" w:sz="0" w:space="0" w:color="auto"/>
                            <w:bottom w:val="none" w:sz="0" w:space="0" w:color="auto"/>
                            <w:right w:val="none" w:sz="0" w:space="0" w:color="auto"/>
                          </w:divBdr>
                        </w:div>
                        <w:div w:id="207881305">
                          <w:marLeft w:val="0"/>
                          <w:marRight w:val="75"/>
                          <w:marTop w:val="105"/>
                          <w:marBottom w:val="150"/>
                          <w:divBdr>
                            <w:top w:val="none" w:sz="0" w:space="0" w:color="auto"/>
                            <w:left w:val="none" w:sz="0" w:space="0" w:color="auto"/>
                            <w:bottom w:val="none" w:sz="0" w:space="0" w:color="auto"/>
                            <w:right w:val="none" w:sz="0" w:space="0" w:color="auto"/>
                          </w:divBdr>
                          <w:divsChild>
                            <w:div w:id="1982415974">
                              <w:marLeft w:val="0"/>
                              <w:marRight w:val="0"/>
                              <w:marTop w:val="0"/>
                              <w:marBottom w:val="0"/>
                              <w:divBdr>
                                <w:top w:val="none" w:sz="0" w:space="0" w:color="auto"/>
                                <w:left w:val="none" w:sz="0" w:space="0" w:color="auto"/>
                                <w:bottom w:val="none" w:sz="0" w:space="0" w:color="auto"/>
                                <w:right w:val="none" w:sz="0" w:space="0" w:color="auto"/>
                              </w:divBdr>
                            </w:div>
                          </w:divsChild>
                        </w:div>
                        <w:div w:id="1782914415">
                          <w:marLeft w:val="0"/>
                          <w:marRight w:val="0"/>
                          <w:marTop w:val="0"/>
                          <w:marBottom w:val="0"/>
                          <w:divBdr>
                            <w:top w:val="none" w:sz="0" w:space="0" w:color="auto"/>
                            <w:left w:val="none" w:sz="0" w:space="0" w:color="auto"/>
                            <w:bottom w:val="none" w:sz="0" w:space="0" w:color="auto"/>
                            <w:right w:val="none" w:sz="0" w:space="0" w:color="auto"/>
                          </w:divBdr>
                          <w:divsChild>
                            <w:div w:id="1449540739">
                              <w:marLeft w:val="0"/>
                              <w:marRight w:val="0"/>
                              <w:marTop w:val="0"/>
                              <w:marBottom w:val="0"/>
                              <w:divBdr>
                                <w:top w:val="none" w:sz="0" w:space="0" w:color="auto"/>
                                <w:left w:val="none" w:sz="0" w:space="0" w:color="auto"/>
                                <w:bottom w:val="none" w:sz="0" w:space="0" w:color="auto"/>
                                <w:right w:val="none" w:sz="0" w:space="0" w:color="auto"/>
                              </w:divBdr>
                            </w:div>
                            <w:div w:id="20303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934606">
      <w:bodyDiv w:val="1"/>
      <w:marLeft w:val="0"/>
      <w:marRight w:val="0"/>
      <w:marTop w:val="0"/>
      <w:marBottom w:val="0"/>
      <w:divBdr>
        <w:top w:val="none" w:sz="0" w:space="0" w:color="auto"/>
        <w:left w:val="none" w:sz="0" w:space="0" w:color="auto"/>
        <w:bottom w:val="none" w:sz="0" w:space="0" w:color="auto"/>
        <w:right w:val="none" w:sz="0" w:space="0" w:color="auto"/>
      </w:divBdr>
    </w:div>
    <w:div w:id="448402825">
      <w:bodyDiv w:val="1"/>
      <w:marLeft w:val="0"/>
      <w:marRight w:val="0"/>
      <w:marTop w:val="0"/>
      <w:marBottom w:val="0"/>
      <w:divBdr>
        <w:top w:val="none" w:sz="0" w:space="0" w:color="auto"/>
        <w:left w:val="none" w:sz="0" w:space="0" w:color="auto"/>
        <w:bottom w:val="none" w:sz="0" w:space="0" w:color="auto"/>
        <w:right w:val="none" w:sz="0" w:space="0" w:color="auto"/>
      </w:divBdr>
    </w:div>
    <w:div w:id="532419736">
      <w:bodyDiv w:val="1"/>
      <w:marLeft w:val="0"/>
      <w:marRight w:val="0"/>
      <w:marTop w:val="0"/>
      <w:marBottom w:val="0"/>
      <w:divBdr>
        <w:top w:val="none" w:sz="0" w:space="0" w:color="auto"/>
        <w:left w:val="none" w:sz="0" w:space="0" w:color="auto"/>
        <w:bottom w:val="none" w:sz="0" w:space="0" w:color="auto"/>
        <w:right w:val="none" w:sz="0" w:space="0" w:color="auto"/>
      </w:divBdr>
    </w:div>
    <w:div w:id="599988746">
      <w:bodyDiv w:val="1"/>
      <w:marLeft w:val="0"/>
      <w:marRight w:val="0"/>
      <w:marTop w:val="0"/>
      <w:marBottom w:val="0"/>
      <w:divBdr>
        <w:top w:val="none" w:sz="0" w:space="0" w:color="auto"/>
        <w:left w:val="none" w:sz="0" w:space="0" w:color="auto"/>
        <w:bottom w:val="none" w:sz="0" w:space="0" w:color="auto"/>
        <w:right w:val="none" w:sz="0" w:space="0" w:color="auto"/>
      </w:divBdr>
    </w:div>
    <w:div w:id="696393484">
      <w:bodyDiv w:val="1"/>
      <w:marLeft w:val="0"/>
      <w:marRight w:val="0"/>
      <w:marTop w:val="0"/>
      <w:marBottom w:val="0"/>
      <w:divBdr>
        <w:top w:val="none" w:sz="0" w:space="0" w:color="auto"/>
        <w:left w:val="none" w:sz="0" w:space="0" w:color="auto"/>
        <w:bottom w:val="none" w:sz="0" w:space="0" w:color="auto"/>
        <w:right w:val="none" w:sz="0" w:space="0" w:color="auto"/>
      </w:divBdr>
    </w:div>
    <w:div w:id="787939887">
      <w:bodyDiv w:val="1"/>
      <w:marLeft w:val="0"/>
      <w:marRight w:val="0"/>
      <w:marTop w:val="0"/>
      <w:marBottom w:val="0"/>
      <w:divBdr>
        <w:top w:val="none" w:sz="0" w:space="0" w:color="auto"/>
        <w:left w:val="none" w:sz="0" w:space="0" w:color="auto"/>
        <w:bottom w:val="none" w:sz="0" w:space="0" w:color="auto"/>
        <w:right w:val="none" w:sz="0" w:space="0" w:color="auto"/>
      </w:divBdr>
    </w:div>
    <w:div w:id="797379689">
      <w:bodyDiv w:val="1"/>
      <w:marLeft w:val="0"/>
      <w:marRight w:val="0"/>
      <w:marTop w:val="0"/>
      <w:marBottom w:val="0"/>
      <w:divBdr>
        <w:top w:val="none" w:sz="0" w:space="0" w:color="auto"/>
        <w:left w:val="none" w:sz="0" w:space="0" w:color="auto"/>
        <w:bottom w:val="none" w:sz="0" w:space="0" w:color="auto"/>
        <w:right w:val="none" w:sz="0" w:space="0" w:color="auto"/>
      </w:divBdr>
      <w:divsChild>
        <w:div w:id="101851955">
          <w:marLeft w:val="0"/>
          <w:marRight w:val="0"/>
          <w:marTop w:val="0"/>
          <w:marBottom w:val="0"/>
          <w:divBdr>
            <w:top w:val="none" w:sz="0" w:space="0" w:color="auto"/>
            <w:left w:val="none" w:sz="0" w:space="0" w:color="auto"/>
            <w:bottom w:val="none" w:sz="0" w:space="0" w:color="auto"/>
            <w:right w:val="none" w:sz="0" w:space="0" w:color="auto"/>
          </w:divBdr>
          <w:divsChild>
            <w:div w:id="310915202">
              <w:marLeft w:val="0"/>
              <w:marRight w:val="0"/>
              <w:marTop w:val="0"/>
              <w:marBottom w:val="0"/>
              <w:divBdr>
                <w:top w:val="none" w:sz="0" w:space="0" w:color="auto"/>
                <w:left w:val="none" w:sz="0" w:space="0" w:color="auto"/>
                <w:bottom w:val="none" w:sz="0" w:space="0" w:color="auto"/>
                <w:right w:val="none" w:sz="0" w:space="0" w:color="auto"/>
              </w:divBdr>
              <w:divsChild>
                <w:div w:id="713383843">
                  <w:marLeft w:val="0"/>
                  <w:marRight w:val="0"/>
                  <w:marTop w:val="0"/>
                  <w:marBottom w:val="0"/>
                  <w:divBdr>
                    <w:top w:val="none" w:sz="0" w:space="0" w:color="auto"/>
                    <w:left w:val="none" w:sz="0" w:space="0" w:color="auto"/>
                    <w:bottom w:val="none" w:sz="0" w:space="0" w:color="auto"/>
                    <w:right w:val="none" w:sz="0" w:space="0" w:color="auto"/>
                  </w:divBdr>
                  <w:divsChild>
                    <w:div w:id="17599805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18941111">
          <w:marLeft w:val="0"/>
          <w:marRight w:val="0"/>
          <w:marTop w:val="0"/>
          <w:marBottom w:val="0"/>
          <w:divBdr>
            <w:top w:val="none" w:sz="0" w:space="0" w:color="auto"/>
            <w:left w:val="none" w:sz="0" w:space="0" w:color="auto"/>
            <w:bottom w:val="none" w:sz="0" w:space="0" w:color="auto"/>
            <w:right w:val="none" w:sz="0" w:space="0" w:color="auto"/>
          </w:divBdr>
          <w:divsChild>
            <w:div w:id="478233279">
              <w:marLeft w:val="0"/>
              <w:marRight w:val="0"/>
              <w:marTop w:val="0"/>
              <w:marBottom w:val="0"/>
              <w:divBdr>
                <w:top w:val="none" w:sz="0" w:space="0" w:color="auto"/>
                <w:left w:val="none" w:sz="0" w:space="0" w:color="auto"/>
                <w:bottom w:val="none" w:sz="0" w:space="0" w:color="auto"/>
                <w:right w:val="none" w:sz="0" w:space="0" w:color="auto"/>
              </w:divBdr>
              <w:divsChild>
                <w:div w:id="1785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94407">
      <w:bodyDiv w:val="1"/>
      <w:marLeft w:val="0"/>
      <w:marRight w:val="0"/>
      <w:marTop w:val="0"/>
      <w:marBottom w:val="0"/>
      <w:divBdr>
        <w:top w:val="none" w:sz="0" w:space="0" w:color="auto"/>
        <w:left w:val="none" w:sz="0" w:space="0" w:color="auto"/>
        <w:bottom w:val="none" w:sz="0" w:space="0" w:color="auto"/>
        <w:right w:val="none" w:sz="0" w:space="0" w:color="auto"/>
      </w:divBdr>
    </w:div>
    <w:div w:id="893859319">
      <w:bodyDiv w:val="1"/>
      <w:marLeft w:val="0"/>
      <w:marRight w:val="0"/>
      <w:marTop w:val="0"/>
      <w:marBottom w:val="0"/>
      <w:divBdr>
        <w:top w:val="none" w:sz="0" w:space="0" w:color="auto"/>
        <w:left w:val="none" w:sz="0" w:space="0" w:color="auto"/>
        <w:bottom w:val="none" w:sz="0" w:space="0" w:color="auto"/>
        <w:right w:val="none" w:sz="0" w:space="0" w:color="auto"/>
      </w:divBdr>
      <w:divsChild>
        <w:div w:id="397286477">
          <w:marLeft w:val="0"/>
          <w:marRight w:val="0"/>
          <w:marTop w:val="0"/>
          <w:marBottom w:val="0"/>
          <w:divBdr>
            <w:top w:val="none" w:sz="0" w:space="0" w:color="auto"/>
            <w:left w:val="none" w:sz="0" w:space="0" w:color="auto"/>
            <w:bottom w:val="none" w:sz="0" w:space="0" w:color="auto"/>
            <w:right w:val="none" w:sz="0" w:space="0" w:color="auto"/>
          </w:divBdr>
          <w:divsChild>
            <w:div w:id="1219053790">
              <w:marLeft w:val="0"/>
              <w:marRight w:val="0"/>
              <w:marTop w:val="0"/>
              <w:marBottom w:val="0"/>
              <w:divBdr>
                <w:top w:val="none" w:sz="0" w:space="0" w:color="auto"/>
                <w:left w:val="none" w:sz="0" w:space="0" w:color="auto"/>
                <w:bottom w:val="none" w:sz="0" w:space="0" w:color="auto"/>
                <w:right w:val="none" w:sz="0" w:space="0" w:color="auto"/>
              </w:divBdr>
              <w:divsChild>
                <w:div w:id="75251651">
                  <w:marLeft w:val="0"/>
                  <w:marRight w:val="0"/>
                  <w:marTop w:val="0"/>
                  <w:marBottom w:val="0"/>
                  <w:divBdr>
                    <w:top w:val="none" w:sz="0" w:space="0" w:color="auto"/>
                    <w:left w:val="none" w:sz="0" w:space="0" w:color="auto"/>
                    <w:bottom w:val="none" w:sz="0" w:space="0" w:color="auto"/>
                    <w:right w:val="none" w:sz="0" w:space="0" w:color="auto"/>
                  </w:divBdr>
                  <w:divsChild>
                    <w:div w:id="9179057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25362424">
          <w:marLeft w:val="0"/>
          <w:marRight w:val="0"/>
          <w:marTop w:val="0"/>
          <w:marBottom w:val="0"/>
          <w:divBdr>
            <w:top w:val="none" w:sz="0" w:space="0" w:color="auto"/>
            <w:left w:val="none" w:sz="0" w:space="0" w:color="auto"/>
            <w:bottom w:val="none" w:sz="0" w:space="0" w:color="auto"/>
            <w:right w:val="none" w:sz="0" w:space="0" w:color="auto"/>
          </w:divBdr>
          <w:divsChild>
            <w:div w:id="1039470771">
              <w:marLeft w:val="0"/>
              <w:marRight w:val="0"/>
              <w:marTop w:val="0"/>
              <w:marBottom w:val="0"/>
              <w:divBdr>
                <w:top w:val="none" w:sz="0" w:space="0" w:color="auto"/>
                <w:left w:val="none" w:sz="0" w:space="0" w:color="auto"/>
                <w:bottom w:val="none" w:sz="0" w:space="0" w:color="auto"/>
                <w:right w:val="none" w:sz="0" w:space="0" w:color="auto"/>
              </w:divBdr>
              <w:divsChild>
                <w:div w:id="14136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79665">
      <w:bodyDiv w:val="1"/>
      <w:marLeft w:val="0"/>
      <w:marRight w:val="0"/>
      <w:marTop w:val="0"/>
      <w:marBottom w:val="0"/>
      <w:divBdr>
        <w:top w:val="none" w:sz="0" w:space="0" w:color="auto"/>
        <w:left w:val="none" w:sz="0" w:space="0" w:color="auto"/>
        <w:bottom w:val="none" w:sz="0" w:space="0" w:color="auto"/>
        <w:right w:val="none" w:sz="0" w:space="0" w:color="auto"/>
      </w:divBdr>
    </w:div>
    <w:div w:id="1075740586">
      <w:bodyDiv w:val="1"/>
      <w:marLeft w:val="0"/>
      <w:marRight w:val="0"/>
      <w:marTop w:val="0"/>
      <w:marBottom w:val="0"/>
      <w:divBdr>
        <w:top w:val="none" w:sz="0" w:space="0" w:color="auto"/>
        <w:left w:val="none" w:sz="0" w:space="0" w:color="auto"/>
        <w:bottom w:val="none" w:sz="0" w:space="0" w:color="auto"/>
        <w:right w:val="none" w:sz="0" w:space="0" w:color="auto"/>
      </w:divBdr>
    </w:div>
    <w:div w:id="1081368463">
      <w:bodyDiv w:val="1"/>
      <w:marLeft w:val="0"/>
      <w:marRight w:val="0"/>
      <w:marTop w:val="0"/>
      <w:marBottom w:val="0"/>
      <w:divBdr>
        <w:top w:val="none" w:sz="0" w:space="0" w:color="auto"/>
        <w:left w:val="none" w:sz="0" w:space="0" w:color="auto"/>
        <w:bottom w:val="none" w:sz="0" w:space="0" w:color="auto"/>
        <w:right w:val="none" w:sz="0" w:space="0" w:color="auto"/>
      </w:divBdr>
      <w:divsChild>
        <w:div w:id="1547181200">
          <w:marLeft w:val="0"/>
          <w:marRight w:val="0"/>
          <w:marTop w:val="0"/>
          <w:marBottom w:val="0"/>
          <w:divBdr>
            <w:top w:val="none" w:sz="0" w:space="0" w:color="auto"/>
            <w:left w:val="none" w:sz="0" w:space="0" w:color="auto"/>
            <w:bottom w:val="none" w:sz="0" w:space="0" w:color="auto"/>
            <w:right w:val="none" w:sz="0" w:space="0" w:color="auto"/>
          </w:divBdr>
          <w:divsChild>
            <w:div w:id="1517574029">
              <w:marLeft w:val="0"/>
              <w:marRight w:val="0"/>
              <w:marTop w:val="0"/>
              <w:marBottom w:val="0"/>
              <w:divBdr>
                <w:top w:val="none" w:sz="0" w:space="0" w:color="auto"/>
                <w:left w:val="none" w:sz="0" w:space="0" w:color="auto"/>
                <w:bottom w:val="none" w:sz="0" w:space="0" w:color="auto"/>
                <w:right w:val="none" w:sz="0" w:space="0" w:color="auto"/>
              </w:divBdr>
              <w:divsChild>
                <w:div w:id="254485686">
                  <w:marLeft w:val="0"/>
                  <w:marRight w:val="0"/>
                  <w:marTop w:val="0"/>
                  <w:marBottom w:val="0"/>
                  <w:divBdr>
                    <w:top w:val="none" w:sz="0" w:space="0" w:color="auto"/>
                    <w:left w:val="none" w:sz="0" w:space="0" w:color="auto"/>
                    <w:bottom w:val="none" w:sz="0" w:space="0" w:color="auto"/>
                    <w:right w:val="none" w:sz="0" w:space="0" w:color="auto"/>
                  </w:divBdr>
                  <w:divsChild>
                    <w:div w:id="9162841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91546130">
          <w:marLeft w:val="0"/>
          <w:marRight w:val="0"/>
          <w:marTop w:val="0"/>
          <w:marBottom w:val="0"/>
          <w:divBdr>
            <w:top w:val="none" w:sz="0" w:space="0" w:color="auto"/>
            <w:left w:val="none" w:sz="0" w:space="0" w:color="auto"/>
            <w:bottom w:val="none" w:sz="0" w:space="0" w:color="auto"/>
            <w:right w:val="none" w:sz="0" w:space="0" w:color="auto"/>
          </w:divBdr>
          <w:divsChild>
            <w:div w:id="1743522942">
              <w:marLeft w:val="0"/>
              <w:marRight w:val="0"/>
              <w:marTop w:val="0"/>
              <w:marBottom w:val="0"/>
              <w:divBdr>
                <w:top w:val="none" w:sz="0" w:space="0" w:color="auto"/>
                <w:left w:val="none" w:sz="0" w:space="0" w:color="auto"/>
                <w:bottom w:val="none" w:sz="0" w:space="0" w:color="auto"/>
                <w:right w:val="none" w:sz="0" w:space="0" w:color="auto"/>
              </w:divBdr>
              <w:divsChild>
                <w:div w:id="10763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3800">
      <w:bodyDiv w:val="1"/>
      <w:marLeft w:val="0"/>
      <w:marRight w:val="0"/>
      <w:marTop w:val="0"/>
      <w:marBottom w:val="0"/>
      <w:divBdr>
        <w:top w:val="none" w:sz="0" w:space="0" w:color="auto"/>
        <w:left w:val="none" w:sz="0" w:space="0" w:color="auto"/>
        <w:bottom w:val="none" w:sz="0" w:space="0" w:color="auto"/>
        <w:right w:val="none" w:sz="0" w:space="0" w:color="auto"/>
      </w:divBdr>
    </w:div>
    <w:div w:id="1231889760">
      <w:bodyDiv w:val="1"/>
      <w:marLeft w:val="0"/>
      <w:marRight w:val="0"/>
      <w:marTop w:val="0"/>
      <w:marBottom w:val="0"/>
      <w:divBdr>
        <w:top w:val="none" w:sz="0" w:space="0" w:color="auto"/>
        <w:left w:val="none" w:sz="0" w:space="0" w:color="auto"/>
        <w:bottom w:val="none" w:sz="0" w:space="0" w:color="auto"/>
        <w:right w:val="none" w:sz="0" w:space="0" w:color="auto"/>
      </w:divBdr>
    </w:div>
    <w:div w:id="1298337244">
      <w:bodyDiv w:val="1"/>
      <w:marLeft w:val="0"/>
      <w:marRight w:val="0"/>
      <w:marTop w:val="0"/>
      <w:marBottom w:val="0"/>
      <w:divBdr>
        <w:top w:val="none" w:sz="0" w:space="0" w:color="auto"/>
        <w:left w:val="none" w:sz="0" w:space="0" w:color="auto"/>
        <w:bottom w:val="none" w:sz="0" w:space="0" w:color="auto"/>
        <w:right w:val="none" w:sz="0" w:space="0" w:color="auto"/>
      </w:divBdr>
    </w:div>
    <w:div w:id="1334642499">
      <w:bodyDiv w:val="1"/>
      <w:marLeft w:val="0"/>
      <w:marRight w:val="0"/>
      <w:marTop w:val="0"/>
      <w:marBottom w:val="0"/>
      <w:divBdr>
        <w:top w:val="none" w:sz="0" w:space="0" w:color="auto"/>
        <w:left w:val="none" w:sz="0" w:space="0" w:color="auto"/>
        <w:bottom w:val="none" w:sz="0" w:space="0" w:color="auto"/>
        <w:right w:val="none" w:sz="0" w:space="0" w:color="auto"/>
      </w:divBdr>
      <w:divsChild>
        <w:div w:id="1287545247">
          <w:marLeft w:val="0"/>
          <w:marRight w:val="0"/>
          <w:marTop w:val="0"/>
          <w:marBottom w:val="0"/>
          <w:divBdr>
            <w:top w:val="none" w:sz="0" w:space="0" w:color="auto"/>
            <w:left w:val="none" w:sz="0" w:space="0" w:color="auto"/>
            <w:bottom w:val="none" w:sz="0" w:space="0" w:color="auto"/>
            <w:right w:val="none" w:sz="0" w:space="0" w:color="auto"/>
          </w:divBdr>
          <w:divsChild>
            <w:div w:id="416053745">
              <w:marLeft w:val="0"/>
              <w:marRight w:val="0"/>
              <w:marTop w:val="0"/>
              <w:marBottom w:val="0"/>
              <w:divBdr>
                <w:top w:val="none" w:sz="0" w:space="0" w:color="auto"/>
                <w:left w:val="none" w:sz="0" w:space="0" w:color="auto"/>
                <w:bottom w:val="none" w:sz="0" w:space="0" w:color="auto"/>
                <w:right w:val="none" w:sz="0" w:space="0" w:color="auto"/>
              </w:divBdr>
              <w:divsChild>
                <w:div w:id="1875729275">
                  <w:marLeft w:val="0"/>
                  <w:marRight w:val="0"/>
                  <w:marTop w:val="0"/>
                  <w:marBottom w:val="0"/>
                  <w:divBdr>
                    <w:top w:val="none" w:sz="0" w:space="0" w:color="auto"/>
                    <w:left w:val="none" w:sz="0" w:space="0" w:color="auto"/>
                    <w:bottom w:val="none" w:sz="0" w:space="0" w:color="auto"/>
                    <w:right w:val="none" w:sz="0" w:space="0" w:color="auto"/>
                  </w:divBdr>
                  <w:divsChild>
                    <w:div w:id="9975344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48392359">
          <w:marLeft w:val="0"/>
          <w:marRight w:val="0"/>
          <w:marTop w:val="0"/>
          <w:marBottom w:val="0"/>
          <w:divBdr>
            <w:top w:val="none" w:sz="0" w:space="0" w:color="auto"/>
            <w:left w:val="none" w:sz="0" w:space="0" w:color="auto"/>
            <w:bottom w:val="none" w:sz="0" w:space="0" w:color="auto"/>
            <w:right w:val="none" w:sz="0" w:space="0" w:color="auto"/>
          </w:divBdr>
          <w:divsChild>
            <w:div w:id="2139370633">
              <w:marLeft w:val="0"/>
              <w:marRight w:val="0"/>
              <w:marTop w:val="0"/>
              <w:marBottom w:val="0"/>
              <w:divBdr>
                <w:top w:val="none" w:sz="0" w:space="0" w:color="auto"/>
                <w:left w:val="none" w:sz="0" w:space="0" w:color="auto"/>
                <w:bottom w:val="none" w:sz="0" w:space="0" w:color="auto"/>
                <w:right w:val="none" w:sz="0" w:space="0" w:color="auto"/>
              </w:divBdr>
              <w:divsChild>
                <w:div w:id="8955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27396">
      <w:bodyDiv w:val="1"/>
      <w:marLeft w:val="0"/>
      <w:marRight w:val="0"/>
      <w:marTop w:val="0"/>
      <w:marBottom w:val="0"/>
      <w:divBdr>
        <w:top w:val="none" w:sz="0" w:space="0" w:color="auto"/>
        <w:left w:val="none" w:sz="0" w:space="0" w:color="auto"/>
        <w:bottom w:val="none" w:sz="0" w:space="0" w:color="auto"/>
        <w:right w:val="none" w:sz="0" w:space="0" w:color="auto"/>
      </w:divBdr>
    </w:div>
    <w:div w:id="1377310907">
      <w:bodyDiv w:val="1"/>
      <w:marLeft w:val="0"/>
      <w:marRight w:val="0"/>
      <w:marTop w:val="0"/>
      <w:marBottom w:val="0"/>
      <w:divBdr>
        <w:top w:val="none" w:sz="0" w:space="0" w:color="auto"/>
        <w:left w:val="none" w:sz="0" w:space="0" w:color="auto"/>
        <w:bottom w:val="none" w:sz="0" w:space="0" w:color="auto"/>
        <w:right w:val="none" w:sz="0" w:space="0" w:color="auto"/>
      </w:divBdr>
    </w:div>
    <w:div w:id="1379205124">
      <w:bodyDiv w:val="1"/>
      <w:marLeft w:val="0"/>
      <w:marRight w:val="0"/>
      <w:marTop w:val="0"/>
      <w:marBottom w:val="0"/>
      <w:divBdr>
        <w:top w:val="none" w:sz="0" w:space="0" w:color="auto"/>
        <w:left w:val="none" w:sz="0" w:space="0" w:color="auto"/>
        <w:bottom w:val="none" w:sz="0" w:space="0" w:color="auto"/>
        <w:right w:val="none" w:sz="0" w:space="0" w:color="auto"/>
      </w:divBdr>
    </w:div>
    <w:div w:id="1409618538">
      <w:bodyDiv w:val="1"/>
      <w:marLeft w:val="0"/>
      <w:marRight w:val="0"/>
      <w:marTop w:val="0"/>
      <w:marBottom w:val="0"/>
      <w:divBdr>
        <w:top w:val="none" w:sz="0" w:space="0" w:color="auto"/>
        <w:left w:val="none" w:sz="0" w:space="0" w:color="auto"/>
        <w:bottom w:val="none" w:sz="0" w:space="0" w:color="auto"/>
        <w:right w:val="none" w:sz="0" w:space="0" w:color="auto"/>
      </w:divBdr>
    </w:div>
    <w:div w:id="1535341783">
      <w:bodyDiv w:val="1"/>
      <w:marLeft w:val="0"/>
      <w:marRight w:val="0"/>
      <w:marTop w:val="0"/>
      <w:marBottom w:val="0"/>
      <w:divBdr>
        <w:top w:val="none" w:sz="0" w:space="0" w:color="auto"/>
        <w:left w:val="none" w:sz="0" w:space="0" w:color="auto"/>
        <w:bottom w:val="none" w:sz="0" w:space="0" w:color="auto"/>
        <w:right w:val="none" w:sz="0" w:space="0" w:color="auto"/>
      </w:divBdr>
    </w:div>
    <w:div w:id="1565991751">
      <w:bodyDiv w:val="1"/>
      <w:marLeft w:val="0"/>
      <w:marRight w:val="0"/>
      <w:marTop w:val="0"/>
      <w:marBottom w:val="0"/>
      <w:divBdr>
        <w:top w:val="none" w:sz="0" w:space="0" w:color="auto"/>
        <w:left w:val="none" w:sz="0" w:space="0" w:color="auto"/>
        <w:bottom w:val="none" w:sz="0" w:space="0" w:color="auto"/>
        <w:right w:val="none" w:sz="0" w:space="0" w:color="auto"/>
      </w:divBdr>
      <w:divsChild>
        <w:div w:id="1593203428">
          <w:marLeft w:val="0"/>
          <w:marRight w:val="0"/>
          <w:marTop w:val="0"/>
          <w:marBottom w:val="0"/>
          <w:divBdr>
            <w:top w:val="none" w:sz="0" w:space="0" w:color="auto"/>
            <w:left w:val="none" w:sz="0" w:space="0" w:color="auto"/>
            <w:bottom w:val="none" w:sz="0" w:space="0" w:color="auto"/>
            <w:right w:val="none" w:sz="0" w:space="0" w:color="auto"/>
          </w:divBdr>
          <w:divsChild>
            <w:div w:id="476652866">
              <w:marLeft w:val="0"/>
              <w:marRight w:val="0"/>
              <w:marTop w:val="0"/>
              <w:marBottom w:val="0"/>
              <w:divBdr>
                <w:top w:val="none" w:sz="0" w:space="0" w:color="auto"/>
                <w:left w:val="none" w:sz="0" w:space="0" w:color="auto"/>
                <w:bottom w:val="none" w:sz="0" w:space="0" w:color="auto"/>
                <w:right w:val="none" w:sz="0" w:space="0" w:color="auto"/>
              </w:divBdr>
              <w:divsChild>
                <w:div w:id="1489446445">
                  <w:marLeft w:val="0"/>
                  <w:marRight w:val="0"/>
                  <w:marTop w:val="0"/>
                  <w:marBottom w:val="0"/>
                  <w:divBdr>
                    <w:top w:val="none" w:sz="0" w:space="0" w:color="auto"/>
                    <w:left w:val="none" w:sz="0" w:space="0" w:color="auto"/>
                    <w:bottom w:val="none" w:sz="0" w:space="0" w:color="auto"/>
                    <w:right w:val="none" w:sz="0" w:space="0" w:color="auto"/>
                  </w:divBdr>
                  <w:divsChild>
                    <w:div w:id="20294102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34398000">
          <w:marLeft w:val="0"/>
          <w:marRight w:val="0"/>
          <w:marTop w:val="0"/>
          <w:marBottom w:val="0"/>
          <w:divBdr>
            <w:top w:val="none" w:sz="0" w:space="0" w:color="auto"/>
            <w:left w:val="none" w:sz="0" w:space="0" w:color="auto"/>
            <w:bottom w:val="none" w:sz="0" w:space="0" w:color="auto"/>
            <w:right w:val="none" w:sz="0" w:space="0" w:color="auto"/>
          </w:divBdr>
          <w:divsChild>
            <w:div w:id="1891526446">
              <w:marLeft w:val="0"/>
              <w:marRight w:val="0"/>
              <w:marTop w:val="0"/>
              <w:marBottom w:val="0"/>
              <w:divBdr>
                <w:top w:val="none" w:sz="0" w:space="0" w:color="auto"/>
                <w:left w:val="none" w:sz="0" w:space="0" w:color="auto"/>
                <w:bottom w:val="none" w:sz="0" w:space="0" w:color="auto"/>
                <w:right w:val="none" w:sz="0" w:space="0" w:color="auto"/>
              </w:divBdr>
              <w:divsChild>
                <w:div w:id="18603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98270">
      <w:bodyDiv w:val="1"/>
      <w:marLeft w:val="0"/>
      <w:marRight w:val="0"/>
      <w:marTop w:val="0"/>
      <w:marBottom w:val="0"/>
      <w:divBdr>
        <w:top w:val="none" w:sz="0" w:space="0" w:color="auto"/>
        <w:left w:val="none" w:sz="0" w:space="0" w:color="auto"/>
        <w:bottom w:val="none" w:sz="0" w:space="0" w:color="auto"/>
        <w:right w:val="none" w:sz="0" w:space="0" w:color="auto"/>
      </w:divBdr>
    </w:div>
    <w:div w:id="1683972976">
      <w:bodyDiv w:val="1"/>
      <w:marLeft w:val="0"/>
      <w:marRight w:val="0"/>
      <w:marTop w:val="0"/>
      <w:marBottom w:val="0"/>
      <w:divBdr>
        <w:top w:val="none" w:sz="0" w:space="0" w:color="auto"/>
        <w:left w:val="none" w:sz="0" w:space="0" w:color="auto"/>
        <w:bottom w:val="none" w:sz="0" w:space="0" w:color="auto"/>
        <w:right w:val="none" w:sz="0" w:space="0" w:color="auto"/>
      </w:divBdr>
    </w:div>
    <w:div w:id="1689988757">
      <w:bodyDiv w:val="1"/>
      <w:marLeft w:val="0"/>
      <w:marRight w:val="0"/>
      <w:marTop w:val="0"/>
      <w:marBottom w:val="0"/>
      <w:divBdr>
        <w:top w:val="none" w:sz="0" w:space="0" w:color="auto"/>
        <w:left w:val="none" w:sz="0" w:space="0" w:color="auto"/>
        <w:bottom w:val="none" w:sz="0" w:space="0" w:color="auto"/>
        <w:right w:val="none" w:sz="0" w:space="0" w:color="auto"/>
      </w:divBdr>
    </w:div>
    <w:div w:id="1727608442">
      <w:bodyDiv w:val="1"/>
      <w:marLeft w:val="0"/>
      <w:marRight w:val="0"/>
      <w:marTop w:val="0"/>
      <w:marBottom w:val="0"/>
      <w:divBdr>
        <w:top w:val="none" w:sz="0" w:space="0" w:color="auto"/>
        <w:left w:val="none" w:sz="0" w:space="0" w:color="auto"/>
        <w:bottom w:val="none" w:sz="0" w:space="0" w:color="auto"/>
        <w:right w:val="none" w:sz="0" w:space="0" w:color="auto"/>
      </w:divBdr>
    </w:div>
    <w:div w:id="1764717931">
      <w:bodyDiv w:val="1"/>
      <w:marLeft w:val="0"/>
      <w:marRight w:val="0"/>
      <w:marTop w:val="0"/>
      <w:marBottom w:val="0"/>
      <w:divBdr>
        <w:top w:val="none" w:sz="0" w:space="0" w:color="auto"/>
        <w:left w:val="none" w:sz="0" w:space="0" w:color="auto"/>
        <w:bottom w:val="none" w:sz="0" w:space="0" w:color="auto"/>
        <w:right w:val="none" w:sz="0" w:space="0" w:color="auto"/>
      </w:divBdr>
    </w:div>
    <w:div w:id="1780567957">
      <w:bodyDiv w:val="1"/>
      <w:marLeft w:val="0"/>
      <w:marRight w:val="0"/>
      <w:marTop w:val="0"/>
      <w:marBottom w:val="0"/>
      <w:divBdr>
        <w:top w:val="none" w:sz="0" w:space="0" w:color="auto"/>
        <w:left w:val="none" w:sz="0" w:space="0" w:color="auto"/>
        <w:bottom w:val="none" w:sz="0" w:space="0" w:color="auto"/>
        <w:right w:val="none" w:sz="0" w:space="0" w:color="auto"/>
      </w:divBdr>
    </w:div>
    <w:div w:id="1838422200">
      <w:bodyDiv w:val="1"/>
      <w:marLeft w:val="0"/>
      <w:marRight w:val="0"/>
      <w:marTop w:val="0"/>
      <w:marBottom w:val="0"/>
      <w:divBdr>
        <w:top w:val="none" w:sz="0" w:space="0" w:color="auto"/>
        <w:left w:val="none" w:sz="0" w:space="0" w:color="auto"/>
        <w:bottom w:val="none" w:sz="0" w:space="0" w:color="auto"/>
        <w:right w:val="none" w:sz="0" w:space="0" w:color="auto"/>
      </w:divBdr>
    </w:div>
    <w:div w:id="1866940833">
      <w:bodyDiv w:val="1"/>
      <w:marLeft w:val="0"/>
      <w:marRight w:val="0"/>
      <w:marTop w:val="0"/>
      <w:marBottom w:val="0"/>
      <w:divBdr>
        <w:top w:val="none" w:sz="0" w:space="0" w:color="auto"/>
        <w:left w:val="none" w:sz="0" w:space="0" w:color="auto"/>
        <w:bottom w:val="none" w:sz="0" w:space="0" w:color="auto"/>
        <w:right w:val="none" w:sz="0" w:space="0" w:color="auto"/>
      </w:divBdr>
    </w:div>
    <w:div w:id="1920754116">
      <w:bodyDiv w:val="1"/>
      <w:marLeft w:val="0"/>
      <w:marRight w:val="0"/>
      <w:marTop w:val="0"/>
      <w:marBottom w:val="0"/>
      <w:divBdr>
        <w:top w:val="none" w:sz="0" w:space="0" w:color="auto"/>
        <w:left w:val="none" w:sz="0" w:space="0" w:color="auto"/>
        <w:bottom w:val="none" w:sz="0" w:space="0" w:color="auto"/>
        <w:right w:val="none" w:sz="0" w:space="0" w:color="auto"/>
      </w:divBdr>
    </w:div>
    <w:div w:id="1973553883">
      <w:bodyDiv w:val="1"/>
      <w:marLeft w:val="0"/>
      <w:marRight w:val="0"/>
      <w:marTop w:val="0"/>
      <w:marBottom w:val="0"/>
      <w:divBdr>
        <w:top w:val="none" w:sz="0" w:space="0" w:color="auto"/>
        <w:left w:val="none" w:sz="0" w:space="0" w:color="auto"/>
        <w:bottom w:val="none" w:sz="0" w:space="0" w:color="auto"/>
        <w:right w:val="none" w:sz="0" w:space="0" w:color="auto"/>
      </w:divBdr>
    </w:div>
    <w:div w:id="2001224769">
      <w:bodyDiv w:val="1"/>
      <w:marLeft w:val="0"/>
      <w:marRight w:val="0"/>
      <w:marTop w:val="0"/>
      <w:marBottom w:val="0"/>
      <w:divBdr>
        <w:top w:val="none" w:sz="0" w:space="0" w:color="auto"/>
        <w:left w:val="none" w:sz="0" w:space="0" w:color="auto"/>
        <w:bottom w:val="none" w:sz="0" w:space="0" w:color="auto"/>
        <w:right w:val="none" w:sz="0" w:space="0" w:color="auto"/>
      </w:divBdr>
    </w:div>
    <w:div w:id="2036232249">
      <w:bodyDiv w:val="1"/>
      <w:marLeft w:val="0"/>
      <w:marRight w:val="0"/>
      <w:marTop w:val="0"/>
      <w:marBottom w:val="0"/>
      <w:divBdr>
        <w:top w:val="none" w:sz="0" w:space="0" w:color="auto"/>
        <w:left w:val="none" w:sz="0" w:space="0" w:color="auto"/>
        <w:bottom w:val="none" w:sz="0" w:space="0" w:color="auto"/>
        <w:right w:val="none" w:sz="0" w:space="0" w:color="auto"/>
      </w:divBdr>
    </w:div>
    <w:div w:id="2070178989">
      <w:bodyDiv w:val="1"/>
      <w:marLeft w:val="0"/>
      <w:marRight w:val="0"/>
      <w:marTop w:val="0"/>
      <w:marBottom w:val="0"/>
      <w:divBdr>
        <w:top w:val="none" w:sz="0" w:space="0" w:color="auto"/>
        <w:left w:val="none" w:sz="0" w:space="0" w:color="auto"/>
        <w:bottom w:val="none" w:sz="0" w:space="0" w:color="auto"/>
        <w:right w:val="none" w:sz="0" w:space="0" w:color="auto"/>
      </w:divBdr>
    </w:div>
    <w:div w:id="2083409167">
      <w:bodyDiv w:val="1"/>
      <w:marLeft w:val="0"/>
      <w:marRight w:val="0"/>
      <w:marTop w:val="0"/>
      <w:marBottom w:val="0"/>
      <w:divBdr>
        <w:top w:val="none" w:sz="0" w:space="0" w:color="auto"/>
        <w:left w:val="none" w:sz="0" w:space="0" w:color="auto"/>
        <w:bottom w:val="none" w:sz="0" w:space="0" w:color="auto"/>
        <w:right w:val="none" w:sz="0" w:space="0" w:color="auto"/>
      </w:divBdr>
    </w:div>
    <w:div w:id="2085838131">
      <w:bodyDiv w:val="1"/>
      <w:marLeft w:val="0"/>
      <w:marRight w:val="0"/>
      <w:marTop w:val="0"/>
      <w:marBottom w:val="0"/>
      <w:divBdr>
        <w:top w:val="none" w:sz="0" w:space="0" w:color="auto"/>
        <w:left w:val="none" w:sz="0" w:space="0" w:color="auto"/>
        <w:bottom w:val="none" w:sz="0" w:space="0" w:color="auto"/>
        <w:right w:val="none" w:sz="0" w:space="0" w:color="auto"/>
      </w:divBdr>
    </w:div>
    <w:div w:id="2118792390">
      <w:bodyDiv w:val="1"/>
      <w:marLeft w:val="0"/>
      <w:marRight w:val="0"/>
      <w:marTop w:val="0"/>
      <w:marBottom w:val="0"/>
      <w:divBdr>
        <w:top w:val="none" w:sz="0" w:space="0" w:color="auto"/>
        <w:left w:val="none" w:sz="0" w:space="0" w:color="auto"/>
        <w:bottom w:val="none" w:sz="0" w:space="0" w:color="auto"/>
        <w:right w:val="none" w:sz="0" w:space="0" w:color="auto"/>
      </w:divBdr>
    </w:div>
    <w:div w:id="21412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www.boi.org.il/he/BankingSupervision/Data/Pages/Tables.aspx?ChapterId=1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www.boi.org.il/he/DataAndStatistics/Pages/MainPage.aspx?Level=3&amp;Sid=74&amp;SubjectType=2"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chart" Target="charts/chart1.xml"/><Relationship Id="rId19" Type="http://schemas.openxmlformats.org/officeDocument/2006/relationships/hyperlink" Target="http://www.boi.org.il/he/BankingSupervision/Data/Pages/Tables.aspx?ChapterId=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647299503554802E-2"/>
          <c:y val="0.26564900029786853"/>
          <c:w val="0.93204672754742279"/>
          <c:h val="0.56695611672359381"/>
        </c:manualLayout>
      </c:layout>
      <c:barChart>
        <c:barDir val="col"/>
        <c:grouping val="stacked"/>
        <c:varyColors val="0"/>
        <c:ser>
          <c:idx val="0"/>
          <c:order val="0"/>
          <c:tx>
            <c:strRef>
              <c:f>'[הודעה רבעונית לעיתונות אשראי מונגש (4).xlsx]החוב העסקי - אומדן שינוי כמותי'!$A$2</c:f>
              <c:strCache>
                <c:ptCount val="1"/>
                <c:pt idx="0">
                  <c:v>القروض المصرفيّة</c:v>
                </c:pt>
              </c:strCache>
            </c:strRef>
          </c:tx>
          <c:spPr>
            <a:solidFill>
              <a:schemeClr val="tx2"/>
            </a:solidFill>
            <a:ln w="28575">
              <a:noFill/>
            </a:ln>
          </c:spPr>
          <c:invertIfNegative val="0"/>
          <c:dPt>
            <c:idx val="35"/>
            <c:invertIfNegative val="0"/>
            <c:bubble3D val="0"/>
            <c:extLst>
              <c:ext xmlns:c16="http://schemas.microsoft.com/office/drawing/2014/chart" uri="{C3380CC4-5D6E-409C-BE32-E72D297353CC}">
                <c16:uniqueId val="{00000000-E449-4B7A-B7FC-0C2713EC4478}"/>
              </c:ext>
            </c:extLst>
          </c:dPt>
          <c:cat>
            <c:strRef>
              <c:f>'[הודעה רבעונית לעיתונות אשראי מונגש (4).xlsx]החוב העסקי - אומדן שינוי כמותי'!$B$1:$AO$1</c:f>
              <c:strCache>
                <c:ptCount val="40"/>
                <c:pt idx="0">
                  <c:v>Q4/2012</c:v>
                </c:pt>
                <c:pt idx="1">
                  <c:v>Q1/2013</c:v>
                </c:pt>
                <c:pt idx="2">
                  <c:v>Q2/2013</c:v>
                </c:pt>
                <c:pt idx="3">
                  <c:v>Q3/2013</c:v>
                </c:pt>
                <c:pt idx="4">
                  <c:v>Q4/2013</c:v>
                </c:pt>
                <c:pt idx="5">
                  <c:v>Q1/2014</c:v>
                </c:pt>
                <c:pt idx="6">
                  <c:v>Q2/2014</c:v>
                </c:pt>
                <c:pt idx="7">
                  <c:v>Q3/2014</c:v>
                </c:pt>
                <c:pt idx="8">
                  <c:v>Q4/2014</c:v>
                </c:pt>
                <c:pt idx="9">
                  <c:v>Q1/2015</c:v>
                </c:pt>
                <c:pt idx="10">
                  <c:v>Q2/2015</c:v>
                </c:pt>
                <c:pt idx="11">
                  <c:v>Q3/2015</c:v>
                </c:pt>
                <c:pt idx="12">
                  <c:v>Q4/2015</c:v>
                </c:pt>
                <c:pt idx="13">
                  <c:v>Q1/2016</c:v>
                </c:pt>
                <c:pt idx="14">
                  <c:v>Q2/2016</c:v>
                </c:pt>
                <c:pt idx="15">
                  <c:v>Q3/2016</c:v>
                </c:pt>
                <c:pt idx="16">
                  <c:v>Q4/2016</c:v>
                </c:pt>
                <c:pt idx="17">
                  <c:v>Q1/2017</c:v>
                </c:pt>
                <c:pt idx="18">
                  <c:v>Q2/2017</c:v>
                </c:pt>
                <c:pt idx="19">
                  <c:v>Q3/2017</c:v>
                </c:pt>
                <c:pt idx="20">
                  <c:v>Q4/2017</c:v>
                </c:pt>
                <c:pt idx="21">
                  <c:v>Q1/2018</c:v>
                </c:pt>
                <c:pt idx="22">
                  <c:v>Q2/2018</c:v>
                </c:pt>
                <c:pt idx="23">
                  <c:v>Q3/2018</c:v>
                </c:pt>
                <c:pt idx="24">
                  <c:v>Q4/2018</c:v>
                </c:pt>
                <c:pt idx="25">
                  <c:v>Q1/2019</c:v>
                </c:pt>
                <c:pt idx="26">
                  <c:v>Q2/2019</c:v>
                </c:pt>
                <c:pt idx="27">
                  <c:v>Q3/2019</c:v>
                </c:pt>
                <c:pt idx="28">
                  <c:v>Q4/2019</c:v>
                </c:pt>
                <c:pt idx="29">
                  <c:v>Q1/2020</c:v>
                </c:pt>
                <c:pt idx="30">
                  <c:v>Q2/2020</c:v>
                </c:pt>
                <c:pt idx="31">
                  <c:v>Q3/2020</c:v>
                </c:pt>
                <c:pt idx="32">
                  <c:v>Q4/2020</c:v>
                </c:pt>
                <c:pt idx="33">
                  <c:v>Q1/2021</c:v>
                </c:pt>
                <c:pt idx="34">
                  <c:v>Q2/2021</c:v>
                </c:pt>
                <c:pt idx="35">
                  <c:v>Q3/2021</c:v>
                </c:pt>
                <c:pt idx="36">
                  <c:v>Q4/2021</c:v>
                </c:pt>
                <c:pt idx="37">
                  <c:v>Q1/2022</c:v>
                </c:pt>
                <c:pt idx="38">
                  <c:v>Q2/2022</c:v>
                </c:pt>
                <c:pt idx="39">
                  <c:v>Q3/2022</c:v>
                </c:pt>
              </c:strCache>
            </c:strRef>
          </c:cat>
          <c:val>
            <c:numRef>
              <c:f>'[הודעה רבעונית לעיתונות אשראי מונגש (4).xlsx]החוב העסקי - אומדן שינוי כמותי'!$B$2:$AO$2</c:f>
              <c:numCache>
                <c:formatCode>0.0</c:formatCode>
                <c:ptCount val="40"/>
                <c:pt idx="0">
                  <c:v>2.7642201246763776</c:v>
                </c:pt>
                <c:pt idx="1">
                  <c:v>-3.4577995517090154</c:v>
                </c:pt>
                <c:pt idx="2">
                  <c:v>-8.0563836829868745</c:v>
                </c:pt>
                <c:pt idx="3">
                  <c:v>0.77031866738027244</c:v>
                </c:pt>
                <c:pt idx="4">
                  <c:v>0.14816943520121262</c:v>
                </c:pt>
                <c:pt idx="5">
                  <c:v>-0.81783735733438068</c:v>
                </c:pt>
                <c:pt idx="6">
                  <c:v>-1.3907678135016344</c:v>
                </c:pt>
                <c:pt idx="7">
                  <c:v>2.8690661678527434</c:v>
                </c:pt>
                <c:pt idx="8">
                  <c:v>-6.406792179238515</c:v>
                </c:pt>
                <c:pt idx="9">
                  <c:v>9.0779799915646127</c:v>
                </c:pt>
                <c:pt idx="10">
                  <c:v>-0.84295866990545432</c:v>
                </c:pt>
                <c:pt idx="11">
                  <c:v>1.9049747643494488</c:v>
                </c:pt>
                <c:pt idx="12">
                  <c:v>5.5088408606476911</c:v>
                </c:pt>
                <c:pt idx="13">
                  <c:v>9.8476323472225662</c:v>
                </c:pt>
                <c:pt idx="14">
                  <c:v>1.871884533157735</c:v>
                </c:pt>
                <c:pt idx="15">
                  <c:v>-0.74993796526118306</c:v>
                </c:pt>
                <c:pt idx="16">
                  <c:v>-3.3244810247160288</c:v>
                </c:pt>
                <c:pt idx="17">
                  <c:v>3.4860998485853472</c:v>
                </c:pt>
                <c:pt idx="18">
                  <c:v>4.6087079938743987</c:v>
                </c:pt>
                <c:pt idx="19">
                  <c:v>5.3687258678814924</c:v>
                </c:pt>
                <c:pt idx="20">
                  <c:v>4.3539148526050839</c:v>
                </c:pt>
                <c:pt idx="21">
                  <c:v>9.7230371638241415</c:v>
                </c:pt>
                <c:pt idx="22">
                  <c:v>0.49174535516013762</c:v>
                </c:pt>
                <c:pt idx="23">
                  <c:v>10.232901421254025</c:v>
                </c:pt>
                <c:pt idx="24">
                  <c:v>2.7374739595217203</c:v>
                </c:pt>
                <c:pt idx="25">
                  <c:v>12.132231443955757</c:v>
                </c:pt>
                <c:pt idx="26">
                  <c:v>2.467864548949128</c:v>
                </c:pt>
                <c:pt idx="27">
                  <c:v>4.7999129947080457</c:v>
                </c:pt>
                <c:pt idx="28">
                  <c:v>3.4962348334075051</c:v>
                </c:pt>
                <c:pt idx="29">
                  <c:v>17.685281188017097</c:v>
                </c:pt>
                <c:pt idx="30">
                  <c:v>-5.7409131635407213</c:v>
                </c:pt>
                <c:pt idx="31">
                  <c:v>-2.3659901530247636</c:v>
                </c:pt>
                <c:pt idx="32">
                  <c:v>22.287046880391475</c:v>
                </c:pt>
                <c:pt idx="33">
                  <c:v>7.5264847907893406</c:v>
                </c:pt>
                <c:pt idx="34">
                  <c:v>19.418728544701978</c:v>
                </c:pt>
                <c:pt idx="35">
                  <c:v>21.207537220239665</c:v>
                </c:pt>
                <c:pt idx="36">
                  <c:v>37.840493035581055</c:v>
                </c:pt>
                <c:pt idx="37">
                  <c:v>30.133277356668202</c:v>
                </c:pt>
                <c:pt idx="38">
                  <c:v>19.787437664235441</c:v>
                </c:pt>
                <c:pt idx="39">
                  <c:v>13.027622502075836</c:v>
                </c:pt>
              </c:numCache>
            </c:numRef>
          </c:val>
          <c:extLst>
            <c:ext xmlns:c16="http://schemas.microsoft.com/office/drawing/2014/chart" uri="{C3380CC4-5D6E-409C-BE32-E72D297353CC}">
              <c16:uniqueId val="{00000001-E449-4B7A-B7FC-0C2713EC4478}"/>
            </c:ext>
          </c:extLst>
        </c:ser>
        <c:ser>
          <c:idx val="1"/>
          <c:order val="1"/>
          <c:tx>
            <c:strRef>
              <c:f>'[הודעה רבעונית לעיתונות אשראי מונגש (4).xlsx]החוב העסקי - אומדן שינוי כמותי'!$A$3</c:f>
              <c:strCache>
                <c:ptCount val="1"/>
                <c:pt idx="0">
                  <c:v>السندات القابلة للتداول في إسرائيل</c:v>
                </c:pt>
              </c:strCache>
            </c:strRef>
          </c:tx>
          <c:spPr>
            <a:solidFill>
              <a:schemeClr val="accent1">
                <a:lumMod val="40000"/>
                <a:lumOff val="60000"/>
              </a:schemeClr>
            </a:solidFill>
            <a:ln w="28575">
              <a:noFill/>
            </a:ln>
          </c:spPr>
          <c:invertIfNegative val="0"/>
          <c:cat>
            <c:strRef>
              <c:f>'[הודעה רבעונית לעיתונות אשראי מונגש (4).xlsx]החוב העסקי - אומדן שינוי כמותי'!$B$1:$AO$1</c:f>
              <c:strCache>
                <c:ptCount val="40"/>
                <c:pt idx="0">
                  <c:v>Q4/2012</c:v>
                </c:pt>
                <c:pt idx="1">
                  <c:v>Q1/2013</c:v>
                </c:pt>
                <c:pt idx="2">
                  <c:v>Q2/2013</c:v>
                </c:pt>
                <c:pt idx="3">
                  <c:v>Q3/2013</c:v>
                </c:pt>
                <c:pt idx="4">
                  <c:v>Q4/2013</c:v>
                </c:pt>
                <c:pt idx="5">
                  <c:v>Q1/2014</c:v>
                </c:pt>
                <c:pt idx="6">
                  <c:v>Q2/2014</c:v>
                </c:pt>
                <c:pt idx="7">
                  <c:v>Q3/2014</c:v>
                </c:pt>
                <c:pt idx="8">
                  <c:v>Q4/2014</c:v>
                </c:pt>
                <c:pt idx="9">
                  <c:v>Q1/2015</c:v>
                </c:pt>
                <c:pt idx="10">
                  <c:v>Q2/2015</c:v>
                </c:pt>
                <c:pt idx="11">
                  <c:v>Q3/2015</c:v>
                </c:pt>
                <c:pt idx="12">
                  <c:v>Q4/2015</c:v>
                </c:pt>
                <c:pt idx="13">
                  <c:v>Q1/2016</c:v>
                </c:pt>
                <c:pt idx="14">
                  <c:v>Q2/2016</c:v>
                </c:pt>
                <c:pt idx="15">
                  <c:v>Q3/2016</c:v>
                </c:pt>
                <c:pt idx="16">
                  <c:v>Q4/2016</c:v>
                </c:pt>
                <c:pt idx="17">
                  <c:v>Q1/2017</c:v>
                </c:pt>
                <c:pt idx="18">
                  <c:v>Q2/2017</c:v>
                </c:pt>
                <c:pt idx="19">
                  <c:v>Q3/2017</c:v>
                </c:pt>
                <c:pt idx="20">
                  <c:v>Q4/2017</c:v>
                </c:pt>
                <c:pt idx="21">
                  <c:v>Q1/2018</c:v>
                </c:pt>
                <c:pt idx="22">
                  <c:v>Q2/2018</c:v>
                </c:pt>
                <c:pt idx="23">
                  <c:v>Q3/2018</c:v>
                </c:pt>
                <c:pt idx="24">
                  <c:v>Q4/2018</c:v>
                </c:pt>
                <c:pt idx="25">
                  <c:v>Q1/2019</c:v>
                </c:pt>
                <c:pt idx="26">
                  <c:v>Q2/2019</c:v>
                </c:pt>
                <c:pt idx="27">
                  <c:v>Q3/2019</c:v>
                </c:pt>
                <c:pt idx="28">
                  <c:v>Q4/2019</c:v>
                </c:pt>
                <c:pt idx="29">
                  <c:v>Q1/2020</c:v>
                </c:pt>
                <c:pt idx="30">
                  <c:v>Q2/2020</c:v>
                </c:pt>
                <c:pt idx="31">
                  <c:v>Q3/2020</c:v>
                </c:pt>
                <c:pt idx="32">
                  <c:v>Q4/2020</c:v>
                </c:pt>
                <c:pt idx="33">
                  <c:v>Q1/2021</c:v>
                </c:pt>
                <c:pt idx="34">
                  <c:v>Q2/2021</c:v>
                </c:pt>
                <c:pt idx="35">
                  <c:v>Q3/2021</c:v>
                </c:pt>
                <c:pt idx="36">
                  <c:v>Q4/2021</c:v>
                </c:pt>
                <c:pt idx="37">
                  <c:v>Q1/2022</c:v>
                </c:pt>
                <c:pt idx="38">
                  <c:v>Q2/2022</c:v>
                </c:pt>
                <c:pt idx="39">
                  <c:v>Q3/2022</c:v>
                </c:pt>
              </c:strCache>
            </c:strRef>
          </c:cat>
          <c:val>
            <c:numRef>
              <c:f>'[הודעה רבעונית לעיתונות אשראי מונגש (4).xlsx]החוב העסקי - אומדן שינוי כמותי'!$B$3:$AO$3</c:f>
              <c:numCache>
                <c:formatCode>0.0</c:formatCode>
                <c:ptCount val="40"/>
                <c:pt idx="0">
                  <c:v>-2.7225009999999998</c:v>
                </c:pt>
                <c:pt idx="1">
                  <c:v>2.3136842816869487</c:v>
                </c:pt>
                <c:pt idx="2">
                  <c:v>-0.73533374520191697</c:v>
                </c:pt>
                <c:pt idx="3">
                  <c:v>-1.5974079999999999</c:v>
                </c:pt>
                <c:pt idx="4">
                  <c:v>5.1306807771638659E-2</c:v>
                </c:pt>
                <c:pt idx="5">
                  <c:v>-1.8456318595459285</c:v>
                </c:pt>
                <c:pt idx="6">
                  <c:v>1.1488183010696722</c:v>
                </c:pt>
                <c:pt idx="7">
                  <c:v>3.3805306526641745</c:v>
                </c:pt>
                <c:pt idx="8">
                  <c:v>-8.3519845417454164</c:v>
                </c:pt>
                <c:pt idx="9">
                  <c:v>-0.16605748857121636</c:v>
                </c:pt>
                <c:pt idx="10">
                  <c:v>0.4461934480000973</c:v>
                </c:pt>
                <c:pt idx="11">
                  <c:v>0.83971764118956982</c:v>
                </c:pt>
                <c:pt idx="12">
                  <c:v>-0.6293535265360215</c:v>
                </c:pt>
                <c:pt idx="13">
                  <c:v>-0.41574274780613157</c:v>
                </c:pt>
                <c:pt idx="14">
                  <c:v>4.4157683242914336</c:v>
                </c:pt>
                <c:pt idx="15">
                  <c:v>13.329172756384407</c:v>
                </c:pt>
                <c:pt idx="16">
                  <c:v>2.6549359059489568</c:v>
                </c:pt>
                <c:pt idx="17">
                  <c:v>5.689447856126808</c:v>
                </c:pt>
                <c:pt idx="18">
                  <c:v>6.4573596684240639</c:v>
                </c:pt>
                <c:pt idx="19">
                  <c:v>3.6197443951621731</c:v>
                </c:pt>
                <c:pt idx="20">
                  <c:v>1.3767219665109345</c:v>
                </c:pt>
                <c:pt idx="21">
                  <c:v>10.219078806078972</c:v>
                </c:pt>
                <c:pt idx="22">
                  <c:v>5.3029758495701769</c:v>
                </c:pt>
                <c:pt idx="23">
                  <c:v>-2.4141793881114619</c:v>
                </c:pt>
                <c:pt idx="24">
                  <c:v>-0.75015425408277236</c:v>
                </c:pt>
                <c:pt idx="25">
                  <c:v>-0.53973952253683954</c:v>
                </c:pt>
                <c:pt idx="26">
                  <c:v>0.20942004714814219</c:v>
                </c:pt>
                <c:pt idx="27">
                  <c:v>1.5420878918634644</c:v>
                </c:pt>
                <c:pt idx="28">
                  <c:v>-3.9562690121336799E-2</c:v>
                </c:pt>
                <c:pt idx="29">
                  <c:v>-0.76391238468751133</c:v>
                </c:pt>
                <c:pt idx="30">
                  <c:v>4.4820166011180769</c:v>
                </c:pt>
                <c:pt idx="31">
                  <c:v>4.2392709030293085</c:v>
                </c:pt>
                <c:pt idx="32">
                  <c:v>1.2783866834123561</c:v>
                </c:pt>
                <c:pt idx="33">
                  <c:v>0.78499123841465446</c:v>
                </c:pt>
                <c:pt idx="34">
                  <c:v>2.2188411767522243</c:v>
                </c:pt>
                <c:pt idx="35">
                  <c:v>11.340630683603621</c:v>
                </c:pt>
                <c:pt idx="36">
                  <c:v>6.2664861925058659</c:v>
                </c:pt>
                <c:pt idx="37">
                  <c:v>0.20735361656508122</c:v>
                </c:pt>
                <c:pt idx="38">
                  <c:v>3.0767269302139053</c:v>
                </c:pt>
                <c:pt idx="39">
                  <c:v>13.667739864618225</c:v>
                </c:pt>
              </c:numCache>
            </c:numRef>
          </c:val>
          <c:extLst>
            <c:ext xmlns:c16="http://schemas.microsoft.com/office/drawing/2014/chart" uri="{C3380CC4-5D6E-409C-BE32-E72D297353CC}">
              <c16:uniqueId val="{00000002-E449-4B7A-B7FC-0C2713EC4478}"/>
            </c:ext>
          </c:extLst>
        </c:ser>
        <c:ser>
          <c:idx val="2"/>
          <c:order val="2"/>
          <c:tx>
            <c:strRef>
              <c:f>'[הודעה רבעונית לעיתונות אשראי מונגש (4).xlsx]החוב העסקי - אומדן שינוי כמותי'!$A$4</c:f>
              <c:strCache>
                <c:ptCount val="1"/>
                <c:pt idx="0">
                  <c:v>السندات غير القابلة للتداول والقروض غير المصرفيّة</c:v>
                </c:pt>
              </c:strCache>
            </c:strRef>
          </c:tx>
          <c:spPr>
            <a:solidFill>
              <a:schemeClr val="accent1"/>
            </a:solidFill>
            <a:ln w="28575">
              <a:noFill/>
            </a:ln>
          </c:spPr>
          <c:invertIfNegative val="0"/>
          <c:cat>
            <c:strRef>
              <c:f>'[הודעה רבעונית לעיתונות אשראי מונגש (4).xlsx]החוב העסקי - אומדן שינוי כמותי'!$B$1:$AO$1</c:f>
              <c:strCache>
                <c:ptCount val="40"/>
                <c:pt idx="0">
                  <c:v>Q4/2012</c:v>
                </c:pt>
                <c:pt idx="1">
                  <c:v>Q1/2013</c:v>
                </c:pt>
                <c:pt idx="2">
                  <c:v>Q2/2013</c:v>
                </c:pt>
                <c:pt idx="3">
                  <c:v>Q3/2013</c:v>
                </c:pt>
                <c:pt idx="4">
                  <c:v>Q4/2013</c:v>
                </c:pt>
                <c:pt idx="5">
                  <c:v>Q1/2014</c:v>
                </c:pt>
                <c:pt idx="6">
                  <c:v>Q2/2014</c:v>
                </c:pt>
                <c:pt idx="7">
                  <c:v>Q3/2014</c:v>
                </c:pt>
                <c:pt idx="8">
                  <c:v>Q4/2014</c:v>
                </c:pt>
                <c:pt idx="9">
                  <c:v>Q1/2015</c:v>
                </c:pt>
                <c:pt idx="10">
                  <c:v>Q2/2015</c:v>
                </c:pt>
                <c:pt idx="11">
                  <c:v>Q3/2015</c:v>
                </c:pt>
                <c:pt idx="12">
                  <c:v>Q4/2015</c:v>
                </c:pt>
                <c:pt idx="13">
                  <c:v>Q1/2016</c:v>
                </c:pt>
                <c:pt idx="14">
                  <c:v>Q2/2016</c:v>
                </c:pt>
                <c:pt idx="15">
                  <c:v>Q3/2016</c:v>
                </c:pt>
                <c:pt idx="16">
                  <c:v>Q4/2016</c:v>
                </c:pt>
                <c:pt idx="17">
                  <c:v>Q1/2017</c:v>
                </c:pt>
                <c:pt idx="18">
                  <c:v>Q2/2017</c:v>
                </c:pt>
                <c:pt idx="19">
                  <c:v>Q3/2017</c:v>
                </c:pt>
                <c:pt idx="20">
                  <c:v>Q4/2017</c:v>
                </c:pt>
                <c:pt idx="21">
                  <c:v>Q1/2018</c:v>
                </c:pt>
                <c:pt idx="22">
                  <c:v>Q2/2018</c:v>
                </c:pt>
                <c:pt idx="23">
                  <c:v>Q3/2018</c:v>
                </c:pt>
                <c:pt idx="24">
                  <c:v>Q4/2018</c:v>
                </c:pt>
                <c:pt idx="25">
                  <c:v>Q1/2019</c:v>
                </c:pt>
                <c:pt idx="26">
                  <c:v>Q2/2019</c:v>
                </c:pt>
                <c:pt idx="27">
                  <c:v>Q3/2019</c:v>
                </c:pt>
                <c:pt idx="28">
                  <c:v>Q4/2019</c:v>
                </c:pt>
                <c:pt idx="29">
                  <c:v>Q1/2020</c:v>
                </c:pt>
                <c:pt idx="30">
                  <c:v>Q2/2020</c:v>
                </c:pt>
                <c:pt idx="31">
                  <c:v>Q3/2020</c:v>
                </c:pt>
                <c:pt idx="32">
                  <c:v>Q4/2020</c:v>
                </c:pt>
                <c:pt idx="33">
                  <c:v>Q1/2021</c:v>
                </c:pt>
                <c:pt idx="34">
                  <c:v>Q2/2021</c:v>
                </c:pt>
                <c:pt idx="35">
                  <c:v>Q3/2021</c:v>
                </c:pt>
                <c:pt idx="36">
                  <c:v>Q4/2021</c:v>
                </c:pt>
                <c:pt idx="37">
                  <c:v>Q1/2022</c:v>
                </c:pt>
                <c:pt idx="38">
                  <c:v>Q2/2022</c:v>
                </c:pt>
                <c:pt idx="39">
                  <c:v>Q3/2022</c:v>
                </c:pt>
              </c:strCache>
            </c:strRef>
          </c:cat>
          <c:val>
            <c:numRef>
              <c:f>'[הודעה רבעונית לעיתונות אשראי מונגש (4).xlsx]החוב העסקי - אומדן שינוי כמותי'!$B$4:$AO$4</c:f>
              <c:numCache>
                <c:formatCode>0.0</c:formatCode>
                <c:ptCount val="40"/>
                <c:pt idx="0">
                  <c:v>3.1055725487706853</c:v>
                </c:pt>
                <c:pt idx="1">
                  <c:v>1.8458738866794722E-2</c:v>
                </c:pt>
                <c:pt idx="2">
                  <c:v>0.27758961926626857</c:v>
                </c:pt>
                <c:pt idx="3">
                  <c:v>1.6515152044588206</c:v>
                </c:pt>
                <c:pt idx="4">
                  <c:v>1.053852508491411</c:v>
                </c:pt>
                <c:pt idx="5">
                  <c:v>0.77369261947722245</c:v>
                </c:pt>
                <c:pt idx="6">
                  <c:v>3.3437506139931221</c:v>
                </c:pt>
                <c:pt idx="7">
                  <c:v>-8.6062447975748357E-2</c:v>
                </c:pt>
                <c:pt idx="8">
                  <c:v>5.1936118141656662E-2</c:v>
                </c:pt>
                <c:pt idx="9">
                  <c:v>4.6739968670035275</c:v>
                </c:pt>
                <c:pt idx="10">
                  <c:v>-0.78951154398617129</c:v>
                </c:pt>
                <c:pt idx="11">
                  <c:v>0.94165243891546724</c:v>
                </c:pt>
                <c:pt idx="12">
                  <c:v>1.6044243822841924</c:v>
                </c:pt>
                <c:pt idx="13">
                  <c:v>-1.0001629470616809</c:v>
                </c:pt>
                <c:pt idx="14">
                  <c:v>2.9140008746610713</c:v>
                </c:pt>
                <c:pt idx="15">
                  <c:v>1.6337882724085504</c:v>
                </c:pt>
                <c:pt idx="16">
                  <c:v>3.0808977810948219</c:v>
                </c:pt>
                <c:pt idx="17">
                  <c:v>1.377103971031151</c:v>
                </c:pt>
                <c:pt idx="18">
                  <c:v>0.16122044824054083</c:v>
                </c:pt>
                <c:pt idx="19">
                  <c:v>2.3861911376702487</c:v>
                </c:pt>
                <c:pt idx="20">
                  <c:v>1.4762129834043856</c:v>
                </c:pt>
                <c:pt idx="21">
                  <c:v>2.3260607518764669</c:v>
                </c:pt>
                <c:pt idx="22">
                  <c:v>-0.18018187763984927</c:v>
                </c:pt>
                <c:pt idx="23">
                  <c:v>2.095435900464409</c:v>
                </c:pt>
                <c:pt idx="24">
                  <c:v>-4.1057710553106688</c:v>
                </c:pt>
                <c:pt idx="25">
                  <c:v>3.8388828284437775</c:v>
                </c:pt>
                <c:pt idx="26">
                  <c:v>1.784195170872235</c:v>
                </c:pt>
                <c:pt idx="27">
                  <c:v>0.44630944395947991</c:v>
                </c:pt>
                <c:pt idx="28">
                  <c:v>1.9490108816749279</c:v>
                </c:pt>
                <c:pt idx="29">
                  <c:v>-3.9250779835852683</c:v>
                </c:pt>
                <c:pt idx="30">
                  <c:v>-0.82683541567241914</c:v>
                </c:pt>
                <c:pt idx="31">
                  <c:v>-2.1556678036867982</c:v>
                </c:pt>
                <c:pt idx="32">
                  <c:v>2.8003451945479432</c:v>
                </c:pt>
                <c:pt idx="33">
                  <c:v>1.5619025633642039</c:v>
                </c:pt>
                <c:pt idx="34">
                  <c:v>-1.0411833929137047</c:v>
                </c:pt>
                <c:pt idx="35">
                  <c:v>-1.7559082037548461</c:v>
                </c:pt>
                <c:pt idx="36">
                  <c:v>0.26770798112307714</c:v>
                </c:pt>
                <c:pt idx="37">
                  <c:v>-1.0670494266336834</c:v>
                </c:pt>
                <c:pt idx="38">
                  <c:v>2.9485453757835227</c:v>
                </c:pt>
                <c:pt idx="39">
                  <c:v>2.6721314082524654</c:v>
                </c:pt>
              </c:numCache>
            </c:numRef>
          </c:val>
          <c:extLst>
            <c:ext xmlns:c16="http://schemas.microsoft.com/office/drawing/2014/chart" uri="{C3380CC4-5D6E-409C-BE32-E72D297353CC}">
              <c16:uniqueId val="{00000003-E449-4B7A-B7FC-0C2713EC4478}"/>
            </c:ext>
          </c:extLst>
        </c:ser>
        <c:ser>
          <c:idx val="3"/>
          <c:order val="3"/>
          <c:tx>
            <c:strRef>
              <c:f>'[הודעה רבעונית לעיתונות אשראי מונגש (4).xlsx]החוב העסקי - אומדן שינוי כמותי'!$A$5</c:f>
              <c:strCache>
                <c:ptCount val="1"/>
                <c:pt idx="0">
                  <c:v>الدين الذي تمّ تجنيده خارج البلاد</c:v>
                </c:pt>
              </c:strCache>
            </c:strRef>
          </c:tx>
          <c:spPr>
            <a:solidFill>
              <a:schemeClr val="bg1">
                <a:lumMod val="65000"/>
              </a:schemeClr>
            </a:solidFill>
            <a:ln w="28575">
              <a:noFill/>
            </a:ln>
          </c:spPr>
          <c:invertIfNegative val="0"/>
          <c:cat>
            <c:strRef>
              <c:f>'[הודעה רבעונית לעיתונות אשראי מונגש (4).xlsx]החוב העסקי - אומדן שינוי כמותי'!$B$1:$AO$1</c:f>
              <c:strCache>
                <c:ptCount val="40"/>
                <c:pt idx="0">
                  <c:v>Q4/2012</c:v>
                </c:pt>
                <c:pt idx="1">
                  <c:v>Q1/2013</c:v>
                </c:pt>
                <c:pt idx="2">
                  <c:v>Q2/2013</c:v>
                </c:pt>
                <c:pt idx="3">
                  <c:v>Q3/2013</c:v>
                </c:pt>
                <c:pt idx="4">
                  <c:v>Q4/2013</c:v>
                </c:pt>
                <c:pt idx="5">
                  <c:v>Q1/2014</c:v>
                </c:pt>
                <c:pt idx="6">
                  <c:v>Q2/2014</c:v>
                </c:pt>
                <c:pt idx="7">
                  <c:v>Q3/2014</c:v>
                </c:pt>
                <c:pt idx="8">
                  <c:v>Q4/2014</c:v>
                </c:pt>
                <c:pt idx="9">
                  <c:v>Q1/2015</c:v>
                </c:pt>
                <c:pt idx="10">
                  <c:v>Q2/2015</c:v>
                </c:pt>
                <c:pt idx="11">
                  <c:v>Q3/2015</c:v>
                </c:pt>
                <c:pt idx="12">
                  <c:v>Q4/2015</c:v>
                </c:pt>
                <c:pt idx="13">
                  <c:v>Q1/2016</c:v>
                </c:pt>
                <c:pt idx="14">
                  <c:v>Q2/2016</c:v>
                </c:pt>
                <c:pt idx="15">
                  <c:v>Q3/2016</c:v>
                </c:pt>
                <c:pt idx="16">
                  <c:v>Q4/2016</c:v>
                </c:pt>
                <c:pt idx="17">
                  <c:v>Q1/2017</c:v>
                </c:pt>
                <c:pt idx="18">
                  <c:v>Q2/2017</c:v>
                </c:pt>
                <c:pt idx="19">
                  <c:v>Q3/2017</c:v>
                </c:pt>
                <c:pt idx="20">
                  <c:v>Q4/2017</c:v>
                </c:pt>
                <c:pt idx="21">
                  <c:v>Q1/2018</c:v>
                </c:pt>
                <c:pt idx="22">
                  <c:v>Q2/2018</c:v>
                </c:pt>
                <c:pt idx="23">
                  <c:v>Q3/2018</c:v>
                </c:pt>
                <c:pt idx="24">
                  <c:v>Q4/2018</c:v>
                </c:pt>
                <c:pt idx="25">
                  <c:v>Q1/2019</c:v>
                </c:pt>
                <c:pt idx="26">
                  <c:v>Q2/2019</c:v>
                </c:pt>
                <c:pt idx="27">
                  <c:v>Q3/2019</c:v>
                </c:pt>
                <c:pt idx="28">
                  <c:v>Q4/2019</c:v>
                </c:pt>
                <c:pt idx="29">
                  <c:v>Q1/2020</c:v>
                </c:pt>
                <c:pt idx="30">
                  <c:v>Q2/2020</c:v>
                </c:pt>
                <c:pt idx="31">
                  <c:v>Q3/2020</c:v>
                </c:pt>
                <c:pt idx="32">
                  <c:v>Q4/2020</c:v>
                </c:pt>
                <c:pt idx="33">
                  <c:v>Q1/2021</c:v>
                </c:pt>
                <c:pt idx="34">
                  <c:v>Q2/2021</c:v>
                </c:pt>
                <c:pt idx="35">
                  <c:v>Q3/2021</c:v>
                </c:pt>
                <c:pt idx="36">
                  <c:v>Q4/2021</c:v>
                </c:pt>
                <c:pt idx="37">
                  <c:v>Q1/2022</c:v>
                </c:pt>
                <c:pt idx="38">
                  <c:v>Q2/2022</c:v>
                </c:pt>
                <c:pt idx="39">
                  <c:v>Q3/2022</c:v>
                </c:pt>
              </c:strCache>
            </c:strRef>
          </c:cat>
          <c:val>
            <c:numRef>
              <c:f>'[הודעה רבעונית לעיתונות אשראי מונגש (4).xlsx]החוב העסקי - אומדן שינוי כמותי'!$B$5:$AO$5</c:f>
              <c:numCache>
                <c:formatCode>0.0</c:formatCode>
                <c:ptCount val="40"/>
                <c:pt idx="0">
                  <c:v>11.221120482</c:v>
                </c:pt>
                <c:pt idx="1">
                  <c:v>-1.0079524179999999</c:v>
                </c:pt>
                <c:pt idx="2">
                  <c:v>11.240904700000002</c:v>
                </c:pt>
                <c:pt idx="3">
                  <c:v>0.49611381299999996</c:v>
                </c:pt>
                <c:pt idx="4">
                  <c:v>4.0924394189999997</c:v>
                </c:pt>
                <c:pt idx="5">
                  <c:v>-1.7721431214999999</c:v>
                </c:pt>
                <c:pt idx="6">
                  <c:v>0.80078438249999973</c:v>
                </c:pt>
                <c:pt idx="7">
                  <c:v>-3.4371507650000002</c:v>
                </c:pt>
                <c:pt idx="8">
                  <c:v>1.9420348480000007</c:v>
                </c:pt>
                <c:pt idx="9">
                  <c:v>-2.4071418465000001</c:v>
                </c:pt>
                <c:pt idx="10">
                  <c:v>-1.9307268494999998</c:v>
                </c:pt>
                <c:pt idx="11">
                  <c:v>-2.3905118539999992</c:v>
                </c:pt>
                <c:pt idx="12">
                  <c:v>5.5049022880000011</c:v>
                </c:pt>
                <c:pt idx="13">
                  <c:v>0.64649617949999971</c:v>
                </c:pt>
                <c:pt idx="14">
                  <c:v>5.5072158814999996</c:v>
                </c:pt>
                <c:pt idx="15">
                  <c:v>-0.12057715499999998</c:v>
                </c:pt>
                <c:pt idx="16">
                  <c:v>9.3351501174999996</c:v>
                </c:pt>
                <c:pt idx="17">
                  <c:v>-5.2273752144999994</c:v>
                </c:pt>
                <c:pt idx="18">
                  <c:v>4.9606377715000001</c:v>
                </c:pt>
                <c:pt idx="19">
                  <c:v>5.7951537614999999</c:v>
                </c:pt>
                <c:pt idx="20">
                  <c:v>-14.180770884000001</c:v>
                </c:pt>
                <c:pt idx="21">
                  <c:v>5.2982061819999995</c:v>
                </c:pt>
                <c:pt idx="22">
                  <c:v>-1.9173591129999996</c:v>
                </c:pt>
                <c:pt idx="23">
                  <c:v>-6.5466605429999998</c:v>
                </c:pt>
                <c:pt idx="24">
                  <c:v>4.7082823244999989</c:v>
                </c:pt>
                <c:pt idx="25">
                  <c:v>4.5299150090000007</c:v>
                </c:pt>
                <c:pt idx="26">
                  <c:v>6.5588658449999997</c:v>
                </c:pt>
                <c:pt idx="27">
                  <c:v>-5.3750487220000007</c:v>
                </c:pt>
                <c:pt idx="28">
                  <c:v>13.593171434000002</c:v>
                </c:pt>
                <c:pt idx="29">
                  <c:v>-7.2020081649999996</c:v>
                </c:pt>
                <c:pt idx="30">
                  <c:v>-7.7791216604999986</c:v>
                </c:pt>
                <c:pt idx="31">
                  <c:v>10.807329111499998</c:v>
                </c:pt>
                <c:pt idx="32">
                  <c:v>10.991379497</c:v>
                </c:pt>
                <c:pt idx="33">
                  <c:v>0.65050910649999993</c:v>
                </c:pt>
                <c:pt idx="34">
                  <c:v>15.9232644075</c:v>
                </c:pt>
                <c:pt idx="35">
                  <c:v>1.074386039</c:v>
                </c:pt>
                <c:pt idx="36">
                  <c:v>8.1562781015000017</c:v>
                </c:pt>
                <c:pt idx="37">
                  <c:v>2.7160526959999998</c:v>
                </c:pt>
                <c:pt idx="38">
                  <c:v>1.1089500040000002</c:v>
                </c:pt>
                <c:pt idx="39">
                  <c:v>-12.337056678000001</c:v>
                </c:pt>
              </c:numCache>
            </c:numRef>
          </c:val>
          <c:extLst>
            <c:ext xmlns:c16="http://schemas.microsoft.com/office/drawing/2014/chart" uri="{C3380CC4-5D6E-409C-BE32-E72D297353CC}">
              <c16:uniqueId val="{00000004-E449-4B7A-B7FC-0C2713EC4478}"/>
            </c:ext>
          </c:extLst>
        </c:ser>
        <c:dLbls>
          <c:showLegendKey val="0"/>
          <c:showVal val="0"/>
          <c:showCatName val="0"/>
          <c:showSerName val="0"/>
          <c:showPercent val="0"/>
          <c:showBubbleSize val="0"/>
        </c:dLbls>
        <c:gapWidth val="150"/>
        <c:overlap val="100"/>
        <c:axId val="228864000"/>
        <c:axId val="228865920"/>
      </c:barChart>
      <c:lineChart>
        <c:grouping val="standard"/>
        <c:varyColors val="0"/>
        <c:ser>
          <c:idx val="4"/>
          <c:order val="4"/>
          <c:tx>
            <c:strRef>
              <c:f>'[הודעה רבעונית לעיתונות אשראי מונגש (4).xlsx]החוב העסקי - אומדן שינוי כמותי'!$A$6</c:f>
              <c:strCache>
                <c:ptCount val="1"/>
                <c:pt idx="0">
                  <c:v>اجمالي تقدير صافي التغيير الكمّي </c:v>
                </c:pt>
              </c:strCache>
            </c:strRef>
          </c:tx>
          <c:spPr>
            <a:ln>
              <a:noFill/>
            </a:ln>
          </c:spPr>
          <c:marker>
            <c:symbol val="circle"/>
            <c:size val="5"/>
            <c:spPr>
              <a:solidFill>
                <a:schemeClr val="tx1"/>
              </a:solidFill>
              <a:ln>
                <a:noFill/>
              </a:ln>
            </c:spPr>
          </c:marker>
          <c:cat>
            <c:strRef>
              <c:f>'[הודעה רבעונית לעיתונות אשראי מונגש (4).xlsx]החוב העסקי - אומדן שינוי כמותי'!$B$1:$AO$1</c:f>
              <c:strCache>
                <c:ptCount val="40"/>
                <c:pt idx="0">
                  <c:v>Q4/2012</c:v>
                </c:pt>
                <c:pt idx="1">
                  <c:v>Q1/2013</c:v>
                </c:pt>
                <c:pt idx="2">
                  <c:v>Q2/2013</c:v>
                </c:pt>
                <c:pt idx="3">
                  <c:v>Q3/2013</c:v>
                </c:pt>
                <c:pt idx="4">
                  <c:v>Q4/2013</c:v>
                </c:pt>
                <c:pt idx="5">
                  <c:v>Q1/2014</c:v>
                </c:pt>
                <c:pt idx="6">
                  <c:v>Q2/2014</c:v>
                </c:pt>
                <c:pt idx="7">
                  <c:v>Q3/2014</c:v>
                </c:pt>
                <c:pt idx="8">
                  <c:v>Q4/2014</c:v>
                </c:pt>
                <c:pt idx="9">
                  <c:v>Q1/2015</c:v>
                </c:pt>
                <c:pt idx="10">
                  <c:v>Q2/2015</c:v>
                </c:pt>
                <c:pt idx="11">
                  <c:v>Q3/2015</c:v>
                </c:pt>
                <c:pt idx="12">
                  <c:v>Q4/2015</c:v>
                </c:pt>
                <c:pt idx="13">
                  <c:v>Q1/2016</c:v>
                </c:pt>
                <c:pt idx="14">
                  <c:v>Q2/2016</c:v>
                </c:pt>
                <c:pt idx="15">
                  <c:v>Q3/2016</c:v>
                </c:pt>
                <c:pt idx="16">
                  <c:v>Q4/2016</c:v>
                </c:pt>
                <c:pt idx="17">
                  <c:v>Q1/2017</c:v>
                </c:pt>
                <c:pt idx="18">
                  <c:v>Q2/2017</c:v>
                </c:pt>
                <c:pt idx="19">
                  <c:v>Q3/2017</c:v>
                </c:pt>
                <c:pt idx="20">
                  <c:v>Q4/2017</c:v>
                </c:pt>
                <c:pt idx="21">
                  <c:v>Q1/2018</c:v>
                </c:pt>
                <c:pt idx="22">
                  <c:v>Q2/2018</c:v>
                </c:pt>
                <c:pt idx="23">
                  <c:v>Q3/2018</c:v>
                </c:pt>
                <c:pt idx="24">
                  <c:v>Q4/2018</c:v>
                </c:pt>
                <c:pt idx="25">
                  <c:v>Q1/2019</c:v>
                </c:pt>
                <c:pt idx="26">
                  <c:v>Q2/2019</c:v>
                </c:pt>
                <c:pt idx="27">
                  <c:v>Q3/2019</c:v>
                </c:pt>
                <c:pt idx="28">
                  <c:v>Q4/2019</c:v>
                </c:pt>
                <c:pt idx="29">
                  <c:v>Q1/2020</c:v>
                </c:pt>
                <c:pt idx="30">
                  <c:v>Q2/2020</c:v>
                </c:pt>
                <c:pt idx="31">
                  <c:v>Q3/2020</c:v>
                </c:pt>
                <c:pt idx="32">
                  <c:v>Q4/2020</c:v>
                </c:pt>
                <c:pt idx="33">
                  <c:v>Q1/2021</c:v>
                </c:pt>
                <c:pt idx="34">
                  <c:v>Q2/2021</c:v>
                </c:pt>
                <c:pt idx="35">
                  <c:v>Q3/2021</c:v>
                </c:pt>
                <c:pt idx="36">
                  <c:v>Q4/2021</c:v>
                </c:pt>
                <c:pt idx="37">
                  <c:v>Q1/2022</c:v>
                </c:pt>
                <c:pt idx="38">
                  <c:v>Q2/2022</c:v>
                </c:pt>
                <c:pt idx="39">
                  <c:v>Q3/2022</c:v>
                </c:pt>
              </c:strCache>
            </c:strRef>
          </c:cat>
          <c:val>
            <c:numRef>
              <c:f>'[הודעה רבעונית לעיתונות אשראי מונגש (4).xlsx]החוב העסקי - אומדן שינוי כמותי'!$B$6:$AO$6</c:f>
              <c:numCache>
                <c:formatCode>0.0</c:formatCode>
                <c:ptCount val="40"/>
                <c:pt idx="0">
                  <c:v>14.368412155447063</c:v>
                </c:pt>
                <c:pt idx="1">
                  <c:v>-2.1336089491552719</c:v>
                </c:pt>
                <c:pt idx="2">
                  <c:v>2.7267768910774794</c:v>
                </c:pt>
                <c:pt idx="3">
                  <c:v>1.3205396848390931</c:v>
                </c:pt>
                <c:pt idx="4">
                  <c:v>5.3457681704642619</c:v>
                </c:pt>
                <c:pt idx="5">
                  <c:v>-3.6619197189030865</c:v>
                </c:pt>
                <c:pt idx="6">
                  <c:v>3.9025854840611598</c:v>
                </c:pt>
                <c:pt idx="7">
                  <c:v>2.7263836075411696</c:v>
                </c:pt>
                <c:pt idx="8">
                  <c:v>-12.764805754842275</c:v>
                </c:pt>
                <c:pt idx="9">
                  <c:v>11.178777523496924</c:v>
                </c:pt>
                <c:pt idx="10">
                  <c:v>-3.1170036153915284</c:v>
                </c:pt>
                <c:pt idx="11">
                  <c:v>1.2958329904544867</c:v>
                </c:pt>
                <c:pt idx="12">
                  <c:v>11.988814004395863</c:v>
                </c:pt>
                <c:pt idx="13">
                  <c:v>9.0782228318547542</c:v>
                </c:pt>
                <c:pt idx="14">
                  <c:v>14.70886961361024</c:v>
                </c:pt>
                <c:pt idx="15">
                  <c:v>14.092445908531774</c:v>
                </c:pt>
                <c:pt idx="16">
                  <c:v>11.74650277982775</c:v>
                </c:pt>
                <c:pt idx="17">
                  <c:v>5.3252764612433063</c:v>
                </c:pt>
                <c:pt idx="18">
                  <c:v>16.187925882039004</c:v>
                </c:pt>
                <c:pt idx="19">
                  <c:v>17.169815162213915</c:v>
                </c:pt>
                <c:pt idx="20">
                  <c:v>-6.9739210814795971</c:v>
                </c:pt>
                <c:pt idx="21">
                  <c:v>27.566382903779584</c:v>
                </c:pt>
                <c:pt idx="22">
                  <c:v>3.6971802140904657</c:v>
                </c:pt>
                <c:pt idx="23">
                  <c:v>3.3674973906069727</c:v>
                </c:pt>
                <c:pt idx="24">
                  <c:v>2.5898309746282782</c:v>
                </c:pt>
                <c:pt idx="25">
                  <c:v>19.961289758862694</c:v>
                </c:pt>
                <c:pt idx="26">
                  <c:v>11.020345611969505</c:v>
                </c:pt>
                <c:pt idx="27">
                  <c:v>1.4132616085309895</c:v>
                </c:pt>
                <c:pt idx="28">
                  <c:v>18.998854458961098</c:v>
                </c:pt>
                <c:pt idx="29">
                  <c:v>5.7942826547443174</c:v>
                </c:pt>
                <c:pt idx="30">
                  <c:v>-9.8648536385950614</c:v>
                </c:pt>
                <c:pt idx="31">
                  <c:v>10.524942057817745</c:v>
                </c:pt>
                <c:pt idx="32">
                  <c:v>37.357158255351777</c:v>
                </c:pt>
                <c:pt idx="33">
                  <c:v>10.523887699068197</c:v>
                </c:pt>
                <c:pt idx="34">
                  <c:v>36.519650736040496</c:v>
                </c:pt>
                <c:pt idx="35">
                  <c:v>31.86664573908844</c:v>
                </c:pt>
                <c:pt idx="36">
                  <c:v>52.530965310709995</c:v>
                </c:pt>
                <c:pt idx="37">
                  <c:v>31.9896342425996</c:v>
                </c:pt>
                <c:pt idx="38">
                  <c:v>26.921659974232867</c:v>
                </c:pt>
                <c:pt idx="39">
                  <c:v>17.030437096946528</c:v>
                </c:pt>
              </c:numCache>
            </c:numRef>
          </c:val>
          <c:smooth val="0"/>
          <c:extLst>
            <c:ext xmlns:c16="http://schemas.microsoft.com/office/drawing/2014/chart" uri="{C3380CC4-5D6E-409C-BE32-E72D297353CC}">
              <c16:uniqueId val="{00000005-E449-4B7A-B7FC-0C2713EC4478}"/>
            </c:ext>
          </c:extLst>
        </c:ser>
        <c:dLbls>
          <c:showLegendKey val="0"/>
          <c:showVal val="0"/>
          <c:showCatName val="0"/>
          <c:showSerName val="0"/>
          <c:showPercent val="0"/>
          <c:showBubbleSize val="0"/>
        </c:dLbls>
        <c:marker val="1"/>
        <c:smooth val="0"/>
        <c:axId val="228864000"/>
        <c:axId val="228865920"/>
      </c:lineChart>
      <c:catAx>
        <c:axId val="228864000"/>
        <c:scaling>
          <c:orientation val="minMax"/>
        </c:scaling>
        <c:delete val="0"/>
        <c:axPos val="b"/>
        <c:numFmt formatCode="General" sourceLinked="1"/>
        <c:majorTickMark val="out"/>
        <c:minorTickMark val="none"/>
        <c:tickLblPos val="low"/>
        <c:txPr>
          <a:bodyPr rot="-2700000"/>
          <a:lstStyle/>
          <a:p>
            <a:pPr>
              <a:defRPr sz="800"/>
            </a:pPr>
            <a:endParaRPr lang="he-IL"/>
          </a:p>
        </c:txPr>
        <c:crossAx val="228865920"/>
        <c:crosses val="autoZero"/>
        <c:auto val="0"/>
        <c:lblAlgn val="ctr"/>
        <c:lblOffset val="100"/>
        <c:tickLblSkip val="1"/>
        <c:noMultiLvlLbl val="0"/>
      </c:catAx>
      <c:valAx>
        <c:axId val="228865920"/>
        <c:scaling>
          <c:orientation val="minMax"/>
          <c:min val="-20"/>
        </c:scaling>
        <c:delete val="0"/>
        <c:axPos val="l"/>
        <c:title>
          <c:tx>
            <c:rich>
              <a:bodyPr rot="0" vert="horz"/>
              <a:lstStyle/>
              <a:p>
                <a:pPr>
                  <a:defRPr/>
                </a:pPr>
                <a:r>
                  <a:rPr lang="ar-SA" sz="800" b="0"/>
                  <a:t>مليارات</a:t>
                </a:r>
                <a:r>
                  <a:rPr lang="ar-SA" sz="800" b="0" baseline="0"/>
                  <a:t> الشواكل</a:t>
                </a:r>
                <a:endParaRPr lang="he-IL" sz="800" b="0"/>
              </a:p>
            </c:rich>
          </c:tx>
          <c:layout>
            <c:manualLayout>
              <c:xMode val="edge"/>
              <c:yMode val="edge"/>
              <c:x val="2.005558740944225E-3"/>
              <c:y val="0.17885440369479835"/>
            </c:manualLayout>
          </c:layout>
          <c:overlay val="0"/>
        </c:title>
        <c:numFmt formatCode="0" sourceLinked="0"/>
        <c:majorTickMark val="out"/>
        <c:minorTickMark val="none"/>
        <c:tickLblPos val="nextTo"/>
        <c:txPr>
          <a:bodyPr/>
          <a:lstStyle/>
          <a:p>
            <a:pPr>
              <a:defRPr sz="800"/>
            </a:pPr>
            <a:endParaRPr lang="he-IL"/>
          </a:p>
        </c:txPr>
        <c:crossAx val="228864000"/>
        <c:crosses val="autoZero"/>
        <c:crossBetween val="between"/>
      </c:valAx>
      <c:spPr>
        <a:noFill/>
        <a:scene3d>
          <a:camera prst="orthographicFront"/>
          <a:lightRig rig="threePt" dir="t"/>
        </a:scene3d>
        <a:sp3d>
          <a:bevelT w="31750"/>
        </a:sp3d>
      </c:spPr>
    </c:plotArea>
    <c:legend>
      <c:legendPos val="b"/>
      <c:layout>
        <c:manualLayout>
          <c:xMode val="edge"/>
          <c:yMode val="edge"/>
          <c:x val="7.9633385535673035E-2"/>
          <c:y val="3.4322748251941523E-2"/>
          <c:w val="0.90005106130494439"/>
          <c:h val="0.15175005957495974"/>
        </c:manualLayout>
      </c:layout>
      <c:overlay val="0"/>
      <c:spPr>
        <a:ln>
          <a:noFill/>
        </a:ln>
      </c:spPr>
      <c:txPr>
        <a:bodyPr/>
        <a:lstStyle/>
        <a:p>
          <a:pPr>
            <a:defRPr sz="900"/>
          </a:pPr>
          <a:endParaRPr lang="he-IL"/>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521756420763608E-2"/>
          <c:y val="3.9370637180990674E-2"/>
          <c:w val="0.92105941302791694"/>
          <c:h val="0.81006206438960238"/>
        </c:manualLayout>
      </c:layout>
      <c:lineChart>
        <c:grouping val="standard"/>
        <c:varyColors val="0"/>
        <c:ser>
          <c:idx val="0"/>
          <c:order val="0"/>
          <c:tx>
            <c:strRef>
              <c:f>'[הודעה רבעונית לעיתונות אשראי מונגש (4).xlsx]החוב העסקי לפי מלווים - תרשים'!$B$2</c:f>
              <c:strCache>
                <c:ptCount val="1"/>
                <c:pt idx="0">
                  <c:v>مجمل دين القطاع التجاري</c:v>
                </c:pt>
              </c:strCache>
            </c:strRef>
          </c:tx>
          <c:spPr>
            <a:ln>
              <a:solidFill>
                <a:schemeClr val="tx2"/>
              </a:solidFill>
            </a:ln>
          </c:spPr>
          <c:marker>
            <c:symbol val="none"/>
          </c:marker>
          <c:cat>
            <c:strRef>
              <c:f>'הודעה רבעונית לעיתונות אשראי מונגש (4).xlsx'!debt_dates</c:f>
              <c:strCache>
                <c:ptCount val="63"/>
                <c:pt idx="0">
                  <c:v>03-2007</c:v>
                </c:pt>
                <c:pt idx="1">
                  <c:v>06-2007</c:v>
                </c:pt>
                <c:pt idx="2">
                  <c:v>09-2007</c:v>
                </c:pt>
                <c:pt idx="3">
                  <c:v>12-2007</c:v>
                </c:pt>
                <c:pt idx="4">
                  <c:v>03-2008</c:v>
                </c:pt>
                <c:pt idx="5">
                  <c:v>06-2008</c:v>
                </c:pt>
                <c:pt idx="6">
                  <c:v>09-2008</c:v>
                </c:pt>
                <c:pt idx="7">
                  <c:v>12-2008</c:v>
                </c:pt>
                <c:pt idx="8">
                  <c:v>03-2009</c:v>
                </c:pt>
                <c:pt idx="9">
                  <c:v>06-2009</c:v>
                </c:pt>
                <c:pt idx="10">
                  <c:v>09-2009</c:v>
                </c:pt>
                <c:pt idx="11">
                  <c:v>12-2009</c:v>
                </c:pt>
                <c:pt idx="12">
                  <c:v>03-2010</c:v>
                </c:pt>
                <c:pt idx="13">
                  <c:v>06-2010</c:v>
                </c:pt>
                <c:pt idx="14">
                  <c:v>09-2010</c:v>
                </c:pt>
                <c:pt idx="15">
                  <c:v>12-2010</c:v>
                </c:pt>
                <c:pt idx="16">
                  <c:v>03-2011</c:v>
                </c:pt>
                <c:pt idx="17">
                  <c:v>06-2011</c:v>
                </c:pt>
                <c:pt idx="18">
                  <c:v>09-2011</c:v>
                </c:pt>
                <c:pt idx="19">
                  <c:v>12-2011</c:v>
                </c:pt>
                <c:pt idx="20">
                  <c:v>03-2012</c:v>
                </c:pt>
                <c:pt idx="21">
                  <c:v>06-2012</c:v>
                </c:pt>
                <c:pt idx="22">
                  <c:v>09-2012</c:v>
                </c:pt>
                <c:pt idx="23">
                  <c:v>12-2012</c:v>
                </c:pt>
                <c:pt idx="24">
                  <c:v>03-2013</c:v>
                </c:pt>
                <c:pt idx="25">
                  <c:v>06-2013</c:v>
                </c:pt>
                <c:pt idx="26">
                  <c:v>09-2013</c:v>
                </c:pt>
                <c:pt idx="27">
                  <c:v>12-2013</c:v>
                </c:pt>
                <c:pt idx="28">
                  <c:v>03-2014</c:v>
                </c:pt>
                <c:pt idx="29">
                  <c:v>06-2014</c:v>
                </c:pt>
                <c:pt idx="30">
                  <c:v>09-2014</c:v>
                </c:pt>
                <c:pt idx="31">
                  <c:v>12-2014</c:v>
                </c:pt>
                <c:pt idx="32">
                  <c:v>03-2015</c:v>
                </c:pt>
                <c:pt idx="33">
                  <c:v>06-2015</c:v>
                </c:pt>
                <c:pt idx="34">
                  <c:v>09-2015</c:v>
                </c:pt>
                <c:pt idx="35">
                  <c:v>12-2015</c:v>
                </c:pt>
                <c:pt idx="36">
                  <c:v>03-2016</c:v>
                </c:pt>
                <c:pt idx="37">
                  <c:v>06-2016</c:v>
                </c:pt>
                <c:pt idx="38">
                  <c:v>09-2016</c:v>
                </c:pt>
                <c:pt idx="39">
                  <c:v>12-2016</c:v>
                </c:pt>
                <c:pt idx="40">
                  <c:v>03-2017</c:v>
                </c:pt>
                <c:pt idx="41">
                  <c:v>06-2017</c:v>
                </c:pt>
                <c:pt idx="42">
                  <c:v>09-2017</c:v>
                </c:pt>
                <c:pt idx="43">
                  <c:v>12-2017</c:v>
                </c:pt>
                <c:pt idx="44">
                  <c:v>03-2018</c:v>
                </c:pt>
                <c:pt idx="45">
                  <c:v>06-2018</c:v>
                </c:pt>
                <c:pt idx="46">
                  <c:v>09-2018</c:v>
                </c:pt>
                <c:pt idx="47">
                  <c:v>12-2018</c:v>
                </c:pt>
                <c:pt idx="48">
                  <c:v>03-2019</c:v>
                </c:pt>
                <c:pt idx="49">
                  <c:v>06-2019</c:v>
                </c:pt>
                <c:pt idx="50">
                  <c:v>09-2019</c:v>
                </c:pt>
                <c:pt idx="51">
                  <c:v>12-2019</c:v>
                </c:pt>
                <c:pt idx="52">
                  <c:v>03-2020</c:v>
                </c:pt>
                <c:pt idx="53">
                  <c:v>06-2020</c:v>
                </c:pt>
                <c:pt idx="54">
                  <c:v>09-2020</c:v>
                </c:pt>
                <c:pt idx="55">
                  <c:v>12-2020</c:v>
                </c:pt>
                <c:pt idx="56">
                  <c:v>03-2021</c:v>
                </c:pt>
                <c:pt idx="57">
                  <c:v>06-2021</c:v>
                </c:pt>
                <c:pt idx="58">
                  <c:v>09-2021</c:v>
                </c:pt>
                <c:pt idx="59">
                  <c:v>12-2021</c:v>
                </c:pt>
                <c:pt idx="60">
                  <c:v>03-2022</c:v>
                </c:pt>
                <c:pt idx="61">
                  <c:v>06-2022</c:v>
                </c:pt>
                <c:pt idx="62">
                  <c:v>09-2022</c:v>
                </c:pt>
              </c:strCache>
            </c:strRef>
          </c:cat>
          <c:val>
            <c:numRef>
              <c:f>'הודעה רבעונית לעיתונות אשראי מונגש (4).xlsx'!debt_s1</c:f>
              <c:numCache>
                <c:formatCode>0.0%</c:formatCode>
                <c:ptCount val="63"/>
                <c:pt idx="0">
                  <c:v>0.10873663557997237</c:v>
                </c:pt>
                <c:pt idx="1">
                  <c:v>0.15201808843965225</c:v>
                </c:pt>
                <c:pt idx="2">
                  <c:v>0.1593136322532307</c:v>
                </c:pt>
                <c:pt idx="3">
                  <c:v>0.13471077407555865</c:v>
                </c:pt>
                <c:pt idx="4">
                  <c:v>9.0455967034646312E-2</c:v>
                </c:pt>
                <c:pt idx="5">
                  <c:v>5.5128533850454797E-2</c:v>
                </c:pt>
                <c:pt idx="6">
                  <c:v>6.437960349729277E-2</c:v>
                </c:pt>
                <c:pt idx="7">
                  <c:v>4.4203793297298732E-2</c:v>
                </c:pt>
                <c:pt idx="8">
                  <c:v>4.5127227421375427E-2</c:v>
                </c:pt>
                <c:pt idx="9">
                  <c:v>1.7295862110109361E-3</c:v>
                </c:pt>
                <c:pt idx="10">
                  <c:v>-9.6950047648423077E-3</c:v>
                </c:pt>
                <c:pt idx="11">
                  <c:v>-1.4361289851409609E-2</c:v>
                </c:pt>
                <c:pt idx="12">
                  <c:v>-3.7934382590704363E-2</c:v>
                </c:pt>
                <c:pt idx="13">
                  <c:v>1.9190993641297949E-2</c:v>
                </c:pt>
                <c:pt idx="14">
                  <c:v>1.5442385828972727E-2</c:v>
                </c:pt>
                <c:pt idx="15">
                  <c:v>3.1001977133167546E-2</c:v>
                </c:pt>
                <c:pt idx="16">
                  <c:v>6.6316565242404701E-2</c:v>
                </c:pt>
                <c:pt idx="17">
                  <c:v>3.9710566816413717E-2</c:v>
                </c:pt>
                <c:pt idx="18">
                  <c:v>6.8669180237515004E-2</c:v>
                </c:pt>
                <c:pt idx="19">
                  <c:v>6.2104056439460376E-2</c:v>
                </c:pt>
                <c:pt idx="20">
                  <c:v>6.0234005654109968E-2</c:v>
                </c:pt>
                <c:pt idx="21">
                  <c:v>7.3329227720876355E-2</c:v>
                </c:pt>
                <c:pt idx="22">
                  <c:v>3.3576604985969816E-2</c:v>
                </c:pt>
                <c:pt idx="23">
                  <c:v>1.3743529553798428E-2</c:v>
                </c:pt>
                <c:pt idx="24">
                  <c:v>-1.2150746579991267E-2</c:v>
                </c:pt>
                <c:pt idx="25">
                  <c:v>-2.5645200352916619E-2</c:v>
                </c:pt>
                <c:pt idx="26">
                  <c:v>-2.2109030339393931E-2</c:v>
                </c:pt>
                <c:pt idx="27">
                  <c:v>-1.3105987541684794E-2</c:v>
                </c:pt>
                <c:pt idx="28">
                  <c:v>-7.5875329531979174E-3</c:v>
                </c:pt>
                <c:pt idx="29">
                  <c:v>-4.9688017702392839E-3</c:v>
                </c:pt>
                <c:pt idx="30">
                  <c:v>1.7126282212145849E-2</c:v>
                </c:pt>
                <c:pt idx="31">
                  <c:v>1.1307057445198998E-2</c:v>
                </c:pt>
                <c:pt idx="32">
                  <c:v>3.6304794472380442E-2</c:v>
                </c:pt>
                <c:pt idx="33">
                  <c:v>1.4990017255447574E-2</c:v>
                </c:pt>
                <c:pt idx="34">
                  <c:v>6.116131610843345E-3</c:v>
                </c:pt>
                <c:pt idx="35">
                  <c:v>2.2129587862701472E-2</c:v>
                </c:pt>
                <c:pt idx="36">
                  <c:v>6.8697259510468456E-3</c:v>
                </c:pt>
                <c:pt idx="37">
                  <c:v>4.7814062891528897E-2</c:v>
                </c:pt>
                <c:pt idx="38" formatCode="mm\-yyyy">
                  <c:v>4.7361415132564977E-2</c:v>
                </c:pt>
                <c:pt idx="39" formatCode="mm\-yyyy">
                  <c:v>5.3166001629336046E-2</c:v>
                </c:pt>
                <c:pt idx="40" formatCode="mm\-yyyy">
                  <c:v>4.9901087896123908E-2</c:v>
                </c:pt>
                <c:pt idx="41" formatCode="mm\-yyyy">
                  <c:v>3.8417320949559963E-2</c:v>
                </c:pt>
                <c:pt idx="42" formatCode="mm\-yyyy">
                  <c:v>4.9595469041820328E-2</c:v>
                </c:pt>
                <c:pt idx="43" formatCode="mm\-yyyy">
                  <c:v>2.0108607739385942E-2</c:v>
                </c:pt>
                <c:pt idx="44" formatCode="mm\-yyyy">
                  <c:v>6.4015701560826477E-2</c:v>
                </c:pt>
                <c:pt idx="45" formatCode="mm\-yyyy">
                  <c:v>6.5610189974468325E-2</c:v>
                </c:pt>
                <c:pt idx="46" formatCode="mm\-yyyy">
                  <c:v>4.2137411095281019E-2</c:v>
                </c:pt>
                <c:pt idx="47" formatCode="mm\-yyyy">
                  <c:v>6.6095530558130999E-2</c:v>
                </c:pt>
                <c:pt idx="48" formatCode="mm\-yyyy">
                  <c:v>3.9772610814930776E-2</c:v>
                </c:pt>
                <c:pt idx="49" formatCode="mm\-yyyy">
                  <c:v>3.4580609341809065E-2</c:v>
                </c:pt>
                <c:pt idx="50" formatCode="mm\-yyyy">
                  <c:v>2.799842582135903E-2</c:v>
                </c:pt>
                <c:pt idx="51" formatCode="mm\-yyyy">
                  <c:v>3.4015893245671558E-2</c:v>
                </c:pt>
                <c:pt idx="52" formatCode="mm\-yyyy">
                  <c:v>2.8917709155586779E-2</c:v>
                </c:pt>
                <c:pt idx="53" formatCode="mm\-yyyy">
                  <c:v>1.1355993486168448E-3</c:v>
                </c:pt>
                <c:pt idx="54" formatCode="mm\-yyyy">
                  <c:v>1.7103852868958436E-2</c:v>
                </c:pt>
                <c:pt idx="55" formatCode="mm\-yyyy">
                  <c:v>2.3947881757241607E-2</c:v>
                </c:pt>
                <c:pt idx="56" formatCode="mm\-yyyy">
                  <c:v>3.6202594708641511E-2</c:v>
                </c:pt>
                <c:pt idx="57" formatCode="mm\-yyyy">
                  <c:v>8.867821981940871E-2</c:v>
                </c:pt>
                <c:pt idx="58" formatCode="mm\-yyyy">
                  <c:v>0.11095962654520752</c:v>
                </c:pt>
                <c:pt idx="59" formatCode="mm\-yyyy">
                  <c:v>0.12824646008985963</c:v>
                </c:pt>
                <c:pt idx="60" formatCode="mm\-yyyy">
                  <c:v>0.14669610761666507</c:v>
                </c:pt>
                <c:pt idx="61" formatCode="mm\-yyyy">
                  <c:v>0.16281413883405027</c:v>
                </c:pt>
                <c:pt idx="62" formatCode="mm\-yyyy">
                  <c:v>0.14697201387954095</c:v>
                </c:pt>
              </c:numCache>
            </c:numRef>
          </c:val>
          <c:smooth val="0"/>
          <c:extLst>
            <c:ext xmlns:c16="http://schemas.microsoft.com/office/drawing/2014/chart" uri="{C3380CC4-5D6E-409C-BE32-E72D297353CC}">
              <c16:uniqueId val="{00000000-51F2-4937-B55C-FBC7921A472E}"/>
            </c:ext>
          </c:extLst>
        </c:ser>
        <c:ser>
          <c:idx val="1"/>
          <c:order val="1"/>
          <c:tx>
            <c:strRef>
              <c:f>'[הודעה רבעונית לעיתונות אשראי מונגש (4).xlsx]החוב העסקי לפי מלווים - תרשים'!$B$3</c:f>
              <c:strCache>
                <c:ptCount val="1"/>
                <c:pt idx="0">
                  <c:v>مصرفي</c:v>
                </c:pt>
              </c:strCache>
            </c:strRef>
          </c:tx>
          <c:spPr>
            <a:ln>
              <a:solidFill>
                <a:schemeClr val="accent1">
                  <a:lumMod val="40000"/>
                  <a:lumOff val="60000"/>
                </a:schemeClr>
              </a:solidFill>
            </a:ln>
          </c:spPr>
          <c:marker>
            <c:symbol val="none"/>
          </c:marker>
          <c:cat>
            <c:strRef>
              <c:f>'הודעה רבעונית לעיתונות אשראי מונגש (4).xlsx'!debt_dates</c:f>
              <c:strCache>
                <c:ptCount val="63"/>
                <c:pt idx="0">
                  <c:v>03-2007</c:v>
                </c:pt>
                <c:pt idx="1">
                  <c:v>06-2007</c:v>
                </c:pt>
                <c:pt idx="2">
                  <c:v>09-2007</c:v>
                </c:pt>
                <c:pt idx="3">
                  <c:v>12-2007</c:v>
                </c:pt>
                <c:pt idx="4">
                  <c:v>03-2008</c:v>
                </c:pt>
                <c:pt idx="5">
                  <c:v>06-2008</c:v>
                </c:pt>
                <c:pt idx="6">
                  <c:v>09-2008</c:v>
                </c:pt>
                <c:pt idx="7">
                  <c:v>12-2008</c:v>
                </c:pt>
                <c:pt idx="8">
                  <c:v>03-2009</c:v>
                </c:pt>
                <c:pt idx="9">
                  <c:v>06-2009</c:v>
                </c:pt>
                <c:pt idx="10">
                  <c:v>09-2009</c:v>
                </c:pt>
                <c:pt idx="11">
                  <c:v>12-2009</c:v>
                </c:pt>
                <c:pt idx="12">
                  <c:v>03-2010</c:v>
                </c:pt>
                <c:pt idx="13">
                  <c:v>06-2010</c:v>
                </c:pt>
                <c:pt idx="14">
                  <c:v>09-2010</c:v>
                </c:pt>
                <c:pt idx="15">
                  <c:v>12-2010</c:v>
                </c:pt>
                <c:pt idx="16">
                  <c:v>03-2011</c:v>
                </c:pt>
                <c:pt idx="17">
                  <c:v>06-2011</c:v>
                </c:pt>
                <c:pt idx="18">
                  <c:v>09-2011</c:v>
                </c:pt>
                <c:pt idx="19">
                  <c:v>12-2011</c:v>
                </c:pt>
                <c:pt idx="20">
                  <c:v>03-2012</c:v>
                </c:pt>
                <c:pt idx="21">
                  <c:v>06-2012</c:v>
                </c:pt>
                <c:pt idx="22">
                  <c:v>09-2012</c:v>
                </c:pt>
                <c:pt idx="23">
                  <c:v>12-2012</c:v>
                </c:pt>
                <c:pt idx="24">
                  <c:v>03-2013</c:v>
                </c:pt>
                <c:pt idx="25">
                  <c:v>06-2013</c:v>
                </c:pt>
                <c:pt idx="26">
                  <c:v>09-2013</c:v>
                </c:pt>
                <c:pt idx="27">
                  <c:v>12-2013</c:v>
                </c:pt>
                <c:pt idx="28">
                  <c:v>03-2014</c:v>
                </c:pt>
                <c:pt idx="29">
                  <c:v>06-2014</c:v>
                </c:pt>
                <c:pt idx="30">
                  <c:v>09-2014</c:v>
                </c:pt>
                <c:pt idx="31">
                  <c:v>12-2014</c:v>
                </c:pt>
                <c:pt idx="32">
                  <c:v>03-2015</c:v>
                </c:pt>
                <c:pt idx="33">
                  <c:v>06-2015</c:v>
                </c:pt>
                <c:pt idx="34">
                  <c:v>09-2015</c:v>
                </c:pt>
                <c:pt idx="35">
                  <c:v>12-2015</c:v>
                </c:pt>
                <c:pt idx="36">
                  <c:v>03-2016</c:v>
                </c:pt>
                <c:pt idx="37">
                  <c:v>06-2016</c:v>
                </c:pt>
                <c:pt idx="38">
                  <c:v>09-2016</c:v>
                </c:pt>
                <c:pt idx="39">
                  <c:v>12-2016</c:v>
                </c:pt>
                <c:pt idx="40">
                  <c:v>03-2017</c:v>
                </c:pt>
                <c:pt idx="41">
                  <c:v>06-2017</c:v>
                </c:pt>
                <c:pt idx="42">
                  <c:v>09-2017</c:v>
                </c:pt>
                <c:pt idx="43">
                  <c:v>12-2017</c:v>
                </c:pt>
                <c:pt idx="44">
                  <c:v>03-2018</c:v>
                </c:pt>
                <c:pt idx="45">
                  <c:v>06-2018</c:v>
                </c:pt>
                <c:pt idx="46">
                  <c:v>09-2018</c:v>
                </c:pt>
                <c:pt idx="47">
                  <c:v>12-2018</c:v>
                </c:pt>
                <c:pt idx="48">
                  <c:v>03-2019</c:v>
                </c:pt>
                <c:pt idx="49">
                  <c:v>06-2019</c:v>
                </c:pt>
                <c:pt idx="50">
                  <c:v>09-2019</c:v>
                </c:pt>
                <c:pt idx="51">
                  <c:v>12-2019</c:v>
                </c:pt>
                <c:pt idx="52">
                  <c:v>03-2020</c:v>
                </c:pt>
                <c:pt idx="53">
                  <c:v>06-2020</c:v>
                </c:pt>
                <c:pt idx="54">
                  <c:v>09-2020</c:v>
                </c:pt>
                <c:pt idx="55">
                  <c:v>12-2020</c:v>
                </c:pt>
                <c:pt idx="56">
                  <c:v>03-2021</c:v>
                </c:pt>
                <c:pt idx="57">
                  <c:v>06-2021</c:v>
                </c:pt>
                <c:pt idx="58">
                  <c:v>09-2021</c:v>
                </c:pt>
                <c:pt idx="59">
                  <c:v>12-2021</c:v>
                </c:pt>
                <c:pt idx="60">
                  <c:v>03-2022</c:v>
                </c:pt>
                <c:pt idx="61">
                  <c:v>06-2022</c:v>
                </c:pt>
                <c:pt idx="62">
                  <c:v>09-2022</c:v>
                </c:pt>
              </c:strCache>
            </c:strRef>
          </c:cat>
          <c:val>
            <c:numRef>
              <c:f>'הודעה רבעונית לעיתונות אשראי מונגש (4).xlsx'!debt_s2</c:f>
              <c:numCache>
                <c:formatCode>0.0%</c:formatCode>
                <c:ptCount val="63"/>
                <c:pt idx="0">
                  <c:v>2.4358091974329366E-2</c:v>
                </c:pt>
                <c:pt idx="1">
                  <c:v>4.2849024563416327E-2</c:v>
                </c:pt>
                <c:pt idx="2">
                  <c:v>4.4922028819377235E-2</c:v>
                </c:pt>
                <c:pt idx="3">
                  <c:v>6.3634629839002255E-2</c:v>
                </c:pt>
                <c:pt idx="4">
                  <c:v>4.9176701914099175E-2</c:v>
                </c:pt>
                <c:pt idx="5">
                  <c:v>6.084799836289867E-2</c:v>
                </c:pt>
                <c:pt idx="6">
                  <c:v>8.7138145778127951E-2</c:v>
                </c:pt>
                <c:pt idx="7">
                  <c:v>8.3171595632435258E-2</c:v>
                </c:pt>
                <c:pt idx="8">
                  <c:v>7.4124534350193727E-2</c:v>
                </c:pt>
                <c:pt idx="9">
                  <c:v>1.6467261910249054E-3</c:v>
                </c:pt>
                <c:pt idx="10">
                  <c:v>-3.6285746108293937E-2</c:v>
                </c:pt>
                <c:pt idx="11">
                  <c:v>-6.8789239011559644E-2</c:v>
                </c:pt>
                <c:pt idx="12">
                  <c:v>-7.8138579469003488E-2</c:v>
                </c:pt>
                <c:pt idx="13">
                  <c:v>-2.3295147689580631E-2</c:v>
                </c:pt>
                <c:pt idx="14">
                  <c:v>1.1897597236531832E-2</c:v>
                </c:pt>
                <c:pt idx="15">
                  <c:v>5.6184958027110321E-2</c:v>
                </c:pt>
                <c:pt idx="16">
                  <c:v>5.8915094443873217E-2</c:v>
                </c:pt>
                <c:pt idx="17">
                  <c:v>4.8190936082626479E-2</c:v>
                </c:pt>
                <c:pt idx="18">
                  <c:v>6.181629012014711E-2</c:v>
                </c:pt>
                <c:pt idx="19">
                  <c:v>4.037476494885528E-2</c:v>
                </c:pt>
                <c:pt idx="20">
                  <c:v>3.2656067445537618E-2</c:v>
                </c:pt>
                <c:pt idx="21">
                  <c:v>3.5261253979999907E-2</c:v>
                </c:pt>
                <c:pt idx="22">
                  <c:v>-7.1452225249767354E-3</c:v>
                </c:pt>
                <c:pt idx="23">
                  <c:v>-1.4665076172667435E-2</c:v>
                </c:pt>
                <c:pt idx="24">
                  <c:v>-1.9567408084956717E-2</c:v>
                </c:pt>
                <c:pt idx="25">
                  <c:v>-4.6838800776627942E-2</c:v>
                </c:pt>
                <c:pt idx="26">
                  <c:v>-3.8898444146613032E-2</c:v>
                </c:pt>
                <c:pt idx="27">
                  <c:v>-3.9855967478265253E-2</c:v>
                </c:pt>
                <c:pt idx="28">
                  <c:v>-2.8657912654330375E-2</c:v>
                </c:pt>
                <c:pt idx="29">
                  <c:v>-1.1660080076700607E-2</c:v>
                </c:pt>
                <c:pt idx="30">
                  <c:v>9.8967570699837193E-3</c:v>
                </c:pt>
                <c:pt idx="31">
                  <c:v>2.4593917335637983E-3</c:v>
                </c:pt>
                <c:pt idx="32">
                  <c:v>2.7382936501966881E-2</c:v>
                </c:pt>
                <c:pt idx="33">
                  <c:v>2.6355557020946385E-2</c:v>
                </c:pt>
                <c:pt idx="34">
                  <c:v>1.4681458023777294E-2</c:v>
                </c:pt>
                <c:pt idx="35">
                  <c:v>3.7105370831540307E-2</c:v>
                </c:pt>
                <c:pt idx="36">
                  <c:v>3.2771758253988592E-2</c:v>
                </c:pt>
                <c:pt idx="37">
                  <c:v>4.1963918391065391E-2</c:v>
                </c:pt>
                <c:pt idx="38" formatCode="mm\-yyyy">
                  <c:v>3.1505548473157674E-2</c:v>
                </c:pt>
                <c:pt idx="39" formatCode="mm\-yyyy">
                  <c:v>1.168373273536516E-2</c:v>
                </c:pt>
                <c:pt idx="40" formatCode="mm\-yyyy">
                  <c:v>-5.4048340579425647E-3</c:v>
                </c:pt>
                <c:pt idx="41" formatCode="mm\-yyyy">
                  <c:v>-4.2656862577461485E-4</c:v>
                </c:pt>
                <c:pt idx="42" formatCode="mm\-yyyy">
                  <c:v>1.4220506553526135E-2</c:v>
                </c:pt>
                <c:pt idx="43" formatCode="mm\-yyyy">
                  <c:v>3.1367055797949073E-2</c:v>
                </c:pt>
                <c:pt idx="44" formatCode="mm\-yyyy">
                  <c:v>5.421360155548216E-2</c:v>
                </c:pt>
                <c:pt idx="45" formatCode="mm\-yyyy">
                  <c:v>5.0101977844398515E-2</c:v>
                </c:pt>
                <c:pt idx="46" formatCode="mm\-yyyy">
                  <c:v>6.267308508828684E-2</c:v>
                </c:pt>
                <c:pt idx="47" formatCode="mm\-yyyy">
                  <c:v>6.2967202505017417E-2</c:v>
                </c:pt>
                <c:pt idx="48" formatCode="mm\-yyyy">
                  <c:v>6.3074719453046102E-2</c:v>
                </c:pt>
                <c:pt idx="49" formatCode="mm\-yyyy">
                  <c:v>6.3673931835999564E-2</c:v>
                </c:pt>
                <c:pt idx="50" formatCode="mm\-yyyy">
                  <c:v>4.7863523718354228E-2</c:v>
                </c:pt>
                <c:pt idx="51" formatCode="mm\-yyyy">
                  <c:v>4.5477984969511942E-2</c:v>
                </c:pt>
                <c:pt idx="52" formatCode="mm\-yyyy">
                  <c:v>6.2567888002067917E-2</c:v>
                </c:pt>
                <c:pt idx="53" formatCode="mm\-yyyy">
                  <c:v>4.1655715475751087E-2</c:v>
                </c:pt>
                <c:pt idx="54" formatCode="mm\-yyyy">
                  <c:v>2.7444582879181834E-2</c:v>
                </c:pt>
                <c:pt idx="55" formatCode="mm\-yyyy">
                  <c:v>6.3957864343570314E-2</c:v>
                </c:pt>
                <c:pt idx="56" formatCode="mm\-yyyy">
                  <c:v>4.0311781161182836E-2</c:v>
                </c:pt>
                <c:pt idx="57" formatCode="mm\-yyyy">
                  <c:v>9.6233693248613861E-2</c:v>
                </c:pt>
                <c:pt idx="58" formatCode="mm\-yyyy">
                  <c:v>0.14748672636577087</c:v>
                </c:pt>
                <c:pt idx="59" formatCode="mm\-yyyy">
                  <c:v>0.17470143146854755</c:v>
                </c:pt>
                <c:pt idx="60" formatCode="mm\-yyyy">
                  <c:v>0.21674360586634034</c:v>
                </c:pt>
                <c:pt idx="61" formatCode="mm\-yyyy">
                  <c:v>0.22117107766993449</c:v>
                </c:pt>
                <c:pt idx="62" formatCode="mm\-yyyy">
                  <c:v>0.20037378172982034</c:v>
                </c:pt>
              </c:numCache>
            </c:numRef>
          </c:val>
          <c:smooth val="0"/>
          <c:extLst>
            <c:ext xmlns:c16="http://schemas.microsoft.com/office/drawing/2014/chart" uri="{C3380CC4-5D6E-409C-BE32-E72D297353CC}">
              <c16:uniqueId val="{00000001-51F2-4937-B55C-FBC7921A472E}"/>
            </c:ext>
          </c:extLst>
        </c:ser>
        <c:ser>
          <c:idx val="2"/>
          <c:order val="2"/>
          <c:tx>
            <c:strRef>
              <c:f>'[הודעה רבעונית לעיתונות אשראי מונגש (4).xlsx]החוב העסקי לפי מלווים - תרשים'!$B$4</c:f>
              <c:strCache>
                <c:ptCount val="1"/>
                <c:pt idx="0">
                  <c:v>غير مصرفي</c:v>
                </c:pt>
              </c:strCache>
            </c:strRef>
          </c:tx>
          <c:spPr>
            <a:ln>
              <a:solidFill>
                <a:schemeClr val="bg1">
                  <a:lumMod val="65000"/>
                </a:schemeClr>
              </a:solidFill>
            </a:ln>
          </c:spPr>
          <c:marker>
            <c:symbol val="none"/>
          </c:marker>
          <c:cat>
            <c:strRef>
              <c:f>'הודעה רבעונית לעיתונות אשראי מונגש (4).xlsx'!debt_dates</c:f>
              <c:strCache>
                <c:ptCount val="63"/>
                <c:pt idx="0">
                  <c:v>03-2007</c:v>
                </c:pt>
                <c:pt idx="1">
                  <c:v>06-2007</c:v>
                </c:pt>
                <c:pt idx="2">
                  <c:v>09-2007</c:v>
                </c:pt>
                <c:pt idx="3">
                  <c:v>12-2007</c:v>
                </c:pt>
                <c:pt idx="4">
                  <c:v>03-2008</c:v>
                </c:pt>
                <c:pt idx="5">
                  <c:v>06-2008</c:v>
                </c:pt>
                <c:pt idx="6">
                  <c:v>09-2008</c:v>
                </c:pt>
                <c:pt idx="7">
                  <c:v>12-2008</c:v>
                </c:pt>
                <c:pt idx="8">
                  <c:v>03-2009</c:v>
                </c:pt>
                <c:pt idx="9">
                  <c:v>06-2009</c:v>
                </c:pt>
                <c:pt idx="10">
                  <c:v>09-2009</c:v>
                </c:pt>
                <c:pt idx="11">
                  <c:v>12-2009</c:v>
                </c:pt>
                <c:pt idx="12">
                  <c:v>03-2010</c:v>
                </c:pt>
                <c:pt idx="13">
                  <c:v>06-2010</c:v>
                </c:pt>
                <c:pt idx="14">
                  <c:v>09-2010</c:v>
                </c:pt>
                <c:pt idx="15">
                  <c:v>12-2010</c:v>
                </c:pt>
                <c:pt idx="16">
                  <c:v>03-2011</c:v>
                </c:pt>
                <c:pt idx="17">
                  <c:v>06-2011</c:v>
                </c:pt>
                <c:pt idx="18">
                  <c:v>09-2011</c:v>
                </c:pt>
                <c:pt idx="19">
                  <c:v>12-2011</c:v>
                </c:pt>
                <c:pt idx="20">
                  <c:v>03-2012</c:v>
                </c:pt>
                <c:pt idx="21">
                  <c:v>06-2012</c:v>
                </c:pt>
                <c:pt idx="22">
                  <c:v>09-2012</c:v>
                </c:pt>
                <c:pt idx="23">
                  <c:v>12-2012</c:v>
                </c:pt>
                <c:pt idx="24">
                  <c:v>03-2013</c:v>
                </c:pt>
                <c:pt idx="25">
                  <c:v>06-2013</c:v>
                </c:pt>
                <c:pt idx="26">
                  <c:v>09-2013</c:v>
                </c:pt>
                <c:pt idx="27">
                  <c:v>12-2013</c:v>
                </c:pt>
                <c:pt idx="28">
                  <c:v>03-2014</c:v>
                </c:pt>
                <c:pt idx="29">
                  <c:v>06-2014</c:v>
                </c:pt>
                <c:pt idx="30">
                  <c:v>09-2014</c:v>
                </c:pt>
                <c:pt idx="31">
                  <c:v>12-2014</c:v>
                </c:pt>
                <c:pt idx="32">
                  <c:v>03-2015</c:v>
                </c:pt>
                <c:pt idx="33">
                  <c:v>06-2015</c:v>
                </c:pt>
                <c:pt idx="34">
                  <c:v>09-2015</c:v>
                </c:pt>
                <c:pt idx="35">
                  <c:v>12-2015</c:v>
                </c:pt>
                <c:pt idx="36">
                  <c:v>03-2016</c:v>
                </c:pt>
                <c:pt idx="37">
                  <c:v>06-2016</c:v>
                </c:pt>
                <c:pt idx="38">
                  <c:v>09-2016</c:v>
                </c:pt>
                <c:pt idx="39">
                  <c:v>12-2016</c:v>
                </c:pt>
                <c:pt idx="40">
                  <c:v>03-2017</c:v>
                </c:pt>
                <c:pt idx="41">
                  <c:v>06-2017</c:v>
                </c:pt>
                <c:pt idx="42">
                  <c:v>09-2017</c:v>
                </c:pt>
                <c:pt idx="43">
                  <c:v>12-2017</c:v>
                </c:pt>
                <c:pt idx="44">
                  <c:v>03-2018</c:v>
                </c:pt>
                <c:pt idx="45">
                  <c:v>06-2018</c:v>
                </c:pt>
                <c:pt idx="46">
                  <c:v>09-2018</c:v>
                </c:pt>
                <c:pt idx="47">
                  <c:v>12-2018</c:v>
                </c:pt>
                <c:pt idx="48">
                  <c:v>03-2019</c:v>
                </c:pt>
                <c:pt idx="49">
                  <c:v>06-2019</c:v>
                </c:pt>
                <c:pt idx="50">
                  <c:v>09-2019</c:v>
                </c:pt>
                <c:pt idx="51">
                  <c:v>12-2019</c:v>
                </c:pt>
                <c:pt idx="52">
                  <c:v>03-2020</c:v>
                </c:pt>
                <c:pt idx="53">
                  <c:v>06-2020</c:v>
                </c:pt>
                <c:pt idx="54">
                  <c:v>09-2020</c:v>
                </c:pt>
                <c:pt idx="55">
                  <c:v>12-2020</c:v>
                </c:pt>
                <c:pt idx="56">
                  <c:v>03-2021</c:v>
                </c:pt>
                <c:pt idx="57">
                  <c:v>06-2021</c:v>
                </c:pt>
                <c:pt idx="58">
                  <c:v>09-2021</c:v>
                </c:pt>
                <c:pt idx="59">
                  <c:v>12-2021</c:v>
                </c:pt>
                <c:pt idx="60">
                  <c:v>03-2022</c:v>
                </c:pt>
                <c:pt idx="61">
                  <c:v>06-2022</c:v>
                </c:pt>
                <c:pt idx="62">
                  <c:v>09-2022</c:v>
                </c:pt>
              </c:strCache>
            </c:strRef>
          </c:cat>
          <c:val>
            <c:numRef>
              <c:f>'הודעה רבעונית לעיתונות אשראי מונגש (4).xlsx'!debt_s3</c:f>
              <c:numCache>
                <c:formatCode>0.0%</c:formatCode>
                <c:ptCount val="63"/>
                <c:pt idx="0">
                  <c:v>0.23624567654349393</c:v>
                </c:pt>
                <c:pt idx="1">
                  <c:v>0.31216995344671927</c:v>
                </c:pt>
                <c:pt idx="2">
                  <c:v>0.32222885910863974</c:v>
                </c:pt>
                <c:pt idx="3">
                  <c:v>0.22581308333834205</c:v>
                </c:pt>
                <c:pt idx="4">
                  <c:v>0.14214375280981661</c:v>
                </c:pt>
                <c:pt idx="5">
                  <c:v>4.846017236821476E-2</c:v>
                </c:pt>
                <c:pt idx="6">
                  <c:v>3.8764906408686794E-2</c:v>
                </c:pt>
                <c:pt idx="7">
                  <c:v>8.6471652894148932E-4</c:v>
                </c:pt>
                <c:pt idx="8">
                  <c:v>1.1773720367048712E-2</c:v>
                </c:pt>
                <c:pt idx="9">
                  <c:v>1.8273346930679502E-3</c:v>
                </c:pt>
                <c:pt idx="10">
                  <c:v>2.1626505457448042E-2</c:v>
                </c:pt>
                <c:pt idx="11">
                  <c:v>5.1150218051148277E-2</c:v>
                </c:pt>
                <c:pt idx="12">
                  <c:v>1.1159397511474101E-2</c:v>
                </c:pt>
                <c:pt idx="13">
                  <c:v>6.9302098287806091E-2</c:v>
                </c:pt>
                <c:pt idx="14">
                  <c:v>1.938113857222401E-2</c:v>
                </c:pt>
                <c:pt idx="15">
                  <c:v>4.1494006237192682E-3</c:v>
                </c:pt>
                <c:pt idx="16">
                  <c:v>7.4556411904980635E-2</c:v>
                </c:pt>
                <c:pt idx="17">
                  <c:v>3.0574392511993675E-2</c:v>
                </c:pt>
                <c:pt idx="18">
                  <c:v>7.6227793382918074E-2</c:v>
                </c:pt>
                <c:pt idx="19">
                  <c:v>8.6474646095658914E-2</c:v>
                </c:pt>
                <c:pt idx="20">
                  <c:v>9.048884235047816E-2</c:v>
                </c:pt>
                <c:pt idx="21">
                  <c:v>0.11504213184639589</c:v>
                </c:pt>
                <c:pt idx="22">
                  <c:v>7.7890588391344107E-2</c:v>
                </c:pt>
                <c:pt idx="23">
                  <c:v>4.4253416908085486E-2</c:v>
                </c:pt>
                <c:pt idx="24">
                  <c:v>-4.4456878730463334E-3</c:v>
                </c:pt>
                <c:pt idx="25">
                  <c:v>-4.0839426180933058E-3</c:v>
                </c:pt>
                <c:pt idx="26">
                  <c:v>-5.2799604503144248E-3</c:v>
                </c:pt>
                <c:pt idx="27">
                  <c:v>1.4001677864660111E-2</c:v>
                </c:pt>
                <c:pt idx="28">
                  <c:v>1.3969681277564483E-2</c:v>
                </c:pt>
                <c:pt idx="29">
                  <c:v>1.5463128839166007E-3</c:v>
                </c:pt>
                <c:pt idx="30">
                  <c:v>2.4127970401722321E-2</c:v>
                </c:pt>
                <c:pt idx="31">
                  <c:v>1.9796810828281108E-2</c:v>
                </c:pt>
                <c:pt idx="32">
                  <c:v>4.5049049560714316E-2</c:v>
                </c:pt>
                <c:pt idx="33">
                  <c:v>4.069622546266416E-3</c:v>
                </c:pt>
                <c:pt idx="34">
                  <c:v>-2.0639881472603872E-3</c:v>
                </c:pt>
                <c:pt idx="35">
                  <c:v>8.0039181833360118E-3</c:v>
                </c:pt>
                <c:pt idx="36">
                  <c:v>-1.8087541180140443E-2</c:v>
                </c:pt>
                <c:pt idx="37">
                  <c:v>5.3559841307950329E-2</c:v>
                </c:pt>
                <c:pt idx="38" formatCode="mm\-yyyy">
                  <c:v>6.2758296305713834E-2</c:v>
                </c:pt>
                <c:pt idx="39" formatCode="mm\-yyyy">
                  <c:v>9.3423119030785706E-2</c:v>
                </c:pt>
                <c:pt idx="40" formatCode="mm\-yyyy">
                  <c:v>0.10594989916943809</c:v>
                </c:pt>
                <c:pt idx="41" formatCode="mm\-yyyy">
                  <c:v>7.6148333759246567E-2</c:v>
                </c:pt>
                <c:pt idx="42" formatCode="mm\-yyyy">
                  <c:v>8.2936254398608078E-2</c:v>
                </c:pt>
                <c:pt idx="43" formatCode="mm\-yyyy">
                  <c:v>9.9994443720097248E-3</c:v>
                </c:pt>
                <c:pt idx="44" formatCode="mm\-yyyy">
                  <c:v>7.2949266311219008E-2</c:v>
                </c:pt>
                <c:pt idx="45" formatCode="mm\-yyyy">
                  <c:v>7.9602198194826945E-2</c:v>
                </c:pt>
                <c:pt idx="46" formatCode="mm\-yyyy">
                  <c:v>2.4010730053972473E-2</c:v>
                </c:pt>
                <c:pt idx="47" formatCode="mm\-yyyy">
                  <c:v>6.896393968504011E-2</c:v>
                </c:pt>
                <c:pt idx="48" formatCode="mm\-yyyy">
                  <c:v>1.8906077107513575E-2</c:v>
                </c:pt>
                <c:pt idx="49" formatCode="mm\-yyyy">
                  <c:v>9.0489314876620597E-3</c:v>
                </c:pt>
                <c:pt idx="50" formatCode="mm\-yyyy">
                  <c:v>9.8016177245470182E-3</c:v>
                </c:pt>
                <c:pt idx="51" formatCode="mm\-yyyy">
                  <c:v>2.3565094229307748E-2</c:v>
                </c:pt>
                <c:pt idx="52" formatCode="mm\-yyyy">
                  <c:v>-2.5215354968523007E-3</c:v>
                </c:pt>
                <c:pt idx="53" formatCode="mm\-yyyy">
                  <c:v>-3.6349011398322584E-2</c:v>
                </c:pt>
                <c:pt idx="54" formatCode="mm\-yyyy">
                  <c:v>7.2745126997066922E-3</c:v>
                </c:pt>
                <c:pt idx="55" formatCode="mm\-yyyy">
                  <c:v>-1.3313023646069011E-2</c:v>
                </c:pt>
                <c:pt idx="56" formatCode="mm\-yyyy">
                  <c:v>3.2112873224191096E-2</c:v>
                </c:pt>
                <c:pt idx="57" formatCode="mm\-yyyy">
                  <c:v>8.1122976831390581E-2</c:v>
                </c:pt>
                <c:pt idx="58" formatCode="mm\-yyyy">
                  <c:v>7.5543674640825564E-2</c:v>
                </c:pt>
                <c:pt idx="59" formatCode="mm\-yyyy">
                  <c:v>8.1595318975139719E-2</c:v>
                </c:pt>
                <c:pt idx="60" formatCode="mm\-yyyy">
                  <c:v>7.6426612003309025E-2</c:v>
                </c:pt>
                <c:pt idx="61" formatCode="mm\-yyyy">
                  <c:v>0.10364335734820429</c:v>
                </c:pt>
                <c:pt idx="62" formatCode="mm\-yyyy">
                  <c:v>9.1731338178564492E-2</c:v>
                </c:pt>
              </c:numCache>
            </c:numRef>
          </c:val>
          <c:smooth val="0"/>
          <c:extLst>
            <c:ext xmlns:c16="http://schemas.microsoft.com/office/drawing/2014/chart" uri="{C3380CC4-5D6E-409C-BE32-E72D297353CC}">
              <c16:uniqueId val="{00000002-51F2-4937-B55C-FBC7921A472E}"/>
            </c:ext>
          </c:extLst>
        </c:ser>
        <c:dLbls>
          <c:showLegendKey val="0"/>
          <c:showVal val="0"/>
          <c:showCatName val="0"/>
          <c:showSerName val="0"/>
          <c:showPercent val="0"/>
          <c:showBubbleSize val="0"/>
        </c:dLbls>
        <c:smooth val="0"/>
        <c:axId val="234848640"/>
        <c:axId val="234850176"/>
      </c:lineChart>
      <c:dateAx>
        <c:axId val="234848640"/>
        <c:scaling>
          <c:orientation val="minMax"/>
        </c:scaling>
        <c:delete val="0"/>
        <c:axPos val="b"/>
        <c:numFmt formatCode="mm\-yy" sourceLinked="0"/>
        <c:majorTickMark val="out"/>
        <c:minorTickMark val="none"/>
        <c:tickLblPos val="low"/>
        <c:spPr>
          <a:ln>
            <a:solidFill>
              <a:schemeClr val="bg1">
                <a:lumMod val="75000"/>
              </a:schemeClr>
            </a:solidFill>
          </a:ln>
        </c:spPr>
        <c:txPr>
          <a:bodyPr rot="-2700000" vert="horz"/>
          <a:lstStyle/>
          <a:p>
            <a:pPr>
              <a:defRPr sz="1000" b="0" i="0" u="none" strike="noStrike" baseline="0">
                <a:solidFill>
                  <a:srgbClr val="000000"/>
                </a:solidFill>
                <a:latin typeface="Arial"/>
                <a:ea typeface="Arial"/>
                <a:cs typeface="Arial"/>
              </a:defRPr>
            </a:pPr>
            <a:endParaRPr lang="he-IL"/>
          </a:p>
        </c:txPr>
        <c:crossAx val="234850176"/>
        <c:crosses val="autoZero"/>
        <c:auto val="0"/>
        <c:lblOffset val="100"/>
        <c:baseTimeUnit val="months"/>
        <c:minorUnit val="2"/>
      </c:dateAx>
      <c:valAx>
        <c:axId val="234850176"/>
        <c:scaling>
          <c:orientation val="minMax"/>
        </c:scaling>
        <c:delete val="0"/>
        <c:axPos val="l"/>
        <c:numFmt formatCode="0%" sourceLinked="0"/>
        <c:majorTickMark val="out"/>
        <c:minorTickMark val="none"/>
        <c:tickLblPos val="nextTo"/>
        <c:spPr>
          <a:ln>
            <a:solidFill>
              <a:schemeClr val="bg1">
                <a:lumMod val="75000"/>
              </a:schemeClr>
            </a:solidFill>
          </a:ln>
        </c:spPr>
        <c:txPr>
          <a:bodyPr rot="0" vert="horz"/>
          <a:lstStyle/>
          <a:p>
            <a:pPr>
              <a:defRPr sz="1000" b="0" i="0" u="none" strike="noStrike" baseline="0">
                <a:solidFill>
                  <a:srgbClr val="000000"/>
                </a:solidFill>
                <a:latin typeface="Arial"/>
                <a:ea typeface="Arial"/>
                <a:cs typeface="Arial"/>
              </a:defRPr>
            </a:pPr>
            <a:endParaRPr lang="he-IL"/>
          </a:p>
        </c:txPr>
        <c:crossAx val="234848640"/>
        <c:crosses val="autoZero"/>
        <c:crossBetween val="midCat"/>
      </c:valAx>
    </c:plotArea>
    <c:legend>
      <c:legendPos val="l"/>
      <c:layout>
        <c:manualLayout>
          <c:xMode val="edge"/>
          <c:yMode val="edge"/>
          <c:x val="0.24944745365866977"/>
          <c:y val="4.8650026129284166E-2"/>
          <c:w val="0.66596602602828081"/>
          <c:h val="5.7416078023804065E-2"/>
        </c:manualLayout>
      </c:layout>
      <c:overlay val="0"/>
      <c:spPr>
        <a:solidFill>
          <a:sysClr val="window" lastClr="FFFFFF"/>
        </a:solidFill>
        <a:ln>
          <a:noFill/>
        </a:ln>
      </c:spPr>
      <c:txPr>
        <a:bodyPr/>
        <a:lstStyle/>
        <a:p>
          <a:pPr>
            <a:defRPr sz="900" b="0" i="0" u="none" strike="noStrike" baseline="0">
              <a:solidFill>
                <a:srgbClr val="000000"/>
              </a:solidFill>
              <a:latin typeface="Arial"/>
              <a:ea typeface="Arial"/>
              <a:cs typeface="Arial"/>
            </a:defRPr>
          </a:pPr>
          <a:endParaRPr lang="he-IL"/>
        </a:p>
      </c:txPr>
    </c:legend>
    <c:plotVisOnly val="1"/>
    <c:dispBlanksAs val="gap"/>
    <c:showDLblsOverMax val="0"/>
  </c:chart>
  <c:txPr>
    <a:bodyPr/>
    <a:lstStyle/>
    <a:p>
      <a:pPr>
        <a:defRPr sz="1000" b="0" i="0" u="none" strike="noStrike" baseline="0">
          <a:solidFill>
            <a:srgbClr val="000000"/>
          </a:solidFill>
          <a:latin typeface="Arial"/>
          <a:ea typeface="Arial"/>
          <a:cs typeface="Arial"/>
        </a:defRPr>
      </a:pPr>
      <a:endParaRPr lang="he-I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377437025973665E-2"/>
          <c:y val="0.14454864227332251"/>
          <c:w val="0.8957217847769029"/>
          <c:h val="0.59746301925559619"/>
        </c:manualLayout>
      </c:layout>
      <c:barChart>
        <c:barDir val="col"/>
        <c:grouping val="stacked"/>
        <c:varyColors val="0"/>
        <c:ser>
          <c:idx val="0"/>
          <c:order val="0"/>
          <c:tx>
            <c:strRef>
              <c:f>'[הודעה רבעונית לעיתונות אשראי מונגש (4).xlsx]הנפקות לפי ענפים'!$A$2</c:f>
              <c:strCache>
                <c:ptCount val="1"/>
                <c:pt idx="0">
                  <c:v>العقارات والبناء</c:v>
                </c:pt>
              </c:strCache>
            </c:strRef>
          </c:tx>
          <c:invertIfNegative val="0"/>
          <c:cat>
            <c:strRef>
              <c:f>'הודעה רבעונית לעיתונות אשראי מונגש (4).xlsx'!iss_dates</c:f>
              <c:strCache>
                <c:ptCount val="35"/>
                <c:pt idx="0">
                  <c:v>Q1/2014</c:v>
                </c:pt>
                <c:pt idx="1">
                  <c:v>Q2/2014</c:v>
                </c:pt>
                <c:pt idx="2">
                  <c:v>Q3/2014</c:v>
                </c:pt>
                <c:pt idx="3">
                  <c:v>Q4/2014</c:v>
                </c:pt>
                <c:pt idx="4">
                  <c:v>Q1/2015</c:v>
                </c:pt>
                <c:pt idx="5">
                  <c:v>Q2/2015</c:v>
                </c:pt>
                <c:pt idx="6">
                  <c:v>Q3/2015</c:v>
                </c:pt>
                <c:pt idx="7">
                  <c:v>Q4/2015</c:v>
                </c:pt>
                <c:pt idx="8">
                  <c:v>Q1/2016</c:v>
                </c:pt>
                <c:pt idx="9">
                  <c:v>Q2/2016</c:v>
                </c:pt>
                <c:pt idx="10">
                  <c:v>Q3/2016</c:v>
                </c:pt>
                <c:pt idx="11">
                  <c:v>Q4/2016</c:v>
                </c:pt>
                <c:pt idx="12">
                  <c:v>Q1/2017</c:v>
                </c:pt>
                <c:pt idx="13">
                  <c:v>Q2/2017</c:v>
                </c:pt>
                <c:pt idx="14">
                  <c:v>Q3/2017</c:v>
                </c:pt>
                <c:pt idx="15">
                  <c:v>Q4/2017</c:v>
                </c:pt>
                <c:pt idx="16">
                  <c:v>Q1/2018</c:v>
                </c:pt>
                <c:pt idx="17">
                  <c:v>Q2/2018</c:v>
                </c:pt>
                <c:pt idx="18">
                  <c:v>Q3/2018</c:v>
                </c:pt>
                <c:pt idx="19">
                  <c:v>Q4/2018</c:v>
                </c:pt>
                <c:pt idx="20">
                  <c:v>Q1/2019</c:v>
                </c:pt>
                <c:pt idx="21">
                  <c:v>Q2/2019</c:v>
                </c:pt>
                <c:pt idx="22">
                  <c:v>Q3/2019</c:v>
                </c:pt>
                <c:pt idx="23">
                  <c:v>Q4/2019</c:v>
                </c:pt>
                <c:pt idx="24">
                  <c:v>Q1/2020</c:v>
                </c:pt>
                <c:pt idx="25">
                  <c:v>Q2/2020</c:v>
                </c:pt>
                <c:pt idx="26">
                  <c:v>Q3/2020</c:v>
                </c:pt>
                <c:pt idx="27">
                  <c:v>Q4/2020</c:v>
                </c:pt>
                <c:pt idx="28">
                  <c:v>Q1/2021</c:v>
                </c:pt>
                <c:pt idx="29">
                  <c:v>Q2/2021</c:v>
                </c:pt>
                <c:pt idx="30">
                  <c:v>Q3/2021</c:v>
                </c:pt>
                <c:pt idx="31">
                  <c:v>Q4/2021</c:v>
                </c:pt>
                <c:pt idx="32">
                  <c:v>Q1/2022</c:v>
                </c:pt>
                <c:pt idx="33">
                  <c:v>Q2/2022</c:v>
                </c:pt>
                <c:pt idx="34">
                  <c:v>Q3/2022</c:v>
                </c:pt>
              </c:strCache>
            </c:strRef>
          </c:cat>
          <c:val>
            <c:numRef>
              <c:f>'הודעה רבעונית לעיתונות אשראי מונגש (4).xlsx'!iss_s1</c:f>
              <c:numCache>
                <c:formatCode>#,##0.0</c:formatCode>
                <c:ptCount val="35"/>
                <c:pt idx="0">
                  <c:v>1.6591</c:v>
                </c:pt>
                <c:pt idx="1">
                  <c:v>4.9755000000000003</c:v>
                </c:pt>
                <c:pt idx="2">
                  <c:v>4.3497000000000003</c:v>
                </c:pt>
                <c:pt idx="3">
                  <c:v>1.236</c:v>
                </c:pt>
                <c:pt idx="4">
                  <c:v>5.0966000000000005</c:v>
                </c:pt>
                <c:pt idx="5">
                  <c:v>3.4314</c:v>
                </c:pt>
                <c:pt idx="6">
                  <c:v>3.9177999999999997</c:v>
                </c:pt>
                <c:pt idx="7">
                  <c:v>2.8578999999999999</c:v>
                </c:pt>
                <c:pt idx="8">
                  <c:v>2.8444000000000003</c:v>
                </c:pt>
                <c:pt idx="9">
                  <c:v>3.5087000000000002</c:v>
                </c:pt>
                <c:pt idx="10">
                  <c:v>9.1470000000000002</c:v>
                </c:pt>
                <c:pt idx="11">
                  <c:v>2.2723000000000004</c:v>
                </c:pt>
                <c:pt idx="12">
                  <c:v>7.7620000000000005</c:v>
                </c:pt>
                <c:pt idx="13">
                  <c:v>5.1105</c:v>
                </c:pt>
                <c:pt idx="14">
                  <c:v>3.7382999999999997</c:v>
                </c:pt>
                <c:pt idx="15">
                  <c:v>3.5277000000000003</c:v>
                </c:pt>
                <c:pt idx="16">
                  <c:v>8.5813000000000006</c:v>
                </c:pt>
                <c:pt idx="17">
                  <c:v>5.5072999999999999</c:v>
                </c:pt>
                <c:pt idx="18">
                  <c:v>4.2292000000000005</c:v>
                </c:pt>
                <c:pt idx="19">
                  <c:v>2.7816999999999998</c:v>
                </c:pt>
                <c:pt idx="20">
                  <c:v>6.0297999999999998</c:v>
                </c:pt>
                <c:pt idx="21">
                  <c:v>5.1354000000000006</c:v>
                </c:pt>
                <c:pt idx="22">
                  <c:v>4.1612</c:v>
                </c:pt>
                <c:pt idx="23">
                  <c:v>8.3940350000000006</c:v>
                </c:pt>
                <c:pt idx="24">
                  <c:v>6.9366000000000003</c:v>
                </c:pt>
                <c:pt idx="25">
                  <c:v>6.4661</c:v>
                </c:pt>
                <c:pt idx="26">
                  <c:v>5.3592990149999995</c:v>
                </c:pt>
                <c:pt idx="27">
                  <c:v>5.2276499999999997</c:v>
                </c:pt>
                <c:pt idx="28">
                  <c:v>5.1825999999999999</c:v>
                </c:pt>
                <c:pt idx="29">
                  <c:v>5.6704999999999997</c:v>
                </c:pt>
                <c:pt idx="30">
                  <c:v>9.3888000000000016</c:v>
                </c:pt>
                <c:pt idx="31">
                  <c:v>8.525599999999999</c:v>
                </c:pt>
                <c:pt idx="32">
                  <c:v>7.8736790000000001</c:v>
                </c:pt>
                <c:pt idx="33">
                  <c:v>4.8493000000000004</c:v>
                </c:pt>
                <c:pt idx="34">
                  <c:v>9.984</c:v>
                </c:pt>
              </c:numCache>
            </c:numRef>
          </c:val>
          <c:extLst>
            <c:ext xmlns:c16="http://schemas.microsoft.com/office/drawing/2014/chart" uri="{C3380CC4-5D6E-409C-BE32-E72D297353CC}">
              <c16:uniqueId val="{00000000-A490-40C0-9AD1-39F97184740F}"/>
            </c:ext>
          </c:extLst>
        </c:ser>
        <c:ser>
          <c:idx val="1"/>
          <c:order val="1"/>
          <c:tx>
            <c:strRef>
              <c:f>'[הודעה רבעונית לעיתונות אשראי מונגש (4).xlsx]הנפקות לפי ענפים'!$A$3</c:f>
              <c:strCache>
                <c:ptCount val="1"/>
                <c:pt idx="0">
                  <c:v>التجارة والخدمات</c:v>
                </c:pt>
              </c:strCache>
            </c:strRef>
          </c:tx>
          <c:spPr>
            <a:solidFill>
              <a:schemeClr val="tx2"/>
            </a:solidFill>
          </c:spPr>
          <c:invertIfNegative val="0"/>
          <c:cat>
            <c:strRef>
              <c:f>'הודעה רבעונית לעיתונות אשראי מונגש (4).xlsx'!iss_dates</c:f>
              <c:strCache>
                <c:ptCount val="35"/>
                <c:pt idx="0">
                  <c:v>Q1/2014</c:v>
                </c:pt>
                <c:pt idx="1">
                  <c:v>Q2/2014</c:v>
                </c:pt>
                <c:pt idx="2">
                  <c:v>Q3/2014</c:v>
                </c:pt>
                <c:pt idx="3">
                  <c:v>Q4/2014</c:v>
                </c:pt>
                <c:pt idx="4">
                  <c:v>Q1/2015</c:v>
                </c:pt>
                <c:pt idx="5">
                  <c:v>Q2/2015</c:v>
                </c:pt>
                <c:pt idx="6">
                  <c:v>Q3/2015</c:v>
                </c:pt>
                <c:pt idx="7">
                  <c:v>Q4/2015</c:v>
                </c:pt>
                <c:pt idx="8">
                  <c:v>Q1/2016</c:v>
                </c:pt>
                <c:pt idx="9">
                  <c:v>Q2/2016</c:v>
                </c:pt>
                <c:pt idx="10">
                  <c:v>Q3/2016</c:v>
                </c:pt>
                <c:pt idx="11">
                  <c:v>Q4/2016</c:v>
                </c:pt>
                <c:pt idx="12">
                  <c:v>Q1/2017</c:v>
                </c:pt>
                <c:pt idx="13">
                  <c:v>Q2/2017</c:v>
                </c:pt>
                <c:pt idx="14">
                  <c:v>Q3/2017</c:v>
                </c:pt>
                <c:pt idx="15">
                  <c:v>Q4/2017</c:v>
                </c:pt>
                <c:pt idx="16">
                  <c:v>Q1/2018</c:v>
                </c:pt>
                <c:pt idx="17">
                  <c:v>Q2/2018</c:v>
                </c:pt>
                <c:pt idx="18">
                  <c:v>Q3/2018</c:v>
                </c:pt>
                <c:pt idx="19">
                  <c:v>Q4/2018</c:v>
                </c:pt>
                <c:pt idx="20">
                  <c:v>Q1/2019</c:v>
                </c:pt>
                <c:pt idx="21">
                  <c:v>Q2/2019</c:v>
                </c:pt>
                <c:pt idx="22">
                  <c:v>Q3/2019</c:v>
                </c:pt>
                <c:pt idx="23">
                  <c:v>Q4/2019</c:v>
                </c:pt>
                <c:pt idx="24">
                  <c:v>Q1/2020</c:v>
                </c:pt>
                <c:pt idx="25">
                  <c:v>Q2/2020</c:v>
                </c:pt>
                <c:pt idx="26">
                  <c:v>Q3/2020</c:v>
                </c:pt>
                <c:pt idx="27">
                  <c:v>Q4/2020</c:v>
                </c:pt>
                <c:pt idx="28">
                  <c:v>Q1/2021</c:v>
                </c:pt>
                <c:pt idx="29">
                  <c:v>Q2/2021</c:v>
                </c:pt>
                <c:pt idx="30">
                  <c:v>Q3/2021</c:v>
                </c:pt>
                <c:pt idx="31">
                  <c:v>Q4/2021</c:v>
                </c:pt>
                <c:pt idx="32">
                  <c:v>Q1/2022</c:v>
                </c:pt>
                <c:pt idx="33">
                  <c:v>Q2/2022</c:v>
                </c:pt>
                <c:pt idx="34">
                  <c:v>Q3/2022</c:v>
                </c:pt>
              </c:strCache>
            </c:strRef>
          </c:cat>
          <c:val>
            <c:numRef>
              <c:f>'הודעה רבעונית לעיתונות אשראי מונגש (4).xlsx'!iss_s2</c:f>
              <c:numCache>
                <c:formatCode>#,##0.0</c:formatCode>
                <c:ptCount val="35"/>
                <c:pt idx="0">
                  <c:v>2.0798999999999999</c:v>
                </c:pt>
                <c:pt idx="1">
                  <c:v>3.0135000000000001</c:v>
                </c:pt>
                <c:pt idx="2">
                  <c:v>2.0399059999999998</c:v>
                </c:pt>
                <c:pt idx="3">
                  <c:v>0.24340000000000001</c:v>
                </c:pt>
                <c:pt idx="4">
                  <c:v>2.6713899999999997</c:v>
                </c:pt>
                <c:pt idx="5">
                  <c:v>1.45485</c:v>
                </c:pt>
                <c:pt idx="6">
                  <c:v>1.4422999999999999</c:v>
                </c:pt>
                <c:pt idx="7">
                  <c:v>3.1543999999999994</c:v>
                </c:pt>
                <c:pt idx="8">
                  <c:v>2.6868000000000003</c:v>
                </c:pt>
                <c:pt idx="9">
                  <c:v>2.3902999999999999</c:v>
                </c:pt>
                <c:pt idx="10">
                  <c:v>7.2437000000000005</c:v>
                </c:pt>
                <c:pt idx="11">
                  <c:v>1.9291</c:v>
                </c:pt>
                <c:pt idx="12">
                  <c:v>1.7873999999999999</c:v>
                </c:pt>
                <c:pt idx="13">
                  <c:v>1.0558999999999998</c:v>
                </c:pt>
                <c:pt idx="14">
                  <c:v>1.6337999999999999</c:v>
                </c:pt>
                <c:pt idx="15">
                  <c:v>1.3485</c:v>
                </c:pt>
                <c:pt idx="16">
                  <c:v>1.8870999999999998</c:v>
                </c:pt>
                <c:pt idx="17">
                  <c:v>0.92490000000000006</c:v>
                </c:pt>
                <c:pt idx="18">
                  <c:v>1.1923999999999999</c:v>
                </c:pt>
                <c:pt idx="19">
                  <c:v>2.56</c:v>
                </c:pt>
                <c:pt idx="20">
                  <c:v>1.069</c:v>
                </c:pt>
                <c:pt idx="21">
                  <c:v>2.6106000000000003</c:v>
                </c:pt>
                <c:pt idx="22">
                  <c:v>1.8754999999999999</c:v>
                </c:pt>
                <c:pt idx="23">
                  <c:v>1.9035000000000002</c:v>
                </c:pt>
                <c:pt idx="24">
                  <c:v>1.6427999999999998</c:v>
                </c:pt>
                <c:pt idx="25">
                  <c:v>1.4554</c:v>
                </c:pt>
                <c:pt idx="26">
                  <c:v>1.0167999999999999</c:v>
                </c:pt>
                <c:pt idx="27">
                  <c:v>0.6734</c:v>
                </c:pt>
                <c:pt idx="28">
                  <c:v>2.3182999999999998</c:v>
                </c:pt>
                <c:pt idx="29">
                  <c:v>1.1254999999999999</c:v>
                </c:pt>
                <c:pt idx="30">
                  <c:v>0.43330000000000002</c:v>
                </c:pt>
                <c:pt idx="31">
                  <c:v>1.8005</c:v>
                </c:pt>
                <c:pt idx="32">
                  <c:v>0.97360000000000002</c:v>
                </c:pt>
                <c:pt idx="33">
                  <c:v>3.6414999999999997</c:v>
                </c:pt>
                <c:pt idx="34">
                  <c:v>1.3456000000000001</c:v>
                </c:pt>
              </c:numCache>
            </c:numRef>
          </c:val>
          <c:extLst>
            <c:ext xmlns:c16="http://schemas.microsoft.com/office/drawing/2014/chart" uri="{C3380CC4-5D6E-409C-BE32-E72D297353CC}">
              <c16:uniqueId val="{00000001-A490-40C0-9AD1-39F97184740F}"/>
            </c:ext>
          </c:extLst>
        </c:ser>
        <c:ser>
          <c:idx val="2"/>
          <c:order val="2"/>
          <c:tx>
            <c:strRef>
              <c:f>'[הודעה רבעונית לעיתונות אשראי מונגש (4).xlsx]הנפקות לפי ענפים'!$A$4</c:f>
              <c:strCache>
                <c:ptCount val="1"/>
                <c:pt idx="0">
                  <c:v>الاستثمارات</c:v>
                </c:pt>
              </c:strCache>
            </c:strRef>
          </c:tx>
          <c:spPr>
            <a:solidFill>
              <a:schemeClr val="bg1">
                <a:lumMod val="65000"/>
              </a:schemeClr>
            </a:solidFill>
          </c:spPr>
          <c:invertIfNegative val="0"/>
          <c:cat>
            <c:strRef>
              <c:f>'הודעה רבעונית לעיתונות אשראי מונגש (4).xlsx'!iss_dates</c:f>
              <c:strCache>
                <c:ptCount val="35"/>
                <c:pt idx="0">
                  <c:v>Q1/2014</c:v>
                </c:pt>
                <c:pt idx="1">
                  <c:v>Q2/2014</c:v>
                </c:pt>
                <c:pt idx="2">
                  <c:v>Q3/2014</c:v>
                </c:pt>
                <c:pt idx="3">
                  <c:v>Q4/2014</c:v>
                </c:pt>
                <c:pt idx="4">
                  <c:v>Q1/2015</c:v>
                </c:pt>
                <c:pt idx="5">
                  <c:v>Q2/2015</c:v>
                </c:pt>
                <c:pt idx="6">
                  <c:v>Q3/2015</c:v>
                </c:pt>
                <c:pt idx="7">
                  <c:v>Q4/2015</c:v>
                </c:pt>
                <c:pt idx="8">
                  <c:v>Q1/2016</c:v>
                </c:pt>
                <c:pt idx="9">
                  <c:v>Q2/2016</c:v>
                </c:pt>
                <c:pt idx="10">
                  <c:v>Q3/2016</c:v>
                </c:pt>
                <c:pt idx="11">
                  <c:v>Q4/2016</c:v>
                </c:pt>
                <c:pt idx="12">
                  <c:v>Q1/2017</c:v>
                </c:pt>
                <c:pt idx="13">
                  <c:v>Q2/2017</c:v>
                </c:pt>
                <c:pt idx="14">
                  <c:v>Q3/2017</c:v>
                </c:pt>
                <c:pt idx="15">
                  <c:v>Q4/2017</c:v>
                </c:pt>
                <c:pt idx="16">
                  <c:v>Q1/2018</c:v>
                </c:pt>
                <c:pt idx="17">
                  <c:v>Q2/2018</c:v>
                </c:pt>
                <c:pt idx="18">
                  <c:v>Q3/2018</c:v>
                </c:pt>
                <c:pt idx="19">
                  <c:v>Q4/2018</c:v>
                </c:pt>
                <c:pt idx="20">
                  <c:v>Q1/2019</c:v>
                </c:pt>
                <c:pt idx="21">
                  <c:v>Q2/2019</c:v>
                </c:pt>
                <c:pt idx="22">
                  <c:v>Q3/2019</c:v>
                </c:pt>
                <c:pt idx="23">
                  <c:v>Q4/2019</c:v>
                </c:pt>
                <c:pt idx="24">
                  <c:v>Q1/2020</c:v>
                </c:pt>
                <c:pt idx="25">
                  <c:v>Q2/2020</c:v>
                </c:pt>
                <c:pt idx="26">
                  <c:v>Q3/2020</c:v>
                </c:pt>
                <c:pt idx="27">
                  <c:v>Q4/2020</c:v>
                </c:pt>
                <c:pt idx="28">
                  <c:v>Q1/2021</c:v>
                </c:pt>
                <c:pt idx="29">
                  <c:v>Q2/2021</c:v>
                </c:pt>
                <c:pt idx="30">
                  <c:v>Q3/2021</c:v>
                </c:pt>
                <c:pt idx="31">
                  <c:v>Q4/2021</c:v>
                </c:pt>
                <c:pt idx="32">
                  <c:v>Q1/2022</c:v>
                </c:pt>
                <c:pt idx="33">
                  <c:v>Q2/2022</c:v>
                </c:pt>
                <c:pt idx="34">
                  <c:v>Q3/2022</c:v>
                </c:pt>
              </c:strCache>
            </c:strRef>
          </c:cat>
          <c:val>
            <c:numRef>
              <c:f>'הודעה רבעונית לעיתונות אשראי מונגש (4).xlsx'!iss_s3</c:f>
              <c:numCache>
                <c:formatCode>#,##0.0</c:formatCode>
                <c:ptCount val="35"/>
                <c:pt idx="0">
                  <c:v>5.6599999999999998E-2</c:v>
                </c:pt>
                <c:pt idx="1">
                  <c:v>1.2962</c:v>
                </c:pt>
                <c:pt idx="2">
                  <c:v>0.28000000000000003</c:v>
                </c:pt>
                <c:pt idx="3">
                  <c:v>0.22869999999999999</c:v>
                </c:pt>
                <c:pt idx="4">
                  <c:v>1.04</c:v>
                </c:pt>
                <c:pt idx="5">
                  <c:v>0.15210000000000001</c:v>
                </c:pt>
                <c:pt idx="6">
                  <c:v>0.46089999999999998</c:v>
                </c:pt>
                <c:pt idx="7">
                  <c:v>1.3220000000000001</c:v>
                </c:pt>
                <c:pt idx="8">
                  <c:v>0.77790000000000004</c:v>
                </c:pt>
                <c:pt idx="9">
                  <c:v>1.3655000000000002</c:v>
                </c:pt>
                <c:pt idx="10">
                  <c:v>2.1095999999999999</c:v>
                </c:pt>
                <c:pt idx="11">
                  <c:v>1.5863</c:v>
                </c:pt>
                <c:pt idx="12">
                  <c:v>3.4398999999999997</c:v>
                </c:pt>
                <c:pt idx="13">
                  <c:v>0.4073</c:v>
                </c:pt>
                <c:pt idx="14">
                  <c:v>0.8619</c:v>
                </c:pt>
                <c:pt idx="15">
                  <c:v>1.1301000000000001</c:v>
                </c:pt>
                <c:pt idx="16">
                  <c:v>1.7745000000000002</c:v>
                </c:pt>
                <c:pt idx="17">
                  <c:v>0.42209999999999998</c:v>
                </c:pt>
                <c:pt idx="18">
                  <c:v>0</c:v>
                </c:pt>
                <c:pt idx="19">
                  <c:v>0.76080000000000003</c:v>
                </c:pt>
                <c:pt idx="20">
                  <c:v>0.55349999999999999</c:v>
                </c:pt>
                <c:pt idx="21">
                  <c:v>0.2581</c:v>
                </c:pt>
                <c:pt idx="22">
                  <c:v>0.2707</c:v>
                </c:pt>
                <c:pt idx="23">
                  <c:v>2.4085000000000001</c:v>
                </c:pt>
                <c:pt idx="24">
                  <c:v>6.4500000000000002E-2</c:v>
                </c:pt>
                <c:pt idx="25">
                  <c:v>0.35519000000000001</c:v>
                </c:pt>
                <c:pt idx="26">
                  <c:v>0.39460000000000001</c:v>
                </c:pt>
                <c:pt idx="27">
                  <c:v>0.71230000000000004</c:v>
                </c:pt>
                <c:pt idx="28">
                  <c:v>0.48980000000000001</c:v>
                </c:pt>
                <c:pt idx="29">
                  <c:v>0.90680000000000005</c:v>
                </c:pt>
                <c:pt idx="30">
                  <c:v>0.7177</c:v>
                </c:pt>
                <c:pt idx="31">
                  <c:v>0.62439999999999996</c:v>
                </c:pt>
                <c:pt idx="32">
                  <c:v>0.75019999999999998</c:v>
                </c:pt>
                <c:pt idx="33">
                  <c:v>0.12870000000000001</c:v>
                </c:pt>
                <c:pt idx="34">
                  <c:v>1.1196000000000002</c:v>
                </c:pt>
              </c:numCache>
            </c:numRef>
          </c:val>
          <c:extLst>
            <c:ext xmlns:c16="http://schemas.microsoft.com/office/drawing/2014/chart" uri="{C3380CC4-5D6E-409C-BE32-E72D297353CC}">
              <c16:uniqueId val="{00000002-A490-40C0-9AD1-39F97184740F}"/>
            </c:ext>
          </c:extLst>
        </c:ser>
        <c:ser>
          <c:idx val="3"/>
          <c:order val="3"/>
          <c:tx>
            <c:strRef>
              <c:f>'[הודעה רבעונית לעיתונות אשראי מונגש (4).xlsx]הנפקות לפי ענפים'!$A$5</c:f>
              <c:strCache>
                <c:ptCount val="1"/>
                <c:pt idx="0">
                  <c:v>الصناعة والغاز*</c:v>
                </c:pt>
              </c:strCache>
            </c:strRef>
          </c:tx>
          <c:spPr>
            <a:solidFill>
              <a:schemeClr val="accent1">
                <a:lumMod val="40000"/>
                <a:lumOff val="60000"/>
              </a:schemeClr>
            </a:solidFill>
          </c:spPr>
          <c:invertIfNegative val="0"/>
          <c:cat>
            <c:strRef>
              <c:f>'הודעה רבעונית לעיתונות אשראי מונגש (4).xlsx'!iss_dates</c:f>
              <c:strCache>
                <c:ptCount val="35"/>
                <c:pt idx="0">
                  <c:v>Q1/2014</c:v>
                </c:pt>
                <c:pt idx="1">
                  <c:v>Q2/2014</c:v>
                </c:pt>
                <c:pt idx="2">
                  <c:v>Q3/2014</c:v>
                </c:pt>
                <c:pt idx="3">
                  <c:v>Q4/2014</c:v>
                </c:pt>
                <c:pt idx="4">
                  <c:v>Q1/2015</c:v>
                </c:pt>
                <c:pt idx="5">
                  <c:v>Q2/2015</c:v>
                </c:pt>
                <c:pt idx="6">
                  <c:v>Q3/2015</c:v>
                </c:pt>
                <c:pt idx="7">
                  <c:v>Q4/2015</c:v>
                </c:pt>
                <c:pt idx="8">
                  <c:v>Q1/2016</c:v>
                </c:pt>
                <c:pt idx="9">
                  <c:v>Q2/2016</c:v>
                </c:pt>
                <c:pt idx="10">
                  <c:v>Q3/2016</c:v>
                </c:pt>
                <c:pt idx="11">
                  <c:v>Q4/2016</c:v>
                </c:pt>
                <c:pt idx="12">
                  <c:v>Q1/2017</c:v>
                </c:pt>
                <c:pt idx="13">
                  <c:v>Q2/2017</c:v>
                </c:pt>
                <c:pt idx="14">
                  <c:v>Q3/2017</c:v>
                </c:pt>
                <c:pt idx="15">
                  <c:v>Q4/2017</c:v>
                </c:pt>
                <c:pt idx="16">
                  <c:v>Q1/2018</c:v>
                </c:pt>
                <c:pt idx="17">
                  <c:v>Q2/2018</c:v>
                </c:pt>
                <c:pt idx="18">
                  <c:v>Q3/2018</c:v>
                </c:pt>
                <c:pt idx="19">
                  <c:v>Q4/2018</c:v>
                </c:pt>
                <c:pt idx="20">
                  <c:v>Q1/2019</c:v>
                </c:pt>
                <c:pt idx="21">
                  <c:v>Q2/2019</c:v>
                </c:pt>
                <c:pt idx="22">
                  <c:v>Q3/2019</c:v>
                </c:pt>
                <c:pt idx="23">
                  <c:v>Q4/2019</c:v>
                </c:pt>
                <c:pt idx="24">
                  <c:v>Q1/2020</c:v>
                </c:pt>
                <c:pt idx="25">
                  <c:v>Q2/2020</c:v>
                </c:pt>
                <c:pt idx="26">
                  <c:v>Q3/2020</c:v>
                </c:pt>
                <c:pt idx="27">
                  <c:v>Q4/2020</c:v>
                </c:pt>
                <c:pt idx="28">
                  <c:v>Q1/2021</c:v>
                </c:pt>
                <c:pt idx="29">
                  <c:v>Q2/2021</c:v>
                </c:pt>
                <c:pt idx="30">
                  <c:v>Q3/2021</c:v>
                </c:pt>
                <c:pt idx="31">
                  <c:v>Q4/2021</c:v>
                </c:pt>
                <c:pt idx="32">
                  <c:v>Q1/2022</c:v>
                </c:pt>
                <c:pt idx="33">
                  <c:v>Q2/2022</c:v>
                </c:pt>
                <c:pt idx="34">
                  <c:v>Q3/2022</c:v>
                </c:pt>
              </c:strCache>
            </c:strRef>
          </c:cat>
          <c:val>
            <c:numRef>
              <c:f>'הודעה רבעונית לעיתונות אשראי מונגש (4).xlsx'!iss_s4</c:f>
              <c:numCache>
                <c:formatCode>#,##0.0</c:formatCode>
                <c:ptCount val="35"/>
                <c:pt idx="0">
                  <c:v>0.93440000000000001</c:v>
                </c:pt>
                <c:pt idx="1">
                  <c:v>2.8523999999999998</c:v>
                </c:pt>
                <c:pt idx="2">
                  <c:v>2.5258000000000003</c:v>
                </c:pt>
                <c:pt idx="3">
                  <c:v>1.479494694</c:v>
                </c:pt>
                <c:pt idx="4">
                  <c:v>0.68959999999999999</c:v>
                </c:pt>
                <c:pt idx="5">
                  <c:v>0.73770000000000002</c:v>
                </c:pt>
                <c:pt idx="6">
                  <c:v>1.0321</c:v>
                </c:pt>
                <c:pt idx="7">
                  <c:v>0.44579999999999997</c:v>
                </c:pt>
                <c:pt idx="8">
                  <c:v>7.5999999999999998E-2</c:v>
                </c:pt>
                <c:pt idx="9">
                  <c:v>2.5890999999999997</c:v>
                </c:pt>
                <c:pt idx="10">
                  <c:v>0.38150000000000001</c:v>
                </c:pt>
                <c:pt idx="11">
                  <c:v>2.1583999999999999</c:v>
                </c:pt>
                <c:pt idx="12">
                  <c:v>3.5787000000000004</c:v>
                </c:pt>
                <c:pt idx="13">
                  <c:v>2.7528000000000001</c:v>
                </c:pt>
                <c:pt idx="14">
                  <c:v>3.7726999999999999</c:v>
                </c:pt>
                <c:pt idx="15">
                  <c:v>4.1826999999999996</c:v>
                </c:pt>
                <c:pt idx="16">
                  <c:v>2.5558999999999998</c:v>
                </c:pt>
                <c:pt idx="17">
                  <c:v>1.8940999999999999</c:v>
                </c:pt>
                <c:pt idx="18">
                  <c:v>0</c:v>
                </c:pt>
                <c:pt idx="19">
                  <c:v>1.7115</c:v>
                </c:pt>
                <c:pt idx="20">
                  <c:v>1.0958999999999999</c:v>
                </c:pt>
                <c:pt idx="21">
                  <c:v>1.2114</c:v>
                </c:pt>
                <c:pt idx="22">
                  <c:v>1.1920000000000002</c:v>
                </c:pt>
                <c:pt idx="23">
                  <c:v>1.3543000000000001</c:v>
                </c:pt>
                <c:pt idx="24">
                  <c:v>1.6096999999999999</c:v>
                </c:pt>
                <c:pt idx="25">
                  <c:v>3.1120000000000001</c:v>
                </c:pt>
                <c:pt idx="26">
                  <c:v>1.87843048</c:v>
                </c:pt>
                <c:pt idx="27">
                  <c:v>2.0465999999999998</c:v>
                </c:pt>
                <c:pt idx="28">
                  <c:v>1.6093999999999997</c:v>
                </c:pt>
                <c:pt idx="29">
                  <c:v>2.1396999999999999</c:v>
                </c:pt>
                <c:pt idx="30">
                  <c:v>6.4635999999999996</c:v>
                </c:pt>
                <c:pt idx="31">
                  <c:v>2.411</c:v>
                </c:pt>
                <c:pt idx="32">
                  <c:v>0.53213969999999999</c:v>
                </c:pt>
                <c:pt idx="33">
                  <c:v>2.4337999999999997</c:v>
                </c:pt>
                <c:pt idx="34">
                  <c:v>4.2078711999999996</c:v>
                </c:pt>
              </c:numCache>
            </c:numRef>
          </c:val>
          <c:extLst>
            <c:ext xmlns:c16="http://schemas.microsoft.com/office/drawing/2014/chart" uri="{C3380CC4-5D6E-409C-BE32-E72D297353CC}">
              <c16:uniqueId val="{00000003-A490-40C0-9AD1-39F97184740F}"/>
            </c:ext>
          </c:extLst>
        </c:ser>
        <c:ser>
          <c:idx val="4"/>
          <c:order val="4"/>
          <c:tx>
            <c:strRef>
              <c:f>'[הודעה רבעונית לעיתונות אשראי מונגש (4).xlsx]הנפקות לפי ענפים'!$A$6</c:f>
              <c:strCache>
                <c:ptCount val="1"/>
                <c:pt idx="0">
                  <c:v>المال</c:v>
                </c:pt>
              </c:strCache>
            </c:strRef>
          </c:tx>
          <c:invertIfNegative val="0"/>
          <c:cat>
            <c:strRef>
              <c:f>'הודעה רבעונית לעיתונות אשראי מונגש (4).xlsx'!iss_dates</c:f>
              <c:strCache>
                <c:ptCount val="35"/>
                <c:pt idx="0">
                  <c:v>Q1/2014</c:v>
                </c:pt>
                <c:pt idx="1">
                  <c:v>Q2/2014</c:v>
                </c:pt>
                <c:pt idx="2">
                  <c:v>Q3/2014</c:v>
                </c:pt>
                <c:pt idx="3">
                  <c:v>Q4/2014</c:v>
                </c:pt>
                <c:pt idx="4">
                  <c:v>Q1/2015</c:v>
                </c:pt>
                <c:pt idx="5">
                  <c:v>Q2/2015</c:v>
                </c:pt>
                <c:pt idx="6">
                  <c:v>Q3/2015</c:v>
                </c:pt>
                <c:pt idx="7">
                  <c:v>Q4/2015</c:v>
                </c:pt>
                <c:pt idx="8">
                  <c:v>Q1/2016</c:v>
                </c:pt>
                <c:pt idx="9">
                  <c:v>Q2/2016</c:v>
                </c:pt>
                <c:pt idx="10">
                  <c:v>Q3/2016</c:v>
                </c:pt>
                <c:pt idx="11">
                  <c:v>Q4/2016</c:v>
                </c:pt>
                <c:pt idx="12">
                  <c:v>Q1/2017</c:v>
                </c:pt>
                <c:pt idx="13">
                  <c:v>Q2/2017</c:v>
                </c:pt>
                <c:pt idx="14">
                  <c:v>Q3/2017</c:v>
                </c:pt>
                <c:pt idx="15">
                  <c:v>Q4/2017</c:v>
                </c:pt>
                <c:pt idx="16">
                  <c:v>Q1/2018</c:v>
                </c:pt>
                <c:pt idx="17">
                  <c:v>Q2/2018</c:v>
                </c:pt>
                <c:pt idx="18">
                  <c:v>Q3/2018</c:v>
                </c:pt>
                <c:pt idx="19">
                  <c:v>Q4/2018</c:v>
                </c:pt>
                <c:pt idx="20">
                  <c:v>Q1/2019</c:v>
                </c:pt>
                <c:pt idx="21">
                  <c:v>Q2/2019</c:v>
                </c:pt>
                <c:pt idx="22">
                  <c:v>Q3/2019</c:v>
                </c:pt>
                <c:pt idx="23">
                  <c:v>Q4/2019</c:v>
                </c:pt>
                <c:pt idx="24">
                  <c:v>Q1/2020</c:v>
                </c:pt>
                <c:pt idx="25">
                  <c:v>Q2/2020</c:v>
                </c:pt>
                <c:pt idx="26">
                  <c:v>Q3/2020</c:v>
                </c:pt>
                <c:pt idx="27">
                  <c:v>Q4/2020</c:v>
                </c:pt>
                <c:pt idx="28">
                  <c:v>Q1/2021</c:v>
                </c:pt>
                <c:pt idx="29">
                  <c:v>Q2/2021</c:v>
                </c:pt>
                <c:pt idx="30">
                  <c:v>Q3/2021</c:v>
                </c:pt>
                <c:pt idx="31">
                  <c:v>Q4/2021</c:v>
                </c:pt>
                <c:pt idx="32">
                  <c:v>Q1/2022</c:v>
                </c:pt>
                <c:pt idx="33">
                  <c:v>Q2/2022</c:v>
                </c:pt>
                <c:pt idx="34">
                  <c:v>Q3/2022</c:v>
                </c:pt>
              </c:strCache>
            </c:strRef>
          </c:cat>
          <c:val>
            <c:numRef>
              <c:f>'הודעה רבעונית לעיתונות אשראי מונגש (4).xlsx'!iss_s5</c:f>
              <c:numCache>
                <c:formatCode>#,##0.0</c:formatCode>
                <c:ptCount val="35"/>
                <c:pt idx="0">
                  <c:v>0</c:v>
                </c:pt>
                <c:pt idx="1">
                  <c:v>0</c:v>
                </c:pt>
                <c:pt idx="2">
                  <c:v>0.1241</c:v>
                </c:pt>
                <c:pt idx="3">
                  <c:v>8.8800000000000004E-2</c:v>
                </c:pt>
                <c:pt idx="4">
                  <c:v>0</c:v>
                </c:pt>
                <c:pt idx="5">
                  <c:v>0</c:v>
                </c:pt>
                <c:pt idx="6">
                  <c:v>0.28051000000000004</c:v>
                </c:pt>
                <c:pt idx="7">
                  <c:v>0</c:v>
                </c:pt>
                <c:pt idx="8">
                  <c:v>0.54469000000000001</c:v>
                </c:pt>
                <c:pt idx="9">
                  <c:v>1.6E-2</c:v>
                </c:pt>
                <c:pt idx="10">
                  <c:v>0.25480000000000003</c:v>
                </c:pt>
                <c:pt idx="11">
                  <c:v>0.55499999999999994</c:v>
                </c:pt>
                <c:pt idx="12">
                  <c:v>0.42359999999999998</c:v>
                </c:pt>
                <c:pt idx="13">
                  <c:v>0.47140000000000004</c:v>
                </c:pt>
                <c:pt idx="14">
                  <c:v>0.52070700000000003</c:v>
                </c:pt>
                <c:pt idx="15">
                  <c:v>0.70374999999999999</c:v>
                </c:pt>
                <c:pt idx="16">
                  <c:v>0.42449999999999999</c:v>
                </c:pt>
                <c:pt idx="17">
                  <c:v>0.65569999999999995</c:v>
                </c:pt>
                <c:pt idx="18">
                  <c:v>0.86050000000000004</c:v>
                </c:pt>
                <c:pt idx="19">
                  <c:v>0.2253</c:v>
                </c:pt>
                <c:pt idx="20">
                  <c:v>0.17659999999999998</c:v>
                </c:pt>
                <c:pt idx="21">
                  <c:v>0.18079999999999996</c:v>
                </c:pt>
                <c:pt idx="22">
                  <c:v>0.49504999999999999</c:v>
                </c:pt>
                <c:pt idx="23">
                  <c:v>1.4998899999999999</c:v>
                </c:pt>
                <c:pt idx="24">
                  <c:v>0.377</c:v>
                </c:pt>
                <c:pt idx="25">
                  <c:v>0.26669999999999999</c:v>
                </c:pt>
                <c:pt idx="26">
                  <c:v>0.38119999999999998</c:v>
                </c:pt>
                <c:pt idx="27">
                  <c:v>0.95496000000000003</c:v>
                </c:pt>
                <c:pt idx="28">
                  <c:v>0.61685000000000001</c:v>
                </c:pt>
                <c:pt idx="29">
                  <c:v>1.22645</c:v>
                </c:pt>
                <c:pt idx="30">
                  <c:v>0.81189999999999996</c:v>
                </c:pt>
                <c:pt idx="31">
                  <c:v>1.05782</c:v>
                </c:pt>
                <c:pt idx="32">
                  <c:v>1.6118000000000001</c:v>
                </c:pt>
                <c:pt idx="33">
                  <c:v>1.395</c:v>
                </c:pt>
                <c:pt idx="34">
                  <c:v>1.3049999999999999</c:v>
                </c:pt>
              </c:numCache>
            </c:numRef>
          </c:val>
          <c:extLst>
            <c:ext xmlns:c16="http://schemas.microsoft.com/office/drawing/2014/chart" uri="{C3380CC4-5D6E-409C-BE32-E72D297353CC}">
              <c16:uniqueId val="{00000004-A490-40C0-9AD1-39F97184740F}"/>
            </c:ext>
          </c:extLst>
        </c:ser>
        <c:dLbls>
          <c:showLegendKey val="0"/>
          <c:showVal val="0"/>
          <c:showCatName val="0"/>
          <c:showSerName val="0"/>
          <c:showPercent val="0"/>
          <c:showBubbleSize val="0"/>
        </c:dLbls>
        <c:gapWidth val="65"/>
        <c:overlap val="100"/>
        <c:axId val="226995200"/>
        <c:axId val="227009280"/>
      </c:barChart>
      <c:catAx>
        <c:axId val="226995200"/>
        <c:scaling>
          <c:orientation val="minMax"/>
        </c:scaling>
        <c:delete val="0"/>
        <c:axPos val="b"/>
        <c:numFmt formatCode="General" sourceLinked="1"/>
        <c:majorTickMark val="out"/>
        <c:minorTickMark val="none"/>
        <c:tickLblPos val="nextTo"/>
        <c:txPr>
          <a:bodyPr rot="-2700000"/>
          <a:lstStyle/>
          <a:p>
            <a:pPr>
              <a:defRPr sz="800"/>
            </a:pPr>
            <a:endParaRPr lang="he-IL"/>
          </a:p>
        </c:txPr>
        <c:crossAx val="227009280"/>
        <c:crosses val="autoZero"/>
        <c:auto val="0"/>
        <c:lblAlgn val="ctr"/>
        <c:lblOffset val="100"/>
        <c:noMultiLvlLbl val="0"/>
      </c:catAx>
      <c:valAx>
        <c:axId val="227009280"/>
        <c:scaling>
          <c:orientation val="minMax"/>
          <c:max val="20"/>
        </c:scaling>
        <c:delete val="0"/>
        <c:axPos val="l"/>
        <c:title>
          <c:tx>
            <c:rich>
              <a:bodyPr rot="0" vert="horz"/>
              <a:lstStyle/>
              <a:p>
                <a:pPr>
                  <a:defRPr/>
                </a:pPr>
                <a:r>
                  <a:rPr lang="ar-SA" sz="800" b="0"/>
                  <a:t>مليارات الشواكل،</a:t>
                </a:r>
                <a:endParaRPr lang="he-IL" sz="800" b="0"/>
              </a:p>
              <a:p>
                <a:pPr>
                  <a:defRPr/>
                </a:pPr>
                <a:r>
                  <a:rPr lang="ar-SA" sz="800" b="0"/>
                  <a:t>الأسعار</a:t>
                </a:r>
                <a:r>
                  <a:rPr lang="ar-SA" sz="800" b="0" baseline="0"/>
                  <a:t> الجارية</a:t>
                </a:r>
                <a:endParaRPr lang="he-IL" sz="800" b="0"/>
              </a:p>
            </c:rich>
          </c:tx>
          <c:layout>
            <c:manualLayout>
              <c:xMode val="edge"/>
              <c:yMode val="edge"/>
              <c:x val="2.4130182304801153E-3"/>
              <c:y val="7.3481936363555449E-3"/>
            </c:manualLayout>
          </c:layout>
          <c:overlay val="0"/>
        </c:title>
        <c:numFmt formatCode="#,##0" sourceLinked="0"/>
        <c:majorTickMark val="out"/>
        <c:minorTickMark val="none"/>
        <c:tickLblPos val="nextTo"/>
        <c:txPr>
          <a:bodyPr/>
          <a:lstStyle/>
          <a:p>
            <a:pPr>
              <a:defRPr sz="800"/>
            </a:pPr>
            <a:endParaRPr lang="he-IL"/>
          </a:p>
        </c:txPr>
        <c:crossAx val="226995200"/>
        <c:crosses val="autoZero"/>
        <c:crossBetween val="between"/>
        <c:majorUnit val="5"/>
      </c:valAx>
    </c:plotArea>
    <c:legend>
      <c:legendPos val="b"/>
      <c:layout>
        <c:manualLayout>
          <c:xMode val="edge"/>
          <c:yMode val="edge"/>
          <c:x val="0.13132175300076088"/>
          <c:y val="3.8015160449019293E-2"/>
          <c:w val="0.81742895988328756"/>
          <c:h val="0.11551017623469922"/>
        </c:manualLayout>
      </c:layout>
      <c:overlay val="0"/>
      <c:spPr>
        <a:ln>
          <a:noFill/>
        </a:ln>
      </c:spPr>
      <c:txPr>
        <a:bodyPr/>
        <a:lstStyle/>
        <a:p>
          <a:pPr>
            <a:defRPr sz="800"/>
          </a:pPr>
          <a:endParaRPr lang="he-IL"/>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38164970856645E-2"/>
          <c:y val="0.16672408899330035"/>
          <c:w val="0.91556499421145265"/>
          <c:h val="0.66739988146642959"/>
        </c:manualLayout>
      </c:layout>
      <c:lineChart>
        <c:grouping val="standard"/>
        <c:varyColors val="0"/>
        <c:ser>
          <c:idx val="0"/>
          <c:order val="0"/>
          <c:tx>
            <c:strRef>
              <c:f>'[הודעה רבעונית לעיתונות אשראי מונגש (4).xlsx]חוב משקי בית - תרשים'!$A$2</c:f>
              <c:strCache>
                <c:ptCount val="1"/>
                <c:pt idx="0">
                  <c:v>الدين غير الاسكاني</c:v>
                </c:pt>
              </c:strCache>
            </c:strRef>
          </c:tx>
          <c:spPr>
            <a:ln w="38100">
              <a:solidFill>
                <a:schemeClr val="accent1">
                  <a:lumMod val="40000"/>
                  <a:lumOff val="60000"/>
                </a:schemeClr>
              </a:solidFill>
              <a:prstDash val="solid"/>
            </a:ln>
          </c:spPr>
          <c:marker>
            <c:symbol val="none"/>
          </c:marker>
          <c:cat>
            <c:strRef>
              <c:f>'[הודעה רבעונית לעיתונות אשראי מונגש (4).xlsx]חוב משקי בית - תרשים'!$B$1:$BE$1</c:f>
              <c:strCache>
                <c:ptCount val="56"/>
                <c:pt idx="0">
                  <c:v>12-2008</c:v>
                </c:pt>
                <c:pt idx="1">
                  <c:v>03-2009</c:v>
                </c:pt>
                <c:pt idx="2">
                  <c:v>06-2009</c:v>
                </c:pt>
                <c:pt idx="3">
                  <c:v>09-2009</c:v>
                </c:pt>
                <c:pt idx="4">
                  <c:v>12-2009</c:v>
                </c:pt>
                <c:pt idx="5">
                  <c:v>03-2010</c:v>
                </c:pt>
                <c:pt idx="6">
                  <c:v>06-2010</c:v>
                </c:pt>
                <c:pt idx="7">
                  <c:v>09-2010</c:v>
                </c:pt>
                <c:pt idx="8">
                  <c:v>12-2010</c:v>
                </c:pt>
                <c:pt idx="9">
                  <c:v>03-2011</c:v>
                </c:pt>
                <c:pt idx="10">
                  <c:v>06-2011</c:v>
                </c:pt>
                <c:pt idx="11">
                  <c:v>09-2011</c:v>
                </c:pt>
                <c:pt idx="12">
                  <c:v>12-2011</c:v>
                </c:pt>
                <c:pt idx="13">
                  <c:v>03-2012</c:v>
                </c:pt>
                <c:pt idx="14">
                  <c:v>06-2012</c:v>
                </c:pt>
                <c:pt idx="15">
                  <c:v>09-2012</c:v>
                </c:pt>
                <c:pt idx="16">
                  <c:v>12-2012</c:v>
                </c:pt>
                <c:pt idx="17">
                  <c:v>03-2013</c:v>
                </c:pt>
                <c:pt idx="18">
                  <c:v>06-2013</c:v>
                </c:pt>
                <c:pt idx="19">
                  <c:v>09-2013</c:v>
                </c:pt>
                <c:pt idx="20">
                  <c:v>12-2013</c:v>
                </c:pt>
                <c:pt idx="21">
                  <c:v>03-2014</c:v>
                </c:pt>
                <c:pt idx="22">
                  <c:v>06-2014</c:v>
                </c:pt>
                <c:pt idx="23">
                  <c:v>09-2014</c:v>
                </c:pt>
                <c:pt idx="24">
                  <c:v>12-2014</c:v>
                </c:pt>
                <c:pt idx="25">
                  <c:v>03-2015</c:v>
                </c:pt>
                <c:pt idx="26">
                  <c:v>06-2015</c:v>
                </c:pt>
                <c:pt idx="27">
                  <c:v>09-2015</c:v>
                </c:pt>
                <c:pt idx="28">
                  <c:v>12-2015</c:v>
                </c:pt>
                <c:pt idx="29">
                  <c:v>03-2016</c:v>
                </c:pt>
                <c:pt idx="30">
                  <c:v>06-2016</c:v>
                </c:pt>
                <c:pt idx="31">
                  <c:v>09-2016</c:v>
                </c:pt>
                <c:pt idx="32">
                  <c:v>12-2016</c:v>
                </c:pt>
                <c:pt idx="33">
                  <c:v>03-2017</c:v>
                </c:pt>
                <c:pt idx="34">
                  <c:v>06-2017</c:v>
                </c:pt>
                <c:pt idx="35">
                  <c:v>09-2017</c:v>
                </c:pt>
                <c:pt idx="36">
                  <c:v>12-2017</c:v>
                </c:pt>
                <c:pt idx="37">
                  <c:v>03-2018</c:v>
                </c:pt>
                <c:pt idx="38">
                  <c:v>06-2018</c:v>
                </c:pt>
                <c:pt idx="39">
                  <c:v>09-2018</c:v>
                </c:pt>
                <c:pt idx="40">
                  <c:v>12-2018</c:v>
                </c:pt>
                <c:pt idx="41">
                  <c:v>03-2019</c:v>
                </c:pt>
                <c:pt idx="42">
                  <c:v>06-2019</c:v>
                </c:pt>
                <c:pt idx="43">
                  <c:v>09-2019</c:v>
                </c:pt>
                <c:pt idx="44">
                  <c:v>12-2019</c:v>
                </c:pt>
                <c:pt idx="45">
                  <c:v>03-2020</c:v>
                </c:pt>
                <c:pt idx="46">
                  <c:v>06-2020</c:v>
                </c:pt>
                <c:pt idx="47">
                  <c:v>09-2020</c:v>
                </c:pt>
                <c:pt idx="48">
                  <c:v>12-2020</c:v>
                </c:pt>
                <c:pt idx="49">
                  <c:v>03-2021</c:v>
                </c:pt>
                <c:pt idx="50">
                  <c:v>06-2021</c:v>
                </c:pt>
                <c:pt idx="51">
                  <c:v>09-2021</c:v>
                </c:pt>
                <c:pt idx="52">
                  <c:v>12-2021</c:v>
                </c:pt>
                <c:pt idx="53">
                  <c:v>03-2022</c:v>
                </c:pt>
                <c:pt idx="54">
                  <c:v>06-2022</c:v>
                </c:pt>
                <c:pt idx="55">
                  <c:v>09-2022</c:v>
                </c:pt>
              </c:strCache>
            </c:strRef>
          </c:cat>
          <c:val>
            <c:numRef>
              <c:f>'[הודעה רבעונית לעיתונות אשראי מונגש (4).xlsx]חוב משקי בית - תרשים'!$B$2:$BE$2</c:f>
              <c:numCache>
                <c:formatCode>0.0%</c:formatCode>
                <c:ptCount val="56"/>
                <c:pt idx="0">
                  <c:v>7.8605686062573454E-2</c:v>
                </c:pt>
                <c:pt idx="1">
                  <c:v>6.1511487593588932E-2</c:v>
                </c:pt>
                <c:pt idx="2">
                  <c:v>5.5820903565803714E-2</c:v>
                </c:pt>
                <c:pt idx="3">
                  <c:v>4.8954663937039289E-2</c:v>
                </c:pt>
                <c:pt idx="4">
                  <c:v>7.981259016184783E-2</c:v>
                </c:pt>
                <c:pt idx="5">
                  <c:v>9.9423465256576415E-2</c:v>
                </c:pt>
                <c:pt idx="6">
                  <c:v>0.1064042256306359</c:v>
                </c:pt>
                <c:pt idx="7">
                  <c:v>9.2105896470218163E-2</c:v>
                </c:pt>
                <c:pt idx="8">
                  <c:v>6.850926932918E-2</c:v>
                </c:pt>
                <c:pt idx="9">
                  <c:v>5.932530877280473E-2</c:v>
                </c:pt>
                <c:pt idx="10">
                  <c:v>5.8789486174992689E-2</c:v>
                </c:pt>
                <c:pt idx="11">
                  <c:v>5.6207682043776019E-2</c:v>
                </c:pt>
                <c:pt idx="12">
                  <c:v>5.9017033606736158E-2</c:v>
                </c:pt>
                <c:pt idx="13">
                  <c:v>7.8562901694087417E-2</c:v>
                </c:pt>
                <c:pt idx="14">
                  <c:v>4.7225954079072041E-2</c:v>
                </c:pt>
                <c:pt idx="15">
                  <c:v>4.6610920500512298E-2</c:v>
                </c:pt>
                <c:pt idx="16">
                  <c:v>4.8704127336444802E-2</c:v>
                </c:pt>
                <c:pt idx="17">
                  <c:v>3.3515866034252051E-2</c:v>
                </c:pt>
                <c:pt idx="18">
                  <c:v>4.7074013093863165E-2</c:v>
                </c:pt>
                <c:pt idx="19">
                  <c:v>4.8009262162914679E-2</c:v>
                </c:pt>
                <c:pt idx="20">
                  <c:v>6.2746982140996055E-2</c:v>
                </c:pt>
                <c:pt idx="21">
                  <c:v>5.0142815369982108E-2</c:v>
                </c:pt>
                <c:pt idx="22">
                  <c:v>5.8840080871706002E-2</c:v>
                </c:pt>
                <c:pt idx="23">
                  <c:v>7.0780466541432663E-2</c:v>
                </c:pt>
                <c:pt idx="24">
                  <c:v>6.2146113203443321E-2</c:v>
                </c:pt>
                <c:pt idx="25">
                  <c:v>7.2681741012469381E-2</c:v>
                </c:pt>
                <c:pt idx="26">
                  <c:v>6.7623586847011863E-2</c:v>
                </c:pt>
                <c:pt idx="27">
                  <c:v>5.2614211675235278E-2</c:v>
                </c:pt>
                <c:pt idx="28">
                  <c:v>5.567082633919096E-2</c:v>
                </c:pt>
                <c:pt idx="29">
                  <c:v>6.5755131735865779E-2</c:v>
                </c:pt>
                <c:pt idx="30">
                  <c:v>6.4054026359099181E-2</c:v>
                </c:pt>
                <c:pt idx="31">
                  <c:v>7.9015197708869112E-2</c:v>
                </c:pt>
                <c:pt idx="32">
                  <c:v>6.0853713516541674E-2</c:v>
                </c:pt>
                <c:pt idx="33">
                  <c:v>6.1718448017319627E-2</c:v>
                </c:pt>
                <c:pt idx="34">
                  <c:v>5.5563341043653347E-2</c:v>
                </c:pt>
                <c:pt idx="35">
                  <c:v>3.2835158787637653E-2</c:v>
                </c:pt>
                <c:pt idx="36">
                  <c:v>3.7010487369555367E-2</c:v>
                </c:pt>
                <c:pt idx="37">
                  <c:v>3.0866662308461246E-2</c:v>
                </c:pt>
                <c:pt idx="38">
                  <c:v>2.7039775349570361E-2</c:v>
                </c:pt>
                <c:pt idx="39">
                  <c:v>2.3335940100020602E-2</c:v>
                </c:pt>
                <c:pt idx="40">
                  <c:v>2.4985961647541188E-2</c:v>
                </c:pt>
                <c:pt idx="41">
                  <c:v>2.1759303884583137E-2</c:v>
                </c:pt>
                <c:pt idx="42">
                  <c:v>2.1325358978659947E-2</c:v>
                </c:pt>
                <c:pt idx="43">
                  <c:v>3.4212178899235335E-2</c:v>
                </c:pt>
                <c:pt idx="44">
                  <c:v>2.8235948590343396E-2</c:v>
                </c:pt>
                <c:pt idx="45">
                  <c:v>2.3764250646070018E-3</c:v>
                </c:pt>
                <c:pt idx="46">
                  <c:v>-2.089447991967619E-2</c:v>
                </c:pt>
                <c:pt idx="47">
                  <c:v>-4.0349116552987119E-2</c:v>
                </c:pt>
                <c:pt idx="48">
                  <c:v>-4.0256729594055018E-2</c:v>
                </c:pt>
                <c:pt idx="49">
                  <c:v>-1.2020505536528225E-2</c:v>
                </c:pt>
                <c:pt idx="50">
                  <c:v>3.0035449122951086E-2</c:v>
                </c:pt>
                <c:pt idx="51">
                  <c:v>6.0513810372680776E-2</c:v>
                </c:pt>
                <c:pt idx="52">
                  <c:v>0.10832487237730981</c:v>
                </c:pt>
                <c:pt idx="53">
                  <c:v>0.1327348780793125</c:v>
                </c:pt>
                <c:pt idx="54">
                  <c:v>0.13736924493962999</c:v>
                </c:pt>
                <c:pt idx="55">
                  <c:v>0.13015402914696783</c:v>
                </c:pt>
              </c:numCache>
            </c:numRef>
          </c:val>
          <c:smooth val="0"/>
          <c:extLst>
            <c:ext xmlns:c16="http://schemas.microsoft.com/office/drawing/2014/chart" uri="{C3380CC4-5D6E-409C-BE32-E72D297353CC}">
              <c16:uniqueId val="{00000000-8F8C-4BB8-88B9-C6ABC3B66654}"/>
            </c:ext>
          </c:extLst>
        </c:ser>
        <c:ser>
          <c:idx val="1"/>
          <c:order val="1"/>
          <c:tx>
            <c:strRef>
              <c:f>'[הודעה רבעונית לעיתונות אשראי מונגש (4).xlsx]חוב משקי בית - תרשים'!$A$3</c:f>
              <c:strCache>
                <c:ptCount val="1"/>
                <c:pt idx="0">
                  <c:v>الدين الاسكاني</c:v>
                </c:pt>
              </c:strCache>
            </c:strRef>
          </c:tx>
          <c:spPr>
            <a:ln w="38100">
              <a:solidFill>
                <a:schemeClr val="tx2"/>
              </a:solidFill>
              <a:prstDash val="solid"/>
            </a:ln>
          </c:spPr>
          <c:marker>
            <c:symbol val="none"/>
          </c:marker>
          <c:cat>
            <c:strRef>
              <c:f>'[הודעה רבעונית לעיתונות אשראי מונגש (4).xlsx]חוב משקי בית - תרשים'!$B$1:$BE$1</c:f>
              <c:strCache>
                <c:ptCount val="56"/>
                <c:pt idx="0">
                  <c:v>12-2008</c:v>
                </c:pt>
                <c:pt idx="1">
                  <c:v>03-2009</c:v>
                </c:pt>
                <c:pt idx="2">
                  <c:v>06-2009</c:v>
                </c:pt>
                <c:pt idx="3">
                  <c:v>09-2009</c:v>
                </c:pt>
                <c:pt idx="4">
                  <c:v>12-2009</c:v>
                </c:pt>
                <c:pt idx="5">
                  <c:v>03-2010</c:v>
                </c:pt>
                <c:pt idx="6">
                  <c:v>06-2010</c:v>
                </c:pt>
                <c:pt idx="7">
                  <c:v>09-2010</c:v>
                </c:pt>
                <c:pt idx="8">
                  <c:v>12-2010</c:v>
                </c:pt>
                <c:pt idx="9">
                  <c:v>03-2011</c:v>
                </c:pt>
                <c:pt idx="10">
                  <c:v>06-2011</c:v>
                </c:pt>
                <c:pt idx="11">
                  <c:v>09-2011</c:v>
                </c:pt>
                <c:pt idx="12">
                  <c:v>12-2011</c:v>
                </c:pt>
                <c:pt idx="13">
                  <c:v>03-2012</c:v>
                </c:pt>
                <c:pt idx="14">
                  <c:v>06-2012</c:v>
                </c:pt>
                <c:pt idx="15">
                  <c:v>09-2012</c:v>
                </c:pt>
                <c:pt idx="16">
                  <c:v>12-2012</c:v>
                </c:pt>
                <c:pt idx="17">
                  <c:v>03-2013</c:v>
                </c:pt>
                <c:pt idx="18">
                  <c:v>06-2013</c:v>
                </c:pt>
                <c:pt idx="19">
                  <c:v>09-2013</c:v>
                </c:pt>
                <c:pt idx="20">
                  <c:v>12-2013</c:v>
                </c:pt>
                <c:pt idx="21">
                  <c:v>03-2014</c:v>
                </c:pt>
                <c:pt idx="22">
                  <c:v>06-2014</c:v>
                </c:pt>
                <c:pt idx="23">
                  <c:v>09-2014</c:v>
                </c:pt>
                <c:pt idx="24">
                  <c:v>12-2014</c:v>
                </c:pt>
                <c:pt idx="25">
                  <c:v>03-2015</c:v>
                </c:pt>
                <c:pt idx="26">
                  <c:v>06-2015</c:v>
                </c:pt>
                <c:pt idx="27">
                  <c:v>09-2015</c:v>
                </c:pt>
                <c:pt idx="28">
                  <c:v>12-2015</c:v>
                </c:pt>
                <c:pt idx="29">
                  <c:v>03-2016</c:v>
                </c:pt>
                <c:pt idx="30">
                  <c:v>06-2016</c:v>
                </c:pt>
                <c:pt idx="31">
                  <c:v>09-2016</c:v>
                </c:pt>
                <c:pt idx="32">
                  <c:v>12-2016</c:v>
                </c:pt>
                <c:pt idx="33">
                  <c:v>03-2017</c:v>
                </c:pt>
                <c:pt idx="34">
                  <c:v>06-2017</c:v>
                </c:pt>
                <c:pt idx="35">
                  <c:v>09-2017</c:v>
                </c:pt>
                <c:pt idx="36">
                  <c:v>12-2017</c:v>
                </c:pt>
                <c:pt idx="37">
                  <c:v>03-2018</c:v>
                </c:pt>
                <c:pt idx="38">
                  <c:v>06-2018</c:v>
                </c:pt>
                <c:pt idx="39">
                  <c:v>09-2018</c:v>
                </c:pt>
                <c:pt idx="40">
                  <c:v>12-2018</c:v>
                </c:pt>
                <c:pt idx="41">
                  <c:v>03-2019</c:v>
                </c:pt>
                <c:pt idx="42">
                  <c:v>06-2019</c:v>
                </c:pt>
                <c:pt idx="43">
                  <c:v>09-2019</c:v>
                </c:pt>
                <c:pt idx="44">
                  <c:v>12-2019</c:v>
                </c:pt>
                <c:pt idx="45">
                  <c:v>03-2020</c:v>
                </c:pt>
                <c:pt idx="46">
                  <c:v>06-2020</c:v>
                </c:pt>
                <c:pt idx="47">
                  <c:v>09-2020</c:v>
                </c:pt>
                <c:pt idx="48">
                  <c:v>12-2020</c:v>
                </c:pt>
                <c:pt idx="49">
                  <c:v>03-2021</c:v>
                </c:pt>
                <c:pt idx="50">
                  <c:v>06-2021</c:v>
                </c:pt>
                <c:pt idx="51">
                  <c:v>09-2021</c:v>
                </c:pt>
                <c:pt idx="52">
                  <c:v>12-2021</c:v>
                </c:pt>
                <c:pt idx="53">
                  <c:v>03-2022</c:v>
                </c:pt>
                <c:pt idx="54">
                  <c:v>06-2022</c:v>
                </c:pt>
                <c:pt idx="55">
                  <c:v>09-2022</c:v>
                </c:pt>
              </c:strCache>
            </c:strRef>
          </c:cat>
          <c:val>
            <c:numRef>
              <c:f>'[הודעה רבעונית לעיתונות אשראי מונגש (4).xlsx]חוב משקי בית - תרשים'!$B$3:$BE$3</c:f>
              <c:numCache>
                <c:formatCode>0.0%</c:formatCode>
                <c:ptCount val="56"/>
                <c:pt idx="0">
                  <c:v>8.7570973077762515E-2</c:v>
                </c:pt>
                <c:pt idx="1">
                  <c:v>7.0422379700104454E-2</c:v>
                </c:pt>
                <c:pt idx="2">
                  <c:v>6.2804638293265436E-2</c:v>
                </c:pt>
                <c:pt idx="3">
                  <c:v>6.4295476246435612E-2</c:v>
                </c:pt>
                <c:pt idx="4">
                  <c:v>8.1440662074249603E-2</c:v>
                </c:pt>
                <c:pt idx="5">
                  <c:v>9.3665867965915028E-2</c:v>
                </c:pt>
                <c:pt idx="6">
                  <c:v>0.10509015279349487</c:v>
                </c:pt>
                <c:pt idx="7">
                  <c:v>0.10521053710782069</c:v>
                </c:pt>
                <c:pt idx="8">
                  <c:v>0.10828149950449428</c:v>
                </c:pt>
                <c:pt idx="9">
                  <c:v>0.12819342657191379</c:v>
                </c:pt>
                <c:pt idx="10">
                  <c:v>0.11766622858159059</c:v>
                </c:pt>
                <c:pt idx="11">
                  <c:v>9.9154120325120054E-2</c:v>
                </c:pt>
                <c:pt idx="12">
                  <c:v>7.8912685920622172E-2</c:v>
                </c:pt>
                <c:pt idx="13">
                  <c:v>5.7896881754428531E-2</c:v>
                </c:pt>
                <c:pt idx="14">
                  <c:v>5.5013617579535712E-2</c:v>
                </c:pt>
                <c:pt idx="15">
                  <c:v>6.2292571480716097E-2</c:v>
                </c:pt>
                <c:pt idx="16">
                  <c:v>6.6969464358692665E-2</c:v>
                </c:pt>
                <c:pt idx="17">
                  <c:v>7.7462303554252099E-2</c:v>
                </c:pt>
                <c:pt idx="18">
                  <c:v>7.5942614872573699E-2</c:v>
                </c:pt>
                <c:pt idx="19">
                  <c:v>7.3953896977579925E-2</c:v>
                </c:pt>
                <c:pt idx="20">
                  <c:v>7.716859577127444E-2</c:v>
                </c:pt>
                <c:pt idx="21">
                  <c:v>6.7833452904713099E-2</c:v>
                </c:pt>
                <c:pt idx="22">
                  <c:v>6.5085269012917335E-2</c:v>
                </c:pt>
                <c:pt idx="23">
                  <c:v>5.6413632588155238E-2</c:v>
                </c:pt>
                <c:pt idx="24">
                  <c:v>5.7261522196734971E-2</c:v>
                </c:pt>
                <c:pt idx="25">
                  <c:v>5.4411128565879263E-2</c:v>
                </c:pt>
                <c:pt idx="26">
                  <c:v>6.2455912352166409E-2</c:v>
                </c:pt>
                <c:pt idx="27">
                  <c:v>6.9355475751925688E-2</c:v>
                </c:pt>
                <c:pt idx="28">
                  <c:v>7.120608892878022E-2</c:v>
                </c:pt>
                <c:pt idx="29">
                  <c:v>7.6710319426791296E-2</c:v>
                </c:pt>
                <c:pt idx="30">
                  <c:v>7.4058262005852304E-2</c:v>
                </c:pt>
                <c:pt idx="31">
                  <c:v>6.9675245256085816E-2</c:v>
                </c:pt>
                <c:pt idx="32">
                  <c:v>6.1560415376450628E-2</c:v>
                </c:pt>
                <c:pt idx="33">
                  <c:v>6.3324103534438292E-2</c:v>
                </c:pt>
                <c:pt idx="34">
                  <c:v>5.9225730162739243E-2</c:v>
                </c:pt>
                <c:pt idx="35">
                  <c:v>5.1915883651335815E-2</c:v>
                </c:pt>
                <c:pt idx="36">
                  <c:v>6.0181340235037073E-2</c:v>
                </c:pt>
                <c:pt idx="37">
                  <c:v>6.033338847185421E-2</c:v>
                </c:pt>
                <c:pt idx="38">
                  <c:v>6.1225079166967733E-2</c:v>
                </c:pt>
                <c:pt idx="39">
                  <c:v>6.509589836727514E-2</c:v>
                </c:pt>
                <c:pt idx="40">
                  <c:v>6.8277749076412375E-2</c:v>
                </c:pt>
                <c:pt idx="41">
                  <c:v>6.7304621048562163E-2</c:v>
                </c:pt>
                <c:pt idx="42">
                  <c:v>6.9932901856587737E-2</c:v>
                </c:pt>
                <c:pt idx="43">
                  <c:v>7.1182866948621415E-2</c:v>
                </c:pt>
                <c:pt idx="44">
                  <c:v>7.0071026784713997E-2</c:v>
                </c:pt>
                <c:pt idx="45">
                  <c:v>8.0500526340520073E-2</c:v>
                </c:pt>
                <c:pt idx="46">
                  <c:v>7.3927723647717603E-2</c:v>
                </c:pt>
                <c:pt idx="47">
                  <c:v>7.6728178205987652E-2</c:v>
                </c:pt>
                <c:pt idx="48">
                  <c:v>8.1421442962481327E-2</c:v>
                </c:pt>
                <c:pt idx="49">
                  <c:v>8.2439725498893779E-2</c:v>
                </c:pt>
                <c:pt idx="50">
                  <c:v>0.10449174750101164</c:v>
                </c:pt>
                <c:pt idx="51">
                  <c:v>0.12443940727346914</c:v>
                </c:pt>
                <c:pt idx="52">
                  <c:v>0.14469332647033673</c:v>
                </c:pt>
                <c:pt idx="53">
                  <c:v>0.17058478201523442</c:v>
                </c:pt>
                <c:pt idx="54">
                  <c:v>0.17365425097522991</c:v>
                </c:pt>
                <c:pt idx="55">
                  <c:v>0.16200089190990341</c:v>
                </c:pt>
              </c:numCache>
            </c:numRef>
          </c:val>
          <c:smooth val="0"/>
          <c:extLst>
            <c:ext xmlns:c16="http://schemas.microsoft.com/office/drawing/2014/chart" uri="{C3380CC4-5D6E-409C-BE32-E72D297353CC}">
              <c16:uniqueId val="{00000001-8F8C-4BB8-88B9-C6ABC3B66654}"/>
            </c:ext>
          </c:extLst>
        </c:ser>
        <c:ser>
          <c:idx val="2"/>
          <c:order val="2"/>
          <c:tx>
            <c:strRef>
              <c:f>'[הודעה רבעונית לעיתונות אשראי מונגש (4).xlsx]חוב משקי בית - תרשים'!$A$4</c:f>
              <c:strCache>
                <c:ptCount val="1"/>
                <c:pt idx="0">
                  <c:v>اجمالي الدين</c:v>
                </c:pt>
              </c:strCache>
            </c:strRef>
          </c:tx>
          <c:spPr>
            <a:ln w="38100">
              <a:solidFill>
                <a:schemeClr val="bg1">
                  <a:lumMod val="65000"/>
                </a:schemeClr>
              </a:solidFill>
            </a:ln>
          </c:spPr>
          <c:marker>
            <c:symbol val="none"/>
          </c:marker>
          <c:cat>
            <c:strRef>
              <c:f>'[הודעה רבעונית לעיתונות אשראי מונגש (4).xlsx]חוב משקי בית - תרשים'!$B$1:$BE$1</c:f>
              <c:strCache>
                <c:ptCount val="56"/>
                <c:pt idx="0">
                  <c:v>12-2008</c:v>
                </c:pt>
                <c:pt idx="1">
                  <c:v>03-2009</c:v>
                </c:pt>
                <c:pt idx="2">
                  <c:v>06-2009</c:v>
                </c:pt>
                <c:pt idx="3">
                  <c:v>09-2009</c:v>
                </c:pt>
                <c:pt idx="4">
                  <c:v>12-2009</c:v>
                </c:pt>
                <c:pt idx="5">
                  <c:v>03-2010</c:v>
                </c:pt>
                <c:pt idx="6">
                  <c:v>06-2010</c:v>
                </c:pt>
                <c:pt idx="7">
                  <c:v>09-2010</c:v>
                </c:pt>
                <c:pt idx="8">
                  <c:v>12-2010</c:v>
                </c:pt>
                <c:pt idx="9">
                  <c:v>03-2011</c:v>
                </c:pt>
                <c:pt idx="10">
                  <c:v>06-2011</c:v>
                </c:pt>
                <c:pt idx="11">
                  <c:v>09-2011</c:v>
                </c:pt>
                <c:pt idx="12">
                  <c:v>12-2011</c:v>
                </c:pt>
                <c:pt idx="13">
                  <c:v>03-2012</c:v>
                </c:pt>
                <c:pt idx="14">
                  <c:v>06-2012</c:v>
                </c:pt>
                <c:pt idx="15">
                  <c:v>09-2012</c:v>
                </c:pt>
                <c:pt idx="16">
                  <c:v>12-2012</c:v>
                </c:pt>
                <c:pt idx="17">
                  <c:v>03-2013</c:v>
                </c:pt>
                <c:pt idx="18">
                  <c:v>06-2013</c:v>
                </c:pt>
                <c:pt idx="19">
                  <c:v>09-2013</c:v>
                </c:pt>
                <c:pt idx="20">
                  <c:v>12-2013</c:v>
                </c:pt>
                <c:pt idx="21">
                  <c:v>03-2014</c:v>
                </c:pt>
                <c:pt idx="22">
                  <c:v>06-2014</c:v>
                </c:pt>
                <c:pt idx="23">
                  <c:v>09-2014</c:v>
                </c:pt>
                <c:pt idx="24">
                  <c:v>12-2014</c:v>
                </c:pt>
                <c:pt idx="25">
                  <c:v>03-2015</c:v>
                </c:pt>
                <c:pt idx="26">
                  <c:v>06-2015</c:v>
                </c:pt>
                <c:pt idx="27">
                  <c:v>09-2015</c:v>
                </c:pt>
                <c:pt idx="28">
                  <c:v>12-2015</c:v>
                </c:pt>
                <c:pt idx="29">
                  <c:v>03-2016</c:v>
                </c:pt>
                <c:pt idx="30">
                  <c:v>06-2016</c:v>
                </c:pt>
                <c:pt idx="31">
                  <c:v>09-2016</c:v>
                </c:pt>
                <c:pt idx="32">
                  <c:v>12-2016</c:v>
                </c:pt>
                <c:pt idx="33">
                  <c:v>03-2017</c:v>
                </c:pt>
                <c:pt idx="34">
                  <c:v>06-2017</c:v>
                </c:pt>
                <c:pt idx="35">
                  <c:v>09-2017</c:v>
                </c:pt>
                <c:pt idx="36">
                  <c:v>12-2017</c:v>
                </c:pt>
                <c:pt idx="37">
                  <c:v>03-2018</c:v>
                </c:pt>
                <c:pt idx="38">
                  <c:v>06-2018</c:v>
                </c:pt>
                <c:pt idx="39">
                  <c:v>09-2018</c:v>
                </c:pt>
                <c:pt idx="40">
                  <c:v>12-2018</c:v>
                </c:pt>
                <c:pt idx="41">
                  <c:v>03-2019</c:v>
                </c:pt>
                <c:pt idx="42">
                  <c:v>06-2019</c:v>
                </c:pt>
                <c:pt idx="43">
                  <c:v>09-2019</c:v>
                </c:pt>
                <c:pt idx="44">
                  <c:v>12-2019</c:v>
                </c:pt>
                <c:pt idx="45">
                  <c:v>03-2020</c:v>
                </c:pt>
                <c:pt idx="46">
                  <c:v>06-2020</c:v>
                </c:pt>
                <c:pt idx="47">
                  <c:v>09-2020</c:v>
                </c:pt>
                <c:pt idx="48">
                  <c:v>12-2020</c:v>
                </c:pt>
                <c:pt idx="49">
                  <c:v>03-2021</c:v>
                </c:pt>
                <c:pt idx="50">
                  <c:v>06-2021</c:v>
                </c:pt>
                <c:pt idx="51">
                  <c:v>09-2021</c:v>
                </c:pt>
                <c:pt idx="52">
                  <c:v>12-2021</c:v>
                </c:pt>
                <c:pt idx="53">
                  <c:v>03-2022</c:v>
                </c:pt>
                <c:pt idx="54">
                  <c:v>06-2022</c:v>
                </c:pt>
                <c:pt idx="55">
                  <c:v>09-2022</c:v>
                </c:pt>
              </c:strCache>
            </c:strRef>
          </c:cat>
          <c:val>
            <c:numRef>
              <c:f>'[הודעה רבעונית לעיתונות אשראי מונגש (4).xlsx]חוב משקי בית - תרשים'!$B$4:$BE$4</c:f>
              <c:numCache>
                <c:formatCode>0.0%</c:formatCode>
                <c:ptCount val="56"/>
                <c:pt idx="0">
                  <c:v>8.4051019246633052E-2</c:v>
                </c:pt>
                <c:pt idx="1">
                  <c:v>6.692889112452538E-2</c:v>
                </c:pt>
                <c:pt idx="2">
                  <c:v>6.0070718205272877E-2</c:v>
                </c:pt>
                <c:pt idx="3">
                  <c:v>5.8274643416887928E-2</c:v>
                </c:pt>
                <c:pt idx="4">
                  <c:v>8.0804658821606923E-2</c:v>
                </c:pt>
                <c:pt idx="5">
                  <c:v>9.5911655415133135E-2</c:v>
                </c:pt>
                <c:pt idx="6">
                  <c:v>0.1056025101041036</c:v>
                </c:pt>
                <c:pt idx="7">
                  <c:v>0.1001126330665596</c:v>
                </c:pt>
                <c:pt idx="8">
                  <c:v>9.2758813385474426E-2</c:v>
                </c:pt>
                <c:pt idx="9">
                  <c:v>0.10124489937587122</c:v>
                </c:pt>
                <c:pt idx="10">
                  <c:v>9.4693526432773512E-2</c:v>
                </c:pt>
                <c:pt idx="11">
                  <c:v>8.2568898200973129E-2</c:v>
                </c:pt>
                <c:pt idx="12">
                  <c:v>7.1319936092963276E-2</c:v>
                </c:pt>
                <c:pt idx="13">
                  <c:v>6.5675798146883402E-2</c:v>
                </c:pt>
                <c:pt idx="14">
                  <c:v>5.2074665148159394E-2</c:v>
                </c:pt>
                <c:pt idx="15">
                  <c:v>5.6384038007464055E-2</c:v>
                </c:pt>
                <c:pt idx="16">
                  <c:v>6.0078938663659542E-2</c:v>
                </c:pt>
                <c:pt idx="17">
                  <c:v>6.0720343165721946E-2</c:v>
                </c:pt>
                <c:pt idx="18">
                  <c:v>6.5098228977778838E-2</c:v>
                </c:pt>
                <c:pt idx="19">
                  <c:v>6.4268912919048793E-2</c:v>
                </c:pt>
                <c:pt idx="20">
                  <c:v>7.1786476796782184E-2</c:v>
                </c:pt>
                <c:pt idx="21">
                  <c:v>6.1266825584696427E-2</c:v>
                </c:pt>
                <c:pt idx="22">
                  <c:v>6.2778986751710342E-2</c:v>
                </c:pt>
                <c:pt idx="23">
                  <c:v>6.1694754154707043E-2</c:v>
                </c:pt>
                <c:pt idx="24">
                  <c:v>5.9069067747598236E-2</c:v>
                </c:pt>
                <c:pt idx="25">
                  <c:v>6.1121951300941113E-2</c:v>
                </c:pt>
                <c:pt idx="26">
                  <c:v>6.4357207308110231E-2</c:v>
                </c:pt>
                <c:pt idx="27">
                  <c:v>6.3148870738748863E-2</c:v>
                </c:pt>
                <c:pt idx="28">
                  <c:v>6.5440553783350897E-2</c:v>
                </c:pt>
                <c:pt idx="29">
                  <c:v>7.2642627311849672E-2</c:v>
                </c:pt>
                <c:pt idx="30">
                  <c:v>7.0366199768228777E-2</c:v>
                </c:pt>
                <c:pt idx="31">
                  <c:v>7.3103599366154182E-2</c:v>
                </c:pt>
                <c:pt idx="32">
                  <c:v>6.1300545131177442E-2</c:v>
                </c:pt>
                <c:pt idx="33">
                  <c:v>6.2731747240370561E-2</c:v>
                </c:pt>
                <c:pt idx="34">
                  <c:v>5.7882096491702173E-2</c:v>
                </c:pt>
                <c:pt idx="35">
                  <c:v>4.4873465840064464E-2</c:v>
                </c:pt>
                <c:pt idx="36">
                  <c:v>5.1664481278899999E-2</c:v>
                </c:pt>
                <c:pt idx="37">
                  <c:v>4.9472928289324258E-2</c:v>
                </c:pt>
                <c:pt idx="38">
                  <c:v>4.871088556823655E-2</c:v>
                </c:pt>
                <c:pt idx="39">
                  <c:v>4.9860483429556623E-2</c:v>
                </c:pt>
                <c:pt idx="40">
                  <c:v>5.2586811484259588E-2</c:v>
                </c:pt>
                <c:pt idx="41">
                  <c:v>5.0815734646125321E-2</c:v>
                </c:pt>
                <c:pt idx="42">
                  <c:v>5.2506866908013095E-2</c:v>
                </c:pt>
                <c:pt idx="43">
                  <c:v>5.8035511585923683E-2</c:v>
                </c:pt>
                <c:pt idx="44">
                  <c:v>5.5305669647076394E-2</c:v>
                </c:pt>
                <c:pt idx="45">
                  <c:v>5.2999135165674893E-2</c:v>
                </c:pt>
                <c:pt idx="46">
                  <c:v>4.0940623897495421E-2</c:v>
                </c:pt>
                <c:pt idx="47">
                  <c:v>3.6031126242145106E-2</c:v>
                </c:pt>
                <c:pt idx="48">
                  <c:v>3.9577696555919806E-2</c:v>
                </c:pt>
                <c:pt idx="49">
                  <c:v>5.0786245612848058E-2</c:v>
                </c:pt>
                <c:pt idx="50">
                  <c:v>8.0128281459765915E-2</c:v>
                </c:pt>
                <c:pt idx="51">
                  <c:v>0.10385655638890423</c:v>
                </c:pt>
                <c:pt idx="52">
                  <c:v>0.13314707941289083</c:v>
                </c:pt>
                <c:pt idx="53">
                  <c:v>0.15865944142072319</c:v>
                </c:pt>
                <c:pt idx="54">
                  <c:v>0.1623317682962746</c:v>
                </c:pt>
                <c:pt idx="55">
                  <c:v>0.15214942100247852</c:v>
                </c:pt>
              </c:numCache>
            </c:numRef>
          </c:val>
          <c:smooth val="0"/>
          <c:extLst>
            <c:ext xmlns:c16="http://schemas.microsoft.com/office/drawing/2014/chart" uri="{C3380CC4-5D6E-409C-BE32-E72D297353CC}">
              <c16:uniqueId val="{00000002-8F8C-4BB8-88B9-C6ABC3B66654}"/>
            </c:ext>
          </c:extLst>
        </c:ser>
        <c:dLbls>
          <c:showLegendKey val="0"/>
          <c:showVal val="0"/>
          <c:showCatName val="0"/>
          <c:showSerName val="0"/>
          <c:showPercent val="0"/>
          <c:showBubbleSize val="0"/>
        </c:dLbls>
        <c:smooth val="0"/>
        <c:axId val="236055168"/>
        <c:axId val="236061056"/>
      </c:lineChart>
      <c:catAx>
        <c:axId val="236055168"/>
        <c:scaling>
          <c:orientation val="minMax"/>
        </c:scaling>
        <c:delete val="0"/>
        <c:axPos val="b"/>
        <c:numFmt formatCode="mm\-yy" sourceLinked="0"/>
        <c:majorTickMark val="out"/>
        <c:minorTickMark val="none"/>
        <c:tickLblPos val="low"/>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he-IL"/>
          </a:p>
        </c:txPr>
        <c:crossAx val="236061056"/>
        <c:crosses val="autoZero"/>
        <c:auto val="0"/>
        <c:lblAlgn val="ctr"/>
        <c:lblOffset val="100"/>
        <c:tickMarkSkip val="1"/>
        <c:noMultiLvlLbl val="0"/>
      </c:catAx>
      <c:valAx>
        <c:axId val="236061056"/>
        <c:scaling>
          <c:orientation val="minMax"/>
        </c:scaling>
        <c:delete val="0"/>
        <c:axPos val="l"/>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he-IL"/>
          </a:p>
        </c:txPr>
        <c:crossAx val="236055168"/>
        <c:crosses val="autoZero"/>
        <c:crossBetween val="midCat"/>
        <c:majorUnit val="2.0000000000000004E-2"/>
      </c:valAx>
      <c:spPr>
        <a:noFill/>
        <a:ln w="25400">
          <a:noFill/>
        </a:ln>
      </c:spPr>
    </c:plotArea>
    <c:legend>
      <c:legendPos val="r"/>
      <c:layout>
        <c:manualLayout>
          <c:xMode val="edge"/>
          <c:yMode val="edge"/>
          <c:x val="0.16779502158382292"/>
          <c:y val="0.11064866891638545"/>
          <c:w val="0.65449197899184719"/>
          <c:h val="6.8628034398925938E-2"/>
        </c:manualLayout>
      </c:layout>
      <c:overlay val="0"/>
      <c:spPr>
        <a:solidFill>
          <a:srgbClr val="FFFFFF"/>
        </a:solidFill>
        <a:ln w="3175">
          <a:noFill/>
          <a:prstDash val="solid"/>
        </a:ln>
      </c:spPr>
      <c:txPr>
        <a:bodyPr/>
        <a:lstStyle/>
        <a:p>
          <a:pPr>
            <a:defRPr sz="1000" b="0" i="0" u="none" strike="noStrike" baseline="0">
              <a:solidFill>
                <a:srgbClr val="000000"/>
              </a:solidFill>
              <a:latin typeface="Arial"/>
              <a:ea typeface="Arial"/>
              <a:cs typeface="Arial"/>
            </a:defRPr>
          </a:pPr>
          <a:endParaRPr lang="he-IL"/>
        </a:p>
      </c:txPr>
    </c:legend>
    <c:plotVisOnly val="1"/>
    <c:dispBlanksAs val="gap"/>
    <c:showDLblsOverMax val="0"/>
  </c:chart>
  <c:spPr>
    <a:solidFill>
      <a:schemeClr val="bg1"/>
    </a:solidFill>
    <a:ln w="9525">
      <a:solidFill>
        <a:sysClr val="windowText" lastClr="000000"/>
      </a:solidFill>
    </a:ln>
  </c:spPr>
  <c:txPr>
    <a:bodyPr/>
    <a:lstStyle/>
    <a:p>
      <a:pPr>
        <a:defRPr sz="1000" b="0" i="0" u="none" strike="noStrike" baseline="0">
          <a:solidFill>
            <a:srgbClr val="000000"/>
          </a:solidFill>
          <a:latin typeface="Arial"/>
          <a:ea typeface="Arial"/>
          <a:cs typeface="Arial"/>
        </a:defRPr>
      </a:pPr>
      <a:endParaRPr lang="he-IL"/>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0.5295</cdr:x>
      <cdr:y>0.8815</cdr:y>
    </cdr:from>
    <cdr:to>
      <cdr:x>0.5295</cdr:x>
      <cdr:y>0.88271</cdr:y>
    </cdr:to>
    <cdr:sp macro="" textlink="">
      <cdr:nvSpPr>
        <cdr:cNvPr id="3" name="TextBox 7"/>
        <cdr:cNvSpPr txBox="1"/>
      </cdr:nvSpPr>
      <cdr:spPr>
        <a:xfrm xmlns:a="http://schemas.openxmlformats.org/drawingml/2006/main">
          <a:off x="2824567" y="2766060"/>
          <a:ext cx="2509856" cy="385567"/>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1"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rtl="1"/>
          <a:r>
            <a:rPr lang="he-IL" sz="800"/>
            <a:t>* כולל גז ונפט,</a:t>
          </a:r>
          <a:r>
            <a:rPr lang="he-IL" sz="800" baseline="0"/>
            <a:t> טכנולוגיה וביומד</a:t>
          </a:r>
          <a:endParaRPr lang="en-US" sz="800" baseline="0"/>
        </a:p>
        <a:p xmlns:a="http://schemas.openxmlformats.org/drawingml/2006/main">
          <a:pPr marL="0" marR="0" indent="0" algn="r" defTabSz="914400" rtl="1" eaLnBrk="1" fontAlgn="auto" latinLnBrk="0" hangingPunct="1">
            <a:lnSpc>
              <a:spcPct val="100000"/>
            </a:lnSpc>
            <a:spcBef>
              <a:spcPts val="0"/>
            </a:spcBef>
            <a:spcAft>
              <a:spcPts val="0"/>
            </a:spcAft>
            <a:buClrTx/>
            <a:buSzTx/>
            <a:buFontTx/>
            <a:buNone/>
            <a:tabLst/>
            <a:defRPr/>
          </a:pPr>
          <a:r>
            <a:rPr lang="he-IL" sz="800" b="0" i="0" baseline="0">
              <a:solidFill>
                <a:schemeClr val="dk1"/>
              </a:solidFill>
              <a:effectLst/>
              <a:latin typeface="+mn-lt"/>
              <a:ea typeface="+mn-ea"/>
              <a:cs typeface="+mn-cs"/>
            </a:rPr>
            <a:t>מקור: הבורסה לניירות ערך ועיבודי בנק ישראל</a:t>
          </a:r>
          <a:endParaRPr lang="he-IL" sz="800">
            <a:effectLst/>
          </a:endParaRPr>
        </a:p>
        <a:p xmlns:a="http://schemas.openxmlformats.org/drawingml/2006/main">
          <a:pPr algn="r" rtl="1"/>
          <a:endParaRPr lang="he-IL" sz="800" baseline="0"/>
        </a:p>
      </cdr:txBody>
    </cdr:sp>
  </cdr:relSizeAnchor>
  <cdr:relSizeAnchor xmlns:cdr="http://schemas.openxmlformats.org/drawingml/2006/chartDrawing">
    <cdr:from>
      <cdr:x>0.34982</cdr:x>
      <cdr:y>0.87885</cdr:y>
    </cdr:from>
    <cdr:to>
      <cdr:x>0.99064</cdr:x>
      <cdr:y>0.98962</cdr:y>
    </cdr:to>
    <cdr:sp macro="" textlink="">
      <cdr:nvSpPr>
        <cdr:cNvPr id="4" name="TextBox 7"/>
        <cdr:cNvSpPr txBox="1"/>
      </cdr:nvSpPr>
      <cdr:spPr>
        <a:xfrm xmlns:a="http://schemas.openxmlformats.org/drawingml/2006/main">
          <a:off x="1736481" y="2666512"/>
          <a:ext cx="3181047" cy="33608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1"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rtl="1"/>
          <a:r>
            <a:rPr lang="he-IL" sz="800">
              <a:solidFill>
                <a:schemeClr val="dk1"/>
              </a:solidFill>
              <a:effectLst/>
              <a:latin typeface="+mn-lt"/>
              <a:ea typeface="+mn-ea"/>
              <a:cs typeface="+mn-cs"/>
            </a:rPr>
            <a:t>* </a:t>
          </a:r>
          <a:r>
            <a:rPr lang="ar-SA" sz="800">
              <a:solidFill>
                <a:schemeClr val="dk1"/>
              </a:solidFill>
              <a:effectLst/>
              <a:latin typeface="+mn-lt"/>
              <a:ea typeface="+mn-ea"/>
              <a:cs typeface="+mn-cs"/>
            </a:rPr>
            <a:t>يشمل الغاز والنفط، التكنولوجيا والبيومد</a:t>
          </a:r>
          <a:endParaRPr lang="he-IL" sz="800" baseline="0">
            <a:solidFill>
              <a:schemeClr val="dk1"/>
            </a:solidFill>
            <a:effectLst/>
            <a:latin typeface="+mn-lt"/>
            <a:ea typeface="+mn-ea"/>
            <a:cs typeface="+mn-cs"/>
          </a:endParaRPr>
        </a:p>
        <a:p xmlns:a="http://schemas.openxmlformats.org/drawingml/2006/main">
          <a:pPr rtl="1"/>
          <a:r>
            <a:rPr lang="ar-SA" sz="800" baseline="0">
              <a:solidFill>
                <a:schemeClr val="dk1"/>
              </a:solidFill>
              <a:effectLst/>
              <a:latin typeface="+mn-lt"/>
              <a:ea typeface="+mn-ea"/>
              <a:cs typeface="+mn-cs"/>
            </a:rPr>
            <a:t>المصدر: بورصة الأوراق المالية وتحليلات بنك اسرائيل</a:t>
          </a:r>
          <a:r>
            <a:rPr lang="he-IL" sz="800" baseline="0">
              <a:solidFill>
                <a:schemeClr val="dk1"/>
              </a:solidFill>
              <a:effectLst/>
              <a:latin typeface="+mn-lt"/>
              <a:ea typeface="+mn-ea"/>
              <a:cs typeface="+mn-cs"/>
            </a:rPr>
            <a:t> </a:t>
          </a:r>
          <a:endParaRPr lang="he-IL" sz="800">
            <a:effectLst/>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B8489-012A-4F38-89FF-88C27FAE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757</Words>
  <Characters>3785</Characters>
  <Application>Microsoft Office Word</Application>
  <DocSecurity>4</DocSecurity>
  <Lines>31</Lines>
  <Paragraphs>9</Paragraphs>
  <ScaleCrop>false</ScaleCrop>
  <HeadingPairs>
    <vt:vector size="6" baseType="variant">
      <vt:variant>
        <vt:lpstr>שם</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BOI</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אורי ברזני</dc:creator>
  <cp:lastModifiedBy>עודה מג' ד</cp:lastModifiedBy>
  <cp:revision>2</cp:revision>
  <dcterms:created xsi:type="dcterms:W3CDTF">2023-01-05T11:27:00Z</dcterms:created>
  <dcterms:modified xsi:type="dcterms:W3CDTF">2023-01-05T11:27:00Z</dcterms:modified>
</cp:coreProperties>
</file>