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6E4A40" w:rsidRPr="00A67536" w14:paraId="13331737" w14:textId="77777777" w:rsidTr="000657A8">
        <w:trPr>
          <w:trHeight w:val="1701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6D2F" w14:textId="77777777" w:rsidR="00292A8A" w:rsidRDefault="00292A8A" w:rsidP="00DD735B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14:paraId="5EFC6FE6" w14:textId="77777777" w:rsidR="006E4A40" w:rsidRPr="00A67536" w:rsidRDefault="00292A8A" w:rsidP="00DD735B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E4A40"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="006E4A40"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="006E4A40"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="006E4A40"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155DC3DE" w14:textId="77777777" w:rsidR="006E4A40" w:rsidRDefault="006E4A40" w:rsidP="00DD735B">
            <w:pPr>
              <w:spacing w:line="360" w:lineRule="auto"/>
              <w:ind w:right="-101"/>
              <w:jc w:val="both"/>
              <w:rPr>
                <w:sz w:val="24"/>
                <w:szCs w:val="24"/>
                <w:rtl/>
              </w:rPr>
            </w:pPr>
            <w:r w:rsidRPr="00A67536">
              <w:rPr>
                <w:rFonts w:cs="David"/>
                <w:sz w:val="24"/>
                <w:szCs w:val="24"/>
                <w:rtl/>
              </w:rPr>
              <w:t>דו</w:t>
            </w:r>
            <w:r w:rsidRPr="00A67536">
              <w:rPr>
                <w:rFonts w:cs="David" w:hint="cs"/>
                <w:sz w:val="24"/>
                <w:szCs w:val="24"/>
                <w:rtl/>
              </w:rPr>
              <w:t>בר</w:t>
            </w:r>
            <w:r w:rsidRPr="00A67536">
              <w:rPr>
                <w:rFonts w:cs="David"/>
                <w:sz w:val="24"/>
                <w:szCs w:val="24"/>
                <w:rtl/>
              </w:rPr>
              <w:t>ות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  <w:p w14:paraId="492FD20C" w14:textId="77777777" w:rsidR="0015142D" w:rsidRPr="00A67536" w:rsidRDefault="0015142D" w:rsidP="00DD735B">
            <w:pPr>
              <w:spacing w:line="360" w:lineRule="auto"/>
              <w:ind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A99EB41" w14:textId="77777777" w:rsidR="006E4A40" w:rsidRPr="00A67536" w:rsidRDefault="00FC325B" w:rsidP="00DD735B">
            <w:pPr>
              <w:jc w:val="both"/>
            </w:pPr>
            <w:r>
              <w:rPr>
                <w:rFonts w:cs="David" w:hint="eastAsia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9744" behindDoc="0" locked="0" layoutInCell="1" allowOverlap="1" wp14:anchorId="24BCF2C6" wp14:editId="7FBA6799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33655</wp:posOffset>
                  </wp:positionV>
                  <wp:extent cx="914400" cy="914400"/>
                  <wp:effectExtent l="0" t="0" r="0" b="0"/>
                  <wp:wrapSquare wrapText="bothSides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nk of Israel 2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EEBD" w14:textId="77777777" w:rsidR="006E4A40" w:rsidRPr="001B64B5" w:rsidRDefault="006E4A40" w:rsidP="00292A8A">
            <w:pPr>
              <w:bidi w:val="0"/>
              <w:spacing w:line="48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82C79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082C79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082C79" w:rsidRPr="00082C79">
              <w:rPr>
                <w:rFonts w:cs="David" w:hint="cs"/>
                <w:sz w:val="24"/>
                <w:szCs w:val="24"/>
                <w:rtl/>
              </w:rPr>
              <w:t xml:space="preserve">י"א </w:t>
            </w:r>
            <w:r w:rsidRPr="00082C79">
              <w:rPr>
                <w:rFonts w:cs="David" w:hint="cs"/>
                <w:sz w:val="24"/>
                <w:szCs w:val="24"/>
                <w:rtl/>
              </w:rPr>
              <w:t>ב</w:t>
            </w:r>
            <w:r w:rsidR="00082C79" w:rsidRPr="00082C79">
              <w:rPr>
                <w:rFonts w:cs="David" w:hint="cs"/>
                <w:sz w:val="24"/>
                <w:szCs w:val="24"/>
                <w:rtl/>
              </w:rPr>
              <w:t>אדר ב'</w:t>
            </w:r>
            <w:r w:rsidRPr="00082C7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082C79">
              <w:rPr>
                <w:rFonts w:cs="David" w:hint="cs"/>
                <w:sz w:val="24"/>
                <w:szCs w:val="24"/>
                <w:rtl/>
              </w:rPr>
              <w:t>ה</w:t>
            </w:r>
            <w:r w:rsidRPr="00082C79">
              <w:rPr>
                <w:rFonts w:cs="David"/>
                <w:sz w:val="24"/>
                <w:szCs w:val="24"/>
                <w:rtl/>
              </w:rPr>
              <w:t>תש</w:t>
            </w:r>
            <w:r w:rsidR="001B64B5" w:rsidRPr="00082C79">
              <w:rPr>
                <w:rFonts w:cs="David" w:hint="cs"/>
                <w:sz w:val="24"/>
                <w:szCs w:val="24"/>
                <w:rtl/>
              </w:rPr>
              <w:t>פ</w:t>
            </w:r>
            <w:r w:rsidRPr="00082C79">
              <w:rPr>
                <w:rFonts w:cs="David"/>
                <w:sz w:val="24"/>
                <w:szCs w:val="24"/>
                <w:rtl/>
              </w:rPr>
              <w:t>"</w:t>
            </w:r>
            <w:r w:rsidR="00082C79" w:rsidRPr="00082C79">
              <w:rPr>
                <w:rFonts w:cs="David" w:hint="cs"/>
                <w:sz w:val="24"/>
                <w:szCs w:val="24"/>
                <w:rtl/>
              </w:rPr>
              <w:t>ב</w:t>
            </w:r>
            <w:proofErr w:type="spellEnd"/>
          </w:p>
          <w:p w14:paraId="55ED7F22" w14:textId="77777777" w:rsidR="006E4A40" w:rsidRPr="001B64B5" w:rsidRDefault="006E4A40" w:rsidP="00292A8A">
            <w:pPr>
              <w:bidi w:val="0"/>
              <w:spacing w:line="480" w:lineRule="auto"/>
              <w:jc w:val="both"/>
              <w:rPr>
                <w:rFonts w:cs="David"/>
                <w:sz w:val="24"/>
                <w:szCs w:val="24"/>
              </w:rPr>
            </w:pPr>
            <w:r w:rsidRPr="001B64B5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D946FC">
              <w:rPr>
                <w:rFonts w:cs="David" w:hint="cs"/>
                <w:sz w:val="24"/>
                <w:szCs w:val="24"/>
                <w:rtl/>
              </w:rPr>
              <w:t>14</w:t>
            </w:r>
            <w:r w:rsidRPr="001B64B5">
              <w:rPr>
                <w:rFonts w:cs="David" w:hint="cs"/>
                <w:sz w:val="24"/>
                <w:szCs w:val="24"/>
                <w:rtl/>
              </w:rPr>
              <w:t xml:space="preserve"> במרץ </w:t>
            </w:r>
            <w:r w:rsidR="00D946FC">
              <w:rPr>
                <w:rFonts w:cs="David" w:hint="cs"/>
                <w:sz w:val="24"/>
                <w:szCs w:val="24"/>
                <w:rtl/>
              </w:rPr>
              <w:t>2022</w:t>
            </w:r>
          </w:p>
        </w:tc>
      </w:tr>
    </w:tbl>
    <w:p w14:paraId="2A0E66FC" w14:textId="77777777" w:rsidR="006E4A40" w:rsidRDefault="006E4A40" w:rsidP="00DD735B">
      <w:pPr>
        <w:jc w:val="both"/>
        <w:rPr>
          <w:b/>
          <w:bCs/>
          <w:rtl/>
        </w:rPr>
      </w:pPr>
      <w:r w:rsidRPr="00A67536">
        <w:rPr>
          <w:rFonts w:cs="David" w:hint="cs"/>
          <w:sz w:val="24"/>
          <w:szCs w:val="24"/>
          <w:rtl/>
        </w:rPr>
        <w:t>הודעה לעיתונות:</w:t>
      </w:r>
    </w:p>
    <w:p w14:paraId="05918866" w14:textId="77777777" w:rsidR="00F62F43" w:rsidRPr="00C77A65" w:rsidRDefault="00964D0D" w:rsidP="00C77A65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C77A65">
        <w:rPr>
          <w:rFonts w:cs="David" w:hint="eastAsia"/>
          <w:b/>
          <w:bCs/>
          <w:sz w:val="28"/>
          <w:szCs w:val="28"/>
          <w:rtl/>
        </w:rPr>
        <w:t>החטיבה</w:t>
      </w:r>
      <w:r w:rsidRPr="00C77A65">
        <w:rPr>
          <w:rFonts w:cs="David"/>
          <w:b/>
          <w:bCs/>
          <w:sz w:val="28"/>
          <w:szCs w:val="28"/>
          <w:rtl/>
        </w:rPr>
        <w:t xml:space="preserve"> למידע ולסטטיסטיקה בבנק ישראל מפרסמת היום את </w:t>
      </w:r>
      <w:r w:rsidR="00316DB3" w:rsidRPr="00C77A65">
        <w:rPr>
          <w:rFonts w:cs="David" w:hint="eastAsia"/>
          <w:b/>
          <w:bCs/>
          <w:sz w:val="28"/>
          <w:szCs w:val="28"/>
          <w:rtl/>
        </w:rPr>
        <w:t>דו</w:t>
      </w:r>
      <w:r w:rsidR="00316DB3" w:rsidRPr="00C77A65">
        <w:rPr>
          <w:rFonts w:cs="David"/>
          <w:b/>
          <w:bCs/>
          <w:sz w:val="28"/>
          <w:szCs w:val="28"/>
          <w:rtl/>
        </w:rPr>
        <w:t xml:space="preserve">"ח </w:t>
      </w:r>
      <w:r w:rsidR="00F62F43" w:rsidRPr="00C77A65">
        <w:rPr>
          <w:rFonts w:cs="David"/>
          <w:b/>
          <w:bCs/>
          <w:sz w:val="28"/>
          <w:szCs w:val="28"/>
          <w:rtl/>
        </w:rPr>
        <w:t xml:space="preserve">'מבט </w:t>
      </w:r>
      <w:r w:rsidR="00F62F43" w:rsidRPr="00C77A65">
        <w:rPr>
          <w:rFonts w:cs="David" w:hint="eastAsia"/>
          <w:b/>
          <w:bCs/>
          <w:sz w:val="28"/>
          <w:szCs w:val="28"/>
          <w:rtl/>
        </w:rPr>
        <w:t>סטטיסטי</w:t>
      </w:r>
      <w:r w:rsidR="00316DB3" w:rsidRPr="00C77A65">
        <w:rPr>
          <w:rFonts w:cs="David"/>
          <w:b/>
          <w:bCs/>
          <w:sz w:val="28"/>
          <w:szCs w:val="28"/>
          <w:rtl/>
        </w:rPr>
        <w:t xml:space="preserve">' </w:t>
      </w:r>
      <w:r w:rsidR="00316DB3" w:rsidRPr="00C77A65">
        <w:rPr>
          <w:rFonts w:cs="David" w:hint="eastAsia"/>
          <w:b/>
          <w:bCs/>
          <w:sz w:val="28"/>
          <w:szCs w:val="28"/>
          <w:rtl/>
        </w:rPr>
        <w:t>לשנת</w:t>
      </w:r>
      <w:r w:rsidR="00F62F43" w:rsidRPr="00C77A65">
        <w:rPr>
          <w:rFonts w:cs="David"/>
          <w:b/>
          <w:bCs/>
          <w:sz w:val="28"/>
          <w:szCs w:val="28"/>
          <w:rtl/>
        </w:rPr>
        <w:t xml:space="preserve"> </w:t>
      </w:r>
      <w:r w:rsidR="000E03B8" w:rsidRPr="00C77A65">
        <w:rPr>
          <w:rFonts w:cs="David"/>
          <w:b/>
          <w:bCs/>
          <w:sz w:val="28"/>
          <w:szCs w:val="28"/>
          <w:rtl/>
        </w:rPr>
        <w:t>2021</w:t>
      </w:r>
    </w:p>
    <w:bookmarkEnd w:id="0"/>
    <w:p w14:paraId="3B2A6308" w14:textId="77777777" w:rsidR="00F62F43" w:rsidRPr="00C77A65" w:rsidRDefault="00316DB3" w:rsidP="000E03B8">
      <w:pPr>
        <w:jc w:val="both"/>
        <w:rPr>
          <w:rFonts w:cs="David"/>
          <w:b/>
          <w:bCs/>
          <w:sz w:val="28"/>
          <w:szCs w:val="28"/>
          <w:rtl/>
        </w:rPr>
      </w:pPr>
      <w:r w:rsidRPr="00C77A65">
        <w:rPr>
          <w:rFonts w:cs="David" w:hint="eastAsia"/>
          <w:b/>
          <w:bCs/>
          <w:sz w:val="24"/>
          <w:szCs w:val="24"/>
          <w:rtl/>
        </w:rPr>
        <w:t>הדו</w:t>
      </w:r>
      <w:r w:rsidRPr="00C77A65">
        <w:rPr>
          <w:rFonts w:cs="David"/>
          <w:b/>
          <w:bCs/>
          <w:sz w:val="24"/>
          <w:szCs w:val="24"/>
          <w:rtl/>
        </w:rPr>
        <w:t xml:space="preserve">"ח מכיל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פרסום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ראשון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של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הנתונים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והמצרפים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הפיננסיים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המרכזיים</w:t>
      </w:r>
      <w:r w:rsidR="00F62F43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62F43" w:rsidRPr="00C77A65">
        <w:rPr>
          <w:rFonts w:cs="David" w:hint="eastAsia"/>
          <w:b/>
          <w:bCs/>
          <w:sz w:val="24"/>
          <w:szCs w:val="24"/>
          <w:rtl/>
        </w:rPr>
        <w:t>במשק</w:t>
      </w:r>
      <w:r w:rsidR="008D7EF6" w:rsidRPr="00C77A65">
        <w:rPr>
          <w:rFonts w:cs="David"/>
          <w:b/>
          <w:bCs/>
          <w:sz w:val="24"/>
          <w:szCs w:val="24"/>
          <w:rtl/>
        </w:rPr>
        <w:t xml:space="preserve"> לשנת </w:t>
      </w:r>
      <w:r w:rsidR="000E03B8" w:rsidRPr="00C77A65">
        <w:rPr>
          <w:rFonts w:cs="David"/>
          <w:b/>
          <w:bCs/>
          <w:sz w:val="24"/>
          <w:szCs w:val="24"/>
          <w:rtl/>
        </w:rPr>
        <w:t>2021</w:t>
      </w:r>
      <w:r w:rsidR="00CC3C00" w:rsidRPr="00C77A65">
        <w:rPr>
          <w:rFonts w:cs="David"/>
          <w:b/>
          <w:bCs/>
          <w:sz w:val="24"/>
          <w:szCs w:val="24"/>
          <w:rtl/>
        </w:rPr>
        <w:t xml:space="preserve"> – </w:t>
      </w:r>
      <w:r w:rsidR="00F35C66" w:rsidRPr="00C77A65">
        <w:rPr>
          <w:rFonts w:cs="David" w:hint="eastAsia"/>
          <w:b/>
          <w:bCs/>
          <w:sz w:val="24"/>
          <w:szCs w:val="24"/>
          <w:rtl/>
        </w:rPr>
        <w:t>תיק</w:t>
      </w:r>
      <w:r w:rsidR="00F35C66" w:rsidRPr="00C77A65">
        <w:rPr>
          <w:rFonts w:cs="David"/>
          <w:b/>
          <w:bCs/>
          <w:sz w:val="24"/>
          <w:szCs w:val="24"/>
          <w:rtl/>
        </w:rPr>
        <w:t xml:space="preserve"> הנכסים הפיננסיים של הציבור, </w:t>
      </w:r>
      <w:r w:rsidR="004D694C" w:rsidRPr="00C77A65">
        <w:rPr>
          <w:rFonts w:cs="David" w:hint="eastAsia"/>
          <w:b/>
          <w:bCs/>
          <w:sz w:val="24"/>
          <w:szCs w:val="24"/>
          <w:rtl/>
        </w:rPr>
        <w:t>החוב</w:t>
      </w:r>
      <w:r w:rsidR="004D694C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4D694C" w:rsidRPr="00C77A65">
        <w:rPr>
          <w:rFonts w:cs="David" w:hint="eastAsia"/>
          <w:b/>
          <w:bCs/>
          <w:sz w:val="24"/>
          <w:szCs w:val="24"/>
          <w:rtl/>
        </w:rPr>
        <w:t>של</w:t>
      </w:r>
      <w:r w:rsidR="004D694C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4D694C" w:rsidRPr="00C77A65">
        <w:rPr>
          <w:rFonts w:cs="David" w:hint="eastAsia"/>
          <w:b/>
          <w:bCs/>
          <w:sz w:val="24"/>
          <w:szCs w:val="24"/>
          <w:rtl/>
        </w:rPr>
        <w:t>המגזר</w:t>
      </w:r>
      <w:r w:rsidR="004D694C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4D694C" w:rsidRPr="00C77A65">
        <w:rPr>
          <w:rFonts w:cs="David" w:hint="eastAsia"/>
          <w:b/>
          <w:bCs/>
          <w:sz w:val="24"/>
          <w:szCs w:val="24"/>
          <w:rtl/>
        </w:rPr>
        <w:t>הפרטי</w:t>
      </w:r>
      <w:r w:rsidR="004D694C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4D694C" w:rsidRPr="00C77A65">
        <w:rPr>
          <w:rFonts w:cs="David" w:hint="eastAsia"/>
          <w:b/>
          <w:bCs/>
          <w:sz w:val="24"/>
          <w:szCs w:val="24"/>
          <w:rtl/>
        </w:rPr>
        <w:t>הלא</w:t>
      </w:r>
      <w:r w:rsidR="004D694C" w:rsidRPr="00C77A65">
        <w:rPr>
          <w:rFonts w:cs="David"/>
          <w:b/>
          <w:bCs/>
          <w:sz w:val="24"/>
          <w:szCs w:val="24"/>
          <w:rtl/>
        </w:rPr>
        <w:t>-פיננסי</w:t>
      </w:r>
      <w:r w:rsidR="00CC3C00" w:rsidRPr="00C77A65">
        <w:rPr>
          <w:rFonts w:cs="David"/>
          <w:b/>
          <w:bCs/>
          <w:sz w:val="24"/>
          <w:szCs w:val="24"/>
          <w:rtl/>
        </w:rPr>
        <w:t xml:space="preserve">, </w:t>
      </w:r>
      <w:r w:rsidR="00F35C66" w:rsidRPr="00C77A65">
        <w:rPr>
          <w:rFonts w:cs="David" w:hint="eastAsia"/>
          <w:b/>
          <w:bCs/>
          <w:sz w:val="24"/>
          <w:szCs w:val="24"/>
          <w:rtl/>
        </w:rPr>
        <w:t>פעילות</w:t>
      </w:r>
      <w:r w:rsidR="00F35C66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8E7241" w:rsidRPr="00C77A65">
        <w:rPr>
          <w:rFonts w:cs="David" w:hint="eastAsia"/>
          <w:b/>
          <w:bCs/>
          <w:sz w:val="24"/>
          <w:szCs w:val="24"/>
          <w:rtl/>
        </w:rPr>
        <w:t>המשק</w:t>
      </w:r>
      <w:r w:rsidR="008E7241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F35C66" w:rsidRPr="00C77A65">
        <w:rPr>
          <w:rFonts w:cs="David" w:hint="eastAsia"/>
          <w:b/>
          <w:bCs/>
          <w:sz w:val="24"/>
          <w:szCs w:val="24"/>
          <w:rtl/>
        </w:rPr>
        <w:t>מול</w:t>
      </w:r>
      <w:r w:rsidR="00F35C66" w:rsidRPr="00C77A65">
        <w:rPr>
          <w:rFonts w:cs="David"/>
          <w:b/>
          <w:bCs/>
          <w:sz w:val="24"/>
          <w:szCs w:val="24"/>
          <w:rtl/>
        </w:rPr>
        <w:t xml:space="preserve"> חו"ל </w:t>
      </w:r>
      <w:r w:rsidR="008E7241" w:rsidRPr="00C77A65">
        <w:rPr>
          <w:rFonts w:cs="David" w:hint="eastAsia"/>
          <w:b/>
          <w:bCs/>
          <w:sz w:val="24"/>
          <w:szCs w:val="24"/>
          <w:rtl/>
        </w:rPr>
        <w:t>ופעילות</w:t>
      </w:r>
      <w:r w:rsidR="008E7241" w:rsidRPr="00C77A65">
        <w:rPr>
          <w:rFonts w:cs="David"/>
          <w:b/>
          <w:bCs/>
          <w:sz w:val="24"/>
          <w:szCs w:val="24"/>
          <w:rtl/>
        </w:rPr>
        <w:t xml:space="preserve"> המגזרים העיקריים במטבע חוץ. </w:t>
      </w:r>
      <w:r w:rsidR="000A3948" w:rsidRPr="00C77A65">
        <w:rPr>
          <w:rFonts w:cs="David"/>
          <w:b/>
          <w:bCs/>
          <w:sz w:val="24"/>
          <w:szCs w:val="24"/>
          <w:rtl/>
        </w:rPr>
        <w:t xml:space="preserve"> </w:t>
      </w:r>
      <w:r w:rsidR="00C871E2" w:rsidRPr="00C77A65">
        <w:rPr>
          <w:rFonts w:cs="David"/>
          <w:b/>
          <w:bCs/>
          <w:sz w:val="24"/>
          <w:szCs w:val="24"/>
          <w:rtl/>
        </w:rPr>
        <w:t xml:space="preserve"> </w:t>
      </w:r>
    </w:p>
    <w:p w14:paraId="642609AA" w14:textId="77777777" w:rsidR="001A1017" w:rsidRDefault="000A3948" w:rsidP="00BA5E1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ה</w:t>
      </w:r>
      <w:r w:rsidR="00716312" w:rsidRPr="006E4A40">
        <w:rPr>
          <w:rFonts w:cs="David" w:hint="cs"/>
          <w:b/>
          <w:bCs/>
          <w:sz w:val="24"/>
          <w:szCs w:val="24"/>
          <w:rtl/>
        </w:rPr>
        <w:t xml:space="preserve">חלק הראשון של 'מבט סטטיסטי </w:t>
      </w:r>
      <w:r w:rsidR="00BA5E14">
        <w:rPr>
          <w:rFonts w:cs="David" w:hint="cs"/>
          <w:b/>
          <w:bCs/>
          <w:sz w:val="24"/>
          <w:szCs w:val="24"/>
          <w:rtl/>
        </w:rPr>
        <w:t>2021</w:t>
      </w:r>
      <w:r w:rsidR="00D946FC">
        <w:rPr>
          <w:rFonts w:cs="David" w:hint="cs"/>
          <w:b/>
          <w:bCs/>
          <w:sz w:val="24"/>
          <w:szCs w:val="24"/>
          <w:rtl/>
        </w:rPr>
        <w:t>'</w:t>
      </w:r>
      <w:r w:rsidR="004E30FA">
        <w:rPr>
          <w:rFonts w:cs="David" w:hint="cs"/>
          <w:sz w:val="24"/>
          <w:szCs w:val="24"/>
          <w:rtl/>
        </w:rPr>
        <w:t xml:space="preserve"> </w:t>
      </w:r>
      <w:r w:rsidR="001A1017">
        <w:rPr>
          <w:rFonts w:cs="David" w:hint="cs"/>
          <w:sz w:val="24"/>
          <w:szCs w:val="24"/>
          <w:rtl/>
        </w:rPr>
        <w:t>מציג בצורה ויזואלית את ה</w:t>
      </w:r>
      <w:r w:rsidRPr="006E4A40">
        <w:rPr>
          <w:rFonts w:cs="David" w:hint="cs"/>
          <w:sz w:val="24"/>
          <w:szCs w:val="24"/>
          <w:rtl/>
        </w:rPr>
        <w:t xml:space="preserve">נתונים </w:t>
      </w:r>
      <w:r w:rsidR="001A1017" w:rsidRPr="006E4A40">
        <w:rPr>
          <w:rFonts w:cs="David" w:hint="cs"/>
          <w:sz w:val="24"/>
          <w:szCs w:val="24"/>
          <w:rtl/>
        </w:rPr>
        <w:t>ו</w:t>
      </w:r>
      <w:r w:rsidR="001A1017">
        <w:rPr>
          <w:rFonts w:cs="David" w:hint="cs"/>
          <w:sz w:val="24"/>
          <w:szCs w:val="24"/>
          <w:rtl/>
        </w:rPr>
        <w:t>ה</w:t>
      </w:r>
      <w:r w:rsidR="001A1017" w:rsidRPr="006E4A40">
        <w:rPr>
          <w:rFonts w:cs="David" w:hint="cs"/>
          <w:sz w:val="24"/>
          <w:szCs w:val="24"/>
          <w:rtl/>
        </w:rPr>
        <w:t xml:space="preserve">מצרפים </w:t>
      </w:r>
      <w:r w:rsidRPr="006E4A40">
        <w:rPr>
          <w:rFonts w:cs="David" w:hint="cs"/>
          <w:sz w:val="24"/>
          <w:szCs w:val="24"/>
          <w:rtl/>
        </w:rPr>
        <w:t>המרכזיים על הפעילות הפיננסית בישראל, בצירוף מידע והסברים על הנתונים, ההגדרות והעיבודים</w:t>
      </w:r>
      <w:r w:rsidR="001A1017">
        <w:rPr>
          <w:rFonts w:cs="David" w:hint="cs"/>
          <w:sz w:val="24"/>
          <w:szCs w:val="24"/>
          <w:rtl/>
        </w:rPr>
        <w:t xml:space="preserve"> השונים</w:t>
      </w:r>
      <w:r w:rsidR="00653851">
        <w:rPr>
          <w:rFonts w:cs="David" w:hint="cs"/>
          <w:sz w:val="24"/>
          <w:szCs w:val="24"/>
          <w:rtl/>
        </w:rPr>
        <w:t xml:space="preserve">; </w:t>
      </w:r>
      <w:r w:rsidR="001A1017" w:rsidRPr="00F11718">
        <w:rPr>
          <w:rFonts w:cs="David" w:hint="cs"/>
          <w:b/>
          <w:bCs/>
          <w:sz w:val="24"/>
          <w:szCs w:val="24"/>
          <w:rtl/>
        </w:rPr>
        <w:t xml:space="preserve">החלק השני </w:t>
      </w:r>
      <w:r w:rsidR="001A1017">
        <w:rPr>
          <w:rFonts w:cs="David" w:hint="cs"/>
          <w:sz w:val="24"/>
          <w:szCs w:val="24"/>
          <w:rtl/>
        </w:rPr>
        <w:t>מציג</w:t>
      </w:r>
      <w:r w:rsidR="001A1017" w:rsidRPr="00F11718">
        <w:rPr>
          <w:rFonts w:cs="David" w:hint="cs"/>
          <w:sz w:val="24"/>
          <w:szCs w:val="24"/>
          <w:rtl/>
        </w:rPr>
        <w:t xml:space="preserve"> עבודות בתחום המתודולוגיה הסטטיסטית</w:t>
      </w:r>
      <w:r w:rsidR="001A1017">
        <w:rPr>
          <w:rFonts w:cs="David" w:hint="cs"/>
          <w:sz w:val="24"/>
          <w:szCs w:val="24"/>
          <w:rtl/>
        </w:rPr>
        <w:t xml:space="preserve"> שנערכו בבנק ישראל.</w:t>
      </w:r>
    </w:p>
    <w:p w14:paraId="224D9DD8" w14:textId="77777777" w:rsidR="00716312" w:rsidRPr="006E4A40" w:rsidRDefault="001A1017" w:rsidP="00DD735B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החלק הראשון </w:t>
      </w:r>
      <w:r w:rsidR="008E0F81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דו"ח </w:t>
      </w:r>
      <w:r w:rsidR="008E0F81">
        <w:rPr>
          <w:rFonts w:cs="David" w:hint="cs"/>
          <w:sz w:val="24"/>
          <w:szCs w:val="24"/>
          <w:rtl/>
        </w:rPr>
        <w:t>עוסק</w:t>
      </w:r>
      <w:r>
        <w:rPr>
          <w:rFonts w:cs="David" w:hint="cs"/>
          <w:sz w:val="24"/>
          <w:szCs w:val="24"/>
          <w:rtl/>
        </w:rPr>
        <w:t xml:space="preserve"> </w:t>
      </w:r>
      <w:r w:rsidR="000A3948">
        <w:rPr>
          <w:rFonts w:cs="David" w:hint="cs"/>
          <w:sz w:val="24"/>
          <w:szCs w:val="24"/>
          <w:rtl/>
        </w:rPr>
        <w:t>בארבע</w:t>
      </w:r>
      <w:r w:rsidR="00614AF5">
        <w:rPr>
          <w:rFonts w:cs="David" w:hint="cs"/>
          <w:sz w:val="24"/>
          <w:szCs w:val="24"/>
          <w:rtl/>
        </w:rPr>
        <w:t>ה</w:t>
      </w:r>
      <w:r w:rsidR="000A3948">
        <w:rPr>
          <w:rFonts w:cs="David" w:hint="cs"/>
          <w:sz w:val="24"/>
          <w:szCs w:val="24"/>
          <w:rtl/>
        </w:rPr>
        <w:t xml:space="preserve"> נושאים מרכזיים</w:t>
      </w:r>
      <w:r w:rsidR="00653851">
        <w:rPr>
          <w:rFonts w:cs="David" w:hint="cs"/>
          <w:sz w:val="24"/>
          <w:szCs w:val="24"/>
          <w:rtl/>
        </w:rPr>
        <w:t xml:space="preserve"> בסטטיסטיקה הפיננסית של ישראל</w:t>
      </w:r>
      <w:r>
        <w:rPr>
          <w:rFonts w:cs="David" w:hint="cs"/>
          <w:sz w:val="24"/>
          <w:szCs w:val="24"/>
          <w:rtl/>
        </w:rPr>
        <w:t>:</w:t>
      </w:r>
    </w:p>
    <w:p w14:paraId="16AD2E34" w14:textId="77777777" w:rsidR="00716312" w:rsidRDefault="00716312" w:rsidP="00DD735B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6E4A40">
        <w:rPr>
          <w:rFonts w:cs="David" w:hint="cs"/>
          <w:b/>
          <w:bCs/>
          <w:sz w:val="24"/>
          <w:szCs w:val="24"/>
          <w:rtl/>
        </w:rPr>
        <w:t>תיק הנכסים הפיננסיים של הציבור</w:t>
      </w:r>
    </w:p>
    <w:tbl>
      <w:tblPr>
        <w:tblStyle w:val="aa"/>
        <w:bidiVisual/>
        <w:tblW w:w="8642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4538"/>
      </w:tblGrid>
      <w:tr w:rsidR="00494260" w14:paraId="5E749B77" w14:textId="77777777" w:rsidTr="000B5DD8">
        <w:tc>
          <w:tcPr>
            <w:tcW w:w="4104" w:type="dxa"/>
          </w:tcPr>
          <w:p w14:paraId="0CD2465A" w14:textId="7A95B260" w:rsidR="00494260" w:rsidRPr="00494260" w:rsidRDefault="00494260" w:rsidP="00C77A65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94260">
              <w:rPr>
                <w:rFonts w:asciiTheme="minorBidi" w:hAnsiTheme="minorBidi" w:cs="David"/>
                <w:sz w:val="24"/>
                <w:szCs w:val="24"/>
                <w:rtl/>
              </w:rPr>
              <w:t>יתרת תיק הנכסים הפיננסיים של הציבור עלתה השנה בשיעור של כ-14%</w:t>
            </w:r>
            <w:r w:rsidR="00C77A65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C77A65" w:rsidRPr="00C77A65">
              <w:rPr>
                <w:rFonts w:asciiTheme="minorBidi" w:hAnsiTheme="minorBidi" w:cs="David"/>
                <w:sz w:val="24"/>
                <w:szCs w:val="24"/>
                <w:rtl/>
              </w:rPr>
              <w:t>(כ-638 מיליארדי ש"ח)</w:t>
            </w:r>
            <w:r w:rsidRPr="00494260">
              <w:rPr>
                <w:rFonts w:asciiTheme="minorBidi" w:hAnsiTheme="minorBidi" w:cs="David"/>
                <w:sz w:val="24"/>
                <w:szCs w:val="24"/>
                <w:rtl/>
              </w:rPr>
              <w:t>, גבוה משמעותית בהשוואה לממוצע בשנים האחרונות, זאת בעיקר כתוצאה מעליות המחירים בשווקי המניות בארץ ובחו"ל, ומגידול ניכר ברכיב הפיקדונות והמזומן בתיק.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494260">
              <w:rPr>
                <w:rFonts w:asciiTheme="minorBidi" w:hAnsiTheme="minorBidi" w:cs="David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>איור א-3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בפרסום)</w:t>
            </w:r>
          </w:p>
        </w:tc>
        <w:tc>
          <w:tcPr>
            <w:tcW w:w="4538" w:type="dxa"/>
          </w:tcPr>
          <w:p w14:paraId="79E1ACC7" w14:textId="77777777" w:rsidR="00494260" w:rsidRPr="00142177" w:rsidRDefault="00494260" w:rsidP="00494260">
            <w:pPr>
              <w:pStyle w:val="a3"/>
              <w:ind w:left="3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142177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שינוי ב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י</w:t>
            </w:r>
            <w:r w:rsidRPr="00142177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תרת הנכסים בתיק ב-202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1</w:t>
            </w:r>
          </w:p>
          <w:p w14:paraId="61AE5670" w14:textId="77777777" w:rsidR="00494260" w:rsidRPr="00142177" w:rsidRDefault="00494260" w:rsidP="000B5DD8">
            <w:pPr>
              <w:spacing w:after="180"/>
              <w:ind w:left="30" w:right="-113"/>
              <w:jc w:val="both"/>
              <w:rPr>
                <w:rFonts w:ascii="David" w:eastAsiaTheme="majorEastAsia" w:hAnsi="David" w:cs="David"/>
                <w:sz w:val="21"/>
                <w:szCs w:val="21"/>
                <w:rtl/>
              </w:rPr>
            </w:pPr>
            <w:r w:rsidRPr="00494260">
              <w:rPr>
                <w:rFonts w:cs="David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81792" behindDoc="1" locked="0" layoutInCell="1" allowOverlap="1" wp14:anchorId="52C259C9" wp14:editId="3A0DBAD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183515</wp:posOffset>
                  </wp:positionV>
                  <wp:extent cx="2700000" cy="1620000"/>
                  <wp:effectExtent l="0" t="0" r="5715" b="0"/>
                  <wp:wrapTight wrapText="bothSides">
                    <wp:wrapPolygon edited="0">
                      <wp:start x="0" y="0"/>
                      <wp:lineTo x="0" y="21338"/>
                      <wp:lineTo x="21493" y="21338"/>
                      <wp:lineTo x="21493" y="0"/>
                      <wp:lineTo x="0" y="0"/>
                    </wp:wrapPolygon>
                  </wp:wrapTight>
                  <wp:docPr id="1" name="תמונה 1" title="שינוי ביתרת הנכסים בתיק ב-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177">
              <w:rPr>
                <w:rFonts w:ascii="David" w:eastAsiaTheme="majorEastAsia" w:hAnsi="David" w:cs="David"/>
                <w:sz w:val="21"/>
                <w:szCs w:val="21"/>
                <w:rtl/>
              </w:rPr>
              <w:t>שינוי במיליארדי ש"ח (עמודות) ושינוי באחוזים (בועות)</w:t>
            </w:r>
          </w:p>
          <w:p w14:paraId="7836E22C" w14:textId="77777777" w:rsidR="00494260" w:rsidRPr="00F31E26" w:rsidRDefault="00494260" w:rsidP="00F31E26">
            <w:pPr>
              <w:pStyle w:val="a3"/>
              <w:spacing w:line="276" w:lineRule="auto"/>
              <w:ind w:left="30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  <w:r w:rsidRPr="00F31E26">
              <w:rPr>
                <w:rFonts w:ascii="David" w:hAnsi="David" w:cs="David"/>
                <w:sz w:val="16"/>
                <w:szCs w:val="16"/>
                <w:rtl/>
              </w:rPr>
              <w:t>*נכסים אחרים - נכסים שמנוהלים בידי המוסדיים וכוללים מניות לא סחירות, הלוואות, תיקי משכנתאות, זכויות מקרקעין ונגזרים.</w:t>
            </w:r>
          </w:p>
          <w:p w14:paraId="6C8FA9DE" w14:textId="77777777" w:rsidR="00494260" w:rsidRPr="006B36AB" w:rsidRDefault="00494260" w:rsidP="00F31E26">
            <w:pPr>
              <w:pStyle w:val="a3"/>
              <w:spacing w:line="276" w:lineRule="auto"/>
              <w:ind w:left="30"/>
              <w:jc w:val="both"/>
              <w:rPr>
                <w:rFonts w:cs="David"/>
                <w:sz w:val="16"/>
                <w:szCs w:val="16"/>
                <w:rtl/>
              </w:rPr>
            </w:pPr>
            <w:r w:rsidRPr="00F31E26">
              <w:rPr>
                <w:rFonts w:ascii="David" w:hAnsi="David" w:cs="David"/>
                <w:sz w:val="16"/>
                <w:szCs w:val="16"/>
                <w:rtl/>
              </w:rPr>
              <w:t>המקור: נתוני ועיבודי בנק ישראל</w:t>
            </w:r>
            <w:r w:rsidR="00C5044F">
              <w:rPr>
                <w:rFonts w:cs="David" w:hint="cs"/>
                <w:sz w:val="16"/>
                <w:szCs w:val="16"/>
                <w:rtl/>
              </w:rPr>
              <w:t>.</w:t>
            </w:r>
          </w:p>
        </w:tc>
      </w:tr>
    </w:tbl>
    <w:p w14:paraId="3A7CFAC6" w14:textId="77777777" w:rsidR="00B15636" w:rsidRDefault="00B15636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67AD4FE6" w14:textId="77777777" w:rsidR="00494260" w:rsidRDefault="00494260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7EDF1FD0" w14:textId="77777777" w:rsidR="00494260" w:rsidRDefault="00494260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50D47907" w14:textId="77777777" w:rsidR="00494260" w:rsidRDefault="00494260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0233F529" w14:textId="77777777" w:rsidR="00494260" w:rsidRDefault="00494260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1E50E3CA" w14:textId="77777777" w:rsidR="00494260" w:rsidRDefault="00494260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203F7136" w14:textId="77777777" w:rsidR="00494260" w:rsidRDefault="00494260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3CE6F145" w14:textId="77777777" w:rsidR="00F31E26" w:rsidRPr="00494260" w:rsidRDefault="00F31E26" w:rsidP="00DD735B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14:paraId="02C2B6F1" w14:textId="77777777" w:rsidR="00551E33" w:rsidRPr="00F2062E" w:rsidRDefault="00716312" w:rsidP="00DD735B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6E4A40">
        <w:rPr>
          <w:rFonts w:cs="David" w:hint="cs"/>
          <w:b/>
          <w:bCs/>
          <w:sz w:val="24"/>
          <w:szCs w:val="24"/>
          <w:rtl/>
        </w:rPr>
        <w:t>החוב של המגזר הפרטי</w:t>
      </w:r>
      <w:r w:rsidR="005A317B">
        <w:rPr>
          <w:rFonts w:cs="David" w:hint="cs"/>
          <w:b/>
          <w:bCs/>
          <w:sz w:val="24"/>
          <w:szCs w:val="24"/>
          <w:rtl/>
        </w:rPr>
        <w:t xml:space="preserve"> הלא-פיננסי</w:t>
      </w:r>
    </w:p>
    <w:tbl>
      <w:tblPr>
        <w:tblStyle w:val="aa"/>
        <w:bidiVisual/>
        <w:tblW w:w="8738" w:type="dxa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4529"/>
      </w:tblGrid>
      <w:tr w:rsidR="00551E33" w14:paraId="38C7D696" w14:textId="77777777" w:rsidTr="00B75EE7">
        <w:trPr>
          <w:trHeight w:val="3457"/>
        </w:trPr>
        <w:tc>
          <w:tcPr>
            <w:tcW w:w="4209" w:type="dxa"/>
          </w:tcPr>
          <w:p w14:paraId="02F0EAFC" w14:textId="4FC9C9A6" w:rsidR="00A86CDA" w:rsidRDefault="00A86CDA" w:rsidP="00C77A65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יתרת החוב של המגזר הפרטי הלא </w:t>
            </w:r>
            <w:r w:rsidR="00C77A65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פיננסי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עלתה השנה בשיעור ניכר של כ-</w:t>
            </w:r>
            <w:r w:rsidR="00082C79">
              <w:rPr>
                <w:rFonts w:asciiTheme="minorBidi" w:hAnsiTheme="minorBidi" w:cs="David" w:hint="cs"/>
                <w:sz w:val="24"/>
                <w:szCs w:val="24"/>
                <w:rtl/>
              </w:rPr>
              <w:t>13%.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הגידול נרשם הן ביתרת החוב של המגזר העסקי והן בזו של משקי הבית.</w:t>
            </w:r>
          </w:p>
          <w:p w14:paraId="6F737833" w14:textId="77777777" w:rsidR="00082C79" w:rsidRDefault="00082C79" w:rsidP="00082C79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 w:rsidRPr="00494260">
              <w:rPr>
                <w:rFonts w:asciiTheme="minorBidi" w:hAnsiTheme="minorBidi" w:cs="David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איור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ב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2 בפרסום)</w:t>
            </w:r>
          </w:p>
          <w:p w14:paraId="3BD72546" w14:textId="77777777" w:rsidR="00A86CDA" w:rsidRDefault="00A86CDA" w:rsidP="00A86CDA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</w:p>
          <w:p w14:paraId="47BDBE3A" w14:textId="77777777" w:rsidR="00292122" w:rsidRPr="00082C79" w:rsidRDefault="00292122" w:rsidP="00054235">
            <w:pPr>
              <w:tabs>
                <w:tab w:val="left" w:pos="984"/>
              </w:tabs>
              <w:spacing w:line="36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5537A211" w14:textId="77777777" w:rsidR="00292122" w:rsidRPr="008E0F81" w:rsidRDefault="00292122" w:rsidP="00054235">
            <w:pPr>
              <w:pStyle w:val="a3"/>
              <w:tabs>
                <w:tab w:val="left" w:pos="984"/>
              </w:tabs>
              <w:spacing w:line="36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14:paraId="52514EB3" w14:textId="77777777" w:rsidR="00D45B67" w:rsidRPr="00D45B67" w:rsidRDefault="00D45B67" w:rsidP="00D45B67">
            <w:pPr>
              <w:pStyle w:val="a3"/>
              <w:ind w:left="3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494260">
              <w:rPr>
                <w:rFonts w:ascii="Arial" w:hAnsi="Arial" w:cs="David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83840" behindDoc="1" locked="0" layoutInCell="1" allowOverlap="1" wp14:anchorId="3A67C5C1" wp14:editId="2D53D15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357454</wp:posOffset>
                  </wp:positionV>
                  <wp:extent cx="2700000" cy="1620000"/>
                  <wp:effectExtent l="0" t="0" r="5715" b="0"/>
                  <wp:wrapTight wrapText="bothSides">
                    <wp:wrapPolygon edited="0">
                      <wp:start x="0" y="0"/>
                      <wp:lineTo x="0" y="21338"/>
                      <wp:lineTo x="21493" y="21338"/>
                      <wp:lineTo x="21493" y="0"/>
                      <wp:lineTo x="0" y="0"/>
                    </wp:wrapPolygon>
                  </wp:wrapTight>
                  <wp:docPr id="4" name="תמונה 4" title="שיעורי השינוי השנתיים ביתרת החוב של המגזר הפרטי הלא-פיננס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5B67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שיעורי השינוי השנתיים ביתרת החוב של המגזר הפרטי הלא-פיננסי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אחוזים</w:t>
            </w:r>
          </w:p>
          <w:p w14:paraId="144511C8" w14:textId="77777777" w:rsidR="00494260" w:rsidRPr="006B36AB" w:rsidRDefault="00082C79" w:rsidP="00082C79">
            <w:pPr>
              <w:pStyle w:val="a3"/>
              <w:tabs>
                <w:tab w:val="left" w:pos="984"/>
              </w:tabs>
              <w:spacing w:line="360" w:lineRule="auto"/>
              <w:ind w:left="0" w:right="749"/>
              <w:jc w:val="both"/>
              <w:rPr>
                <w:rFonts w:ascii="Arial" w:hAnsi="Arial" w:cs="David"/>
                <w:sz w:val="16"/>
                <w:szCs w:val="16"/>
                <w:rtl/>
              </w:rPr>
            </w:pPr>
            <w:r w:rsidRPr="00082C79">
              <w:rPr>
                <w:rFonts w:ascii="David" w:eastAsiaTheme="majorEastAsia" w:hAnsi="David" w:cs="David"/>
                <w:sz w:val="16"/>
                <w:szCs w:val="16"/>
                <w:rtl/>
              </w:rPr>
              <w:t>המקור: דיווחים לבנק ישראל ועיבודי בנק ישראל.</w:t>
            </w:r>
          </w:p>
        </w:tc>
      </w:tr>
      <w:tr w:rsidR="00082C79" w14:paraId="3FDA2437" w14:textId="77777777" w:rsidTr="00B75EE7">
        <w:trPr>
          <w:trHeight w:val="3457"/>
        </w:trPr>
        <w:tc>
          <w:tcPr>
            <w:tcW w:w="4209" w:type="dxa"/>
          </w:tcPr>
          <w:p w14:paraId="6580036B" w14:textId="77777777" w:rsidR="00082C79" w:rsidRDefault="00082C79" w:rsidP="00082C7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ית</w:t>
            </w:r>
            <w:r w:rsidRPr="00494260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רת החוב של המגזר העסקי עלתה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(</w:t>
            </w:r>
            <w:r w:rsidRPr="00494260">
              <w:rPr>
                <w:rFonts w:asciiTheme="minorBidi" w:hAnsiTheme="minorBidi" w:cs="David" w:hint="cs"/>
                <w:sz w:val="24"/>
                <w:szCs w:val="24"/>
                <w:rtl/>
              </w:rPr>
              <w:t>בכ-12%), בעיקר כתוצאה מגיוסי חוב נטו בהלוואות בנקאיות שהתרכזו במגזר העסקים הגדולים, בעיקר בחברות מענפי הנדל"ן והבינוי.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</w:p>
          <w:p w14:paraId="7B101249" w14:textId="77777777" w:rsidR="00082C79" w:rsidRPr="00494260" w:rsidRDefault="00082C79" w:rsidP="00082C79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94260">
              <w:rPr>
                <w:rFonts w:asciiTheme="minorBidi" w:hAnsiTheme="minorBidi" w:cs="David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איור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ב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7 בפרסום)</w:t>
            </w:r>
          </w:p>
          <w:p w14:paraId="329A625F" w14:textId="77777777" w:rsidR="00082C79" w:rsidRDefault="00082C79" w:rsidP="00A86CDA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7BCA70F" w14:textId="77777777" w:rsidR="00082C79" w:rsidRDefault="00082C79" w:rsidP="00082C79">
            <w:pPr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292122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ההלוואות הבנקאיות למגזר העסקי, לפי גודל עסק</w:t>
            </w:r>
          </w:p>
          <w:p w14:paraId="4B61CE67" w14:textId="77777777" w:rsidR="00082C79" w:rsidRDefault="00082C79" w:rsidP="00082C79">
            <w:pPr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92122">
              <w:rPr>
                <w:rFonts w:asciiTheme="minorBidi" w:hAnsiTheme="minorBidi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7152" behindDoc="0" locked="0" layoutInCell="1" allowOverlap="1" wp14:anchorId="1FB77E1E" wp14:editId="72DF7BE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231775</wp:posOffset>
                  </wp:positionV>
                  <wp:extent cx="2699385" cy="1619885"/>
                  <wp:effectExtent l="0" t="0" r="5715" b="0"/>
                  <wp:wrapSquare wrapText="bothSides"/>
                  <wp:docPr id="15" name="תמונה 15" title="ההלוואות הבנקאיות למגזר העסקי, לפי גודל עסק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2122">
              <w:rPr>
                <w:rFonts w:asciiTheme="minorBidi" w:hAnsiTheme="minorBidi" w:cs="David"/>
                <w:sz w:val="24"/>
                <w:szCs w:val="24"/>
                <w:rtl/>
              </w:rPr>
              <w:t>מדד (בסיס = 31/12/2020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)</w:t>
            </w:r>
          </w:p>
          <w:p w14:paraId="02382B1A" w14:textId="77777777" w:rsidR="00082C79" w:rsidRPr="00494260" w:rsidRDefault="00082C79" w:rsidP="00D45B67">
            <w:pPr>
              <w:pStyle w:val="a3"/>
              <w:ind w:left="30"/>
              <w:jc w:val="both"/>
              <w:rPr>
                <w:rFonts w:ascii="Arial" w:hAnsi="Arial" w:cs="David"/>
                <w:noProof/>
                <w:sz w:val="16"/>
                <w:szCs w:val="16"/>
                <w:rtl/>
              </w:rPr>
            </w:pPr>
            <w:r w:rsidRPr="00082C79">
              <w:rPr>
                <w:rFonts w:ascii="David" w:eastAsiaTheme="majorEastAsia" w:hAnsi="David" w:cs="David"/>
                <w:sz w:val="16"/>
                <w:szCs w:val="16"/>
                <w:rtl/>
              </w:rPr>
              <w:t>המקור: דיווחים לבנק ישראל ועיבודי בנק ישראל.</w:t>
            </w:r>
          </w:p>
        </w:tc>
      </w:tr>
      <w:tr w:rsidR="00082C79" w14:paraId="65A02D44" w14:textId="77777777" w:rsidTr="00B75EE7">
        <w:trPr>
          <w:trHeight w:val="3457"/>
        </w:trPr>
        <w:tc>
          <w:tcPr>
            <w:tcW w:w="4209" w:type="dxa"/>
          </w:tcPr>
          <w:p w14:paraId="2EAC2C6C" w14:textId="77777777" w:rsidR="00082C79" w:rsidRPr="00494260" w:rsidRDefault="00082C79" w:rsidP="00082C7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94260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יתרת החוב של משקי הבית עלתה גם היא בהיקף ניכר (13%), זאת בעיקר מעלייה משמעותית ביתרת החוב לדיור, שקצב הגידול שלה הואץ מאוד השנה.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איור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ב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13 בפרסום)</w:t>
            </w:r>
          </w:p>
          <w:p w14:paraId="1E30FEEF" w14:textId="77777777" w:rsidR="00082C79" w:rsidRPr="00082C79" w:rsidRDefault="00082C79" w:rsidP="00082C79">
            <w:p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</w:p>
          <w:p w14:paraId="58B0C62D" w14:textId="77777777" w:rsidR="00082C79" w:rsidRDefault="00082C79" w:rsidP="00A86CDA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0AFA4C3" w14:textId="77777777" w:rsidR="00082C79" w:rsidRDefault="00082C79" w:rsidP="00082C79">
            <w:pPr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082C79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יתרת החוב של משקי הבית, לדיור ולא-לדיור</w:t>
            </w:r>
          </w:p>
          <w:p w14:paraId="3D507C58" w14:textId="77777777" w:rsidR="00082C79" w:rsidRPr="00082C79" w:rsidRDefault="00082C79" w:rsidP="00082C79">
            <w:pPr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082C79">
              <w:rPr>
                <w:rFonts w:asciiTheme="minorBidi" w:hAnsiTheme="minorBidi" w:cs="David" w:hint="cs"/>
                <w:sz w:val="24"/>
                <w:szCs w:val="24"/>
                <w:rtl/>
              </w:rPr>
              <w:t>מיליארדי ש"ח</w:t>
            </w:r>
          </w:p>
          <w:p w14:paraId="53BF1BF3" w14:textId="77777777" w:rsidR="00082C79" w:rsidRPr="00082C79" w:rsidRDefault="00082C79" w:rsidP="00D45B67">
            <w:pPr>
              <w:pStyle w:val="a3"/>
              <w:ind w:left="30"/>
              <w:jc w:val="both"/>
              <w:rPr>
                <w:rFonts w:ascii="David" w:hAnsi="David" w:cs="David"/>
                <w:noProof/>
                <w:sz w:val="16"/>
                <w:szCs w:val="16"/>
                <w:rtl/>
              </w:rPr>
            </w:pPr>
            <w:r w:rsidRPr="00082C79">
              <w:rPr>
                <w:rFonts w:ascii="David" w:eastAsiaTheme="majorEastAsia" w:hAnsi="David" w:cs="David"/>
                <w:sz w:val="16"/>
                <w:szCs w:val="16"/>
                <w:rtl/>
              </w:rPr>
              <w:t>המקור: דיווחים לבנק ישראל ועיבודי בנק ישראל.</w:t>
            </w:r>
            <w:r w:rsidRPr="00082C79">
              <w:rPr>
                <w:rFonts w:ascii="David" w:hAnsi="David" w:cs="David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99200" behindDoc="0" locked="0" layoutInCell="1" allowOverlap="1" wp14:anchorId="5FCCE1D0" wp14:editId="02857FAA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44450</wp:posOffset>
                  </wp:positionV>
                  <wp:extent cx="2699385" cy="1619885"/>
                  <wp:effectExtent l="0" t="0" r="5715" b="0"/>
                  <wp:wrapSquare wrapText="bothSides"/>
                  <wp:docPr id="2" name="תמונה 2" title="יתרת החוב של משקי הבית, לדיור ולא-לדיור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F56A6F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7E011144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0A0061F5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4BBA980B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5067C5FF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3823A5F9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4AA30F3B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6C8C391A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5A777F26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14:paraId="3555B371" w14:textId="77777777" w:rsidR="00082C79" w:rsidRDefault="00082C79" w:rsidP="00082C79">
      <w:pPr>
        <w:pStyle w:val="a3"/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</w:p>
    <w:p w14:paraId="33D1B956" w14:textId="77777777" w:rsidR="00716312" w:rsidRPr="00AC2448" w:rsidRDefault="00716312" w:rsidP="00DD735B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AC2448">
        <w:rPr>
          <w:rFonts w:cs="David" w:hint="cs"/>
          <w:b/>
          <w:bCs/>
          <w:sz w:val="24"/>
          <w:szCs w:val="24"/>
          <w:rtl/>
        </w:rPr>
        <w:t>פעילות המשק מול חו"ל</w:t>
      </w:r>
    </w:p>
    <w:tbl>
      <w:tblPr>
        <w:tblStyle w:val="aa"/>
        <w:tblpPr w:leftFromText="180" w:rightFromText="180" w:vertAnchor="text" w:horzAnchor="margin" w:tblpY="116"/>
        <w:bidiVisual/>
        <w:tblW w:w="8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540"/>
      </w:tblGrid>
      <w:tr w:rsidR="00835150" w14:paraId="6A6C192F" w14:textId="77777777" w:rsidTr="00B75EE7">
        <w:trPr>
          <w:trHeight w:val="3403"/>
        </w:trPr>
        <w:tc>
          <w:tcPr>
            <w:tcW w:w="4253" w:type="dxa"/>
          </w:tcPr>
          <w:p w14:paraId="0FBFF66E" w14:textId="77777777" w:rsidR="00C709C0" w:rsidRPr="00F97122" w:rsidRDefault="00D45B67" w:rsidP="00F9712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>יתרת הנכסים של המשק בחו"ל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 עלתה 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>בשנת 202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1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C709C0">
              <w:rPr>
                <w:rFonts w:asciiTheme="minorBidi" w:hAnsiTheme="minorBidi" w:cs="David" w:hint="cs"/>
                <w:sz w:val="24"/>
                <w:szCs w:val="24"/>
                <w:rtl/>
              </w:rPr>
              <w:t>בכ-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115</w:t>
            </w:r>
            <w:r w:rsidR="00C709C0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מיליארדי דולרים (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19</w:t>
            </w:r>
            <w:r w:rsidR="00C709C0">
              <w:rPr>
                <w:rFonts w:asciiTheme="minorBidi" w:hAnsiTheme="minorBidi" w:cs="David" w:hint="cs"/>
                <w:sz w:val="24"/>
                <w:szCs w:val="24"/>
                <w:rtl/>
              </w:rPr>
              <w:t>%)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="00C709C0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בהמשך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ל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מגמת העלייה הרב שנתית. </w:t>
            </w:r>
            <w:r w:rsidR="00F97122" w:rsidRPr="00494260">
              <w:rPr>
                <w:rFonts w:asciiTheme="minorBidi" w:hAnsiTheme="minorBidi" w:cs="David"/>
                <w:sz w:val="24"/>
                <w:szCs w:val="24"/>
                <w:rtl/>
              </w:rPr>
              <w:t>(</w:t>
            </w:r>
            <w:r w:rsidR="00F97122">
              <w:rPr>
                <w:rFonts w:asciiTheme="minorBidi" w:hAnsiTheme="minorBidi" w:cs="David"/>
                <w:sz w:val="24"/>
                <w:szCs w:val="24"/>
                <w:rtl/>
              </w:rPr>
              <w:t xml:space="preserve">איור 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ג</w:t>
            </w:r>
            <w:r w:rsidR="00F97122">
              <w:rPr>
                <w:rFonts w:asciiTheme="minorBidi" w:hAnsiTheme="minorBidi" w:cs="David"/>
                <w:sz w:val="24"/>
                <w:szCs w:val="24"/>
                <w:rtl/>
              </w:rPr>
              <w:t>-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1 בפרסום)</w:t>
            </w:r>
          </w:p>
          <w:p w14:paraId="525D99CD" w14:textId="77777777" w:rsidR="00A86CDA" w:rsidRPr="00F97122" w:rsidRDefault="00C709C0" w:rsidP="00F9712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ההשקעות של תושבי ישראל במניות זרות והעלייה הניכרת במחירן בשווקי חו"ל תרמו כ-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41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מיליארדים לעלייה ביתרת תיק הנכסים (איור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 ג</w:t>
            </w:r>
            <w:r w:rsidR="00F97122">
              <w:rPr>
                <w:rFonts w:asciiTheme="minorBidi" w:hAnsiTheme="minorBidi" w:cs="David"/>
                <w:sz w:val="24"/>
                <w:szCs w:val="24"/>
                <w:rtl/>
              </w:rPr>
              <w:t>-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3 בפרסום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).</w:t>
            </w:r>
          </w:p>
          <w:p w14:paraId="6BE21E05" w14:textId="77777777" w:rsidR="003B2848" w:rsidRPr="00F97122" w:rsidRDefault="00C709C0" w:rsidP="00F9712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הגידול בנכסי הרזרבה של המשק בחו"ל תרם עוד כ-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40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מיליארדים לגידול ביתרת הנכסים. </w:t>
            </w:r>
          </w:p>
        </w:tc>
        <w:tc>
          <w:tcPr>
            <w:tcW w:w="4540" w:type="dxa"/>
          </w:tcPr>
          <w:p w14:paraId="5CA689C5" w14:textId="77777777" w:rsidR="00C5044F" w:rsidRPr="00C5044F" w:rsidRDefault="00C5044F" w:rsidP="00C5044F">
            <w:pPr>
              <w:tabs>
                <w:tab w:val="left" w:pos="984"/>
              </w:tabs>
              <w:ind w:left="40" w:right="749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C5044F">
              <w:rPr>
                <w:rFonts w:asciiTheme="minorBidi" w:hAnsiTheme="minorBidi" w:cs="Davi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8960" behindDoc="1" locked="0" layoutInCell="1" allowOverlap="1" wp14:anchorId="5C3C164E" wp14:editId="6B89A9BC">
                  <wp:simplePos x="0" y="0"/>
                  <wp:positionH relativeFrom="column">
                    <wp:posOffset>-7045</wp:posOffset>
                  </wp:positionH>
                  <wp:positionV relativeFrom="paragraph">
                    <wp:posOffset>364886</wp:posOffset>
                  </wp:positionV>
                  <wp:extent cx="2700000" cy="1620000"/>
                  <wp:effectExtent l="0" t="0" r="5715" b="0"/>
                  <wp:wrapTight wrapText="bothSides">
                    <wp:wrapPolygon edited="0">
                      <wp:start x="0" y="0"/>
                      <wp:lineTo x="0" y="21338"/>
                      <wp:lineTo x="21493" y="21338"/>
                      <wp:lineTo x="21493" y="0"/>
                      <wp:lineTo x="0" y="0"/>
                    </wp:wrapPolygon>
                  </wp:wrapTight>
                  <wp:docPr id="9" name="תמונה 9" title="יתרת הנכסים של המשק בחו&quot;ל ושינוי ביתרה,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44F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 xml:space="preserve">יתרת הנכסים של המשק בחו"ל ושינוי ביתרה, 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>מיליארדי דולרים</w:t>
            </w:r>
          </w:p>
          <w:p w14:paraId="7C003064" w14:textId="77777777" w:rsidR="003B2848" w:rsidRPr="003B2848" w:rsidRDefault="003B2848" w:rsidP="003B2848">
            <w:pPr>
              <w:tabs>
                <w:tab w:val="left" w:pos="984"/>
              </w:tabs>
              <w:spacing w:line="360" w:lineRule="auto"/>
              <w:ind w:left="40" w:right="749"/>
              <w:jc w:val="both"/>
              <w:rPr>
                <w:rFonts w:ascii="David" w:eastAsiaTheme="majorEastAsia" w:hAnsi="David" w:cs="David"/>
                <w:sz w:val="16"/>
                <w:szCs w:val="16"/>
              </w:rPr>
            </w:pPr>
            <w:r w:rsidRPr="003B2848">
              <w:rPr>
                <w:rFonts w:ascii="David" w:eastAsiaTheme="majorEastAsia" w:hAnsi="David" w:cs="David" w:hint="cs"/>
                <w:sz w:val="16"/>
                <w:szCs w:val="16"/>
                <w:rtl/>
              </w:rPr>
              <w:t>המקור: נתוני ועיבודי בנק ישראל</w:t>
            </w:r>
            <w:r w:rsidR="00C5044F">
              <w:rPr>
                <w:rFonts w:ascii="David" w:eastAsiaTheme="majorEastAsia" w:hAnsi="David" w:cs="David" w:hint="cs"/>
                <w:sz w:val="16"/>
                <w:szCs w:val="16"/>
                <w:rtl/>
              </w:rPr>
              <w:t>.</w:t>
            </w:r>
          </w:p>
          <w:p w14:paraId="2E4D66C3" w14:textId="77777777" w:rsidR="003B2848" w:rsidRPr="003B2848" w:rsidRDefault="003B2848" w:rsidP="003B2848">
            <w:pPr>
              <w:pStyle w:val="a3"/>
              <w:spacing w:after="120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3B2848" w14:paraId="29ACDDDB" w14:textId="77777777" w:rsidTr="00B75EE7">
        <w:trPr>
          <w:trHeight w:val="3403"/>
        </w:trPr>
        <w:tc>
          <w:tcPr>
            <w:tcW w:w="4253" w:type="dxa"/>
          </w:tcPr>
          <w:p w14:paraId="500F11D1" w14:textId="77777777" w:rsidR="00C5044F" w:rsidRPr="00C5044F" w:rsidRDefault="003B2848" w:rsidP="00F9712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יתרת ההתחייבויות של המשק </w:t>
            </w:r>
            <w:r w:rsidR="00C709C0">
              <w:rPr>
                <w:rFonts w:asciiTheme="minorBidi" w:hAnsiTheme="minorBidi" w:cs="David" w:hint="cs"/>
                <w:sz w:val="24"/>
                <w:szCs w:val="24"/>
                <w:rtl/>
              </w:rPr>
              <w:t>לחו"ל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עלתה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באופן 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>בכ-126 מיליארדי דולרים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>ב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שנת 2021.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עיקר העלייה ביתרת ההתחייבויות התרכזה בהשקעות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של תושבי חוץ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בתיק ניירות ערך למסחר - מניות ישראליות ו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>אג"ח של ממשלת ישראל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ובהשקעות הישירות שלהם בחברות הישראליות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(</w:t>
            </w:r>
            <w:r w:rsidR="00C709C0">
              <w:rPr>
                <w:rFonts w:asciiTheme="minorBidi" w:hAnsiTheme="minorBidi" w:cs="David" w:hint="cs"/>
                <w:sz w:val="24"/>
                <w:szCs w:val="24"/>
                <w:rtl/>
              </w:rPr>
              <w:t>איור</w:t>
            </w:r>
            <w:r w:rsidR="00F97122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ג-8 בפרסום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)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>.</w:t>
            </w:r>
          </w:p>
        </w:tc>
        <w:tc>
          <w:tcPr>
            <w:tcW w:w="4540" w:type="dxa"/>
          </w:tcPr>
          <w:p w14:paraId="6D2B4E6C" w14:textId="77777777" w:rsidR="00C5044F" w:rsidRPr="00C5044F" w:rsidRDefault="00E77671" w:rsidP="00C5044F">
            <w:pPr>
              <w:pStyle w:val="a3"/>
              <w:spacing w:after="120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C5044F">
              <w:rPr>
                <w:rFonts w:ascii="Arial" w:hAnsi="Arial" w:cs="David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87936" behindDoc="1" locked="0" layoutInCell="1" allowOverlap="1" wp14:anchorId="48F9171D" wp14:editId="5914AEF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357817</wp:posOffset>
                  </wp:positionV>
                  <wp:extent cx="2700000" cy="1620000"/>
                  <wp:effectExtent l="0" t="0" r="5715" b="0"/>
                  <wp:wrapTight wrapText="bothSides">
                    <wp:wrapPolygon edited="0">
                      <wp:start x="0" y="0"/>
                      <wp:lineTo x="0" y="21338"/>
                      <wp:lineTo x="21493" y="21338"/>
                      <wp:lineTo x="21493" y="0"/>
                      <wp:lineTo x="0" y="0"/>
                    </wp:wrapPolygon>
                  </wp:wrapTight>
                  <wp:docPr id="8" name="תמונה 8" title="יתרת ההתחייבויות של המשק לחו&quot;ל, לפי סוגי השקעה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44F" w:rsidRPr="00C5044F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יתרת ההתחייבויות של המשק לחו"ל, לפי סוגי השקעה</w:t>
            </w:r>
            <w:r w:rsidR="00C5044F" w:rsidRPr="00C5044F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="00C5044F"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>מיליארדי דולרים</w:t>
            </w:r>
          </w:p>
          <w:p w14:paraId="316C7AB9" w14:textId="77777777" w:rsidR="00E77671" w:rsidRPr="00E77671" w:rsidRDefault="00E77671" w:rsidP="00E77671">
            <w:pPr>
              <w:tabs>
                <w:tab w:val="left" w:pos="984"/>
              </w:tabs>
              <w:spacing w:line="360" w:lineRule="auto"/>
              <w:ind w:left="40" w:right="749"/>
              <w:jc w:val="both"/>
              <w:rPr>
                <w:rFonts w:ascii="David" w:eastAsiaTheme="majorEastAsia" w:hAnsi="David" w:cs="David"/>
                <w:sz w:val="16"/>
                <w:szCs w:val="16"/>
                <w:rtl/>
              </w:rPr>
            </w:pPr>
            <w:r w:rsidRPr="003B2848">
              <w:rPr>
                <w:rFonts w:ascii="David" w:eastAsiaTheme="majorEastAsia" w:hAnsi="David" w:cs="David" w:hint="cs"/>
                <w:sz w:val="16"/>
                <w:szCs w:val="16"/>
                <w:rtl/>
              </w:rPr>
              <w:t>המקור: נתוני ועיבודי בנק ישראל</w:t>
            </w:r>
            <w:r>
              <w:rPr>
                <w:rFonts w:ascii="David" w:eastAsiaTheme="majorEastAsia" w:hAnsi="David" w:cs="David" w:hint="cs"/>
                <w:sz w:val="16"/>
                <w:szCs w:val="16"/>
                <w:rtl/>
              </w:rPr>
              <w:t>.</w:t>
            </w:r>
          </w:p>
        </w:tc>
      </w:tr>
      <w:tr w:rsidR="00C5044F" w14:paraId="793A89CA" w14:textId="77777777" w:rsidTr="00C5044F">
        <w:trPr>
          <w:trHeight w:val="923"/>
        </w:trPr>
        <w:tc>
          <w:tcPr>
            <w:tcW w:w="8793" w:type="dxa"/>
            <w:gridSpan w:val="2"/>
          </w:tcPr>
          <w:p w14:paraId="67C7DB72" w14:textId="77777777" w:rsidR="00C5044F" w:rsidRPr="00C5044F" w:rsidRDefault="00C5044F" w:rsidP="00C5044F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העלייה ביתרת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ההתחייבויות בהיקף גבוה יותר מה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עלייה ביתרת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הנכסים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הביאה 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לירידה</w:t>
            </w:r>
            <w:r w:rsidRPr="00D45B67">
              <w:rPr>
                <w:rFonts w:asciiTheme="minorBidi" w:hAnsiTheme="minorBidi" w:cs="David"/>
                <w:sz w:val="24"/>
                <w:szCs w:val="24"/>
                <w:rtl/>
              </w:rPr>
              <w:t xml:space="preserve"> בעודף הנכסים על ההתחייבויות של המשק מול חו"ל</w:t>
            </w:r>
            <w:r w:rsidRPr="00D45B67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</w:p>
        </w:tc>
      </w:tr>
    </w:tbl>
    <w:p w14:paraId="55C5015E" w14:textId="77777777" w:rsidR="0093532C" w:rsidRDefault="0093532C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01D25E13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7E6FBA18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1F431798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6BECE9C6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7AD13CAC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48119A7B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66602E3B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12DA8D90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65759804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6B55AEF6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51260795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3AFDAE7B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311B65DF" w14:textId="77777777" w:rsidR="00F97122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031FF6E7" w14:textId="77777777" w:rsidR="00F97122" w:rsidRPr="00BB7CA3" w:rsidRDefault="00F97122" w:rsidP="00DD735B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14:paraId="7C4FBC0E" w14:textId="77777777" w:rsidR="005D6EE3" w:rsidRPr="00265734" w:rsidRDefault="00716312" w:rsidP="00DD735B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265734">
        <w:rPr>
          <w:rFonts w:cs="David" w:hint="cs"/>
          <w:b/>
          <w:bCs/>
          <w:sz w:val="24"/>
          <w:szCs w:val="24"/>
          <w:rtl/>
        </w:rPr>
        <w:t>פעילות המגזרים העיקריים במטבע חוץ</w:t>
      </w:r>
      <w:r w:rsidR="005D6EE3" w:rsidRPr="00265734">
        <w:rPr>
          <w:rFonts w:cs="David"/>
          <w:b/>
          <w:bCs/>
          <w:sz w:val="24"/>
          <w:szCs w:val="24"/>
          <w:rtl/>
        </w:rPr>
        <w:t xml:space="preserve"> </w:t>
      </w:r>
    </w:p>
    <w:tbl>
      <w:tblPr>
        <w:tblStyle w:val="aa"/>
        <w:bidiVisual/>
        <w:tblW w:w="8840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4532"/>
      </w:tblGrid>
      <w:tr w:rsidR="007B1AD6" w14:paraId="19442C94" w14:textId="77777777" w:rsidTr="00F97122">
        <w:trPr>
          <w:trHeight w:val="4129"/>
        </w:trPr>
        <w:tc>
          <w:tcPr>
            <w:tcW w:w="4308" w:type="dxa"/>
          </w:tcPr>
          <w:p w14:paraId="19EE5183" w14:textId="77777777" w:rsidR="00734FE5" w:rsidRPr="00C5044F" w:rsidRDefault="00734FE5" w:rsidP="00C5044F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המשקיעים המוסדיים 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בלטו השנה, 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ומכרו 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מט"ח 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נטו 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>בהיקף משמעותי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>.</w:t>
            </w:r>
          </w:p>
          <w:p w14:paraId="66B9D2B3" w14:textId="77777777" w:rsidR="00734FE5" w:rsidRPr="00C5044F" w:rsidRDefault="00734FE5" w:rsidP="00C5044F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גם 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תושבי חוץ 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>המשיכו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>למכור מט"ח נטו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>, בהמשך לפעילותם בשנים האחרונות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</w:p>
          <w:p w14:paraId="01D4FB24" w14:textId="77777777" w:rsidR="00734FE5" w:rsidRPr="00C5044F" w:rsidRDefault="00734FE5" w:rsidP="00C5044F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בהתאם להתפתחויות אלה ובהמשך להודעתו מתחילת השנה, הגביר בנק ישראל 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את רכישות </w:t>
            </w:r>
            <w:r w:rsidR="009C66C0">
              <w:rPr>
                <w:rFonts w:asciiTheme="minorBidi" w:hAnsiTheme="minorBidi" w:cs="David" w:hint="cs"/>
                <w:sz w:val="24"/>
                <w:szCs w:val="24"/>
                <w:rtl/>
              </w:rPr>
              <w:t>מטבע החוץ (איור ד-8 בפרסום).</w:t>
            </w:r>
          </w:p>
          <w:p w14:paraId="62B34CF2" w14:textId="77777777" w:rsidR="006B36AB" w:rsidRPr="00734FE5" w:rsidRDefault="006B36AB" w:rsidP="009C66C0">
            <w:pPr>
              <w:pStyle w:val="a3"/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14:paraId="139BDAF4" w14:textId="77777777" w:rsidR="009C66C0" w:rsidRPr="006224AD" w:rsidRDefault="00B10151" w:rsidP="006224AD">
            <w:pPr>
              <w:pStyle w:val="a3"/>
              <w:ind w:left="0"/>
              <w:jc w:val="both"/>
              <w:rPr>
                <w:rFonts w:asciiTheme="minorBidi" w:hAnsiTheme="minorBidi" w:cs="David"/>
                <w:sz w:val="21"/>
                <w:szCs w:val="21"/>
                <w:rtl/>
              </w:rPr>
            </w:pPr>
            <w:r w:rsidRPr="00B10151"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  <w:t>אומדן רכישות מטבע החוץ (+) המצטברות נטו של המגזרים העיקריים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9C66C0">
              <w:rPr>
                <w:rFonts w:asciiTheme="minorBidi" w:hAnsiTheme="minorBidi" w:cs="David"/>
                <w:sz w:val="24"/>
                <w:szCs w:val="24"/>
                <w:rtl/>
              </w:rPr>
              <w:t xml:space="preserve">מיליארדי </w:t>
            </w:r>
            <w:r w:rsidRPr="009C66C0">
              <w:rPr>
                <w:rFonts w:asciiTheme="minorBidi" w:hAnsiTheme="minorBidi" w:cs="David" w:hint="cs"/>
                <w:sz w:val="24"/>
                <w:szCs w:val="24"/>
                <w:rtl/>
              </w:rPr>
              <w:t>דולרים</w:t>
            </w:r>
          </w:p>
          <w:p w14:paraId="5D2B707F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66C0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3056" behindDoc="0" locked="0" layoutInCell="1" allowOverlap="1" wp14:anchorId="59B03DE6" wp14:editId="41436F0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77865</wp:posOffset>
                  </wp:positionV>
                  <wp:extent cx="2700000" cy="1620000"/>
                  <wp:effectExtent l="0" t="0" r="5715" b="0"/>
                  <wp:wrapNone/>
                  <wp:docPr id="11" name="תמונה 11" title="אומדן רכישות מטבע החוץ (+) המצטברות נטו של המגזרים העיקריים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79845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AE96AA0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67AC7AFA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5EF6B697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39C79CAB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39D20F7B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AA8C6D6" w14:textId="77777777" w:rsidR="009C66C0" w:rsidRDefault="009C66C0" w:rsidP="00DD735B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7E0E1D3" w14:textId="77777777" w:rsidR="009C66C0" w:rsidRPr="009C66C0" w:rsidRDefault="009C66C0" w:rsidP="009C66C0">
            <w:pPr>
              <w:pStyle w:val="a3"/>
              <w:spacing w:line="276" w:lineRule="auto"/>
              <w:ind w:left="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C66C0">
              <w:rPr>
                <w:rFonts w:ascii="David" w:eastAsiaTheme="majorEastAsia" w:hAnsi="David" w:cs="David"/>
                <w:sz w:val="16"/>
                <w:szCs w:val="16"/>
                <w:rtl/>
              </w:rPr>
              <w:t>המקור: דיווחים לבנק ישראל מהמוסדות הפיננסיים ומחברות עסקיות, ועיבודי בנק ישראל.</w:t>
            </w:r>
          </w:p>
        </w:tc>
      </w:tr>
      <w:tr w:rsidR="009C66C0" w14:paraId="0FB598C4" w14:textId="77777777" w:rsidTr="009C66C0">
        <w:trPr>
          <w:trHeight w:val="3273"/>
        </w:trPr>
        <w:tc>
          <w:tcPr>
            <w:tcW w:w="4308" w:type="dxa"/>
          </w:tcPr>
          <w:p w14:paraId="676EE3D5" w14:textId="77777777" w:rsidR="009C66C0" w:rsidRPr="00C5044F" w:rsidRDefault="009C66C0" w:rsidP="009C66C0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>ההתחזקות הניכרת של השקל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נמשכה גם על רקע המשך מגמת 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>ה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>עלייה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 xml:space="preserve"> בעודף בחשבון השוטף</w:t>
            </w:r>
            <w:r w:rsidRPr="00C5044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ו</w:t>
            </w:r>
            <w:r w:rsidRPr="00C5044F">
              <w:rPr>
                <w:rFonts w:asciiTheme="minorBidi" w:hAnsiTheme="minorBidi" w:cs="David"/>
                <w:sz w:val="24"/>
                <w:szCs w:val="24"/>
                <w:rtl/>
              </w:rPr>
              <w:t>בהשקעות הישירות במשק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(איור ד-5 בפרסום).</w:t>
            </w:r>
          </w:p>
          <w:p w14:paraId="242759D1" w14:textId="77777777" w:rsidR="009C66C0" w:rsidRDefault="009C66C0" w:rsidP="009C66C0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14AD6EEF" w14:textId="77777777" w:rsidR="00E77671" w:rsidRDefault="00E77671" w:rsidP="009C66C0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5C858FA7" w14:textId="77777777" w:rsidR="00E77671" w:rsidRDefault="00E77671" w:rsidP="009C66C0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0AE4E8CA" w14:textId="77777777" w:rsidR="00E77671" w:rsidRDefault="00E77671" w:rsidP="009C66C0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0AC34F2C" w14:textId="77777777" w:rsidR="00E77671" w:rsidRDefault="00E77671" w:rsidP="009C66C0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01C110E6" w14:textId="77777777" w:rsidR="00E77671" w:rsidRPr="00C5044F" w:rsidRDefault="00E77671" w:rsidP="009C66C0">
            <w:pPr>
              <w:pStyle w:val="a3"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14:paraId="66B1E6B9" w14:textId="77777777" w:rsidR="009C66C0" w:rsidRDefault="009C66C0" w:rsidP="009C66C0">
            <w:pPr>
              <w:pStyle w:val="a3"/>
              <w:ind w:left="0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9C66C0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התנועה בחשבון הבסיסי של המשק</w:t>
            </w:r>
          </w:p>
          <w:p w14:paraId="51ED36A1" w14:textId="77777777" w:rsidR="009C66C0" w:rsidRDefault="009C66C0" w:rsidP="009C66C0">
            <w:pPr>
              <w:pStyle w:val="a3"/>
              <w:ind w:left="0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9C66C0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מיליארדי דולרים </w:t>
            </w:r>
          </w:p>
          <w:p w14:paraId="14558CCB" w14:textId="77777777" w:rsidR="00E77671" w:rsidRDefault="00E77671" w:rsidP="00E77671">
            <w:pPr>
              <w:pStyle w:val="a3"/>
              <w:ind w:left="0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9C66C0">
              <w:rPr>
                <w:rFonts w:asciiTheme="minorBidi" w:hAnsiTheme="minorBidi" w:cs="Davi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5104" behindDoc="0" locked="0" layoutInCell="1" allowOverlap="1" wp14:anchorId="0CACE703" wp14:editId="4398148A">
                  <wp:simplePos x="0" y="0"/>
                  <wp:positionH relativeFrom="column">
                    <wp:posOffset>31703</wp:posOffset>
                  </wp:positionH>
                  <wp:positionV relativeFrom="paragraph">
                    <wp:posOffset>58384</wp:posOffset>
                  </wp:positionV>
                  <wp:extent cx="2700000" cy="1620000"/>
                  <wp:effectExtent l="0" t="0" r="5715" b="0"/>
                  <wp:wrapNone/>
                  <wp:docPr id="12" name="תמונה 12" title="התנועה בחשבון הבסיסי של המשק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06F41B" w14:textId="77777777" w:rsidR="00E77671" w:rsidRPr="009C66C0" w:rsidRDefault="00E77671" w:rsidP="00E77671">
            <w:pPr>
              <w:pStyle w:val="a3"/>
              <w:ind w:left="0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72CF77A9" w14:textId="77777777" w:rsidR="009C66C0" w:rsidRDefault="009C66C0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1C2E9604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423DE89A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5C112AEB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19A86472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6C22328B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76F9E31F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6B8B1A5D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527F5699" w14:textId="77777777" w:rsidR="00E77671" w:rsidRDefault="00E77671" w:rsidP="006B36AB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  <w:p w14:paraId="7A2A0C50" w14:textId="77777777" w:rsidR="00E77671" w:rsidRDefault="00E77671" w:rsidP="00E77671">
            <w:pPr>
              <w:pStyle w:val="a3"/>
              <w:spacing w:line="276" w:lineRule="auto"/>
              <w:ind w:left="0"/>
              <w:jc w:val="both"/>
              <w:rPr>
                <w:rFonts w:ascii="David" w:eastAsiaTheme="majorEastAsia" w:hAnsi="David" w:cs="David"/>
                <w:sz w:val="16"/>
                <w:szCs w:val="16"/>
                <w:rtl/>
              </w:rPr>
            </w:pPr>
          </w:p>
          <w:p w14:paraId="3A274602" w14:textId="77777777" w:rsidR="00E77671" w:rsidRPr="00B10151" w:rsidRDefault="00E77671" w:rsidP="00E77671">
            <w:pPr>
              <w:pStyle w:val="a3"/>
              <w:spacing w:line="276" w:lineRule="auto"/>
              <w:ind w:left="0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E77671">
              <w:rPr>
                <w:rFonts w:ascii="David" w:eastAsiaTheme="majorEastAsia" w:hAnsi="David" w:cs="David"/>
                <w:sz w:val="16"/>
                <w:szCs w:val="16"/>
                <w:rtl/>
              </w:rPr>
              <w:t>המקור: דיווחים לבנק ישראל מהמוסדות הפיננסיים ומחברות עסקיות, ועיבודי בנק ישראל.</w:t>
            </w:r>
          </w:p>
        </w:tc>
      </w:tr>
    </w:tbl>
    <w:p w14:paraId="44B2491B" w14:textId="77777777" w:rsidR="00C5044F" w:rsidRDefault="00C5044F" w:rsidP="009C66C0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06AB699A" w14:textId="77777777" w:rsidR="00716312" w:rsidRPr="00F11718" w:rsidRDefault="002D2EE7" w:rsidP="009C66C0">
      <w:pPr>
        <w:spacing w:line="360" w:lineRule="auto"/>
        <w:ind w:left="-58"/>
        <w:jc w:val="both"/>
        <w:rPr>
          <w:rFonts w:cs="David"/>
          <w:sz w:val="24"/>
          <w:szCs w:val="24"/>
          <w:rtl/>
        </w:rPr>
      </w:pPr>
      <w:r w:rsidRPr="00F11718">
        <w:rPr>
          <w:rFonts w:cs="David" w:hint="cs"/>
          <w:b/>
          <w:bCs/>
          <w:sz w:val="24"/>
          <w:szCs w:val="24"/>
          <w:rtl/>
        </w:rPr>
        <w:t>ה</w:t>
      </w:r>
      <w:r w:rsidR="00716312" w:rsidRPr="00F11718">
        <w:rPr>
          <w:rFonts w:cs="David" w:hint="cs"/>
          <w:b/>
          <w:bCs/>
          <w:sz w:val="24"/>
          <w:szCs w:val="24"/>
          <w:rtl/>
        </w:rPr>
        <w:t xml:space="preserve">חלק השני של 'מבט סטטיסטי </w:t>
      </w:r>
      <w:r w:rsidR="00B10151">
        <w:rPr>
          <w:rFonts w:cs="David" w:hint="cs"/>
          <w:b/>
          <w:bCs/>
          <w:sz w:val="24"/>
          <w:szCs w:val="24"/>
          <w:rtl/>
        </w:rPr>
        <w:t>2</w:t>
      </w:r>
      <w:r w:rsidR="00DD735B">
        <w:rPr>
          <w:rFonts w:cs="David" w:hint="cs"/>
          <w:b/>
          <w:bCs/>
          <w:sz w:val="24"/>
          <w:szCs w:val="24"/>
          <w:rtl/>
        </w:rPr>
        <w:t>02</w:t>
      </w:r>
      <w:r w:rsidR="009C66C0">
        <w:rPr>
          <w:rFonts w:cs="David" w:hint="cs"/>
          <w:b/>
          <w:bCs/>
          <w:sz w:val="24"/>
          <w:szCs w:val="24"/>
          <w:rtl/>
        </w:rPr>
        <w:t>1</w:t>
      </w:r>
      <w:r w:rsidR="000E5356" w:rsidRPr="00F11718">
        <w:rPr>
          <w:rFonts w:cs="David" w:hint="cs"/>
          <w:b/>
          <w:bCs/>
          <w:sz w:val="24"/>
          <w:szCs w:val="24"/>
          <w:rtl/>
        </w:rPr>
        <w:t>'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F11718">
        <w:rPr>
          <w:rFonts w:cs="David" w:hint="cs"/>
          <w:sz w:val="24"/>
          <w:szCs w:val="24"/>
          <w:rtl/>
        </w:rPr>
        <w:t xml:space="preserve">כולל </w:t>
      </w:r>
      <w:r w:rsidR="000E5356">
        <w:rPr>
          <w:rFonts w:cs="David" w:hint="cs"/>
          <w:sz w:val="24"/>
          <w:szCs w:val="24"/>
          <w:rtl/>
        </w:rPr>
        <w:t>שתי</w:t>
      </w:r>
      <w:r w:rsidRPr="00F11718">
        <w:rPr>
          <w:rFonts w:cs="David" w:hint="cs"/>
          <w:sz w:val="24"/>
          <w:szCs w:val="24"/>
          <w:rtl/>
        </w:rPr>
        <w:t xml:space="preserve"> עבודות בתחום המתודולוגיה הסטטיסטית</w:t>
      </w:r>
      <w:r w:rsidR="00716312" w:rsidRPr="00F11718">
        <w:rPr>
          <w:rFonts w:cs="David" w:hint="cs"/>
          <w:sz w:val="24"/>
          <w:szCs w:val="24"/>
          <w:rtl/>
        </w:rPr>
        <w:t>:</w:t>
      </w:r>
    </w:p>
    <w:p w14:paraId="78FEF5C9" w14:textId="77777777" w:rsidR="00630DB3" w:rsidRDefault="00EE087A" w:rsidP="00EE087A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יישום תקן בינלאומי (</w:t>
      </w:r>
      <w:r>
        <w:rPr>
          <w:rFonts w:cs="David" w:hint="cs"/>
          <w:b/>
          <w:bCs/>
          <w:sz w:val="24"/>
          <w:szCs w:val="24"/>
        </w:rPr>
        <w:t>SDMX</w:t>
      </w:r>
      <w:r>
        <w:rPr>
          <w:rFonts w:cs="David" w:hint="cs"/>
          <w:b/>
          <w:bCs/>
          <w:sz w:val="24"/>
          <w:szCs w:val="24"/>
          <w:rtl/>
        </w:rPr>
        <w:t>) באפיון מידע סטטיסטי</w:t>
      </w:r>
    </w:p>
    <w:p w14:paraId="68280CBD" w14:textId="77777777" w:rsidR="001D3FC4" w:rsidRPr="009C66C0" w:rsidRDefault="001D3FC4" w:rsidP="0088572C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9C66C0">
        <w:rPr>
          <w:rFonts w:cs="David" w:hint="cs"/>
          <w:sz w:val="24"/>
          <w:szCs w:val="24"/>
          <w:rtl/>
        </w:rPr>
        <w:t xml:space="preserve">בשנים האחרונות, העולם חווה גידול עצום בהיקף, במגוון ובאיכות המידע. </w:t>
      </w:r>
    </w:p>
    <w:p w14:paraId="637D9E14" w14:textId="77777777" w:rsidR="001D3FC4" w:rsidRPr="009C66C0" w:rsidRDefault="001D3FC4" w:rsidP="0088572C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9C66C0">
        <w:rPr>
          <w:rFonts w:cs="David" w:hint="cs"/>
          <w:sz w:val="24"/>
          <w:szCs w:val="24"/>
          <w:rtl/>
        </w:rPr>
        <w:t>במקרים רבים, הנתונים מאוחסנים ומעובדים במערכות נתונים שונות ונפרדות זו מזו (</w:t>
      </w:r>
      <w:r w:rsidRPr="009C66C0">
        <w:rPr>
          <w:rFonts w:cs="David"/>
          <w:sz w:val="24"/>
          <w:szCs w:val="24"/>
        </w:rPr>
        <w:t>data silos</w:t>
      </w:r>
      <w:r w:rsidRPr="009C66C0">
        <w:rPr>
          <w:rFonts w:cs="David" w:hint="cs"/>
          <w:sz w:val="24"/>
          <w:szCs w:val="24"/>
          <w:rtl/>
        </w:rPr>
        <w:t xml:space="preserve">) ומתאפיינים בחוסר אחידות בהגדרות הנתונים ואופן תיאורם. בנוסף, קיים קושי לקשר בין מאגרי הנתונים על מנת לקבל תמונה הוליסטית ואינטגרטיבית של כל המידע בארגון. </w:t>
      </w:r>
    </w:p>
    <w:p w14:paraId="652642ED" w14:textId="77777777" w:rsidR="00EE087A" w:rsidRPr="009C66C0" w:rsidRDefault="001D3FC4" w:rsidP="0088572C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9C66C0">
        <w:rPr>
          <w:rFonts w:cs="David" w:hint="cs"/>
          <w:sz w:val="24"/>
          <w:szCs w:val="24"/>
          <w:rtl/>
        </w:rPr>
        <w:t xml:space="preserve">מענה לאתגרים אלו הוא יצירת אחידות בהגדרות </w:t>
      </w:r>
      <w:proofErr w:type="spellStart"/>
      <w:r w:rsidRPr="009C66C0">
        <w:rPr>
          <w:rFonts w:cs="David" w:hint="cs"/>
          <w:sz w:val="24"/>
          <w:szCs w:val="24"/>
          <w:rtl/>
        </w:rPr>
        <w:t>ובמינוחים</w:t>
      </w:r>
      <w:proofErr w:type="spellEnd"/>
      <w:r w:rsidRPr="009C66C0">
        <w:rPr>
          <w:rFonts w:cs="David" w:hint="cs"/>
          <w:sz w:val="24"/>
          <w:szCs w:val="24"/>
          <w:rtl/>
        </w:rPr>
        <w:t xml:space="preserve"> של המידע ובביצוע סטנדרטיזצי</w:t>
      </w:r>
      <w:r w:rsidRPr="009C66C0">
        <w:rPr>
          <w:rFonts w:cs="David" w:hint="eastAsia"/>
          <w:sz w:val="24"/>
          <w:szCs w:val="24"/>
          <w:rtl/>
        </w:rPr>
        <w:t>ה</w:t>
      </w:r>
      <w:r w:rsidRPr="009C66C0">
        <w:rPr>
          <w:rFonts w:cs="David" w:hint="cs"/>
          <w:sz w:val="24"/>
          <w:szCs w:val="24"/>
          <w:rtl/>
        </w:rPr>
        <w:t xml:space="preserve"> של אופן תיאור נתונים, המטא-דאטה, אשר מבוצע באמצעות יישום תקן ה-</w:t>
      </w:r>
      <w:r w:rsidRPr="009C66C0">
        <w:rPr>
          <w:rFonts w:cs="David" w:hint="cs"/>
          <w:sz w:val="24"/>
          <w:szCs w:val="24"/>
        </w:rPr>
        <w:t>SDMX</w:t>
      </w:r>
      <w:r w:rsidRPr="009C66C0">
        <w:rPr>
          <w:rFonts w:cs="David" w:hint="cs"/>
          <w:sz w:val="24"/>
          <w:szCs w:val="24"/>
          <w:rtl/>
        </w:rPr>
        <w:t xml:space="preserve">- </w:t>
      </w:r>
      <w:r w:rsidRPr="009C66C0">
        <w:rPr>
          <w:rFonts w:cs="David"/>
          <w:sz w:val="24"/>
          <w:szCs w:val="24"/>
        </w:rPr>
        <w:t>Statistical Data and Metadata Exchange</w:t>
      </w:r>
      <w:r w:rsidRPr="009C66C0">
        <w:rPr>
          <w:rFonts w:cs="David" w:hint="cs"/>
          <w:sz w:val="24"/>
          <w:szCs w:val="24"/>
          <w:rtl/>
        </w:rPr>
        <w:t xml:space="preserve">. </w:t>
      </w:r>
    </w:p>
    <w:p w14:paraId="07E259E3" w14:textId="77777777" w:rsidR="001D3FC4" w:rsidRPr="009C66C0" w:rsidRDefault="001D3FC4" w:rsidP="0088572C">
      <w:pPr>
        <w:pStyle w:val="a3"/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9C66C0">
        <w:rPr>
          <w:rFonts w:cs="David" w:hint="cs"/>
          <w:sz w:val="24"/>
          <w:szCs w:val="24"/>
          <w:rtl/>
        </w:rPr>
        <w:t>עבודה זו דנה בחשיבות של אחידות בהגדרות הנתונים ובאופן תיאורם, מציגה את התקן הבינלאומי ה-</w:t>
      </w:r>
      <w:r w:rsidRPr="009C66C0">
        <w:rPr>
          <w:rFonts w:cs="David" w:hint="cs"/>
          <w:sz w:val="24"/>
          <w:szCs w:val="24"/>
        </w:rPr>
        <w:t>SDMX</w:t>
      </w:r>
      <w:r w:rsidRPr="009C66C0">
        <w:rPr>
          <w:rFonts w:cs="David" w:hint="cs"/>
          <w:sz w:val="24"/>
          <w:szCs w:val="24"/>
          <w:rtl/>
        </w:rPr>
        <w:t>,  מתארת את היתרונות במידול אחיד לפי התקן הבינלאומי וכן מדגימה את אופן היישום על המידע המנוהל בבנק ישראל.</w:t>
      </w:r>
    </w:p>
    <w:p w14:paraId="119F2080" w14:textId="77777777" w:rsidR="00192B5B" w:rsidRDefault="00192B5B" w:rsidP="00DD735B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20AE8979" w14:textId="77777777" w:rsidR="00F97122" w:rsidRPr="00630DB3" w:rsidRDefault="00F97122" w:rsidP="00DD735B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62DC988F" w14:textId="77777777" w:rsidR="00630DB3" w:rsidRDefault="00167544" w:rsidP="00167544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מודל חדש להערכת הצמיחה במשק בזמן אמת</w:t>
      </w:r>
    </w:p>
    <w:p w14:paraId="43D5893B" w14:textId="77777777" w:rsidR="00EE087A" w:rsidRPr="0088572C" w:rsidRDefault="00EE087A" w:rsidP="0088572C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88572C">
        <w:rPr>
          <w:rFonts w:cs="David"/>
          <w:sz w:val="24"/>
          <w:szCs w:val="24"/>
          <w:rtl/>
        </w:rPr>
        <w:t>התוצר של המשק ה</w:t>
      </w:r>
      <w:r w:rsidRPr="0088572C">
        <w:rPr>
          <w:rFonts w:cs="David" w:hint="eastAsia"/>
          <w:sz w:val="24"/>
          <w:szCs w:val="24"/>
          <w:rtl/>
        </w:rPr>
        <w:t>וא</w:t>
      </w:r>
      <w:r w:rsidRPr="0088572C">
        <w:rPr>
          <w:rFonts w:cs="David"/>
          <w:sz w:val="24"/>
          <w:szCs w:val="24"/>
          <w:rtl/>
        </w:rPr>
        <w:t xml:space="preserve"> ה</w:t>
      </w:r>
      <w:r w:rsidRPr="0088572C">
        <w:rPr>
          <w:rFonts w:cs="David" w:hint="cs"/>
          <w:sz w:val="24"/>
          <w:szCs w:val="24"/>
          <w:rtl/>
        </w:rPr>
        <w:t xml:space="preserve">אינדיקטור </w:t>
      </w:r>
      <w:r w:rsidRPr="0088572C">
        <w:rPr>
          <w:rFonts w:cs="David"/>
          <w:sz w:val="24"/>
          <w:szCs w:val="24"/>
          <w:rtl/>
        </w:rPr>
        <w:t>החשוב והמקובל ביותר לרמת הפעילות הכלכלית המצרפית. נתוני התוצר מתקבלים בתדירות רבעונית ובאיחור של כשישה שבועות מתום הרבעון. אמיד</w:t>
      </w:r>
      <w:r w:rsidRPr="0088572C">
        <w:rPr>
          <w:rFonts w:cs="David" w:hint="eastAsia"/>
          <w:sz w:val="24"/>
          <w:szCs w:val="24"/>
          <w:rtl/>
        </w:rPr>
        <w:t>ה</w:t>
      </w:r>
      <w:r w:rsidRPr="0088572C">
        <w:rPr>
          <w:rFonts w:cs="David"/>
          <w:sz w:val="24"/>
          <w:szCs w:val="24"/>
          <w:rtl/>
        </w:rPr>
        <w:t xml:space="preserve"> </w:t>
      </w:r>
      <w:r w:rsidRPr="0088572C">
        <w:rPr>
          <w:rFonts w:cs="David" w:hint="eastAsia"/>
          <w:sz w:val="24"/>
          <w:szCs w:val="24"/>
          <w:rtl/>
        </w:rPr>
        <w:t>של</w:t>
      </w:r>
      <w:r w:rsidRPr="0088572C">
        <w:rPr>
          <w:rFonts w:cs="David"/>
          <w:sz w:val="24"/>
          <w:szCs w:val="24"/>
          <w:rtl/>
        </w:rPr>
        <w:t xml:space="preserve"> נתון זה בזמן אמת (</w:t>
      </w:r>
      <w:r w:rsidRPr="0088572C">
        <w:rPr>
          <w:rFonts w:cs="David" w:hint="eastAsia"/>
          <w:sz w:val="24"/>
          <w:szCs w:val="24"/>
          <w:rtl/>
        </w:rPr>
        <w:t>אומדן</w:t>
      </w:r>
      <w:r w:rsidRPr="0088572C">
        <w:rPr>
          <w:rFonts w:cs="David"/>
          <w:sz w:val="24"/>
          <w:szCs w:val="24"/>
          <w:rtl/>
        </w:rPr>
        <w:t xml:space="preserve"> בזק - </w:t>
      </w:r>
      <w:proofErr w:type="spellStart"/>
      <w:r w:rsidRPr="0088572C">
        <w:rPr>
          <w:rFonts w:cs="David"/>
          <w:sz w:val="24"/>
          <w:szCs w:val="24"/>
          <w:rtl/>
        </w:rPr>
        <w:t>נא</w:t>
      </w:r>
      <w:r w:rsidRPr="0088572C">
        <w:rPr>
          <w:rFonts w:cs="David" w:hint="cs"/>
          <w:sz w:val="24"/>
          <w:szCs w:val="24"/>
          <w:rtl/>
        </w:rPr>
        <w:t>וּ</w:t>
      </w:r>
      <w:r w:rsidRPr="0088572C">
        <w:rPr>
          <w:rFonts w:cs="David" w:hint="eastAsia"/>
          <w:sz w:val="24"/>
          <w:szCs w:val="24"/>
          <w:rtl/>
        </w:rPr>
        <w:t>קאסט</w:t>
      </w:r>
      <w:proofErr w:type="spellEnd"/>
      <w:r w:rsidRPr="0088572C">
        <w:rPr>
          <w:rFonts w:cs="David"/>
          <w:sz w:val="24"/>
          <w:szCs w:val="24"/>
          <w:rtl/>
        </w:rPr>
        <w:t>), או בסמיכות לתום הרבעון</w:t>
      </w:r>
      <w:r w:rsidRPr="0088572C">
        <w:rPr>
          <w:rFonts w:cs="David" w:hint="cs"/>
          <w:sz w:val="24"/>
          <w:szCs w:val="24"/>
          <w:rtl/>
        </w:rPr>
        <w:t>,</w:t>
      </w:r>
      <w:r w:rsidRPr="0088572C">
        <w:rPr>
          <w:rFonts w:cs="David"/>
          <w:sz w:val="24"/>
          <w:szCs w:val="24"/>
          <w:rtl/>
        </w:rPr>
        <w:t xml:space="preserve"> נועדה לסייע לקובעי המדיניות בהערכ</w:t>
      </w:r>
      <w:r w:rsidRPr="0088572C">
        <w:rPr>
          <w:rFonts w:cs="David" w:hint="eastAsia"/>
          <w:sz w:val="24"/>
          <w:szCs w:val="24"/>
          <w:rtl/>
        </w:rPr>
        <w:t>ה</w:t>
      </w:r>
      <w:r w:rsidRPr="0088572C">
        <w:rPr>
          <w:rFonts w:cs="David"/>
          <w:sz w:val="24"/>
          <w:szCs w:val="24"/>
          <w:rtl/>
        </w:rPr>
        <w:t xml:space="preserve"> </w:t>
      </w:r>
      <w:r w:rsidRPr="0088572C">
        <w:rPr>
          <w:rFonts w:cs="David" w:hint="eastAsia"/>
          <w:sz w:val="24"/>
          <w:szCs w:val="24"/>
          <w:rtl/>
        </w:rPr>
        <w:t>של</w:t>
      </w:r>
      <w:r w:rsidRPr="0088572C">
        <w:rPr>
          <w:rFonts w:cs="David"/>
          <w:sz w:val="24"/>
          <w:szCs w:val="24"/>
          <w:rtl/>
        </w:rPr>
        <w:t xml:space="preserve"> הפעילות הכלכלית. קבלת תמונת מקרו</w:t>
      </w:r>
      <w:r w:rsidRPr="0088572C">
        <w:rPr>
          <w:rFonts w:cs="David" w:hint="eastAsia"/>
          <w:sz w:val="24"/>
          <w:szCs w:val="24"/>
          <w:rtl/>
        </w:rPr>
        <w:t>-</w:t>
      </w:r>
      <w:r w:rsidRPr="0088572C">
        <w:rPr>
          <w:rFonts w:cs="David"/>
          <w:sz w:val="24"/>
          <w:szCs w:val="24"/>
          <w:rtl/>
        </w:rPr>
        <w:t>כלכלית עדכנית היא בעלת חשיבות מכרעת</w:t>
      </w:r>
      <w:r w:rsidRPr="0088572C">
        <w:rPr>
          <w:rFonts w:cs="David" w:hint="cs"/>
          <w:sz w:val="24"/>
          <w:szCs w:val="24"/>
          <w:rtl/>
        </w:rPr>
        <w:t xml:space="preserve"> בעיקר</w:t>
      </w:r>
      <w:r w:rsidRPr="0088572C">
        <w:rPr>
          <w:rFonts w:cs="David"/>
          <w:sz w:val="24"/>
          <w:szCs w:val="24"/>
          <w:rtl/>
        </w:rPr>
        <w:t xml:space="preserve"> בתקופות </w:t>
      </w:r>
      <w:r w:rsidRPr="0088572C">
        <w:rPr>
          <w:rFonts w:cs="David" w:hint="eastAsia"/>
          <w:sz w:val="24"/>
          <w:szCs w:val="24"/>
          <w:rtl/>
        </w:rPr>
        <w:t>של</w:t>
      </w:r>
      <w:r w:rsidRPr="0088572C">
        <w:rPr>
          <w:rFonts w:cs="David"/>
          <w:sz w:val="24"/>
          <w:szCs w:val="24"/>
          <w:rtl/>
        </w:rPr>
        <w:t xml:space="preserve"> משבר </w:t>
      </w:r>
      <w:r w:rsidRPr="0088572C">
        <w:rPr>
          <w:rFonts w:cs="David" w:hint="eastAsia"/>
          <w:sz w:val="24"/>
          <w:szCs w:val="24"/>
          <w:rtl/>
        </w:rPr>
        <w:t>ש</w:t>
      </w:r>
      <w:r w:rsidRPr="0088572C">
        <w:rPr>
          <w:rFonts w:cs="David"/>
          <w:sz w:val="24"/>
          <w:szCs w:val="24"/>
          <w:rtl/>
        </w:rPr>
        <w:t>מאופיינות בשינויים מהירים שיוצרים אי</w:t>
      </w:r>
      <w:r w:rsidRPr="0088572C">
        <w:rPr>
          <w:rFonts w:cs="David" w:hint="eastAsia"/>
          <w:sz w:val="24"/>
          <w:szCs w:val="24"/>
          <w:rtl/>
        </w:rPr>
        <w:t>-</w:t>
      </w:r>
      <w:r w:rsidRPr="0088572C">
        <w:rPr>
          <w:rFonts w:cs="David"/>
          <w:sz w:val="24"/>
          <w:szCs w:val="24"/>
          <w:rtl/>
        </w:rPr>
        <w:t>ודאות רבה לג</w:t>
      </w:r>
      <w:r w:rsidRPr="0088572C">
        <w:rPr>
          <w:rFonts w:cs="David" w:hint="eastAsia"/>
          <w:sz w:val="24"/>
          <w:szCs w:val="24"/>
          <w:rtl/>
        </w:rPr>
        <w:t>בי</w:t>
      </w:r>
      <w:r w:rsidRPr="0088572C">
        <w:rPr>
          <w:rFonts w:cs="David"/>
          <w:sz w:val="24"/>
          <w:szCs w:val="24"/>
          <w:rtl/>
        </w:rPr>
        <w:t xml:space="preserve"> המצב הכלכלי הנוכחי. </w:t>
      </w:r>
    </w:p>
    <w:p w14:paraId="71FE69C2" w14:textId="77777777" w:rsidR="00EE087A" w:rsidRPr="0088572C" w:rsidRDefault="00EE087A" w:rsidP="0088572C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88572C">
        <w:rPr>
          <w:rFonts w:cs="David" w:hint="eastAsia"/>
          <w:sz w:val="24"/>
          <w:szCs w:val="24"/>
          <w:rtl/>
        </w:rPr>
        <w:t>עבודה</w:t>
      </w:r>
      <w:r w:rsidRPr="0088572C">
        <w:rPr>
          <w:rFonts w:cs="David"/>
          <w:sz w:val="24"/>
          <w:szCs w:val="24"/>
          <w:rtl/>
        </w:rPr>
        <w:t xml:space="preserve"> זו מתארת מודל "</w:t>
      </w:r>
      <w:r w:rsidRPr="0088572C">
        <w:rPr>
          <w:rFonts w:cs="David" w:hint="eastAsia"/>
          <w:sz w:val="24"/>
          <w:szCs w:val="24"/>
          <w:rtl/>
        </w:rPr>
        <w:t>אומדן</w:t>
      </w:r>
      <w:r w:rsidRPr="0088572C">
        <w:rPr>
          <w:rFonts w:cs="David"/>
          <w:sz w:val="24"/>
          <w:szCs w:val="24"/>
          <w:rtl/>
        </w:rPr>
        <w:t xml:space="preserve"> </w:t>
      </w:r>
      <w:r w:rsidRPr="0088572C">
        <w:rPr>
          <w:rFonts w:cs="David" w:hint="eastAsia"/>
          <w:sz w:val="24"/>
          <w:szCs w:val="24"/>
          <w:rtl/>
        </w:rPr>
        <w:t>בזק</w:t>
      </w:r>
      <w:r w:rsidRPr="0088572C">
        <w:rPr>
          <w:rFonts w:cs="David"/>
          <w:sz w:val="24"/>
          <w:szCs w:val="24"/>
          <w:rtl/>
        </w:rPr>
        <w:t>" לצמיחת התוצר, שפותח לאחרונה בבנק ישראל ע</w:t>
      </w:r>
      <w:r w:rsidRPr="0088572C">
        <w:rPr>
          <w:rFonts w:cs="David" w:hint="eastAsia"/>
          <w:sz w:val="24"/>
          <w:szCs w:val="24"/>
          <w:rtl/>
        </w:rPr>
        <w:t>ל-ידי</w:t>
      </w:r>
      <w:r w:rsidRPr="0088572C">
        <w:rPr>
          <w:rFonts w:cs="David"/>
          <w:sz w:val="24"/>
          <w:szCs w:val="24"/>
          <w:rtl/>
        </w:rPr>
        <w:t xml:space="preserve"> </w:t>
      </w:r>
      <w:proofErr w:type="spellStart"/>
      <w:r w:rsidRPr="0088572C">
        <w:rPr>
          <w:rFonts w:cs="David"/>
          <w:sz w:val="24"/>
          <w:szCs w:val="24"/>
        </w:rPr>
        <w:t>Ginker</w:t>
      </w:r>
      <w:proofErr w:type="spellEnd"/>
      <w:r w:rsidRPr="0088572C">
        <w:rPr>
          <w:rFonts w:cs="David"/>
          <w:sz w:val="24"/>
          <w:szCs w:val="24"/>
        </w:rPr>
        <w:t xml:space="preserve"> and </w:t>
      </w:r>
      <w:proofErr w:type="spellStart"/>
      <w:r w:rsidRPr="0088572C">
        <w:rPr>
          <w:rFonts w:cs="David"/>
          <w:sz w:val="24"/>
          <w:szCs w:val="24"/>
        </w:rPr>
        <w:t>Suhoy</w:t>
      </w:r>
      <w:proofErr w:type="spellEnd"/>
      <w:r w:rsidRPr="0088572C">
        <w:rPr>
          <w:rFonts w:cs="David"/>
          <w:sz w:val="24"/>
          <w:szCs w:val="24"/>
          <w:rtl/>
        </w:rPr>
        <w:t xml:space="preserve"> (2022). המודל מספק אומדני זמן אמת לשיעורי הצמיחה בתוצר בתדירות חודשית ורבעונית. יתרון בולט של שיטה זו הו</w:t>
      </w:r>
      <w:r w:rsidRPr="0088572C">
        <w:rPr>
          <w:rFonts w:cs="David" w:hint="eastAsia"/>
          <w:sz w:val="24"/>
          <w:szCs w:val="24"/>
          <w:rtl/>
        </w:rPr>
        <w:t>א</w:t>
      </w:r>
      <w:r w:rsidRPr="0088572C">
        <w:rPr>
          <w:rFonts w:cs="David"/>
          <w:sz w:val="24"/>
          <w:szCs w:val="24"/>
          <w:rtl/>
        </w:rPr>
        <w:t xml:space="preserve"> שבנוסף לתחזית הרבעונית הוא מספק </w:t>
      </w:r>
      <w:r w:rsidRPr="0088572C">
        <w:rPr>
          <w:rFonts w:cs="David" w:hint="cs"/>
          <w:sz w:val="24"/>
          <w:szCs w:val="24"/>
          <w:rtl/>
        </w:rPr>
        <w:t>אינדיקטור</w:t>
      </w:r>
      <w:r w:rsidRPr="0088572C">
        <w:rPr>
          <w:rFonts w:cs="David"/>
          <w:sz w:val="24"/>
          <w:szCs w:val="24"/>
          <w:rtl/>
        </w:rPr>
        <w:t xml:space="preserve"> לרמת הפעילות המצרפית ברמה החודשית, אשר עקבית עם </w:t>
      </w:r>
      <w:r w:rsidRPr="0088572C">
        <w:rPr>
          <w:rFonts w:cs="David" w:hint="eastAsia"/>
          <w:sz w:val="24"/>
          <w:szCs w:val="24"/>
          <w:rtl/>
        </w:rPr>
        <w:t>אומדן</w:t>
      </w:r>
      <w:r w:rsidRPr="0088572C">
        <w:rPr>
          <w:rFonts w:cs="David"/>
          <w:sz w:val="24"/>
          <w:szCs w:val="24"/>
          <w:rtl/>
        </w:rPr>
        <w:t xml:space="preserve"> </w:t>
      </w:r>
      <w:r w:rsidRPr="0088572C">
        <w:rPr>
          <w:rFonts w:cs="David" w:hint="eastAsia"/>
          <w:sz w:val="24"/>
          <w:szCs w:val="24"/>
          <w:rtl/>
        </w:rPr>
        <w:t>הבזק</w:t>
      </w:r>
      <w:r w:rsidRPr="0088572C">
        <w:rPr>
          <w:rFonts w:cs="David"/>
          <w:sz w:val="24"/>
          <w:szCs w:val="24"/>
          <w:rtl/>
        </w:rPr>
        <w:t xml:space="preserve"> הרבעוני. </w:t>
      </w:r>
    </w:p>
    <w:p w14:paraId="482C22B3" w14:textId="77777777" w:rsidR="00DD735B" w:rsidRDefault="00DD735B" w:rsidP="00DD735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603C042B" w14:textId="77777777" w:rsidR="00DD735B" w:rsidRDefault="00DD735B" w:rsidP="00DD735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7978C8F9" w14:textId="77777777" w:rsidR="00DD735B" w:rsidRDefault="00DD735B" w:rsidP="00DD735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29C2F31E" w14:textId="406A1A23" w:rsidR="00E864DF" w:rsidRPr="00306545" w:rsidRDefault="00CC3C00" w:rsidP="00DD735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E4A40">
        <w:rPr>
          <w:rFonts w:cs="David" w:hint="cs"/>
          <w:sz w:val="24"/>
          <w:szCs w:val="24"/>
          <w:rtl/>
        </w:rPr>
        <w:t xml:space="preserve">ניתן לגשת לפרסום המלא באמצעות </w:t>
      </w:r>
      <w:hyperlink r:id="rId17" w:history="1">
        <w:r w:rsidRPr="008775A5">
          <w:rPr>
            <w:rStyle w:val="Hyperlink"/>
            <w:rFonts w:cs="David" w:hint="cs"/>
            <w:sz w:val="24"/>
            <w:szCs w:val="24"/>
            <w:rtl/>
          </w:rPr>
          <w:t>אתר האינטרנט של בנק ישראל</w:t>
        </w:r>
      </w:hyperlink>
      <w:r w:rsidRPr="006E4A40">
        <w:rPr>
          <w:rFonts w:cs="David" w:hint="cs"/>
          <w:sz w:val="24"/>
          <w:szCs w:val="24"/>
          <w:rtl/>
        </w:rPr>
        <w:t xml:space="preserve">, שם צורפו </w:t>
      </w:r>
      <w:r w:rsidRPr="006E4A40">
        <w:rPr>
          <w:rFonts w:cs="David"/>
          <w:sz w:val="24"/>
          <w:szCs w:val="24"/>
          <w:rtl/>
        </w:rPr>
        <w:t>–</w:t>
      </w:r>
      <w:r w:rsidRPr="006E4A40">
        <w:rPr>
          <w:rFonts w:cs="David" w:hint="cs"/>
          <w:sz w:val="24"/>
          <w:szCs w:val="24"/>
          <w:rtl/>
        </w:rPr>
        <w:t xml:space="preserve"> לנוחות המשתמשים </w:t>
      </w:r>
      <w:r w:rsidRPr="006E4A40">
        <w:rPr>
          <w:rFonts w:cs="David"/>
          <w:sz w:val="24"/>
          <w:szCs w:val="24"/>
          <w:rtl/>
        </w:rPr>
        <w:t>–</w:t>
      </w:r>
      <w:r w:rsidRPr="006E4A40">
        <w:rPr>
          <w:rFonts w:cs="David" w:hint="cs"/>
          <w:sz w:val="24"/>
          <w:szCs w:val="24"/>
          <w:rtl/>
        </w:rPr>
        <w:t xml:space="preserve"> הנתונים העיקריים בכל נושא, בקבצים נפרדים, וכן שולבו הפניות לנתונים באתר הבנק, המתעדכנים באופן שוטף.</w:t>
      </w:r>
      <w:r w:rsidR="000E132E">
        <w:rPr>
          <w:rFonts w:cs="David" w:hint="cs"/>
          <w:sz w:val="24"/>
          <w:szCs w:val="24"/>
          <w:rtl/>
        </w:rPr>
        <w:t xml:space="preserve"> </w:t>
      </w:r>
    </w:p>
    <w:sectPr w:rsidR="00E864DF" w:rsidRPr="00306545" w:rsidSect="00F949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797" w:bottom="1134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7FB6" w14:textId="77777777" w:rsidR="00C55998" w:rsidRDefault="00C55998" w:rsidP="006E4A40">
      <w:pPr>
        <w:spacing w:after="0" w:line="240" w:lineRule="auto"/>
      </w:pPr>
      <w:r>
        <w:separator/>
      </w:r>
    </w:p>
  </w:endnote>
  <w:endnote w:type="continuationSeparator" w:id="0">
    <w:p w14:paraId="181164AD" w14:textId="77777777" w:rsidR="00C55998" w:rsidRDefault="00C55998" w:rsidP="006E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215B" w14:textId="77777777" w:rsidR="00420DEF" w:rsidRDefault="00420D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B954" w14:textId="77777777" w:rsidR="006E4A40" w:rsidRDefault="006E4A40" w:rsidP="006E4A40">
    <w:pPr>
      <w:pStyle w:val="a8"/>
      <w:rPr>
        <w:rtl/>
        <w:cs/>
      </w:rPr>
    </w:pPr>
  </w:p>
  <w:p w14:paraId="2929801E" w14:textId="77777777" w:rsidR="006E4A40" w:rsidRDefault="006E4A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9E21" w14:textId="77777777" w:rsidR="00420DEF" w:rsidRDefault="00420D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8833" w14:textId="77777777" w:rsidR="00C55998" w:rsidRDefault="00C55998" w:rsidP="006E4A40">
      <w:pPr>
        <w:spacing w:after="0" w:line="240" w:lineRule="auto"/>
      </w:pPr>
      <w:r>
        <w:separator/>
      </w:r>
    </w:p>
  </w:footnote>
  <w:footnote w:type="continuationSeparator" w:id="0">
    <w:p w14:paraId="4BFEE8E3" w14:textId="77777777" w:rsidR="00C55998" w:rsidRDefault="00C55998" w:rsidP="006E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B850" w14:textId="77777777" w:rsidR="00420DEF" w:rsidRDefault="00420D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A386" w14:textId="77777777" w:rsidR="00420DEF" w:rsidRDefault="00420D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B35E" w14:textId="77777777" w:rsidR="00420DEF" w:rsidRDefault="00420D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22.5pt" o:bullet="t">
        <v:imagedata r:id="rId1" o:title="Picture331"/>
      </v:shape>
    </w:pict>
  </w:numPicBullet>
  <w:abstractNum w:abstractNumId="0" w15:restartNumberingAfterBreak="0">
    <w:nsid w:val="0058578A"/>
    <w:multiLevelType w:val="hybridMultilevel"/>
    <w:tmpl w:val="406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DE9"/>
    <w:multiLevelType w:val="hybridMultilevel"/>
    <w:tmpl w:val="2F5ADC30"/>
    <w:lvl w:ilvl="0" w:tplc="E8ACC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246"/>
    <w:multiLevelType w:val="hybridMultilevel"/>
    <w:tmpl w:val="58F28D9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C6E144A"/>
    <w:multiLevelType w:val="hybridMultilevel"/>
    <w:tmpl w:val="F944700A"/>
    <w:lvl w:ilvl="0" w:tplc="4E0EF9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29D4"/>
    <w:multiLevelType w:val="hybridMultilevel"/>
    <w:tmpl w:val="BA08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D9C"/>
    <w:multiLevelType w:val="hybridMultilevel"/>
    <w:tmpl w:val="0E5C4EFA"/>
    <w:lvl w:ilvl="0" w:tplc="90A80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7F09"/>
    <w:multiLevelType w:val="hybridMultilevel"/>
    <w:tmpl w:val="A48C42DA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18E40E75"/>
    <w:multiLevelType w:val="hybridMultilevel"/>
    <w:tmpl w:val="1136C03A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19381D0A"/>
    <w:multiLevelType w:val="hybridMultilevel"/>
    <w:tmpl w:val="72301658"/>
    <w:lvl w:ilvl="0" w:tplc="4E0EF9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63AE9"/>
    <w:multiLevelType w:val="hybridMultilevel"/>
    <w:tmpl w:val="709A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E30F2"/>
    <w:multiLevelType w:val="hybridMultilevel"/>
    <w:tmpl w:val="23CC8B7E"/>
    <w:lvl w:ilvl="0" w:tplc="F8C0922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3F6C"/>
    <w:multiLevelType w:val="hybridMultilevel"/>
    <w:tmpl w:val="25FED19C"/>
    <w:lvl w:ilvl="0" w:tplc="DFBE00E2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4199C"/>
    <w:multiLevelType w:val="hybridMultilevel"/>
    <w:tmpl w:val="5C884684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2E86009E"/>
    <w:multiLevelType w:val="hybridMultilevel"/>
    <w:tmpl w:val="CA7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1485"/>
    <w:multiLevelType w:val="hybridMultilevel"/>
    <w:tmpl w:val="2E084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959EB"/>
    <w:multiLevelType w:val="hybridMultilevel"/>
    <w:tmpl w:val="EBD2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808D5"/>
    <w:multiLevelType w:val="hybridMultilevel"/>
    <w:tmpl w:val="1A00F7DE"/>
    <w:lvl w:ilvl="0" w:tplc="4E0EF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082"/>
    <w:multiLevelType w:val="hybridMultilevel"/>
    <w:tmpl w:val="3A64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B8E"/>
    <w:multiLevelType w:val="hybridMultilevel"/>
    <w:tmpl w:val="23CC8B7E"/>
    <w:lvl w:ilvl="0" w:tplc="F8C0922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55409"/>
    <w:multiLevelType w:val="hybridMultilevel"/>
    <w:tmpl w:val="3916566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0" w15:restartNumberingAfterBreak="0">
    <w:nsid w:val="77874419"/>
    <w:multiLevelType w:val="hybridMultilevel"/>
    <w:tmpl w:val="094E49DA"/>
    <w:lvl w:ilvl="0" w:tplc="4E0EF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7"/>
  </w:num>
  <w:num w:numId="5">
    <w:abstractNumId w:val="16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19"/>
  </w:num>
  <w:num w:numId="13">
    <w:abstractNumId w:val="18"/>
  </w:num>
  <w:num w:numId="14">
    <w:abstractNumId w:val="0"/>
  </w:num>
  <w:num w:numId="15">
    <w:abstractNumId w:val="15"/>
  </w:num>
  <w:num w:numId="16">
    <w:abstractNumId w:val="4"/>
  </w:num>
  <w:num w:numId="17">
    <w:abstractNumId w:val="10"/>
  </w:num>
  <w:num w:numId="18">
    <w:abstractNumId w:val="9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43"/>
    <w:rsid w:val="000016BB"/>
    <w:rsid w:val="00011EC8"/>
    <w:rsid w:val="00033B59"/>
    <w:rsid w:val="0003662F"/>
    <w:rsid w:val="00054235"/>
    <w:rsid w:val="000657A8"/>
    <w:rsid w:val="00071097"/>
    <w:rsid w:val="00077DA2"/>
    <w:rsid w:val="00082C79"/>
    <w:rsid w:val="00094114"/>
    <w:rsid w:val="0009720D"/>
    <w:rsid w:val="000973EF"/>
    <w:rsid w:val="000A3948"/>
    <w:rsid w:val="000B2E2C"/>
    <w:rsid w:val="000B3125"/>
    <w:rsid w:val="000E03B8"/>
    <w:rsid w:val="000E132E"/>
    <w:rsid w:val="000E5356"/>
    <w:rsid w:val="000F159A"/>
    <w:rsid w:val="0010369E"/>
    <w:rsid w:val="00114562"/>
    <w:rsid w:val="00142177"/>
    <w:rsid w:val="0015142D"/>
    <w:rsid w:val="00167544"/>
    <w:rsid w:val="00192B5B"/>
    <w:rsid w:val="001A1017"/>
    <w:rsid w:val="001A392B"/>
    <w:rsid w:val="001B0709"/>
    <w:rsid w:val="001B64B5"/>
    <w:rsid w:val="001C14F1"/>
    <w:rsid w:val="001D3FC4"/>
    <w:rsid w:val="001D70FE"/>
    <w:rsid w:val="001E12EC"/>
    <w:rsid w:val="001E6A40"/>
    <w:rsid w:val="001F384B"/>
    <w:rsid w:val="001F396A"/>
    <w:rsid w:val="00215BBE"/>
    <w:rsid w:val="00264F77"/>
    <w:rsid w:val="00265734"/>
    <w:rsid w:val="00272D51"/>
    <w:rsid w:val="002802BC"/>
    <w:rsid w:val="00292122"/>
    <w:rsid w:val="00292A8A"/>
    <w:rsid w:val="002A1BC9"/>
    <w:rsid w:val="002B1D5A"/>
    <w:rsid w:val="002B6A84"/>
    <w:rsid w:val="002C6B31"/>
    <w:rsid w:val="002D2EE7"/>
    <w:rsid w:val="00306545"/>
    <w:rsid w:val="00316DB3"/>
    <w:rsid w:val="00320549"/>
    <w:rsid w:val="00341EC2"/>
    <w:rsid w:val="003451B1"/>
    <w:rsid w:val="003A1466"/>
    <w:rsid w:val="003B2848"/>
    <w:rsid w:val="003E45CC"/>
    <w:rsid w:val="00402DC5"/>
    <w:rsid w:val="00420DEF"/>
    <w:rsid w:val="00435E46"/>
    <w:rsid w:val="00450898"/>
    <w:rsid w:val="00451D95"/>
    <w:rsid w:val="00477FBB"/>
    <w:rsid w:val="00480E5F"/>
    <w:rsid w:val="00494260"/>
    <w:rsid w:val="004B0D0C"/>
    <w:rsid w:val="004D694C"/>
    <w:rsid w:val="004E30FA"/>
    <w:rsid w:val="004E63AA"/>
    <w:rsid w:val="005175CE"/>
    <w:rsid w:val="00517D1F"/>
    <w:rsid w:val="0053375E"/>
    <w:rsid w:val="00547BEE"/>
    <w:rsid w:val="00551E33"/>
    <w:rsid w:val="005801F4"/>
    <w:rsid w:val="005A317B"/>
    <w:rsid w:val="005B0998"/>
    <w:rsid w:val="005C3BD4"/>
    <w:rsid w:val="005D6EE3"/>
    <w:rsid w:val="005E416D"/>
    <w:rsid w:val="006005D8"/>
    <w:rsid w:val="00603043"/>
    <w:rsid w:val="00614AF5"/>
    <w:rsid w:val="006224AD"/>
    <w:rsid w:val="00630DB3"/>
    <w:rsid w:val="0064721B"/>
    <w:rsid w:val="00653851"/>
    <w:rsid w:val="00653BAE"/>
    <w:rsid w:val="00674F2B"/>
    <w:rsid w:val="00682A6E"/>
    <w:rsid w:val="00685430"/>
    <w:rsid w:val="00695FF6"/>
    <w:rsid w:val="006972AC"/>
    <w:rsid w:val="006A0382"/>
    <w:rsid w:val="006A293A"/>
    <w:rsid w:val="006B32C4"/>
    <w:rsid w:val="006B36AB"/>
    <w:rsid w:val="006D0446"/>
    <w:rsid w:val="006D1620"/>
    <w:rsid w:val="006E0481"/>
    <w:rsid w:val="006E4A40"/>
    <w:rsid w:val="00716312"/>
    <w:rsid w:val="007208C0"/>
    <w:rsid w:val="00734FE5"/>
    <w:rsid w:val="007819A4"/>
    <w:rsid w:val="007A11FA"/>
    <w:rsid w:val="007A60E0"/>
    <w:rsid w:val="007B1AD6"/>
    <w:rsid w:val="007B36D2"/>
    <w:rsid w:val="007B373F"/>
    <w:rsid w:val="007D5DF9"/>
    <w:rsid w:val="00815292"/>
    <w:rsid w:val="00835150"/>
    <w:rsid w:val="008448AD"/>
    <w:rsid w:val="00845527"/>
    <w:rsid w:val="008775A5"/>
    <w:rsid w:val="0088572C"/>
    <w:rsid w:val="0088602E"/>
    <w:rsid w:val="008C27BD"/>
    <w:rsid w:val="008D7EF6"/>
    <w:rsid w:val="008E0F81"/>
    <w:rsid w:val="008E2AAA"/>
    <w:rsid w:val="008E7241"/>
    <w:rsid w:val="008F4267"/>
    <w:rsid w:val="009316EE"/>
    <w:rsid w:val="0093532C"/>
    <w:rsid w:val="00952B15"/>
    <w:rsid w:val="00962019"/>
    <w:rsid w:val="00964D0D"/>
    <w:rsid w:val="00985093"/>
    <w:rsid w:val="0098781E"/>
    <w:rsid w:val="009879AC"/>
    <w:rsid w:val="009B1E43"/>
    <w:rsid w:val="009C66C0"/>
    <w:rsid w:val="009E03A9"/>
    <w:rsid w:val="009E3E11"/>
    <w:rsid w:val="009F1B56"/>
    <w:rsid w:val="009F63EB"/>
    <w:rsid w:val="00A12B0A"/>
    <w:rsid w:val="00A15F73"/>
    <w:rsid w:val="00A23475"/>
    <w:rsid w:val="00A242D6"/>
    <w:rsid w:val="00A248F6"/>
    <w:rsid w:val="00A62DEB"/>
    <w:rsid w:val="00A86CDA"/>
    <w:rsid w:val="00AA72FA"/>
    <w:rsid w:val="00AB575A"/>
    <w:rsid w:val="00AB75BA"/>
    <w:rsid w:val="00AC2448"/>
    <w:rsid w:val="00B10151"/>
    <w:rsid w:val="00B15636"/>
    <w:rsid w:val="00B15D4C"/>
    <w:rsid w:val="00B172B4"/>
    <w:rsid w:val="00B25DCB"/>
    <w:rsid w:val="00B3157C"/>
    <w:rsid w:val="00B43ACC"/>
    <w:rsid w:val="00B623A8"/>
    <w:rsid w:val="00B67F14"/>
    <w:rsid w:val="00B75EE7"/>
    <w:rsid w:val="00B93C3E"/>
    <w:rsid w:val="00BA3848"/>
    <w:rsid w:val="00BA5E14"/>
    <w:rsid w:val="00BB3636"/>
    <w:rsid w:val="00BB7CA3"/>
    <w:rsid w:val="00BB7F6C"/>
    <w:rsid w:val="00BE22E1"/>
    <w:rsid w:val="00BE7D04"/>
    <w:rsid w:val="00C00E94"/>
    <w:rsid w:val="00C129D0"/>
    <w:rsid w:val="00C20025"/>
    <w:rsid w:val="00C3025C"/>
    <w:rsid w:val="00C5044F"/>
    <w:rsid w:val="00C51A6A"/>
    <w:rsid w:val="00C55998"/>
    <w:rsid w:val="00C673FA"/>
    <w:rsid w:val="00C709C0"/>
    <w:rsid w:val="00C72839"/>
    <w:rsid w:val="00C74F6D"/>
    <w:rsid w:val="00C77A65"/>
    <w:rsid w:val="00C848D3"/>
    <w:rsid w:val="00C871E2"/>
    <w:rsid w:val="00CA2BC0"/>
    <w:rsid w:val="00CC3C00"/>
    <w:rsid w:val="00CC6614"/>
    <w:rsid w:val="00CE0FF0"/>
    <w:rsid w:val="00CF68A8"/>
    <w:rsid w:val="00D16DB2"/>
    <w:rsid w:val="00D45B67"/>
    <w:rsid w:val="00D60DCF"/>
    <w:rsid w:val="00D72C1D"/>
    <w:rsid w:val="00D77455"/>
    <w:rsid w:val="00D946FC"/>
    <w:rsid w:val="00D96A3C"/>
    <w:rsid w:val="00DB4882"/>
    <w:rsid w:val="00DB5734"/>
    <w:rsid w:val="00DC5066"/>
    <w:rsid w:val="00DD735B"/>
    <w:rsid w:val="00DF50B7"/>
    <w:rsid w:val="00E134F1"/>
    <w:rsid w:val="00E144C3"/>
    <w:rsid w:val="00E24DBC"/>
    <w:rsid w:val="00E4510C"/>
    <w:rsid w:val="00E77671"/>
    <w:rsid w:val="00E823B2"/>
    <w:rsid w:val="00E92AF6"/>
    <w:rsid w:val="00EA48EA"/>
    <w:rsid w:val="00EA51C4"/>
    <w:rsid w:val="00EA791D"/>
    <w:rsid w:val="00EB3718"/>
    <w:rsid w:val="00EC5B3C"/>
    <w:rsid w:val="00EE087A"/>
    <w:rsid w:val="00F01701"/>
    <w:rsid w:val="00F11718"/>
    <w:rsid w:val="00F1492F"/>
    <w:rsid w:val="00F2062E"/>
    <w:rsid w:val="00F31E26"/>
    <w:rsid w:val="00F34384"/>
    <w:rsid w:val="00F35C66"/>
    <w:rsid w:val="00F424B6"/>
    <w:rsid w:val="00F62F43"/>
    <w:rsid w:val="00F9496C"/>
    <w:rsid w:val="00F95291"/>
    <w:rsid w:val="00F97122"/>
    <w:rsid w:val="00FA3F80"/>
    <w:rsid w:val="00FB1D63"/>
    <w:rsid w:val="00FB305E"/>
    <w:rsid w:val="00FC325B"/>
    <w:rsid w:val="00FF0950"/>
    <w:rsid w:val="00FF36B5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9C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43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1E6A40"/>
    <w:pPr>
      <w:keepNext/>
      <w:keepLines/>
      <w:spacing w:after="0" w:line="360" w:lineRule="auto"/>
      <w:ind w:left="720"/>
      <w:jc w:val="center"/>
      <w:outlineLvl w:val="0"/>
    </w:pPr>
    <w:rPr>
      <w:rFonts w:asciiTheme="majorHAnsi" w:eastAsiaTheme="majorEastAsia" w:hAnsiTheme="majorHAnsi" w:cs="David"/>
      <w:b/>
      <w:bCs/>
      <w:color w:val="01818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E4A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E4A40"/>
  </w:style>
  <w:style w:type="paragraph" w:styleId="a8">
    <w:name w:val="footer"/>
    <w:basedOn w:val="a"/>
    <w:link w:val="a9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E4A40"/>
  </w:style>
  <w:style w:type="character" w:styleId="Hyperlink">
    <w:name w:val="Hyperlink"/>
    <w:basedOn w:val="a0"/>
    <w:uiPriority w:val="99"/>
    <w:unhideWhenUsed/>
    <w:rsid w:val="008775A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248F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8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134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34F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E134F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34F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E134F1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A293A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rsid w:val="006A293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293A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1E6A40"/>
    <w:rPr>
      <w:rFonts w:asciiTheme="majorHAnsi" w:eastAsiaTheme="majorEastAsia" w:hAnsiTheme="majorHAnsi" w:cs="David"/>
      <w:b/>
      <w:bCs/>
      <w:color w:val="018181"/>
      <w:sz w:val="28"/>
      <w:szCs w:val="28"/>
    </w:rPr>
  </w:style>
  <w:style w:type="paragraph" w:customStyle="1" w:styleId="af3">
    <w:name w:val="כותרת ראשית"/>
    <w:basedOn w:val="a"/>
    <w:qFormat/>
    <w:rsid w:val="00EE087A"/>
    <w:pPr>
      <w:spacing w:after="0" w:line="240" w:lineRule="auto"/>
      <w:ind w:left="-7"/>
      <w:jc w:val="both"/>
    </w:pPr>
    <w:rPr>
      <w:rFonts w:ascii="Assistant" w:hAnsi="Assistant" w:cs="Assistant"/>
      <w:b/>
      <w:bCs/>
      <w:color w:val="177990"/>
      <w:sz w:val="28"/>
      <w:szCs w:val="28"/>
    </w:rPr>
  </w:style>
  <w:style w:type="paragraph" w:styleId="af4">
    <w:name w:val="No Spacing"/>
    <w:uiPriority w:val="1"/>
    <w:qFormat/>
    <w:rsid w:val="009C66C0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yperlink" Target="https://www.boi.org.il/he/NewsAndPublications/RegularPublications/Pages/MabatStat2021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3A914-607E-42BA-AACC-0E508CCF323B}"/>
</file>

<file path=customXml/itemProps2.xml><?xml version="1.0" encoding="utf-8"?>
<ds:datastoreItem xmlns:ds="http://schemas.openxmlformats.org/officeDocument/2006/customXml" ds:itemID="{4CD8CEB2-CCA8-4046-ABA8-30E7E19F0AA6}"/>
</file>

<file path=customXml/itemProps3.xml><?xml version="1.0" encoding="utf-8"?>
<ds:datastoreItem xmlns:ds="http://schemas.openxmlformats.org/officeDocument/2006/customXml" ds:itemID="{C7CB653D-0AE3-4233-B331-02F5759B4910}"/>
</file>

<file path=customXml/itemProps4.xml><?xml version="1.0" encoding="utf-8"?>
<ds:datastoreItem xmlns:ds="http://schemas.openxmlformats.org/officeDocument/2006/customXml" ds:itemID="{6000867E-DB92-44E4-82B2-58F764853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4664</Characters>
  <Application>Microsoft Office Word</Application>
  <DocSecurity>0</DocSecurity>
  <Lines>38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2022-03-14T07:16:00Z</dcterms:created>
  <dcterms:modified xsi:type="dcterms:W3CDTF">2022-03-14T07:16:00Z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