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32D8B6C2" wp14:editId="3EE80406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F30DEA" w:rsidRDefault="00D921A2" w:rsidP="001F1C05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 w:rsidRPr="00F30DEA">
              <w:rPr>
                <w:rFonts w:hint="cs"/>
                <w:rtl/>
              </w:rPr>
              <w:t>ירושלים</w:t>
            </w:r>
            <w:r w:rsidR="002F0DC3">
              <w:rPr>
                <w:rFonts w:hint="cs"/>
                <w:rtl/>
              </w:rPr>
              <w:t xml:space="preserve">, </w:t>
            </w:r>
            <w:r w:rsidR="004E5205">
              <w:rPr>
                <w:rFonts w:hint="cs"/>
                <w:rtl/>
              </w:rPr>
              <w:t>כ</w:t>
            </w:r>
            <w:r w:rsidR="00273AB3">
              <w:rPr>
                <w:rFonts w:hint="cs"/>
                <w:rtl/>
              </w:rPr>
              <w:t>"</w:t>
            </w:r>
            <w:r w:rsidR="001F1C05">
              <w:rPr>
                <w:rFonts w:hint="cs"/>
                <w:rtl/>
              </w:rPr>
              <w:t>ז</w:t>
            </w:r>
            <w:r w:rsidR="00797E9F">
              <w:rPr>
                <w:rFonts w:hint="cs"/>
                <w:rtl/>
              </w:rPr>
              <w:t xml:space="preserve"> ב</w:t>
            </w:r>
            <w:r w:rsidR="001F1C05">
              <w:rPr>
                <w:rFonts w:hint="cs"/>
                <w:rtl/>
              </w:rPr>
              <w:t>אלול</w:t>
            </w:r>
            <w:r w:rsidR="00D43807">
              <w:rPr>
                <w:rFonts w:hint="cs"/>
                <w:rtl/>
              </w:rPr>
              <w:t xml:space="preserve"> </w:t>
            </w:r>
            <w:r w:rsidRPr="00F30DEA">
              <w:rPr>
                <w:rFonts w:hint="cs"/>
                <w:rtl/>
              </w:rPr>
              <w:t>ה</w:t>
            </w:r>
            <w:r w:rsidRPr="00F30DEA">
              <w:rPr>
                <w:rtl/>
              </w:rPr>
              <w:t>תשע"</w:t>
            </w:r>
            <w:r w:rsidR="00AD40E5">
              <w:rPr>
                <w:rFonts w:hint="cs"/>
                <w:rtl/>
              </w:rPr>
              <w:t>ז</w:t>
            </w:r>
          </w:p>
          <w:p w:rsidR="00D921A2" w:rsidRPr="00DF107C" w:rsidRDefault="001F1C05" w:rsidP="001F1C05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18</w:t>
            </w:r>
            <w:r w:rsidR="00444713">
              <w:rPr>
                <w:rFonts w:hint="cs"/>
                <w:rtl/>
              </w:rPr>
              <w:t xml:space="preserve"> </w:t>
            </w:r>
            <w:r w:rsidR="004E5205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ספטמבר</w:t>
            </w:r>
            <w:r w:rsidR="00444713">
              <w:rPr>
                <w:rFonts w:hint="cs"/>
                <w:rtl/>
              </w:rPr>
              <w:t xml:space="preserve"> </w:t>
            </w:r>
            <w:r w:rsidR="004E5205">
              <w:rPr>
                <w:rFonts w:hint="cs"/>
                <w:rtl/>
              </w:rPr>
              <w:t>2017</w:t>
            </w:r>
            <w:r w:rsidR="00444713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2E5159" w:rsidRDefault="0078645B" w:rsidP="001F1C05">
      <w:pPr>
        <w:pStyle w:val="af1"/>
        <w:spacing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4E5205">
        <w:rPr>
          <w:rFonts w:hint="cs"/>
          <w:b/>
          <w:bCs/>
          <w:rtl/>
        </w:rPr>
        <w:t>ה</w:t>
      </w:r>
      <w:r w:rsidR="001F1C05">
        <w:rPr>
          <w:rFonts w:hint="cs"/>
          <w:b/>
          <w:bCs/>
          <w:rtl/>
        </w:rPr>
        <w:t>שני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2F6225" w:rsidRPr="002E5159">
        <w:rPr>
          <w:rFonts w:hint="cs"/>
          <w:b/>
          <w:bCs/>
          <w:rtl/>
        </w:rPr>
        <w:t>201</w:t>
      </w:r>
      <w:r w:rsidR="00F611CF">
        <w:rPr>
          <w:rFonts w:hint="cs"/>
          <w:b/>
          <w:bCs/>
          <w:rtl/>
        </w:rPr>
        <w:t>7</w:t>
      </w:r>
    </w:p>
    <w:p w:rsidR="00091F3F" w:rsidRPr="00EC18EA" w:rsidRDefault="00F502DF" w:rsidP="00125A88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18EA">
        <w:rPr>
          <w:b/>
          <w:bCs/>
          <w:rtl/>
        </w:rPr>
        <w:t xml:space="preserve">ברביע </w:t>
      </w:r>
      <w:r w:rsidR="00A71D01" w:rsidRPr="00EC18EA">
        <w:rPr>
          <w:rFonts w:hint="cs"/>
          <w:b/>
          <w:bCs/>
          <w:rtl/>
        </w:rPr>
        <w:t>ה</w:t>
      </w:r>
      <w:r w:rsidR="00EC18EA" w:rsidRPr="00EC18EA">
        <w:rPr>
          <w:rFonts w:hint="cs"/>
          <w:b/>
          <w:bCs/>
          <w:rtl/>
        </w:rPr>
        <w:t>שני</w:t>
      </w:r>
      <w:r w:rsidRPr="00EC18EA">
        <w:rPr>
          <w:b/>
          <w:bCs/>
          <w:rtl/>
        </w:rPr>
        <w:t xml:space="preserve"> של שנת 201</w:t>
      </w:r>
      <w:r w:rsidR="00A868C3" w:rsidRPr="00EC18EA">
        <w:rPr>
          <w:rFonts w:hint="cs"/>
          <w:b/>
          <w:bCs/>
          <w:rtl/>
        </w:rPr>
        <w:t>7</w:t>
      </w:r>
      <w:r w:rsidRPr="00EC18EA">
        <w:rPr>
          <w:b/>
          <w:bCs/>
          <w:rtl/>
        </w:rPr>
        <w:t xml:space="preserve"> </w:t>
      </w:r>
      <w:r w:rsidR="007C6DD1" w:rsidRPr="00EC18EA">
        <w:rPr>
          <w:rFonts w:hint="cs"/>
          <w:b/>
          <w:bCs/>
          <w:rtl/>
        </w:rPr>
        <w:t>עלה</w:t>
      </w:r>
      <w:r w:rsidRPr="00EC18EA">
        <w:rPr>
          <w:b/>
          <w:bCs/>
          <w:rtl/>
        </w:rPr>
        <w:t xml:space="preserve"> </w:t>
      </w:r>
      <w:r w:rsidR="00EC18EA" w:rsidRPr="00EC18EA">
        <w:rPr>
          <w:rFonts w:hint="cs"/>
          <w:b/>
          <w:bCs/>
          <w:rtl/>
        </w:rPr>
        <w:t>שוויו של תיק הנכסים</w:t>
      </w:r>
      <w:r w:rsidR="00235FBA">
        <w:rPr>
          <w:rFonts w:hint="cs"/>
          <w:b/>
          <w:bCs/>
          <w:rtl/>
        </w:rPr>
        <w:t xml:space="preserve"> הפיננסיים של הציבור</w:t>
      </w:r>
      <w:r w:rsidR="00EC18EA" w:rsidRPr="00EC18EA">
        <w:rPr>
          <w:rFonts w:hint="cs"/>
          <w:b/>
          <w:bCs/>
          <w:rtl/>
        </w:rPr>
        <w:t xml:space="preserve"> בכ- 28.5 מיליארדי ש</w:t>
      </w:r>
      <w:r w:rsidR="00EC18EA" w:rsidRPr="00EC18EA">
        <w:rPr>
          <w:b/>
          <w:bCs/>
          <w:rtl/>
        </w:rPr>
        <w:t>"</w:t>
      </w:r>
      <w:r w:rsidR="00EC18EA" w:rsidRPr="00EC18EA">
        <w:rPr>
          <w:rFonts w:hint="cs"/>
          <w:b/>
          <w:bCs/>
          <w:rtl/>
        </w:rPr>
        <w:t>ח (0.8%) ועמד בסופו על כ- 3.</w:t>
      </w:r>
      <w:r w:rsidR="00125A88">
        <w:rPr>
          <w:rFonts w:hint="cs"/>
          <w:b/>
          <w:bCs/>
          <w:rtl/>
        </w:rPr>
        <w:t>5</w:t>
      </w:r>
      <w:r w:rsidR="00EC18EA" w:rsidRPr="00EC18EA">
        <w:rPr>
          <w:rFonts w:hint="cs"/>
          <w:b/>
          <w:bCs/>
          <w:rtl/>
        </w:rPr>
        <w:t xml:space="preserve"> טריליוני ש</w:t>
      </w:r>
      <w:r w:rsidR="00EC18EA" w:rsidRPr="00EC18EA">
        <w:rPr>
          <w:b/>
          <w:bCs/>
          <w:rtl/>
        </w:rPr>
        <w:t>"</w:t>
      </w:r>
      <w:r w:rsidR="00EC18EA" w:rsidRPr="00EC18EA">
        <w:rPr>
          <w:rFonts w:hint="cs"/>
          <w:b/>
          <w:bCs/>
          <w:rtl/>
        </w:rPr>
        <w:t>ח.</w:t>
      </w:r>
    </w:p>
    <w:p w:rsidR="00B65E49" w:rsidRPr="00F33A4A" w:rsidRDefault="00F502DF" w:rsidP="00235FBA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18EA">
        <w:rPr>
          <w:rFonts w:hint="cs"/>
          <w:b/>
          <w:bCs/>
          <w:rtl/>
        </w:rPr>
        <w:t>העלייה</w:t>
      </w:r>
      <w:r w:rsidR="002F6225" w:rsidRPr="00EC18EA">
        <w:rPr>
          <w:rFonts w:hint="cs"/>
          <w:b/>
          <w:bCs/>
          <w:rtl/>
        </w:rPr>
        <w:t xml:space="preserve"> </w:t>
      </w:r>
      <w:r w:rsidR="009069AE" w:rsidRPr="00EC18EA">
        <w:rPr>
          <w:rFonts w:hint="cs"/>
          <w:b/>
          <w:bCs/>
          <w:rtl/>
        </w:rPr>
        <w:t xml:space="preserve">בשווי התיק ברביע </w:t>
      </w:r>
      <w:r w:rsidR="00175BE7" w:rsidRPr="00EC18EA">
        <w:rPr>
          <w:rFonts w:hint="cs"/>
          <w:b/>
          <w:bCs/>
          <w:rtl/>
        </w:rPr>
        <w:t>ה</w:t>
      </w:r>
      <w:r w:rsidR="00EC18EA" w:rsidRPr="00EC18EA">
        <w:rPr>
          <w:rFonts w:hint="cs"/>
          <w:b/>
          <w:bCs/>
          <w:rtl/>
        </w:rPr>
        <w:t>שני</w:t>
      </w:r>
      <w:r w:rsidR="009069AE" w:rsidRPr="00EC18EA">
        <w:rPr>
          <w:rFonts w:hint="cs"/>
          <w:b/>
          <w:bCs/>
          <w:rtl/>
        </w:rPr>
        <w:t xml:space="preserve"> </w:t>
      </w:r>
      <w:r w:rsidR="002F6225" w:rsidRPr="00EC18EA">
        <w:rPr>
          <w:b/>
          <w:bCs/>
          <w:rtl/>
        </w:rPr>
        <w:t>נבע</w:t>
      </w:r>
      <w:r w:rsidR="003C6456" w:rsidRPr="00EC18EA">
        <w:rPr>
          <w:rFonts w:hint="cs"/>
          <w:b/>
          <w:bCs/>
          <w:rtl/>
        </w:rPr>
        <w:t>ה</w:t>
      </w:r>
      <w:r w:rsidR="002F6225" w:rsidRPr="00EC18EA">
        <w:rPr>
          <w:b/>
          <w:bCs/>
          <w:rtl/>
        </w:rPr>
        <w:t xml:space="preserve"> </w:t>
      </w:r>
      <w:r w:rsidR="00A868C3" w:rsidRPr="00EC18EA">
        <w:rPr>
          <w:rFonts w:hint="cs"/>
          <w:b/>
          <w:bCs/>
          <w:rtl/>
        </w:rPr>
        <w:t>בעיקר מ</w:t>
      </w:r>
      <w:r w:rsidR="00EC18EA" w:rsidRPr="00EC18EA">
        <w:rPr>
          <w:rFonts w:hint="cs"/>
          <w:b/>
          <w:bCs/>
          <w:rtl/>
        </w:rPr>
        <w:t>גידול</w:t>
      </w:r>
      <w:r w:rsidR="00175BE7" w:rsidRPr="00EC18EA">
        <w:rPr>
          <w:b/>
          <w:bCs/>
          <w:rtl/>
        </w:rPr>
        <w:t xml:space="preserve"> </w:t>
      </w:r>
      <w:r w:rsidR="00EC18EA" w:rsidRPr="00EC18EA">
        <w:rPr>
          <w:rFonts w:hint="cs"/>
          <w:b/>
          <w:bCs/>
          <w:rtl/>
        </w:rPr>
        <w:t>ברכיב</w:t>
      </w:r>
      <w:r w:rsidR="00235FBA">
        <w:rPr>
          <w:rFonts w:hint="cs"/>
          <w:b/>
          <w:bCs/>
          <w:rtl/>
        </w:rPr>
        <w:t>י</w:t>
      </w:r>
      <w:r w:rsidR="00EC18EA" w:rsidRPr="00EC18EA">
        <w:rPr>
          <w:rFonts w:hint="cs"/>
          <w:b/>
          <w:bCs/>
          <w:rtl/>
        </w:rPr>
        <w:t xml:space="preserve"> המזומן והפיקדונות, </w:t>
      </w:r>
      <w:r w:rsidR="007C6DD1" w:rsidRPr="00EC18EA">
        <w:rPr>
          <w:rFonts w:hint="cs"/>
          <w:b/>
          <w:bCs/>
          <w:rtl/>
        </w:rPr>
        <w:t>אג"ח החברות הסחיר</w:t>
      </w:r>
      <w:r w:rsidR="00EC18EA" w:rsidRPr="00EC18EA">
        <w:rPr>
          <w:rFonts w:hint="cs"/>
          <w:b/>
          <w:bCs/>
          <w:rtl/>
        </w:rPr>
        <w:t xml:space="preserve"> ו</w:t>
      </w:r>
      <w:r w:rsidR="001E02E6" w:rsidRPr="00EC18EA">
        <w:rPr>
          <w:rFonts w:hint="cs"/>
          <w:b/>
          <w:bCs/>
          <w:rtl/>
        </w:rPr>
        <w:t>יתרת</w:t>
      </w:r>
      <w:r w:rsidR="00A868C3" w:rsidRPr="00EC18EA">
        <w:rPr>
          <w:rFonts w:hint="cs"/>
          <w:b/>
          <w:bCs/>
          <w:rtl/>
        </w:rPr>
        <w:t xml:space="preserve"> </w:t>
      </w:r>
      <w:r w:rsidR="00EC18EA" w:rsidRPr="00EC18EA">
        <w:rPr>
          <w:rFonts w:hint="cs"/>
          <w:b/>
          <w:bCs/>
          <w:rtl/>
        </w:rPr>
        <w:t>המניות בארץ</w:t>
      </w:r>
      <w:r w:rsidR="00175BE7" w:rsidRPr="00EC18EA">
        <w:rPr>
          <w:rFonts w:hint="cs"/>
          <w:b/>
          <w:bCs/>
          <w:rtl/>
        </w:rPr>
        <w:t>.</w:t>
      </w:r>
      <w:r w:rsidR="00120AB8" w:rsidRPr="00EC18EA">
        <w:rPr>
          <w:rFonts w:hint="cs"/>
          <w:b/>
          <w:bCs/>
          <w:rtl/>
        </w:rPr>
        <w:t xml:space="preserve"> </w:t>
      </w:r>
      <w:r w:rsidR="00E40BD3" w:rsidRPr="00EC18EA">
        <w:rPr>
          <w:rFonts w:hint="cs"/>
          <w:b/>
          <w:bCs/>
          <w:rtl/>
        </w:rPr>
        <w:t>מנגד חלה ירידה ב</w:t>
      </w:r>
      <w:r w:rsidR="00EC18EA">
        <w:rPr>
          <w:rFonts w:hint="cs"/>
          <w:b/>
          <w:bCs/>
          <w:rtl/>
        </w:rPr>
        <w:t>יתרת</w:t>
      </w:r>
      <w:r w:rsidR="00E40BD3" w:rsidRPr="00EC18EA">
        <w:rPr>
          <w:rFonts w:hint="cs"/>
          <w:b/>
          <w:bCs/>
          <w:rtl/>
        </w:rPr>
        <w:t xml:space="preserve"> הנכסים </w:t>
      </w:r>
      <w:r w:rsidR="00EC18EA" w:rsidRPr="00F33A4A">
        <w:rPr>
          <w:rFonts w:hint="cs"/>
          <w:b/>
          <w:bCs/>
          <w:rtl/>
        </w:rPr>
        <w:t>בחו"ל</w:t>
      </w:r>
      <w:r w:rsidR="001D109B" w:rsidRPr="00F33A4A">
        <w:rPr>
          <w:rFonts w:hint="cs"/>
          <w:b/>
          <w:bCs/>
          <w:rtl/>
        </w:rPr>
        <w:t>, בעיקר כתוצאה מייסוף השקל במהלך הרביע</w:t>
      </w:r>
      <w:r w:rsidR="00AD40E5" w:rsidRPr="00F33A4A">
        <w:rPr>
          <w:rFonts w:hint="cs"/>
          <w:b/>
          <w:bCs/>
          <w:rtl/>
        </w:rPr>
        <w:t>.</w:t>
      </w:r>
    </w:p>
    <w:p w:rsidR="00AD40E5" w:rsidRPr="00F33A4A" w:rsidRDefault="00175BE7" w:rsidP="00235FBA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F33A4A">
        <w:rPr>
          <w:b/>
          <w:bCs/>
          <w:rtl/>
        </w:rPr>
        <w:t>שווי יתרת התיק המנוהל בידי המשקיעים המוסדיים עלה ברביע ה</w:t>
      </w:r>
      <w:r w:rsidR="0039259D" w:rsidRPr="00F33A4A">
        <w:rPr>
          <w:rFonts w:hint="cs"/>
          <w:b/>
          <w:bCs/>
          <w:rtl/>
        </w:rPr>
        <w:t>שני</w:t>
      </w:r>
      <w:r w:rsidRPr="00F33A4A">
        <w:rPr>
          <w:b/>
          <w:bCs/>
          <w:rtl/>
        </w:rPr>
        <w:t xml:space="preserve"> של שנת 201</w:t>
      </w:r>
      <w:r w:rsidR="00A868C3" w:rsidRPr="00F33A4A">
        <w:rPr>
          <w:rFonts w:hint="cs"/>
          <w:b/>
          <w:bCs/>
          <w:rtl/>
        </w:rPr>
        <w:t>7</w:t>
      </w:r>
      <w:r w:rsidR="0039259D" w:rsidRPr="00F33A4A">
        <w:rPr>
          <w:rFonts w:hint="cs"/>
          <w:b/>
          <w:bCs/>
          <w:rtl/>
        </w:rPr>
        <w:t xml:space="preserve"> בכ-2.2% (32.6 מיליארדי ש"ח), ועמד בסופו על כ-1.5 טריליון ש"ח</w:t>
      </w:r>
      <w:r w:rsidRPr="00F33A4A">
        <w:rPr>
          <w:b/>
          <w:bCs/>
          <w:rtl/>
        </w:rPr>
        <w:t>. העלייה ביתרת התיק נבעה בעיקר מעלייה ברכיבי המזומן והפיקדונות</w:t>
      </w:r>
      <w:r w:rsidR="00A868C3" w:rsidRPr="00F33A4A">
        <w:rPr>
          <w:rFonts w:hint="cs"/>
          <w:b/>
          <w:bCs/>
          <w:rtl/>
        </w:rPr>
        <w:t>,</w:t>
      </w:r>
      <w:r w:rsidRPr="00F33A4A">
        <w:rPr>
          <w:b/>
          <w:bCs/>
          <w:rtl/>
        </w:rPr>
        <w:t xml:space="preserve"> </w:t>
      </w:r>
      <w:r w:rsidR="00A868C3" w:rsidRPr="00F33A4A">
        <w:rPr>
          <w:rFonts w:hint="cs"/>
          <w:b/>
          <w:bCs/>
          <w:rtl/>
        </w:rPr>
        <w:t>האג"ח הממשלתיות וה</w:t>
      </w:r>
      <w:r w:rsidRPr="00F33A4A">
        <w:rPr>
          <w:b/>
          <w:bCs/>
          <w:rtl/>
        </w:rPr>
        <w:t>מניות</w:t>
      </w:r>
      <w:r w:rsidR="00F33A4A" w:rsidRPr="00F33A4A">
        <w:rPr>
          <w:rFonts w:hint="cs"/>
          <w:b/>
          <w:bCs/>
          <w:rtl/>
        </w:rPr>
        <w:t xml:space="preserve"> בארץ</w:t>
      </w:r>
      <w:r w:rsidRPr="00F33A4A">
        <w:rPr>
          <w:b/>
          <w:bCs/>
          <w:rtl/>
        </w:rPr>
        <w:t xml:space="preserve"> </w:t>
      </w:r>
      <w:r w:rsidR="00F33A4A" w:rsidRPr="00F33A4A">
        <w:rPr>
          <w:rFonts w:hint="cs"/>
          <w:b/>
          <w:bCs/>
          <w:rtl/>
        </w:rPr>
        <w:t>ו</w:t>
      </w:r>
      <w:r w:rsidRPr="00F33A4A">
        <w:rPr>
          <w:b/>
          <w:bCs/>
          <w:rtl/>
        </w:rPr>
        <w:t>בחו"ל</w:t>
      </w:r>
      <w:r w:rsidRPr="00F33A4A">
        <w:rPr>
          <w:rFonts w:hint="cs"/>
          <w:b/>
          <w:bCs/>
          <w:rtl/>
        </w:rPr>
        <w:t>,</w:t>
      </w:r>
      <w:r w:rsidRPr="00F33A4A">
        <w:rPr>
          <w:b/>
          <w:bCs/>
          <w:rtl/>
        </w:rPr>
        <w:t xml:space="preserve"> והיא קוזזה בחלקה ע"י ירידה באג"ח </w:t>
      </w:r>
      <w:r w:rsidR="00A868C3" w:rsidRPr="00F33A4A">
        <w:rPr>
          <w:rFonts w:hint="cs"/>
          <w:b/>
          <w:bCs/>
          <w:rtl/>
        </w:rPr>
        <w:t>בחו"ל</w:t>
      </w:r>
      <w:r w:rsidRPr="00F33A4A">
        <w:rPr>
          <w:rFonts w:hint="cs"/>
          <w:b/>
          <w:bCs/>
          <w:rtl/>
        </w:rPr>
        <w:t>.</w:t>
      </w:r>
    </w:p>
    <w:p w:rsidR="00AD1F1B" w:rsidRPr="00F33A4A" w:rsidRDefault="00AD40E5" w:rsidP="00235FBA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F33A4A">
        <w:rPr>
          <w:rFonts w:hint="cs"/>
          <w:b/>
          <w:bCs/>
          <w:rtl/>
        </w:rPr>
        <w:t xml:space="preserve">ברביע </w:t>
      </w:r>
      <w:r w:rsidR="00175BE7" w:rsidRPr="00F33A4A">
        <w:rPr>
          <w:rFonts w:hint="cs"/>
          <w:b/>
          <w:bCs/>
          <w:rtl/>
        </w:rPr>
        <w:t>ה</w:t>
      </w:r>
      <w:r w:rsidR="0039259D" w:rsidRPr="00F33A4A">
        <w:rPr>
          <w:rFonts w:hint="cs"/>
          <w:b/>
          <w:bCs/>
          <w:rtl/>
        </w:rPr>
        <w:t>שני</w:t>
      </w:r>
      <w:r w:rsidRPr="00F33A4A">
        <w:rPr>
          <w:rFonts w:hint="cs"/>
          <w:b/>
          <w:bCs/>
          <w:rtl/>
        </w:rPr>
        <w:t xml:space="preserve"> של השנה, </w:t>
      </w:r>
      <w:r w:rsidR="009E6953" w:rsidRPr="00F33A4A">
        <w:rPr>
          <w:rFonts w:hint="cs"/>
          <w:b/>
          <w:bCs/>
          <w:rtl/>
        </w:rPr>
        <w:t>נרשמו</w:t>
      </w:r>
      <w:r w:rsidRPr="00F33A4A">
        <w:rPr>
          <w:rFonts w:hint="cs"/>
          <w:b/>
          <w:bCs/>
          <w:rtl/>
        </w:rPr>
        <w:t xml:space="preserve"> </w:t>
      </w:r>
      <w:r w:rsidR="00A868C3" w:rsidRPr="00F33A4A">
        <w:rPr>
          <w:rFonts w:hint="cs"/>
          <w:b/>
          <w:bCs/>
          <w:rtl/>
        </w:rPr>
        <w:t>הפקדות</w:t>
      </w:r>
      <w:r w:rsidRPr="00F33A4A">
        <w:rPr>
          <w:rFonts w:hint="cs"/>
          <w:b/>
          <w:bCs/>
          <w:rtl/>
        </w:rPr>
        <w:t xml:space="preserve"> נטו </w:t>
      </w:r>
      <w:r w:rsidR="009E6953" w:rsidRPr="00F33A4A">
        <w:rPr>
          <w:rFonts w:hint="cs"/>
          <w:b/>
          <w:bCs/>
          <w:rtl/>
        </w:rPr>
        <w:t xml:space="preserve">בקרנות הנאמנות </w:t>
      </w:r>
      <w:r w:rsidRPr="00F33A4A">
        <w:rPr>
          <w:rFonts w:hint="cs"/>
          <w:b/>
          <w:bCs/>
          <w:rtl/>
        </w:rPr>
        <w:t xml:space="preserve">בהיקף של כ- </w:t>
      </w:r>
      <w:r w:rsidR="0039259D" w:rsidRPr="00F33A4A">
        <w:rPr>
          <w:rFonts w:hint="cs"/>
          <w:b/>
          <w:bCs/>
          <w:rtl/>
        </w:rPr>
        <w:t>5.8</w:t>
      </w:r>
      <w:r w:rsidRPr="00F33A4A">
        <w:rPr>
          <w:rFonts w:hint="cs"/>
          <w:b/>
          <w:bCs/>
          <w:rtl/>
        </w:rPr>
        <w:t xml:space="preserve"> מיליארדי </w:t>
      </w:r>
      <w:r w:rsidR="00235FBA">
        <w:rPr>
          <w:rFonts w:hint="cs"/>
          <w:b/>
          <w:bCs/>
          <w:rtl/>
        </w:rPr>
        <w:t>ש"ח, בהמשך להפקדות ברביע הראשון של השנה</w:t>
      </w:r>
      <w:r w:rsidRPr="00F33A4A">
        <w:rPr>
          <w:rFonts w:hint="cs"/>
          <w:b/>
          <w:bCs/>
          <w:rtl/>
        </w:rPr>
        <w:t>.</w:t>
      </w:r>
    </w:p>
    <w:p w:rsidR="00AD40E5" w:rsidRPr="00235FBA" w:rsidRDefault="00AD40E5" w:rsidP="00AD40E5">
      <w:pPr>
        <w:spacing w:line="360" w:lineRule="auto"/>
        <w:ind w:left="720"/>
        <w:jc w:val="both"/>
        <w:rPr>
          <w:b/>
          <w:bCs/>
          <w:rtl/>
        </w:rPr>
      </w:pPr>
    </w:p>
    <w:p w:rsidR="002A7E7B" w:rsidRPr="002E5159" w:rsidRDefault="002A7E7B" w:rsidP="002E5159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</w:p>
    <w:p w:rsidR="001F3A15" w:rsidRDefault="0027468F" w:rsidP="00125A88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4E5205">
        <w:rPr>
          <w:rFonts w:hint="cs"/>
          <w:b/>
          <w:bCs/>
          <w:rtl/>
        </w:rPr>
        <w:t>ה</w:t>
      </w:r>
      <w:r w:rsidR="002146A7">
        <w:rPr>
          <w:rFonts w:hint="cs"/>
          <w:b/>
          <w:bCs/>
          <w:rtl/>
        </w:rPr>
        <w:t>שני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2</w:t>
      </w:r>
      <w:r w:rsidR="00670985">
        <w:rPr>
          <w:rFonts w:hint="cs"/>
          <w:b/>
          <w:bCs/>
          <w:rtl/>
        </w:rPr>
        <w:t>017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B5166B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בכ- </w:t>
      </w:r>
      <w:r w:rsidR="0046024D">
        <w:rPr>
          <w:rFonts w:hint="cs"/>
          <w:rtl/>
        </w:rPr>
        <w:t>28</w:t>
      </w:r>
      <w:r w:rsidR="002146A7">
        <w:rPr>
          <w:rFonts w:hint="cs"/>
          <w:rtl/>
        </w:rPr>
        <w:t>.5</w:t>
      </w:r>
      <w:r w:rsidR="00C95059">
        <w:rPr>
          <w:rFonts w:hint="cs"/>
          <w:rtl/>
        </w:rPr>
        <w:t xml:space="preserve"> 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(</w:t>
      </w:r>
      <w:r w:rsidR="0046024D">
        <w:rPr>
          <w:rFonts w:hint="cs"/>
          <w:rtl/>
        </w:rPr>
        <w:t>0.8</w:t>
      </w:r>
      <w:r w:rsidR="00F502DF">
        <w:rPr>
          <w:rFonts w:hint="cs"/>
          <w:rtl/>
        </w:rPr>
        <w:t>%)</w:t>
      </w:r>
      <w:r w:rsidR="001F2087" w:rsidRPr="00C75BF9">
        <w:rPr>
          <w:rFonts w:hint="cs"/>
          <w:rtl/>
        </w:rPr>
        <w:t xml:space="preserve"> </w:t>
      </w:r>
      <w:r w:rsidR="0049743C">
        <w:rPr>
          <w:rFonts w:hint="cs"/>
          <w:rtl/>
        </w:rPr>
        <w:t xml:space="preserve">ועמד </w:t>
      </w:r>
      <w:r w:rsidR="003C6456">
        <w:rPr>
          <w:rFonts w:hint="cs"/>
          <w:rtl/>
        </w:rPr>
        <w:t>בסופו</w:t>
      </w:r>
      <w:r w:rsidR="0049743C">
        <w:rPr>
          <w:rFonts w:hint="cs"/>
          <w:rtl/>
        </w:rPr>
        <w:t xml:space="preserve"> על כ- </w:t>
      </w:r>
      <w:r w:rsidR="00B5166B">
        <w:rPr>
          <w:rFonts w:hint="cs"/>
          <w:rtl/>
        </w:rPr>
        <w:t>3.</w:t>
      </w:r>
      <w:r w:rsidR="00125A88">
        <w:rPr>
          <w:rFonts w:hint="cs"/>
          <w:rtl/>
        </w:rPr>
        <w:t>5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</w:p>
    <w:p w:rsidR="00264EA8" w:rsidRDefault="00264EA8" w:rsidP="00EC18EA">
      <w:pPr>
        <w:spacing w:line="360" w:lineRule="auto"/>
        <w:jc w:val="both"/>
        <w:rPr>
          <w:rtl/>
        </w:rPr>
      </w:pPr>
      <w:r w:rsidRPr="00264EA8">
        <w:rPr>
          <w:rtl/>
        </w:rPr>
        <w:t>ה</w:t>
      </w:r>
      <w:r w:rsidR="00B5166B">
        <w:rPr>
          <w:rFonts w:hint="cs"/>
          <w:rtl/>
        </w:rPr>
        <w:t>עלייה</w:t>
      </w:r>
      <w:r w:rsidRPr="00264EA8">
        <w:rPr>
          <w:rtl/>
        </w:rPr>
        <w:t xml:space="preserve"> בשווי התיק ברביע </w:t>
      </w:r>
      <w:r w:rsidR="004E5205">
        <w:rPr>
          <w:rFonts w:hint="cs"/>
          <w:rtl/>
        </w:rPr>
        <w:t>ה</w:t>
      </w:r>
      <w:r w:rsidR="00A95EC0">
        <w:rPr>
          <w:rFonts w:hint="cs"/>
          <w:rtl/>
        </w:rPr>
        <w:t>שני</w:t>
      </w:r>
      <w:r w:rsidRPr="00264EA8">
        <w:rPr>
          <w:rtl/>
        </w:rPr>
        <w:t xml:space="preserve"> נבעה בעיקר מ</w:t>
      </w:r>
      <w:r w:rsidR="00EC18EA">
        <w:rPr>
          <w:rFonts w:hint="cs"/>
          <w:rtl/>
        </w:rPr>
        <w:t>גידול</w:t>
      </w:r>
      <w:r w:rsidRPr="00264EA8">
        <w:rPr>
          <w:rtl/>
        </w:rPr>
        <w:t xml:space="preserve"> </w:t>
      </w:r>
      <w:r w:rsidR="00A95EC0">
        <w:rPr>
          <w:rFonts w:hint="cs"/>
          <w:rtl/>
        </w:rPr>
        <w:t>ברכיב</w:t>
      </w:r>
      <w:r w:rsidR="00235FBA">
        <w:rPr>
          <w:rFonts w:hint="cs"/>
          <w:rtl/>
        </w:rPr>
        <w:t>י</w:t>
      </w:r>
      <w:r w:rsidR="00A95EC0">
        <w:rPr>
          <w:rFonts w:hint="cs"/>
          <w:rtl/>
        </w:rPr>
        <w:t xml:space="preserve"> המזומן והפיקדונות (</w:t>
      </w:r>
      <w:r w:rsidR="0046024D">
        <w:rPr>
          <w:rFonts w:hint="cs"/>
          <w:rtl/>
        </w:rPr>
        <w:t>14.3</w:t>
      </w:r>
      <w:r w:rsidR="00A95EC0">
        <w:rPr>
          <w:rFonts w:hint="cs"/>
          <w:rtl/>
        </w:rPr>
        <w:t xml:space="preserve"> מיליארדים, 1.</w:t>
      </w:r>
      <w:r w:rsidR="0046024D">
        <w:rPr>
          <w:rFonts w:hint="cs"/>
          <w:rtl/>
        </w:rPr>
        <w:t>2</w:t>
      </w:r>
      <w:r w:rsidR="00A95EC0">
        <w:rPr>
          <w:rFonts w:hint="cs"/>
          <w:rtl/>
        </w:rPr>
        <w:t>%)</w:t>
      </w:r>
      <w:r w:rsidR="00235FBA">
        <w:rPr>
          <w:rFonts w:hint="cs"/>
          <w:rtl/>
        </w:rPr>
        <w:t>,</w:t>
      </w:r>
      <w:r w:rsidR="001E2E5B" w:rsidRPr="00CD3D12">
        <w:rPr>
          <w:rFonts w:hint="cs"/>
          <w:rtl/>
        </w:rPr>
        <w:t xml:space="preserve"> </w:t>
      </w:r>
      <w:r w:rsidR="00A95EC0">
        <w:rPr>
          <w:rFonts w:hint="cs"/>
          <w:rtl/>
        </w:rPr>
        <w:t>אג"ח החברות הסחיר</w:t>
      </w:r>
      <w:r w:rsidR="001E2E5B" w:rsidRPr="00CD3D12">
        <w:rPr>
          <w:rFonts w:hint="cs"/>
          <w:rtl/>
        </w:rPr>
        <w:t xml:space="preserve"> (</w:t>
      </w:r>
      <w:r w:rsidR="00A95EC0">
        <w:rPr>
          <w:rFonts w:hint="cs"/>
          <w:rtl/>
        </w:rPr>
        <w:t>8.3</w:t>
      </w:r>
      <w:r w:rsidR="001E2E5B" w:rsidRPr="00CD3D12">
        <w:rPr>
          <w:rFonts w:hint="cs"/>
          <w:rtl/>
        </w:rPr>
        <w:t xml:space="preserve"> מיליארדים, </w:t>
      </w:r>
      <w:r w:rsidR="00A95EC0">
        <w:rPr>
          <w:rFonts w:hint="cs"/>
          <w:rtl/>
        </w:rPr>
        <w:t>2</w:t>
      </w:r>
      <w:r w:rsidR="00B5166B">
        <w:rPr>
          <w:rFonts w:hint="cs"/>
          <w:rtl/>
        </w:rPr>
        <w:t>.7</w:t>
      </w:r>
      <w:r w:rsidR="001E2E5B">
        <w:rPr>
          <w:rFonts w:hint="cs"/>
          <w:rtl/>
        </w:rPr>
        <w:t>%</w:t>
      </w:r>
      <w:r w:rsidR="001E2E5B" w:rsidRPr="00CD3D12">
        <w:rPr>
          <w:rFonts w:hint="cs"/>
          <w:rtl/>
        </w:rPr>
        <w:t>)</w:t>
      </w:r>
      <w:r w:rsidR="001E2E5B" w:rsidRPr="00264EA8">
        <w:rPr>
          <w:rtl/>
        </w:rPr>
        <w:t xml:space="preserve"> </w:t>
      </w:r>
      <w:r w:rsidR="0046024D">
        <w:rPr>
          <w:rFonts w:hint="cs"/>
          <w:rtl/>
        </w:rPr>
        <w:t>והמניות בארץ (7.7 מיליארדים, 1.6</w:t>
      </w:r>
      <w:r w:rsidR="0046024D" w:rsidRPr="00CD3D12">
        <w:rPr>
          <w:rFonts w:hint="cs"/>
          <w:rtl/>
        </w:rPr>
        <w:t>%)</w:t>
      </w:r>
      <w:r w:rsidR="0046024D">
        <w:rPr>
          <w:rFonts w:hint="cs"/>
          <w:rtl/>
        </w:rPr>
        <w:t>.</w:t>
      </w:r>
      <w:r w:rsidR="0046024D" w:rsidRPr="00CD3D12">
        <w:rPr>
          <w:rFonts w:hint="cs"/>
          <w:rtl/>
        </w:rPr>
        <w:t xml:space="preserve"> </w:t>
      </w:r>
      <w:r w:rsidR="00BC3A96">
        <w:rPr>
          <w:rFonts w:hint="cs"/>
          <w:rtl/>
        </w:rPr>
        <w:t>עלייה</w:t>
      </w:r>
      <w:r w:rsidR="001E2E5B">
        <w:rPr>
          <w:rFonts w:hint="cs"/>
          <w:rtl/>
        </w:rPr>
        <w:t xml:space="preserve"> זו קוזזה בחלקה על ידי </w:t>
      </w:r>
      <w:r w:rsidR="00BC3A96">
        <w:rPr>
          <w:rFonts w:hint="cs"/>
          <w:rtl/>
        </w:rPr>
        <w:t>ירידה</w:t>
      </w:r>
      <w:r w:rsidR="001E2E5B">
        <w:rPr>
          <w:rFonts w:hint="cs"/>
          <w:rtl/>
        </w:rPr>
        <w:t xml:space="preserve"> ב</w:t>
      </w:r>
      <w:r w:rsidR="00BC3A96">
        <w:rPr>
          <w:rFonts w:hint="cs"/>
          <w:rtl/>
        </w:rPr>
        <w:t>יתרת</w:t>
      </w:r>
      <w:r w:rsidR="001E2E5B">
        <w:rPr>
          <w:rFonts w:hint="cs"/>
          <w:rtl/>
        </w:rPr>
        <w:t xml:space="preserve"> </w:t>
      </w:r>
      <w:r w:rsidR="00A95EC0">
        <w:rPr>
          <w:rFonts w:hint="cs"/>
          <w:rtl/>
        </w:rPr>
        <w:t xml:space="preserve">השקעות תושבי ישראל </w:t>
      </w:r>
      <w:r w:rsidR="003C60AC">
        <w:rPr>
          <w:rFonts w:hint="cs"/>
          <w:rtl/>
        </w:rPr>
        <w:t xml:space="preserve">בפיקדונות בחו"ל (5.2 מיליארדים, 39%-), </w:t>
      </w:r>
      <w:r w:rsidR="00A95EC0">
        <w:rPr>
          <w:rFonts w:hint="cs"/>
          <w:rtl/>
        </w:rPr>
        <w:t>באג"ח</w:t>
      </w:r>
      <w:r w:rsidR="00BC3A96">
        <w:rPr>
          <w:rFonts w:hint="cs"/>
          <w:rtl/>
        </w:rPr>
        <w:t xml:space="preserve"> בחו"ל</w:t>
      </w:r>
      <w:r w:rsidR="001E2E5B">
        <w:rPr>
          <w:rFonts w:hint="cs"/>
          <w:rtl/>
        </w:rPr>
        <w:t xml:space="preserve"> (</w:t>
      </w:r>
      <w:r w:rsidR="00BC3A96">
        <w:rPr>
          <w:rFonts w:hint="cs"/>
          <w:rtl/>
        </w:rPr>
        <w:t>5.</w:t>
      </w:r>
      <w:r w:rsidR="003C60AC">
        <w:rPr>
          <w:rFonts w:hint="cs"/>
          <w:rtl/>
        </w:rPr>
        <w:t>1</w:t>
      </w:r>
      <w:r w:rsidR="001E2E5B">
        <w:rPr>
          <w:rFonts w:hint="cs"/>
          <w:rtl/>
        </w:rPr>
        <w:t xml:space="preserve"> מיליארדים, </w:t>
      </w:r>
      <w:r w:rsidR="003C60AC">
        <w:rPr>
          <w:rFonts w:hint="cs"/>
          <w:rtl/>
        </w:rPr>
        <w:t>2.9</w:t>
      </w:r>
      <w:r w:rsidR="001E2E5B">
        <w:rPr>
          <w:rFonts w:hint="cs"/>
          <w:rtl/>
        </w:rPr>
        <w:t>%</w:t>
      </w:r>
      <w:r w:rsidR="00BC3A96">
        <w:rPr>
          <w:rFonts w:hint="cs"/>
          <w:rtl/>
        </w:rPr>
        <w:t>-</w:t>
      </w:r>
      <w:r w:rsidR="001E2E5B">
        <w:rPr>
          <w:rFonts w:hint="cs"/>
          <w:rtl/>
        </w:rPr>
        <w:t>)</w:t>
      </w:r>
      <w:r w:rsidR="003C60AC">
        <w:rPr>
          <w:rFonts w:hint="cs"/>
          <w:rtl/>
        </w:rPr>
        <w:t xml:space="preserve"> ובמניות בחו"ל (4.9 מיליארדים, 1.8%-)</w:t>
      </w:r>
      <w:r w:rsidR="00A95EC0">
        <w:rPr>
          <w:rFonts w:hint="cs"/>
          <w:rtl/>
        </w:rPr>
        <w:t>.</w:t>
      </w:r>
    </w:p>
    <w:p w:rsidR="00235FBA" w:rsidRDefault="00181A28" w:rsidP="00125A88">
      <w:pPr>
        <w:spacing w:line="360" w:lineRule="auto"/>
        <w:jc w:val="both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3C60AC">
        <w:rPr>
          <w:rFonts w:hint="cs"/>
          <w:rtl/>
        </w:rPr>
        <w:t>ירד</w:t>
      </w:r>
      <w:r w:rsidR="00264EA8">
        <w:rPr>
          <w:rFonts w:hint="cs"/>
          <w:rtl/>
        </w:rPr>
        <w:t xml:space="preserve"> במהלך הרביע</w:t>
      </w:r>
      <w:r w:rsidR="00235FBA">
        <w:rPr>
          <w:rFonts w:hint="cs"/>
          <w:rtl/>
        </w:rPr>
        <w:t xml:space="preserve"> השני ב-0.7 נקודות האחוז</w:t>
      </w:r>
      <w:r w:rsidR="00803998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>ועמד</w:t>
      </w:r>
      <w:r w:rsidR="003C6456" w:rsidRPr="00803998">
        <w:rPr>
          <w:rFonts w:hint="cs"/>
          <w:rtl/>
        </w:rPr>
        <w:t xml:space="preserve"> </w:t>
      </w:r>
      <w:r w:rsidR="00235FBA">
        <w:rPr>
          <w:rFonts w:hint="cs"/>
          <w:rtl/>
        </w:rPr>
        <w:t>בסופו</w:t>
      </w:r>
      <w:r w:rsidR="001F3A15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 xml:space="preserve">על </w:t>
      </w:r>
      <w:r w:rsidR="001F3A15" w:rsidRPr="00803998">
        <w:rPr>
          <w:rFonts w:hint="cs"/>
          <w:rtl/>
        </w:rPr>
        <w:t>כ-</w:t>
      </w:r>
      <w:r w:rsidR="00196A7F">
        <w:rPr>
          <w:rFonts w:hint="cs"/>
          <w:rtl/>
        </w:rPr>
        <w:t>2</w:t>
      </w:r>
      <w:r w:rsidR="00C20BC5">
        <w:rPr>
          <w:rFonts w:hint="cs"/>
          <w:rtl/>
        </w:rPr>
        <w:t>8</w:t>
      </w:r>
      <w:r w:rsidR="003C60AC">
        <w:rPr>
          <w:rFonts w:hint="cs"/>
          <w:rtl/>
        </w:rPr>
        <w:t>0</w:t>
      </w:r>
      <w:r w:rsidR="00196A7F">
        <w:rPr>
          <w:rFonts w:hint="cs"/>
          <w:rtl/>
        </w:rPr>
        <w:t>.</w:t>
      </w:r>
      <w:r w:rsidR="003C60AC">
        <w:rPr>
          <w:rFonts w:hint="cs"/>
          <w:rtl/>
        </w:rPr>
        <w:t>2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</w:t>
      </w:r>
      <w:r w:rsidR="00235FBA">
        <w:rPr>
          <w:rFonts w:hint="cs"/>
          <w:rtl/>
        </w:rPr>
        <w:t>).</w:t>
      </w:r>
    </w:p>
    <w:p w:rsidR="00471DDD" w:rsidRDefault="003C60AC" w:rsidP="00235FBA">
      <w:pPr>
        <w:spacing w:line="360" w:lineRule="auto"/>
        <w:jc w:val="both"/>
        <w:rPr>
          <w:rtl/>
        </w:rPr>
      </w:pPr>
      <w:r>
        <w:rPr>
          <w:rFonts w:hint="cs"/>
          <w:rtl/>
        </w:rPr>
        <w:t>ירידה</w:t>
      </w:r>
      <w:r w:rsidR="003A0BD1" w:rsidRPr="00DE3CCE">
        <w:rPr>
          <w:rFonts w:hint="cs"/>
          <w:rtl/>
        </w:rPr>
        <w:t xml:space="preserve"> זו נבעה</w:t>
      </w:r>
      <w:r w:rsidR="003A0BD1">
        <w:rPr>
          <w:rFonts w:hint="cs"/>
          <w:rtl/>
        </w:rPr>
        <w:t xml:space="preserve"> מקצב עלייה גבוה יותר של </w:t>
      </w:r>
      <w:r>
        <w:rPr>
          <w:rFonts w:hint="cs"/>
          <w:rtl/>
        </w:rPr>
        <w:t>התמ"ג (במחירים שוטפים)</w:t>
      </w:r>
      <w:r w:rsidR="003A0BD1">
        <w:rPr>
          <w:rFonts w:hint="cs"/>
          <w:rtl/>
        </w:rPr>
        <w:t xml:space="preserve"> מאשר קצב</w:t>
      </w:r>
      <w:r w:rsidRPr="003C60AC">
        <w:rPr>
          <w:rFonts w:hint="cs"/>
          <w:rtl/>
        </w:rPr>
        <w:t xml:space="preserve"> </w:t>
      </w:r>
      <w:r>
        <w:rPr>
          <w:rFonts w:hint="cs"/>
          <w:rtl/>
        </w:rPr>
        <w:t>עליית</w:t>
      </w:r>
      <w:r w:rsidRPr="003C60AC">
        <w:rPr>
          <w:rFonts w:hint="cs"/>
          <w:rtl/>
        </w:rPr>
        <w:t xml:space="preserve"> </w:t>
      </w:r>
      <w:r>
        <w:rPr>
          <w:rFonts w:hint="cs"/>
          <w:rtl/>
        </w:rPr>
        <w:t>תיק הנכסים</w:t>
      </w:r>
      <w:r w:rsidR="003A0BD1">
        <w:rPr>
          <w:rFonts w:hint="cs"/>
          <w:rtl/>
        </w:rPr>
        <w:t>.</w:t>
      </w:r>
      <w:r w:rsidR="00DA27C9">
        <w:rPr>
          <w:rFonts w:hint="cs"/>
          <w:rtl/>
        </w:rPr>
        <w:t xml:space="preserve"> </w:t>
      </w:r>
    </w:p>
    <w:p w:rsidR="002A7E7B" w:rsidRDefault="0046024D" w:rsidP="00240B61">
      <w:pPr>
        <w:spacing w:line="360" w:lineRule="auto"/>
        <w:ind w:left="-335"/>
        <w:jc w:val="center"/>
        <w:rPr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350AC615">
            <wp:extent cx="4500000" cy="2745847"/>
            <wp:effectExtent l="0" t="0" r="0" b="0"/>
            <wp:docPr id="22" name="תמונה 22" descr="יתרת תיק הנכסים הפיננסיים שבידי הציבור &#10;מיליארדי ש&quot;ח, מחירים שוטפים&#10;" title="תרשים 1: יתרת תיק הנכסים הפיננסיים שבידי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706" w:rsidRPr="00AD0706">
        <w:rPr>
          <w:noProof/>
          <w:lang w:eastAsia="en-US"/>
        </w:rPr>
        <w:t xml:space="preserve"> </w:t>
      </w:r>
      <w:r w:rsidR="00A31867" w:rsidRPr="00A31867">
        <w:rPr>
          <w:noProof/>
          <w:lang w:eastAsia="en-US"/>
        </w:rPr>
        <w:drawing>
          <wp:inline distT="0" distB="0" distL="0" distR="0" wp14:anchorId="62C09790" wp14:editId="118357B1">
            <wp:extent cx="5913784" cy="2266950"/>
            <wp:effectExtent l="0" t="0" r="0" b="0"/>
            <wp:docPr id="1" name="תמונה 1" descr="התפלגות תיק הנכסים של הציבור" title="לוח 1: התפלגות 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5437" cy="227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5D" w:rsidRDefault="000450E7" w:rsidP="003D35E1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noProof/>
          <w:lang w:eastAsia="en-US"/>
        </w:rPr>
        <w:drawing>
          <wp:inline distT="0" distB="0" distL="0" distR="0" wp14:anchorId="0616AA39">
            <wp:extent cx="4500000" cy="2942025"/>
            <wp:effectExtent l="0" t="0" r="0" b="0"/>
            <wp:docPr id="23" name="תמונה 23" descr="יחס תיק הנכסים הפיננסיים של הציבור לתוצר" title="תרשים 2: יחס תיק הנכסים הפיננסיים של הציבור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94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279" w:rsidRDefault="00777279" w:rsidP="00565FA5">
      <w:pPr>
        <w:spacing w:line="360" w:lineRule="auto"/>
        <w:jc w:val="both"/>
        <w:rPr>
          <w:b/>
          <w:bCs/>
          <w:rtl/>
        </w:rPr>
      </w:pPr>
    </w:p>
    <w:p w:rsidR="00777279" w:rsidRDefault="00777279" w:rsidP="00565FA5">
      <w:pPr>
        <w:spacing w:line="360" w:lineRule="auto"/>
        <w:jc w:val="both"/>
        <w:rPr>
          <w:b/>
          <w:bCs/>
          <w:rtl/>
        </w:rPr>
      </w:pPr>
    </w:p>
    <w:p w:rsidR="0039259D" w:rsidRDefault="0039259D" w:rsidP="000450E7">
      <w:pPr>
        <w:spacing w:line="360" w:lineRule="auto"/>
        <w:jc w:val="both"/>
        <w:rPr>
          <w:b/>
          <w:bCs/>
          <w:rtl/>
        </w:rPr>
      </w:pPr>
    </w:p>
    <w:p w:rsidR="0039259D" w:rsidRDefault="0039259D" w:rsidP="000450E7">
      <w:pPr>
        <w:spacing w:line="360" w:lineRule="auto"/>
        <w:jc w:val="both"/>
        <w:rPr>
          <w:b/>
          <w:bCs/>
          <w:rtl/>
        </w:rPr>
      </w:pPr>
    </w:p>
    <w:p w:rsidR="000C6D4D" w:rsidRDefault="00F33FF6" w:rsidP="000450E7">
      <w:pPr>
        <w:spacing w:line="360" w:lineRule="auto"/>
        <w:jc w:val="both"/>
        <w:rPr>
          <w:rtl/>
        </w:rPr>
      </w:pPr>
      <w:r w:rsidRPr="00F33FF6">
        <w:rPr>
          <w:rFonts w:hint="cs"/>
          <w:b/>
          <w:bCs/>
          <w:rtl/>
        </w:rPr>
        <w:lastRenderedPageBreak/>
        <w:t>הרכב תיק הנכסים</w:t>
      </w:r>
      <w:r>
        <w:rPr>
          <w:rFonts w:hint="cs"/>
          <w:rtl/>
        </w:rPr>
        <w:t xml:space="preserve"> </w:t>
      </w:r>
      <w:r w:rsidR="008C152B">
        <w:rPr>
          <w:rtl/>
        </w:rPr>
        <w:t>–</w:t>
      </w:r>
      <w:r>
        <w:rPr>
          <w:rFonts w:hint="cs"/>
          <w:rtl/>
        </w:rPr>
        <w:t xml:space="preserve"> </w:t>
      </w:r>
      <w:r w:rsidR="00C2285C">
        <w:rPr>
          <w:rFonts w:hint="cs"/>
          <w:rtl/>
        </w:rPr>
        <w:t>ברביע ה</w:t>
      </w:r>
      <w:r w:rsidR="00AC73DD">
        <w:rPr>
          <w:rFonts w:hint="cs"/>
          <w:rtl/>
        </w:rPr>
        <w:t>שני</w:t>
      </w:r>
      <w:r w:rsidR="00C2285C">
        <w:rPr>
          <w:rFonts w:hint="cs"/>
          <w:rtl/>
        </w:rPr>
        <w:t xml:space="preserve"> של שנת 2017</w:t>
      </w:r>
      <w:r w:rsidR="000F6CAC">
        <w:rPr>
          <w:rFonts w:hint="cs"/>
          <w:rtl/>
        </w:rPr>
        <w:t xml:space="preserve"> </w:t>
      </w:r>
      <w:r w:rsidR="000C6D4D">
        <w:rPr>
          <w:rFonts w:hint="cs"/>
          <w:rtl/>
        </w:rPr>
        <w:t xml:space="preserve">חלה </w:t>
      </w:r>
      <w:r w:rsidR="00AC73DD">
        <w:rPr>
          <w:rFonts w:hint="cs"/>
          <w:rtl/>
        </w:rPr>
        <w:t>ירידה</w:t>
      </w:r>
      <w:r w:rsidR="000C6D4D">
        <w:rPr>
          <w:rFonts w:hint="cs"/>
          <w:rtl/>
        </w:rPr>
        <w:t xml:space="preserve"> של כ</w:t>
      </w:r>
      <w:r w:rsidR="001A0A07">
        <w:rPr>
          <w:rFonts w:hint="cs"/>
          <w:rtl/>
        </w:rPr>
        <w:t xml:space="preserve">- </w:t>
      </w:r>
      <w:r w:rsidR="00C2285C">
        <w:rPr>
          <w:rFonts w:hint="cs"/>
          <w:rtl/>
        </w:rPr>
        <w:t>0.</w:t>
      </w:r>
      <w:r w:rsidR="000450E7">
        <w:rPr>
          <w:rFonts w:hint="cs"/>
          <w:rtl/>
        </w:rPr>
        <w:t>7</w:t>
      </w:r>
      <w:r w:rsidR="001A0A07">
        <w:rPr>
          <w:rFonts w:hint="cs"/>
          <w:rtl/>
        </w:rPr>
        <w:t xml:space="preserve"> </w:t>
      </w:r>
      <w:r w:rsidR="008C152B">
        <w:rPr>
          <w:rFonts w:hint="cs"/>
          <w:rtl/>
        </w:rPr>
        <w:t>נקוד</w:t>
      </w:r>
      <w:r w:rsidR="001A0A07">
        <w:rPr>
          <w:rFonts w:hint="cs"/>
          <w:rtl/>
        </w:rPr>
        <w:t>ו</w:t>
      </w:r>
      <w:r w:rsidR="008C152B">
        <w:rPr>
          <w:rFonts w:hint="cs"/>
          <w:rtl/>
        </w:rPr>
        <w:t>ת</w:t>
      </w:r>
      <w:r w:rsidR="000C6D4D">
        <w:rPr>
          <w:rFonts w:hint="cs"/>
          <w:rtl/>
        </w:rPr>
        <w:t xml:space="preserve"> האחוז במשקל הנכסים </w:t>
      </w:r>
      <w:r w:rsidR="008D46A9" w:rsidRPr="004669A1">
        <w:rPr>
          <w:rFonts w:hint="cs"/>
          <w:rtl/>
        </w:rPr>
        <w:t>ב</w:t>
      </w:r>
      <w:r w:rsidR="00AC73DD">
        <w:rPr>
          <w:rFonts w:hint="cs"/>
          <w:rtl/>
        </w:rPr>
        <w:t>מט"ח</w:t>
      </w:r>
      <w:r w:rsidR="00205C1F" w:rsidRPr="004669A1">
        <w:rPr>
          <w:rFonts w:hint="cs"/>
          <w:rtl/>
        </w:rPr>
        <w:t xml:space="preserve">, זאת </w:t>
      </w:r>
      <w:r w:rsidR="009413FA" w:rsidRPr="004669A1">
        <w:rPr>
          <w:rFonts w:hint="cs"/>
          <w:rtl/>
        </w:rPr>
        <w:t>בעיקר</w:t>
      </w:r>
      <w:r w:rsidR="00565FA5">
        <w:rPr>
          <w:rFonts w:hint="cs"/>
          <w:rtl/>
        </w:rPr>
        <w:t xml:space="preserve"> </w:t>
      </w:r>
      <w:r w:rsidR="004669A1" w:rsidRPr="00AC73DD">
        <w:rPr>
          <w:rFonts w:hint="cs"/>
          <w:rtl/>
        </w:rPr>
        <w:t xml:space="preserve">כתוצאה </w:t>
      </w:r>
      <w:r w:rsidR="00AC73DD" w:rsidRPr="00AC73DD">
        <w:rPr>
          <w:rFonts w:hint="cs"/>
          <w:rtl/>
        </w:rPr>
        <w:t>מייסוף השקל מול הדולר. כמו</w:t>
      </w:r>
      <w:r w:rsidR="00AC73DD">
        <w:rPr>
          <w:rFonts w:hint="cs"/>
          <w:rtl/>
        </w:rPr>
        <w:t xml:space="preserve"> כן</w:t>
      </w:r>
      <w:r w:rsidR="00C2285C">
        <w:rPr>
          <w:rFonts w:hint="cs"/>
          <w:rtl/>
        </w:rPr>
        <w:t xml:space="preserve">, </w:t>
      </w:r>
      <w:r w:rsidR="004669A1">
        <w:rPr>
          <w:rFonts w:hint="cs"/>
          <w:rtl/>
        </w:rPr>
        <w:t>ברביע ה</w:t>
      </w:r>
      <w:r w:rsidR="00AC73DD">
        <w:rPr>
          <w:rFonts w:hint="cs"/>
          <w:rtl/>
        </w:rPr>
        <w:t>שני</w:t>
      </w:r>
      <w:r w:rsidR="004669A1">
        <w:rPr>
          <w:rFonts w:hint="cs"/>
          <w:rtl/>
        </w:rPr>
        <w:t xml:space="preserve"> חלה ירידה של כ-0.</w:t>
      </w:r>
      <w:r w:rsidR="000450E7">
        <w:rPr>
          <w:rFonts w:hint="cs"/>
          <w:rtl/>
        </w:rPr>
        <w:t>6</w:t>
      </w:r>
      <w:r w:rsidR="004669A1">
        <w:rPr>
          <w:rFonts w:hint="cs"/>
          <w:rtl/>
        </w:rPr>
        <w:t xml:space="preserve"> נקודות האחוז ב</w:t>
      </w:r>
      <w:r w:rsidR="00205C1F">
        <w:rPr>
          <w:rFonts w:hint="cs"/>
          <w:rtl/>
        </w:rPr>
        <w:t>משקל</w:t>
      </w:r>
      <w:r w:rsidR="007848E8">
        <w:rPr>
          <w:rFonts w:hint="cs"/>
          <w:rtl/>
        </w:rPr>
        <w:t>ם של</w:t>
      </w:r>
      <w:r w:rsidR="00205C1F">
        <w:rPr>
          <w:rFonts w:hint="cs"/>
          <w:rtl/>
        </w:rPr>
        <w:t xml:space="preserve"> </w:t>
      </w:r>
      <w:r w:rsidR="00205C1F" w:rsidRPr="00375341">
        <w:rPr>
          <w:rFonts w:hint="cs"/>
          <w:rtl/>
        </w:rPr>
        <w:t xml:space="preserve">הנכסים </w:t>
      </w:r>
      <w:r w:rsidR="000450E7">
        <w:rPr>
          <w:rFonts w:hint="cs"/>
          <w:rtl/>
        </w:rPr>
        <w:t>בחו"ל</w:t>
      </w:r>
      <w:r w:rsidR="003F119B" w:rsidRPr="00375341">
        <w:rPr>
          <w:rFonts w:hint="cs"/>
          <w:rtl/>
        </w:rPr>
        <w:t xml:space="preserve"> </w:t>
      </w:r>
      <w:r w:rsidR="00375341" w:rsidRPr="00375341">
        <w:rPr>
          <w:rFonts w:hint="cs"/>
          <w:rtl/>
        </w:rPr>
        <w:t xml:space="preserve">וירידה של כ-0.2 נקודות האחוז במשקל הנכסים </w:t>
      </w:r>
      <w:r w:rsidR="000450E7">
        <w:rPr>
          <w:rFonts w:hint="cs"/>
          <w:rtl/>
        </w:rPr>
        <w:t>הסחירים</w:t>
      </w:r>
      <w:r w:rsidR="00375341" w:rsidRPr="00375341">
        <w:rPr>
          <w:rFonts w:hint="cs"/>
          <w:rtl/>
        </w:rPr>
        <w:t xml:space="preserve"> </w:t>
      </w:r>
      <w:r w:rsidR="006D1DDA" w:rsidRPr="00375341">
        <w:rPr>
          <w:rFonts w:hint="cs"/>
          <w:rtl/>
        </w:rPr>
        <w:t xml:space="preserve">בעיקר </w:t>
      </w:r>
      <w:r w:rsidR="00180446" w:rsidRPr="00375341">
        <w:rPr>
          <w:rFonts w:hint="cs"/>
          <w:rtl/>
        </w:rPr>
        <w:t>כתוצאה</w:t>
      </w:r>
      <w:r w:rsidR="00AC73DD" w:rsidRPr="00375341">
        <w:rPr>
          <w:rFonts w:hint="cs"/>
          <w:rtl/>
        </w:rPr>
        <w:t xml:space="preserve"> מ</w:t>
      </w:r>
      <w:r w:rsidR="003F119B" w:rsidRPr="00375341">
        <w:rPr>
          <w:rFonts w:hint="cs"/>
          <w:rtl/>
        </w:rPr>
        <w:t>מימושים</w:t>
      </w:r>
      <w:r w:rsidR="00AC73DD" w:rsidRPr="00375341">
        <w:rPr>
          <w:rFonts w:hint="cs"/>
          <w:rtl/>
        </w:rPr>
        <w:t xml:space="preserve"> נטו באג"ח </w:t>
      </w:r>
      <w:r w:rsidR="00375341" w:rsidRPr="00375341">
        <w:rPr>
          <w:rFonts w:hint="cs"/>
          <w:rtl/>
        </w:rPr>
        <w:t>זרות</w:t>
      </w:r>
      <w:r w:rsidR="00114077" w:rsidRPr="004669A1">
        <w:rPr>
          <w:rFonts w:hint="cs"/>
          <w:rtl/>
        </w:rPr>
        <w:t>.</w:t>
      </w:r>
      <w:r w:rsidR="00700924" w:rsidRPr="004669A1">
        <w:rPr>
          <w:rFonts w:hint="cs"/>
          <w:rtl/>
        </w:rPr>
        <w:t xml:space="preserve"> 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0450E7" w:rsidP="00E4044C">
      <w:pPr>
        <w:spacing w:line="360" w:lineRule="auto"/>
        <w:ind w:left="-477"/>
        <w:jc w:val="center"/>
        <w:rPr>
          <w:rtl/>
        </w:rPr>
      </w:pPr>
      <w:r w:rsidRPr="000450E7">
        <w:rPr>
          <w:noProof/>
          <w:lang w:eastAsia="en-US"/>
        </w:rPr>
        <w:drawing>
          <wp:inline distT="0" distB="0" distL="0" distR="0" wp14:anchorId="3D1584D9" wp14:editId="7D96512B">
            <wp:extent cx="5825120" cy="1714500"/>
            <wp:effectExtent l="0" t="0" r="4445" b="0"/>
            <wp:docPr id="24" name="תמונה 24" descr="לוח 2: סחירות וסיכון בתיק הנכסים של הציבור (משקל באחוזים)" title="לוח 2: סחירות וסיכון ב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8598" cy="171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0D6B53" w:rsidRPr="0037722C" w:rsidRDefault="001A095A" w:rsidP="00450CE8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37722C">
        <w:rPr>
          <w:rStyle w:val="10"/>
          <w:rFonts w:hint="cs"/>
          <w:rtl/>
        </w:rPr>
        <w:t>התפלגות תיק ניירות הערך לפי מכשירים עיקריים</w:t>
      </w:r>
    </w:p>
    <w:p w:rsidR="00C7577B" w:rsidRDefault="004A257E" w:rsidP="0037722C">
      <w:pPr>
        <w:spacing w:line="360" w:lineRule="auto"/>
        <w:ind w:left="-193"/>
        <w:jc w:val="center"/>
        <w:rPr>
          <w:b/>
          <w:bCs/>
          <w:rtl/>
        </w:rPr>
      </w:pPr>
      <w:r w:rsidRPr="004A257E">
        <w:rPr>
          <w:noProof/>
          <w:lang w:eastAsia="en-US"/>
        </w:rPr>
        <w:drawing>
          <wp:inline distT="0" distB="0" distL="0" distR="0" wp14:anchorId="2F7E100F" wp14:editId="123ACA32">
            <wp:extent cx="5278120" cy="1890715"/>
            <wp:effectExtent l="0" t="0" r="0" b="0"/>
            <wp:docPr id="25" name="תמונה 25" descr="לוח המציג את היתרות ואת אומדן השינוי הכמותי של הנכסים בתיק ני&quot;ע." title="לוח 3: שווי הנכסים בתיק ני&quot;ע ו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353174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235FBA">
      <w:pPr>
        <w:spacing w:line="360" w:lineRule="auto"/>
        <w:jc w:val="both"/>
        <w:rPr>
          <w:rtl/>
        </w:rPr>
      </w:pPr>
      <w:r w:rsidRPr="00CD3D12">
        <w:rPr>
          <w:rFonts w:hint="cs"/>
          <w:b/>
          <w:bCs/>
          <w:rtl/>
        </w:rPr>
        <w:t xml:space="preserve">ברביע </w:t>
      </w:r>
      <w:r w:rsidR="006D1DDA" w:rsidRPr="00CD3D12">
        <w:rPr>
          <w:rFonts w:hint="cs"/>
          <w:b/>
          <w:bCs/>
          <w:rtl/>
        </w:rPr>
        <w:t>ה</w:t>
      </w:r>
      <w:r w:rsidR="00124E11">
        <w:rPr>
          <w:rFonts w:hint="cs"/>
          <w:b/>
          <w:bCs/>
          <w:rtl/>
        </w:rPr>
        <w:t>שני</w:t>
      </w:r>
      <w:r w:rsidRPr="00CD3D12">
        <w:rPr>
          <w:rFonts w:hint="cs"/>
          <w:b/>
          <w:bCs/>
          <w:rtl/>
        </w:rPr>
        <w:t xml:space="preserve"> של שנת </w:t>
      </w:r>
      <w:r w:rsidR="00C16220" w:rsidRPr="00CD3D12">
        <w:rPr>
          <w:rFonts w:hint="cs"/>
          <w:b/>
          <w:bCs/>
          <w:rtl/>
        </w:rPr>
        <w:t>201</w:t>
      </w:r>
      <w:r w:rsidR="00C558BC">
        <w:rPr>
          <w:rFonts w:hint="cs"/>
          <w:b/>
          <w:bCs/>
          <w:rtl/>
        </w:rPr>
        <w:t>7</w:t>
      </w:r>
      <w:r w:rsidR="00D82456" w:rsidRPr="00CD3D12">
        <w:rPr>
          <w:rFonts w:hint="cs"/>
          <w:rtl/>
        </w:rPr>
        <w:t xml:space="preserve"> </w:t>
      </w:r>
      <w:r w:rsidR="00124E11">
        <w:rPr>
          <w:rFonts w:hint="cs"/>
          <w:rtl/>
        </w:rPr>
        <w:t>עלתה</w:t>
      </w:r>
      <w:r w:rsidR="0049743C" w:rsidRPr="00CD3D12">
        <w:rPr>
          <w:rFonts w:hint="cs"/>
          <w:rtl/>
        </w:rPr>
        <w:t xml:space="preserve"> יתרת המניות</w:t>
      </w:r>
      <w:r w:rsidRPr="00CD3D12">
        <w:rPr>
          <w:rFonts w:hint="cs"/>
          <w:rtl/>
        </w:rPr>
        <w:t xml:space="preserve"> בארץ</w:t>
      </w:r>
      <w:r w:rsidR="0049743C" w:rsidRPr="00CD3D12">
        <w:rPr>
          <w:rFonts w:hint="cs"/>
          <w:rtl/>
        </w:rPr>
        <w:t xml:space="preserve"> </w:t>
      </w:r>
      <w:r w:rsidR="00BA0C83" w:rsidRPr="00CD3D12">
        <w:rPr>
          <w:rFonts w:hint="cs"/>
          <w:rtl/>
        </w:rPr>
        <w:t xml:space="preserve">בתיק הנכסים </w:t>
      </w:r>
      <w:r w:rsidR="0049743C" w:rsidRPr="00CD3D12">
        <w:rPr>
          <w:rFonts w:hint="cs"/>
          <w:rtl/>
        </w:rPr>
        <w:t>בכ-</w:t>
      </w:r>
      <w:r w:rsidR="00C62FD8" w:rsidRPr="00CD3D12">
        <w:rPr>
          <w:rFonts w:hint="cs"/>
          <w:rtl/>
        </w:rPr>
        <w:t xml:space="preserve"> </w:t>
      </w:r>
      <w:r w:rsidR="004A257E">
        <w:rPr>
          <w:rFonts w:hint="cs"/>
          <w:rtl/>
        </w:rPr>
        <w:t>7.</w:t>
      </w:r>
      <w:r w:rsidR="00235FBA">
        <w:rPr>
          <w:rFonts w:hint="cs"/>
          <w:rtl/>
        </w:rPr>
        <w:t>6</w:t>
      </w:r>
      <w:r w:rsidR="0049743C" w:rsidRPr="00CD3D12">
        <w:rPr>
          <w:rFonts w:hint="cs"/>
          <w:rtl/>
        </w:rPr>
        <w:t xml:space="preserve"> מיליארדי </w:t>
      </w:r>
      <w:r w:rsidR="00FD22C6" w:rsidRPr="00CD3D12">
        <w:rPr>
          <w:rFonts w:hint="cs"/>
          <w:rtl/>
        </w:rPr>
        <w:t>ש</w:t>
      </w:r>
      <w:r w:rsidR="00FD22C6" w:rsidRPr="00CD3D12">
        <w:rPr>
          <w:rtl/>
        </w:rPr>
        <w:t>"</w:t>
      </w:r>
      <w:r w:rsidR="00FD22C6" w:rsidRPr="00CD3D12">
        <w:rPr>
          <w:rFonts w:hint="cs"/>
          <w:rtl/>
        </w:rPr>
        <w:t>ח</w:t>
      </w:r>
      <w:r w:rsidR="00B9472B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(</w:t>
      </w:r>
      <w:r w:rsidR="004A257E">
        <w:rPr>
          <w:rFonts w:hint="cs"/>
          <w:rtl/>
        </w:rPr>
        <w:t>1.6</w:t>
      </w:r>
      <w:r w:rsidR="0049743C" w:rsidRPr="00CD3D12">
        <w:rPr>
          <w:rFonts w:hint="cs"/>
          <w:rtl/>
        </w:rPr>
        <w:t xml:space="preserve">%) ועמדה בסוף חודש </w:t>
      </w:r>
      <w:r w:rsidR="00124E11">
        <w:rPr>
          <w:rFonts w:hint="cs"/>
          <w:rtl/>
        </w:rPr>
        <w:t>יוני</w:t>
      </w:r>
      <w:r w:rsidR="005E0A5D" w:rsidRPr="00CD3D12">
        <w:rPr>
          <w:rFonts w:hint="cs"/>
          <w:rtl/>
        </w:rPr>
        <w:t xml:space="preserve"> על כ-</w:t>
      </w:r>
      <w:r w:rsidR="004A257E">
        <w:rPr>
          <w:rFonts w:hint="cs"/>
          <w:rtl/>
        </w:rPr>
        <w:t>500.1</w:t>
      </w:r>
      <w:r w:rsidR="005E0A5D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מיליארדים</w:t>
      </w:r>
      <w:r w:rsidR="00C16220" w:rsidRPr="00CD3D12">
        <w:rPr>
          <w:rFonts w:hint="cs"/>
          <w:rtl/>
        </w:rPr>
        <w:t xml:space="preserve">. </w:t>
      </w:r>
      <w:r w:rsidR="000F6CAC" w:rsidRPr="00CD3D12">
        <w:rPr>
          <w:rFonts w:hint="cs"/>
          <w:rtl/>
        </w:rPr>
        <w:t xml:space="preserve">זאת </w:t>
      </w:r>
      <w:r w:rsidR="00DF40CC" w:rsidRPr="00CD3D12">
        <w:rPr>
          <w:rFonts w:hint="cs"/>
          <w:rtl/>
        </w:rPr>
        <w:t>ב</w:t>
      </w:r>
      <w:r w:rsidR="00C558BC">
        <w:rPr>
          <w:rFonts w:hint="cs"/>
          <w:rtl/>
        </w:rPr>
        <w:t>ניגוד</w:t>
      </w:r>
      <w:r w:rsidR="000F6CAC" w:rsidRPr="00CD3D12">
        <w:rPr>
          <w:rFonts w:hint="cs"/>
          <w:rtl/>
        </w:rPr>
        <w:t xml:space="preserve"> </w:t>
      </w:r>
      <w:r w:rsidR="00DF40CC" w:rsidRPr="00CD3D12">
        <w:rPr>
          <w:rFonts w:hint="cs"/>
          <w:rtl/>
        </w:rPr>
        <w:t>ל</w:t>
      </w:r>
      <w:r w:rsidR="00124E11">
        <w:rPr>
          <w:rFonts w:hint="cs"/>
          <w:rtl/>
        </w:rPr>
        <w:t>ירידה של כ-4.9</w:t>
      </w:r>
      <w:r w:rsidR="00D57014" w:rsidRPr="00CD3D12">
        <w:rPr>
          <w:rFonts w:hint="cs"/>
          <w:rtl/>
        </w:rPr>
        <w:t xml:space="preserve"> מיליארדים ביתרת המניות </w:t>
      </w:r>
      <w:r w:rsidR="00124E11">
        <w:rPr>
          <w:rFonts w:hint="cs"/>
          <w:rtl/>
        </w:rPr>
        <w:t>ברביע הראשון של השנה</w:t>
      </w:r>
      <w:r w:rsidR="00D57014" w:rsidRPr="00CD3D12">
        <w:rPr>
          <w:rFonts w:hint="cs"/>
          <w:rtl/>
        </w:rPr>
        <w:t>.</w:t>
      </w:r>
      <w:r w:rsidR="000F6CAC" w:rsidRPr="00CD3D12">
        <w:rPr>
          <w:rFonts w:hint="cs"/>
          <w:rtl/>
        </w:rPr>
        <w:t xml:space="preserve"> </w:t>
      </w:r>
      <w:r w:rsidR="00D57014" w:rsidRPr="00CD3D12">
        <w:rPr>
          <w:rFonts w:hint="cs"/>
          <w:rtl/>
        </w:rPr>
        <w:t>ה</w:t>
      </w:r>
      <w:r w:rsidR="00124E11">
        <w:rPr>
          <w:rFonts w:hint="cs"/>
          <w:rtl/>
        </w:rPr>
        <w:t>עלייה</w:t>
      </w:r>
      <w:r w:rsidR="000F6CAC" w:rsidRPr="00CD3D12">
        <w:rPr>
          <w:rFonts w:hint="cs"/>
          <w:rtl/>
        </w:rPr>
        <w:t xml:space="preserve"> ברביע הנוכחי היא</w:t>
      </w:r>
      <w:r w:rsidR="00C16220" w:rsidRPr="00CD3D12">
        <w:rPr>
          <w:rFonts w:hint="cs"/>
          <w:rtl/>
        </w:rPr>
        <w:t xml:space="preserve"> כתוצאה</w:t>
      </w:r>
      <w:r w:rsidR="0041231E" w:rsidRPr="00CD3D12">
        <w:rPr>
          <w:rFonts w:hint="cs"/>
          <w:rtl/>
        </w:rPr>
        <w:t xml:space="preserve"> </w:t>
      </w:r>
      <w:r w:rsidR="00804E61">
        <w:rPr>
          <w:rFonts w:hint="cs"/>
          <w:rtl/>
        </w:rPr>
        <w:t>מ</w:t>
      </w:r>
      <w:r w:rsidR="00124E11">
        <w:rPr>
          <w:rFonts w:hint="cs"/>
          <w:rtl/>
        </w:rPr>
        <w:t>השקעות</w:t>
      </w:r>
      <w:r w:rsidR="00804E61">
        <w:rPr>
          <w:rFonts w:hint="cs"/>
          <w:rtl/>
        </w:rPr>
        <w:t xml:space="preserve"> נטו ו</w:t>
      </w:r>
      <w:r w:rsidR="00D57014" w:rsidRPr="00CD3D12">
        <w:rPr>
          <w:rFonts w:hint="cs"/>
          <w:rtl/>
        </w:rPr>
        <w:t>מ</w:t>
      </w:r>
      <w:r w:rsidR="00124E11">
        <w:rPr>
          <w:rFonts w:hint="cs"/>
          <w:rtl/>
        </w:rPr>
        <w:t>עליות</w:t>
      </w:r>
      <w:r w:rsidR="003E433E" w:rsidRPr="00CD3D12">
        <w:rPr>
          <w:rFonts w:hint="cs"/>
          <w:rtl/>
        </w:rPr>
        <w:t xml:space="preserve"> </w:t>
      </w:r>
      <w:r w:rsidR="0041231E" w:rsidRPr="00CD3D12">
        <w:rPr>
          <w:rFonts w:hint="cs"/>
          <w:rtl/>
        </w:rPr>
        <w:t>ה</w:t>
      </w:r>
      <w:r w:rsidR="003E433E" w:rsidRPr="00CD3D12">
        <w:rPr>
          <w:rFonts w:hint="cs"/>
          <w:rtl/>
        </w:rPr>
        <w:t>מחירים בבורסה בת"א</w:t>
      </w:r>
      <w:r w:rsidR="00D57014" w:rsidRPr="00CD3D12">
        <w:rPr>
          <w:rFonts w:hint="cs"/>
          <w:rtl/>
        </w:rPr>
        <w:t>.</w:t>
      </w:r>
      <w:r w:rsidR="006A03CE" w:rsidRPr="00CD3D12">
        <w:rPr>
          <w:rFonts w:hint="cs"/>
          <w:rtl/>
        </w:rPr>
        <w:t xml:space="preserve"> 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870087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5E0A5D" w:rsidRDefault="00935917" w:rsidP="00235FBA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DF40CC">
        <w:rPr>
          <w:rFonts w:hint="cs"/>
          <w:b/>
          <w:bCs/>
          <w:rtl/>
        </w:rPr>
        <w:t>ה</w:t>
      </w:r>
      <w:r w:rsidR="00EB5A69">
        <w:rPr>
          <w:rFonts w:hint="cs"/>
          <w:b/>
          <w:bCs/>
          <w:rtl/>
        </w:rPr>
        <w:t>שני</w:t>
      </w:r>
      <w:r w:rsidRPr="00471557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</w:t>
      </w:r>
      <w:r w:rsidR="00491EDD">
        <w:rPr>
          <w:rFonts w:hint="cs"/>
          <w:b/>
          <w:bCs/>
          <w:rtl/>
        </w:rPr>
        <w:t>7</w:t>
      </w:r>
      <w:r w:rsidRPr="00471557">
        <w:rPr>
          <w:rFonts w:hint="cs"/>
          <w:rtl/>
        </w:rPr>
        <w:t xml:space="preserve"> </w:t>
      </w:r>
      <w:r w:rsidR="00491EDD">
        <w:rPr>
          <w:rFonts w:hint="cs"/>
          <w:rtl/>
        </w:rPr>
        <w:t>עלה</w:t>
      </w:r>
      <w:r w:rsidR="00870087" w:rsidRPr="00471557">
        <w:rPr>
          <w:rFonts w:hint="cs"/>
          <w:rtl/>
        </w:rPr>
        <w:t xml:space="preserve"> שווי </w:t>
      </w:r>
      <w:r w:rsidR="00DA27C9">
        <w:rPr>
          <w:rFonts w:hint="cs"/>
          <w:rtl/>
        </w:rPr>
        <w:t xml:space="preserve">יתרת </w:t>
      </w:r>
      <w:r w:rsidR="00870087" w:rsidRPr="00471557">
        <w:rPr>
          <w:rFonts w:hint="cs"/>
          <w:rtl/>
        </w:rPr>
        <w:t xml:space="preserve">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>
        <w:rPr>
          <w:rFonts w:hint="cs"/>
          <w:rtl/>
        </w:rPr>
        <w:t xml:space="preserve">בכ- </w:t>
      </w:r>
      <w:r w:rsidR="00EB5A69">
        <w:rPr>
          <w:rFonts w:hint="cs"/>
          <w:rtl/>
        </w:rPr>
        <w:t>8.3</w:t>
      </w:r>
      <w:r w:rsidR="00B72C94">
        <w:rPr>
          <w:rFonts w:hint="cs"/>
          <w:rtl/>
        </w:rPr>
        <w:t xml:space="preserve"> </w:t>
      </w:r>
      <w:r w:rsidR="00042E5F">
        <w:rPr>
          <w:rFonts w:hint="cs"/>
          <w:rtl/>
        </w:rPr>
        <w:t xml:space="preserve">מיליארדי </w:t>
      </w:r>
      <w:r w:rsidR="007D543E">
        <w:rPr>
          <w:rFonts w:hint="cs"/>
          <w:rtl/>
        </w:rPr>
        <w:t>ש"ח (</w:t>
      </w:r>
      <w:r w:rsidR="00EB5A69">
        <w:rPr>
          <w:rFonts w:hint="cs"/>
          <w:rtl/>
        </w:rPr>
        <w:t>2.7</w:t>
      </w:r>
      <w:r w:rsidR="007D543E">
        <w:rPr>
          <w:rFonts w:hint="cs"/>
          <w:rtl/>
        </w:rPr>
        <w:t>%)</w:t>
      </w:r>
      <w:r w:rsidR="0049743C" w:rsidRPr="00471557">
        <w:rPr>
          <w:rFonts w:hint="cs"/>
          <w:rtl/>
        </w:rPr>
        <w:t xml:space="preserve"> ועמד בסוף </w:t>
      </w:r>
      <w:r w:rsidR="00EB5A69">
        <w:rPr>
          <w:rFonts w:hint="cs"/>
          <w:rtl/>
        </w:rPr>
        <w:t>יוני</w:t>
      </w:r>
      <w:r w:rsidR="0049743C" w:rsidRPr="00471557">
        <w:rPr>
          <w:rFonts w:hint="cs"/>
          <w:rtl/>
        </w:rPr>
        <w:t xml:space="preserve"> על כ-</w:t>
      </w:r>
      <w:r w:rsidR="00491EDD">
        <w:rPr>
          <w:rFonts w:hint="cs"/>
          <w:rtl/>
        </w:rPr>
        <w:t>31</w:t>
      </w:r>
      <w:r w:rsidR="00EB5A69">
        <w:rPr>
          <w:rFonts w:hint="cs"/>
          <w:rtl/>
        </w:rPr>
        <w:t>9</w:t>
      </w:r>
      <w:r w:rsidR="00491EDD">
        <w:rPr>
          <w:rFonts w:hint="cs"/>
          <w:rtl/>
        </w:rPr>
        <w:t>.</w:t>
      </w:r>
      <w:r w:rsidR="00EB5A69">
        <w:rPr>
          <w:rFonts w:hint="cs"/>
          <w:rtl/>
        </w:rPr>
        <w:t>1</w:t>
      </w:r>
      <w:r w:rsidR="00491EDD">
        <w:rPr>
          <w:rFonts w:hint="cs"/>
          <w:rtl/>
        </w:rPr>
        <w:t xml:space="preserve"> </w:t>
      </w:r>
      <w:r w:rsidR="0049743C" w:rsidRPr="00471557">
        <w:rPr>
          <w:rFonts w:hint="cs"/>
          <w:rtl/>
        </w:rPr>
        <w:t>מיליארדי</w:t>
      </w:r>
      <w:r w:rsidR="00D82456" w:rsidRPr="00471557">
        <w:rPr>
          <w:rFonts w:hint="cs"/>
          <w:rtl/>
        </w:rPr>
        <w:t>ם</w:t>
      </w:r>
      <w:r w:rsidR="00235FBA">
        <w:rPr>
          <w:rFonts w:hint="cs"/>
          <w:rtl/>
        </w:rPr>
        <w:t xml:space="preserve">, </w:t>
      </w:r>
      <w:r w:rsidR="00EB5A69">
        <w:rPr>
          <w:rFonts w:hint="cs"/>
          <w:rtl/>
        </w:rPr>
        <w:t>בעיקר</w:t>
      </w:r>
      <w:r w:rsidR="00235FBA">
        <w:rPr>
          <w:rFonts w:hint="cs"/>
          <w:rtl/>
        </w:rPr>
        <w:t xml:space="preserve"> כתוצאה</w:t>
      </w:r>
      <w:r w:rsidR="00700924">
        <w:rPr>
          <w:rFonts w:hint="cs"/>
          <w:rtl/>
        </w:rPr>
        <w:t xml:space="preserve"> </w:t>
      </w:r>
      <w:r w:rsidR="00EB5A69">
        <w:rPr>
          <w:rFonts w:hint="cs"/>
          <w:rtl/>
        </w:rPr>
        <w:t>מ</w:t>
      </w:r>
      <w:r w:rsidR="00491EDD" w:rsidRPr="00700924">
        <w:rPr>
          <w:rFonts w:hint="cs"/>
          <w:rtl/>
        </w:rPr>
        <w:t>השקעות</w:t>
      </w:r>
      <w:r w:rsidR="00DF40CC" w:rsidRPr="00700924">
        <w:rPr>
          <w:rFonts w:hint="cs"/>
          <w:rtl/>
        </w:rPr>
        <w:t xml:space="preserve"> נטו.</w:t>
      </w:r>
    </w:p>
    <w:p w:rsidR="00017A8F" w:rsidRPr="00017A8F" w:rsidRDefault="00F36A26" w:rsidP="004A257E">
      <w:pPr>
        <w:spacing w:line="360" w:lineRule="auto"/>
        <w:jc w:val="both"/>
        <w:rPr>
          <w:rtl/>
        </w:rPr>
      </w:pPr>
      <w:r w:rsidRPr="00017A8F">
        <w:rPr>
          <w:rFonts w:hint="cs"/>
          <w:rtl/>
        </w:rPr>
        <w:t xml:space="preserve">ביתרת תיק </w:t>
      </w:r>
      <w:r>
        <w:rPr>
          <w:rFonts w:hint="cs"/>
          <w:rtl/>
        </w:rPr>
        <w:t>ה</w:t>
      </w:r>
      <w:r w:rsidRPr="00017A8F">
        <w:rPr>
          <w:rFonts w:hint="cs"/>
          <w:rtl/>
        </w:rPr>
        <w:t>אג"ח הממשלתיות</w:t>
      </w:r>
      <w:r w:rsidR="00804E61">
        <w:rPr>
          <w:rFonts w:hint="cs"/>
          <w:rtl/>
        </w:rPr>
        <w:t xml:space="preserve"> (סחיר ולא-סחיר)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EB5A69">
        <w:rPr>
          <w:rFonts w:hint="cs"/>
          <w:rtl/>
        </w:rPr>
        <w:t>עלייה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4A257E">
        <w:rPr>
          <w:rFonts w:hint="cs"/>
          <w:rtl/>
        </w:rPr>
        <w:t>6</w:t>
      </w:r>
      <w:r w:rsidR="00DF40CC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EB5A69">
        <w:rPr>
          <w:rFonts w:hint="cs"/>
          <w:rtl/>
        </w:rPr>
        <w:t>0.</w:t>
      </w:r>
      <w:r w:rsidR="004A257E">
        <w:rPr>
          <w:rFonts w:hint="cs"/>
          <w:rtl/>
        </w:rPr>
        <w:t>8</w:t>
      </w:r>
      <w:r w:rsidR="00EB5A69">
        <w:rPr>
          <w:rFonts w:hint="cs"/>
          <w:rtl/>
        </w:rPr>
        <w:t>%),</w:t>
      </w:r>
      <w:r w:rsidR="00093D73">
        <w:rPr>
          <w:rFonts w:hint="cs"/>
          <w:rtl/>
        </w:rPr>
        <w:t xml:space="preserve"> </w:t>
      </w:r>
      <w:r w:rsidR="00EB49C6">
        <w:rPr>
          <w:rFonts w:hint="cs"/>
          <w:rtl/>
        </w:rPr>
        <w:t>ו</w:t>
      </w:r>
      <w:r w:rsidR="00DF40CC">
        <w:rPr>
          <w:rFonts w:hint="cs"/>
          <w:rtl/>
        </w:rPr>
        <w:t>במקביל</w:t>
      </w:r>
      <w:r w:rsidR="00093D73">
        <w:rPr>
          <w:rFonts w:hint="cs"/>
          <w:rtl/>
        </w:rPr>
        <w:t xml:space="preserve"> חלה </w:t>
      </w:r>
      <w:r w:rsidR="00EB5A69">
        <w:rPr>
          <w:rFonts w:hint="cs"/>
          <w:rtl/>
        </w:rPr>
        <w:t>עלייה קלה</w:t>
      </w:r>
      <w:r w:rsidR="00915BBE">
        <w:rPr>
          <w:rFonts w:hint="cs"/>
          <w:rtl/>
        </w:rPr>
        <w:t xml:space="preserve"> </w:t>
      </w:r>
      <w:r w:rsidR="00EB5A69">
        <w:rPr>
          <w:rFonts w:hint="cs"/>
          <w:rtl/>
        </w:rPr>
        <w:t>של כ-0.</w:t>
      </w:r>
      <w:r w:rsidR="004A257E">
        <w:rPr>
          <w:rFonts w:hint="cs"/>
          <w:rtl/>
        </w:rPr>
        <w:t>5</w:t>
      </w:r>
      <w:r w:rsidR="00093D73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093D73">
        <w:rPr>
          <w:rFonts w:hint="cs"/>
          <w:rtl/>
        </w:rPr>
        <w:t xml:space="preserve"> (</w:t>
      </w:r>
      <w:r w:rsidR="004A257E">
        <w:rPr>
          <w:rFonts w:hint="cs"/>
          <w:rtl/>
        </w:rPr>
        <w:t>1.1</w:t>
      </w:r>
      <w:r w:rsidR="00093D73">
        <w:rPr>
          <w:rFonts w:hint="cs"/>
          <w:rtl/>
        </w:rPr>
        <w:t xml:space="preserve">%) </w:t>
      </w:r>
      <w:r w:rsidR="00093D73" w:rsidRPr="00D352AA">
        <w:rPr>
          <w:rFonts w:hint="cs"/>
          <w:rtl/>
        </w:rPr>
        <w:t>בשווי יתרות המק"מ.</w:t>
      </w:r>
    </w:p>
    <w:p w:rsidR="00E102DB" w:rsidRDefault="00E102DB" w:rsidP="00A94847">
      <w:pPr>
        <w:spacing w:line="360" w:lineRule="auto"/>
        <w:rPr>
          <w:b/>
          <w:bCs/>
          <w:rtl/>
        </w:rPr>
      </w:pPr>
    </w:p>
    <w:p w:rsidR="00FC2BC0" w:rsidRDefault="001F3A15" w:rsidP="00A94847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2A30C6" w:rsidRPr="00EF0CA1" w:rsidRDefault="00CA4805" w:rsidP="00F33A4A">
      <w:p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DF40CC">
        <w:rPr>
          <w:rFonts w:hint="cs"/>
          <w:rtl/>
        </w:rPr>
        <w:t>ה</w:t>
      </w:r>
      <w:r w:rsidR="000723D3">
        <w:rPr>
          <w:rFonts w:hint="cs"/>
          <w:rtl/>
        </w:rPr>
        <w:t>שני</w:t>
      </w:r>
      <w:r w:rsidR="001F3A15" w:rsidRPr="001F3A15">
        <w:rPr>
          <w:rFonts w:hint="cs"/>
          <w:rtl/>
        </w:rPr>
        <w:t xml:space="preserve"> בכ- </w:t>
      </w:r>
      <w:r w:rsidR="002A30C6">
        <w:rPr>
          <w:rFonts w:hint="cs"/>
          <w:rtl/>
        </w:rPr>
        <w:t>14.3</w:t>
      </w:r>
      <w:r w:rsidR="00915BBE">
        <w:rPr>
          <w:rFonts w:hint="cs"/>
          <w:rtl/>
        </w:rPr>
        <w:t xml:space="preserve"> </w:t>
      </w:r>
      <w:r w:rsidR="001F3A15" w:rsidRPr="001F3A15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0723D3">
        <w:rPr>
          <w:rFonts w:hint="cs"/>
          <w:rtl/>
        </w:rPr>
        <w:t>1.</w:t>
      </w:r>
      <w:r w:rsidR="002A30C6">
        <w:rPr>
          <w:rFonts w:hint="cs"/>
          <w:rtl/>
        </w:rPr>
        <w:t>2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 xml:space="preserve">, זאת בהמשך </w:t>
      </w:r>
      <w:r w:rsidR="00065EE2">
        <w:rPr>
          <w:rFonts w:hint="cs"/>
          <w:rtl/>
        </w:rPr>
        <w:t>למגמת העלייה בשנים האחרונות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855771">
        <w:rPr>
          <w:rFonts w:hint="cs"/>
          <w:rtl/>
        </w:rPr>
        <w:t>העלייה</w:t>
      </w:r>
      <w:r w:rsidR="00B811C5">
        <w:rPr>
          <w:rFonts w:hint="cs"/>
          <w:rtl/>
        </w:rPr>
        <w:t xml:space="preserve"> </w:t>
      </w:r>
      <w:r w:rsidR="00915BBE">
        <w:rPr>
          <w:rFonts w:hint="cs"/>
          <w:rtl/>
        </w:rPr>
        <w:t>במהלך הרביע</w:t>
      </w:r>
      <w:r w:rsidR="00A71EAF">
        <w:rPr>
          <w:rFonts w:hint="cs"/>
          <w:rtl/>
        </w:rPr>
        <w:t xml:space="preserve"> </w:t>
      </w:r>
      <w:r w:rsidR="00B811C5" w:rsidRPr="0011121D">
        <w:rPr>
          <w:rFonts w:hint="cs"/>
          <w:rtl/>
        </w:rPr>
        <w:t>נבע</w:t>
      </w:r>
      <w:r w:rsidR="00B72C94" w:rsidRPr="0011121D">
        <w:rPr>
          <w:rFonts w:hint="cs"/>
          <w:rtl/>
        </w:rPr>
        <w:t>ה</w:t>
      </w:r>
      <w:r w:rsidR="00185C55" w:rsidRPr="0011121D">
        <w:rPr>
          <w:rFonts w:hint="cs"/>
          <w:rtl/>
        </w:rPr>
        <w:t xml:space="preserve"> </w:t>
      </w:r>
      <w:r w:rsidR="00EC18AE">
        <w:rPr>
          <w:rFonts w:hint="cs"/>
          <w:rtl/>
        </w:rPr>
        <w:t xml:space="preserve">בעיקר </w:t>
      </w:r>
      <w:r w:rsidR="001F3A15" w:rsidRPr="0011121D">
        <w:rPr>
          <w:rFonts w:hint="cs"/>
          <w:rtl/>
        </w:rPr>
        <w:t xml:space="preserve">מהגדלת יתרות </w:t>
      </w:r>
      <w:r w:rsidR="00C67242" w:rsidRPr="0011121D">
        <w:rPr>
          <w:rFonts w:hint="cs"/>
          <w:rtl/>
        </w:rPr>
        <w:t>העו"ש</w:t>
      </w:r>
      <w:r w:rsidR="0011121D" w:rsidRPr="0011121D">
        <w:rPr>
          <w:rFonts w:hint="cs"/>
          <w:rtl/>
        </w:rPr>
        <w:t xml:space="preserve"> </w:t>
      </w:r>
      <w:r w:rsidR="000723D3">
        <w:rPr>
          <w:rFonts w:hint="cs"/>
          <w:rtl/>
        </w:rPr>
        <w:t>ו</w:t>
      </w:r>
      <w:r w:rsidR="0011121D" w:rsidRPr="0011121D">
        <w:rPr>
          <w:rFonts w:hint="cs"/>
          <w:rtl/>
        </w:rPr>
        <w:t>הפ</w:t>
      </w:r>
      <w:r w:rsidR="0011121D">
        <w:rPr>
          <w:rFonts w:hint="cs"/>
          <w:rtl/>
        </w:rPr>
        <w:t>י</w:t>
      </w:r>
      <w:r w:rsidR="0011121D" w:rsidRPr="0011121D">
        <w:rPr>
          <w:rFonts w:hint="cs"/>
          <w:rtl/>
        </w:rPr>
        <w:t>קדונות</w:t>
      </w:r>
      <w:r w:rsidR="00915BBE" w:rsidRPr="0011121D">
        <w:rPr>
          <w:rFonts w:hint="cs"/>
          <w:rtl/>
        </w:rPr>
        <w:t>.</w:t>
      </w:r>
    </w:p>
    <w:p w:rsidR="00E94957" w:rsidRDefault="00E94957" w:rsidP="00E94957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lastRenderedPageBreak/>
        <w:t>תיק הנכסים בחו"ל</w:t>
      </w:r>
    </w:p>
    <w:p w:rsidR="0049743C" w:rsidRPr="00DD0FA1" w:rsidRDefault="0049067F" w:rsidP="002A30C6">
      <w:pPr>
        <w:spacing w:line="360" w:lineRule="auto"/>
        <w:jc w:val="both"/>
        <w:rPr>
          <w:rtl/>
        </w:rPr>
      </w:pPr>
      <w:r w:rsidRPr="00DD0FA1">
        <w:rPr>
          <w:rFonts w:hint="cs"/>
          <w:b/>
          <w:bCs/>
          <w:rtl/>
        </w:rPr>
        <w:t xml:space="preserve">ברביע </w:t>
      </w:r>
      <w:r w:rsidR="008D09AE" w:rsidRPr="00DD0FA1">
        <w:rPr>
          <w:rFonts w:hint="cs"/>
          <w:b/>
          <w:bCs/>
          <w:rtl/>
        </w:rPr>
        <w:t>ה</w:t>
      </w:r>
      <w:r w:rsidR="00EF0CA1" w:rsidRPr="00DD0FA1">
        <w:rPr>
          <w:rFonts w:hint="cs"/>
          <w:b/>
          <w:bCs/>
          <w:rtl/>
        </w:rPr>
        <w:t>שני</w:t>
      </w:r>
      <w:r w:rsidRPr="00DD0FA1">
        <w:rPr>
          <w:rFonts w:hint="cs"/>
          <w:b/>
          <w:bCs/>
          <w:rtl/>
        </w:rPr>
        <w:t xml:space="preserve"> של שנת </w:t>
      </w:r>
      <w:r w:rsidR="00F80D49" w:rsidRPr="00DD0FA1">
        <w:rPr>
          <w:rFonts w:hint="cs"/>
          <w:b/>
          <w:bCs/>
          <w:rtl/>
        </w:rPr>
        <w:t>201</w:t>
      </w:r>
      <w:r w:rsidR="0040405E" w:rsidRPr="00DD0FA1">
        <w:rPr>
          <w:rFonts w:hint="cs"/>
          <w:b/>
          <w:bCs/>
          <w:rtl/>
        </w:rPr>
        <w:t>7</w:t>
      </w:r>
      <w:r w:rsidRPr="00DD0FA1">
        <w:rPr>
          <w:rFonts w:hint="cs"/>
          <w:rtl/>
        </w:rPr>
        <w:t xml:space="preserve"> </w:t>
      </w:r>
      <w:r w:rsidR="00EF0CA1" w:rsidRPr="00DD0FA1">
        <w:rPr>
          <w:rFonts w:hint="cs"/>
          <w:rtl/>
        </w:rPr>
        <w:t>ירד</w:t>
      </w:r>
      <w:r w:rsidR="0049743C" w:rsidRPr="00DD0FA1">
        <w:rPr>
          <w:rFonts w:hint="cs"/>
          <w:rtl/>
        </w:rPr>
        <w:t xml:space="preserve"> שווי התיק המוחזק בחו"ל בכ-</w:t>
      </w:r>
      <w:r w:rsidR="002A30C6" w:rsidRPr="00DD0FA1">
        <w:rPr>
          <w:rFonts w:hint="cs"/>
          <w:rtl/>
        </w:rPr>
        <w:t>15.3</w:t>
      </w:r>
      <w:r w:rsidR="00855771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 xml:space="preserve">מיליארדי </w:t>
      </w:r>
      <w:r w:rsidR="00FD22C6" w:rsidRPr="00DD0FA1">
        <w:rPr>
          <w:rFonts w:hint="cs"/>
          <w:rtl/>
        </w:rPr>
        <w:t>ש</w:t>
      </w:r>
      <w:r w:rsidR="00FD22C6" w:rsidRPr="00DD0FA1">
        <w:rPr>
          <w:rtl/>
        </w:rPr>
        <w:t>"</w:t>
      </w:r>
      <w:r w:rsidR="00FD22C6" w:rsidRPr="00DD0FA1">
        <w:rPr>
          <w:rFonts w:hint="cs"/>
          <w:rtl/>
        </w:rPr>
        <w:t>ח</w:t>
      </w:r>
      <w:r w:rsidR="00B9472B" w:rsidRPr="00DD0FA1">
        <w:rPr>
          <w:rFonts w:hint="cs"/>
          <w:rtl/>
        </w:rPr>
        <w:t xml:space="preserve"> </w:t>
      </w:r>
      <w:r w:rsidRPr="00DD0FA1">
        <w:rPr>
          <w:rFonts w:hint="cs"/>
          <w:rtl/>
        </w:rPr>
        <w:t>(</w:t>
      </w:r>
      <w:r w:rsidR="002A30C6" w:rsidRPr="00DD0FA1">
        <w:rPr>
          <w:rFonts w:hint="cs"/>
          <w:rtl/>
        </w:rPr>
        <w:t>3.2</w:t>
      </w:r>
      <w:r w:rsidRPr="00DD0FA1">
        <w:rPr>
          <w:rFonts w:hint="cs"/>
          <w:rtl/>
        </w:rPr>
        <w:t>%</w:t>
      </w:r>
      <w:r w:rsidR="00EF0CA1" w:rsidRPr="00DD0FA1">
        <w:rPr>
          <w:rFonts w:hint="cs"/>
          <w:rtl/>
        </w:rPr>
        <w:t>-</w:t>
      </w:r>
      <w:r w:rsidRPr="00DD0FA1">
        <w:rPr>
          <w:rFonts w:hint="cs"/>
          <w:rtl/>
        </w:rPr>
        <w:t xml:space="preserve">) </w:t>
      </w:r>
      <w:r w:rsidR="00D82456" w:rsidRPr="00DD0FA1">
        <w:rPr>
          <w:rFonts w:hint="cs"/>
          <w:rtl/>
        </w:rPr>
        <w:t xml:space="preserve">ועמד בסוף </w:t>
      </w:r>
      <w:r w:rsidR="00EF0CA1" w:rsidRPr="00DD0FA1">
        <w:rPr>
          <w:rFonts w:hint="cs"/>
          <w:rtl/>
        </w:rPr>
        <w:t>יוני</w:t>
      </w:r>
      <w:r w:rsidR="00D82456" w:rsidRPr="00DD0FA1">
        <w:rPr>
          <w:rFonts w:hint="cs"/>
          <w:rtl/>
        </w:rPr>
        <w:t xml:space="preserve"> על כ-</w:t>
      </w:r>
      <w:r w:rsidR="002A30C6" w:rsidRPr="00DD0FA1">
        <w:rPr>
          <w:rFonts w:hint="cs"/>
          <w:rtl/>
        </w:rPr>
        <w:t>458.5</w:t>
      </w:r>
      <w:r w:rsidR="00CD3D12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>מיליארדים</w:t>
      </w:r>
      <w:r w:rsidR="00CA2376" w:rsidRPr="00DD0FA1">
        <w:rPr>
          <w:rFonts w:hint="cs"/>
          <w:rtl/>
        </w:rPr>
        <w:t xml:space="preserve"> - המהווים</w:t>
      </w:r>
      <w:r w:rsidR="00872672" w:rsidRPr="00DD0FA1">
        <w:rPr>
          <w:rFonts w:hint="cs"/>
          <w:rtl/>
        </w:rPr>
        <w:t xml:space="preserve"> כ-</w:t>
      </w:r>
      <w:r w:rsidR="00F80D49" w:rsidRPr="00DD0FA1">
        <w:rPr>
          <w:rFonts w:hint="cs"/>
          <w:rtl/>
        </w:rPr>
        <w:t>13.</w:t>
      </w:r>
      <w:r w:rsidR="002A30C6" w:rsidRPr="00DD0FA1">
        <w:rPr>
          <w:rFonts w:hint="cs"/>
          <w:rtl/>
        </w:rPr>
        <w:t>1</w:t>
      </w:r>
      <w:r w:rsidR="003E616A" w:rsidRPr="00DD0FA1">
        <w:rPr>
          <w:rFonts w:hint="cs"/>
          <w:rtl/>
        </w:rPr>
        <w:t xml:space="preserve">% </w:t>
      </w:r>
      <w:r w:rsidR="00872672" w:rsidRPr="00DD0FA1">
        <w:rPr>
          <w:rFonts w:hint="cs"/>
          <w:rtl/>
        </w:rPr>
        <w:t>מסך תיק הנכסים</w:t>
      </w:r>
      <w:r w:rsidR="00767CA2" w:rsidRPr="00DD0FA1">
        <w:rPr>
          <w:rFonts w:hint="cs"/>
          <w:rtl/>
        </w:rPr>
        <w:t>:</w:t>
      </w:r>
    </w:p>
    <w:p w:rsidR="00767CA2" w:rsidRPr="00DD0FA1" w:rsidRDefault="00767CA2" w:rsidP="00235FBA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DD0FA1">
        <w:rPr>
          <w:rFonts w:hint="cs"/>
          <w:rtl/>
        </w:rPr>
        <w:t>יתרת</w:t>
      </w:r>
      <w:r w:rsidR="00A31098" w:rsidRPr="00DD0FA1">
        <w:rPr>
          <w:rFonts w:hint="cs"/>
          <w:rtl/>
        </w:rPr>
        <w:t xml:space="preserve"> </w:t>
      </w:r>
      <w:r w:rsidR="00A31098" w:rsidRPr="00DD0FA1">
        <w:rPr>
          <w:rFonts w:hint="cs"/>
          <w:b/>
          <w:bCs/>
          <w:rtl/>
        </w:rPr>
        <w:t>המניות בחו"ל</w:t>
      </w:r>
      <w:r w:rsidR="00A31098" w:rsidRPr="00DD0FA1">
        <w:rPr>
          <w:rFonts w:hint="cs"/>
          <w:rtl/>
        </w:rPr>
        <w:t xml:space="preserve"> </w:t>
      </w:r>
      <w:r w:rsidR="00DD0FA1" w:rsidRPr="00DD0FA1">
        <w:rPr>
          <w:rFonts w:hint="cs"/>
          <w:rtl/>
        </w:rPr>
        <w:t>ירדה</w:t>
      </w:r>
      <w:r w:rsidR="00A31098" w:rsidRPr="00DD0FA1">
        <w:rPr>
          <w:rFonts w:hint="cs"/>
          <w:rtl/>
        </w:rPr>
        <w:t xml:space="preserve"> בכ-</w:t>
      </w:r>
      <w:r w:rsidR="00DD0FA1" w:rsidRPr="00DD0FA1">
        <w:rPr>
          <w:rFonts w:hint="cs"/>
          <w:rtl/>
        </w:rPr>
        <w:t>4</w:t>
      </w:r>
      <w:r w:rsidR="00295A41" w:rsidRPr="00DD0FA1">
        <w:rPr>
          <w:rFonts w:hint="cs"/>
          <w:rtl/>
        </w:rPr>
        <w:t>.9</w:t>
      </w:r>
      <w:r w:rsidR="00556F6D" w:rsidRPr="00DD0FA1">
        <w:rPr>
          <w:rFonts w:hint="cs"/>
          <w:rtl/>
        </w:rPr>
        <w:t xml:space="preserve"> מיליארדי ש"ח</w:t>
      </w:r>
      <w:r w:rsidR="00A31098" w:rsidRPr="00DD0FA1">
        <w:rPr>
          <w:rFonts w:hint="cs"/>
          <w:rtl/>
        </w:rPr>
        <w:t xml:space="preserve"> (</w:t>
      </w:r>
      <w:r w:rsidR="00DD0FA1" w:rsidRPr="00DD0FA1">
        <w:rPr>
          <w:rFonts w:hint="cs"/>
          <w:rtl/>
        </w:rPr>
        <w:t>1.8</w:t>
      </w:r>
      <w:r w:rsidR="00A31098" w:rsidRPr="00DD0FA1">
        <w:rPr>
          <w:rFonts w:hint="cs"/>
          <w:rtl/>
        </w:rPr>
        <w:t>%</w:t>
      </w:r>
      <w:r w:rsidR="00DD0FA1" w:rsidRPr="00DD0FA1">
        <w:rPr>
          <w:rFonts w:hint="cs"/>
          <w:rtl/>
        </w:rPr>
        <w:t>-</w:t>
      </w:r>
      <w:r w:rsidR="00A31098" w:rsidRPr="00DD0FA1">
        <w:rPr>
          <w:rFonts w:hint="cs"/>
          <w:rtl/>
        </w:rPr>
        <w:t>)</w:t>
      </w:r>
      <w:r w:rsidRPr="00DD0FA1">
        <w:rPr>
          <w:rFonts w:hint="cs"/>
          <w:rtl/>
        </w:rPr>
        <w:t xml:space="preserve"> </w:t>
      </w:r>
      <w:r w:rsidR="00A31098" w:rsidRPr="00DD0FA1">
        <w:rPr>
          <w:rFonts w:hint="cs"/>
          <w:rtl/>
        </w:rPr>
        <w:t>ועמד</w:t>
      </w:r>
      <w:r w:rsidRPr="00DD0FA1">
        <w:rPr>
          <w:rFonts w:hint="cs"/>
          <w:rtl/>
        </w:rPr>
        <w:t>ה</w:t>
      </w:r>
      <w:r w:rsidR="00A31098" w:rsidRPr="00DD0FA1">
        <w:rPr>
          <w:rFonts w:hint="cs"/>
          <w:rtl/>
        </w:rPr>
        <w:t xml:space="preserve"> בסוף </w:t>
      </w:r>
      <w:r w:rsidR="00235FBA">
        <w:rPr>
          <w:rFonts w:hint="cs"/>
          <w:rtl/>
        </w:rPr>
        <w:t>הרביע</w:t>
      </w:r>
      <w:r w:rsidR="00A31098" w:rsidRPr="00DD0FA1">
        <w:rPr>
          <w:rFonts w:hint="cs"/>
          <w:rtl/>
        </w:rPr>
        <w:t xml:space="preserve"> על כ-</w:t>
      </w:r>
      <w:r w:rsidR="00295A41" w:rsidRPr="00DD0FA1">
        <w:rPr>
          <w:rFonts w:hint="cs"/>
          <w:rtl/>
        </w:rPr>
        <w:t>2</w:t>
      </w:r>
      <w:r w:rsidR="00DD0FA1" w:rsidRPr="00DD0FA1">
        <w:rPr>
          <w:rFonts w:hint="cs"/>
          <w:rtl/>
        </w:rPr>
        <w:t>77</w:t>
      </w:r>
      <w:r w:rsidR="00A31098" w:rsidRPr="00DD0FA1">
        <w:rPr>
          <w:rFonts w:hint="cs"/>
          <w:rtl/>
        </w:rPr>
        <w:t xml:space="preserve"> מיליארדי </w:t>
      </w:r>
      <w:r w:rsidR="00537319" w:rsidRPr="00DD0FA1">
        <w:rPr>
          <w:rFonts w:hint="cs"/>
          <w:rtl/>
        </w:rPr>
        <w:t xml:space="preserve">ש"ח. </w:t>
      </w:r>
      <w:r w:rsidRPr="00DD0FA1">
        <w:rPr>
          <w:rFonts w:hint="cs"/>
          <w:rtl/>
        </w:rPr>
        <w:t>ה</w:t>
      </w:r>
      <w:r w:rsidR="00DD0FA1" w:rsidRPr="00DD0FA1">
        <w:rPr>
          <w:rFonts w:hint="cs"/>
          <w:rtl/>
        </w:rPr>
        <w:t>ירידה</w:t>
      </w:r>
      <w:r w:rsidRPr="00DD0FA1">
        <w:rPr>
          <w:rFonts w:hint="cs"/>
          <w:rtl/>
        </w:rPr>
        <w:t xml:space="preserve"> ביתרת המניות בחו"ל נבעה </w:t>
      </w:r>
      <w:r w:rsidR="00DD0FA1" w:rsidRPr="00DD0FA1">
        <w:rPr>
          <w:rFonts w:hint="cs"/>
          <w:rtl/>
        </w:rPr>
        <w:t>מ</w:t>
      </w:r>
      <w:r w:rsidR="00537319" w:rsidRPr="00DD0FA1">
        <w:rPr>
          <w:rFonts w:ascii="Arial" w:hAnsi="Arial" w:hint="cs"/>
          <w:rtl/>
        </w:rPr>
        <w:t>הייסוף בשקל שהקטין את השווי השקלי של היתרה</w:t>
      </w:r>
      <w:r w:rsidRPr="00DD0FA1">
        <w:rPr>
          <w:rFonts w:ascii="Arial" w:hAnsi="Arial" w:hint="cs"/>
          <w:rtl/>
        </w:rPr>
        <w:t>.</w:t>
      </w:r>
      <w:r w:rsidR="00A31098" w:rsidRPr="00DD0FA1">
        <w:rPr>
          <w:rFonts w:hint="cs"/>
          <w:rtl/>
        </w:rPr>
        <w:t xml:space="preserve"> </w:t>
      </w:r>
    </w:p>
    <w:p w:rsidR="00767CA2" w:rsidRPr="00DD0FA1" w:rsidRDefault="00295A41" w:rsidP="00235FBA">
      <w:pPr>
        <w:pStyle w:val="ae"/>
        <w:numPr>
          <w:ilvl w:val="0"/>
          <w:numId w:val="19"/>
        </w:numPr>
        <w:spacing w:line="360" w:lineRule="auto"/>
        <w:jc w:val="both"/>
      </w:pPr>
      <w:r w:rsidRPr="00DD0FA1">
        <w:rPr>
          <w:rFonts w:hint="cs"/>
          <w:rtl/>
        </w:rPr>
        <w:t xml:space="preserve">יתרת </w:t>
      </w:r>
      <w:r w:rsidRPr="00DD0FA1">
        <w:rPr>
          <w:rFonts w:hint="cs"/>
          <w:b/>
          <w:bCs/>
          <w:rtl/>
        </w:rPr>
        <w:t>הפיקדונות בבנקים בחו"ל</w:t>
      </w:r>
      <w:r w:rsidRPr="00DD0FA1">
        <w:rPr>
          <w:rFonts w:hint="cs"/>
          <w:rtl/>
        </w:rPr>
        <w:t xml:space="preserve"> </w:t>
      </w:r>
      <w:r w:rsidR="00DD0FA1" w:rsidRPr="00DD0FA1">
        <w:rPr>
          <w:rFonts w:hint="cs"/>
          <w:rtl/>
        </w:rPr>
        <w:t>ירדה</w:t>
      </w:r>
      <w:r w:rsidR="00767CA2" w:rsidRPr="00DD0FA1">
        <w:rPr>
          <w:rFonts w:hint="cs"/>
          <w:rtl/>
        </w:rPr>
        <w:t xml:space="preserve"> במהלך הרביע בכ-</w:t>
      </w:r>
      <w:r w:rsidR="00DD0FA1" w:rsidRPr="00DD0FA1">
        <w:rPr>
          <w:rFonts w:hint="cs"/>
          <w:rtl/>
        </w:rPr>
        <w:t>5.2</w:t>
      </w:r>
      <w:r w:rsidR="00767CA2" w:rsidRPr="00DD0FA1">
        <w:rPr>
          <w:rFonts w:hint="cs"/>
          <w:rtl/>
        </w:rPr>
        <w:t xml:space="preserve"> מיליארדים (</w:t>
      </w:r>
      <w:r w:rsidR="00DD0FA1" w:rsidRPr="00DD0FA1">
        <w:rPr>
          <w:rFonts w:hint="cs"/>
          <w:rtl/>
        </w:rPr>
        <w:t>2.9</w:t>
      </w:r>
      <w:r w:rsidR="00767CA2" w:rsidRPr="00DD0FA1">
        <w:rPr>
          <w:rFonts w:hint="cs"/>
          <w:rtl/>
        </w:rPr>
        <w:t>%</w:t>
      </w:r>
      <w:r w:rsidR="00DD0FA1" w:rsidRPr="00DD0FA1">
        <w:rPr>
          <w:rFonts w:hint="cs"/>
          <w:rtl/>
        </w:rPr>
        <w:t>-</w:t>
      </w:r>
      <w:r w:rsidR="00767CA2" w:rsidRPr="00DD0FA1">
        <w:rPr>
          <w:rFonts w:hint="cs"/>
          <w:rtl/>
        </w:rPr>
        <w:t>) בעיקר כתוצאה ממשיכות נטו</w:t>
      </w:r>
      <w:r w:rsidR="00556F6D" w:rsidRPr="00DD0FA1">
        <w:rPr>
          <w:rFonts w:hint="cs"/>
          <w:rtl/>
        </w:rPr>
        <w:t>,</w:t>
      </w:r>
      <w:r w:rsidR="00767CA2" w:rsidRPr="00DD0FA1">
        <w:rPr>
          <w:rFonts w:hint="cs"/>
          <w:rtl/>
        </w:rPr>
        <w:t xml:space="preserve"> ועמדה </w:t>
      </w:r>
      <w:r w:rsidR="00235FBA">
        <w:rPr>
          <w:rFonts w:hint="cs"/>
          <w:rtl/>
        </w:rPr>
        <w:t>בסופו</w:t>
      </w:r>
      <w:r w:rsidR="00767CA2" w:rsidRPr="00DD0FA1">
        <w:rPr>
          <w:rFonts w:hint="cs"/>
          <w:rtl/>
        </w:rPr>
        <w:t xml:space="preserve"> על כ-</w:t>
      </w:r>
      <w:r w:rsidR="00DD0FA1" w:rsidRPr="00DD0FA1">
        <w:rPr>
          <w:rFonts w:hint="cs"/>
          <w:rtl/>
        </w:rPr>
        <w:t>8</w:t>
      </w:r>
      <w:r w:rsidR="00767CA2" w:rsidRPr="00DD0FA1">
        <w:rPr>
          <w:rFonts w:hint="cs"/>
          <w:rtl/>
        </w:rPr>
        <w:t xml:space="preserve"> מיליארדי ש"ח.</w:t>
      </w:r>
    </w:p>
    <w:p w:rsidR="00D921A2" w:rsidRDefault="00767CA2" w:rsidP="00DD0FA1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DD0FA1">
        <w:rPr>
          <w:rFonts w:hint="cs"/>
          <w:rtl/>
        </w:rPr>
        <w:t>יתרת</w:t>
      </w:r>
      <w:r w:rsidR="00855771" w:rsidRPr="00DD0FA1">
        <w:rPr>
          <w:rFonts w:hint="cs"/>
          <w:rtl/>
        </w:rPr>
        <w:t xml:space="preserve"> </w:t>
      </w:r>
      <w:r w:rsidR="00855771" w:rsidRPr="00DD0FA1">
        <w:rPr>
          <w:rFonts w:hint="cs"/>
          <w:b/>
          <w:bCs/>
          <w:rtl/>
        </w:rPr>
        <w:t>האג"ח הסחיר</w:t>
      </w:r>
      <w:r w:rsidRPr="00DD0FA1">
        <w:rPr>
          <w:rFonts w:hint="cs"/>
          <w:b/>
          <w:bCs/>
          <w:rtl/>
        </w:rPr>
        <w:t>ות</w:t>
      </w:r>
      <w:r w:rsidRPr="00DD0FA1">
        <w:rPr>
          <w:rFonts w:hint="cs"/>
          <w:rtl/>
        </w:rPr>
        <w:t xml:space="preserve"> ירדה</w:t>
      </w:r>
      <w:r w:rsidR="00855771" w:rsidRPr="00DD0FA1">
        <w:rPr>
          <w:rFonts w:hint="cs"/>
          <w:rtl/>
        </w:rPr>
        <w:t xml:space="preserve"> בכ-</w:t>
      </w:r>
      <w:r w:rsidR="00F73464" w:rsidRPr="00DD0FA1">
        <w:rPr>
          <w:rFonts w:hint="cs"/>
          <w:rtl/>
        </w:rPr>
        <w:t>5</w:t>
      </w:r>
      <w:r w:rsidR="00295A41" w:rsidRPr="00DD0FA1">
        <w:rPr>
          <w:rFonts w:hint="cs"/>
          <w:rtl/>
        </w:rPr>
        <w:t>.</w:t>
      </w:r>
      <w:r w:rsidR="00DD0FA1">
        <w:rPr>
          <w:rFonts w:hint="cs"/>
          <w:rtl/>
        </w:rPr>
        <w:t>2</w:t>
      </w:r>
      <w:r w:rsidR="00295A41" w:rsidRPr="00DD0FA1">
        <w:rPr>
          <w:rFonts w:hint="cs"/>
          <w:rtl/>
        </w:rPr>
        <w:t xml:space="preserve"> מיליארדים (</w:t>
      </w:r>
      <w:r w:rsidR="00DD0FA1">
        <w:rPr>
          <w:rFonts w:hint="cs"/>
          <w:rtl/>
        </w:rPr>
        <w:t>2.9</w:t>
      </w:r>
      <w:r w:rsidR="00295A41" w:rsidRPr="00DD0FA1">
        <w:rPr>
          <w:rFonts w:hint="cs"/>
          <w:rtl/>
        </w:rPr>
        <w:t>%-)</w:t>
      </w:r>
      <w:r w:rsidR="00E304A4" w:rsidRPr="00DD0FA1">
        <w:rPr>
          <w:rFonts w:hint="cs"/>
          <w:rtl/>
        </w:rPr>
        <w:t xml:space="preserve"> </w:t>
      </w:r>
      <w:r w:rsidR="00BE34FF" w:rsidRPr="00DD0FA1">
        <w:rPr>
          <w:rFonts w:hint="cs"/>
          <w:rtl/>
        </w:rPr>
        <w:t>ועמדה בסוף הרביע על כ-17</w:t>
      </w:r>
      <w:r w:rsidR="00F73464" w:rsidRPr="00DD0FA1">
        <w:rPr>
          <w:rFonts w:hint="cs"/>
          <w:rtl/>
        </w:rPr>
        <w:t>4</w:t>
      </w:r>
      <w:r w:rsidR="00BE34FF" w:rsidRPr="00DD0FA1">
        <w:rPr>
          <w:rFonts w:hint="cs"/>
          <w:rtl/>
        </w:rPr>
        <w:t xml:space="preserve"> מיליארדי</w:t>
      </w:r>
      <w:r w:rsidRPr="00DD0FA1">
        <w:rPr>
          <w:rFonts w:hint="cs"/>
          <w:rtl/>
        </w:rPr>
        <w:t xml:space="preserve"> </w:t>
      </w:r>
      <w:r w:rsidR="00BE34FF" w:rsidRPr="00DD0FA1">
        <w:rPr>
          <w:rFonts w:hint="cs"/>
          <w:rtl/>
        </w:rPr>
        <w:t xml:space="preserve">ש"ח. הירידה ביתרת האג"ח נבעה </w:t>
      </w:r>
      <w:r w:rsidR="00F73464" w:rsidRPr="00DD0FA1">
        <w:rPr>
          <w:rFonts w:hint="cs"/>
          <w:rtl/>
        </w:rPr>
        <w:t>ממימושים נטו ומ</w:t>
      </w:r>
      <w:r w:rsidR="00BE34FF" w:rsidRPr="00DD0FA1">
        <w:rPr>
          <w:rFonts w:hint="cs"/>
          <w:rtl/>
        </w:rPr>
        <w:t xml:space="preserve">הייסוף בשקל </w:t>
      </w:r>
      <w:r w:rsidR="00F73464" w:rsidRPr="00DD0FA1">
        <w:rPr>
          <w:rFonts w:hint="cs"/>
          <w:rtl/>
        </w:rPr>
        <w:t>שהקטין את השווי השקלי</w:t>
      </w:r>
      <w:r w:rsidR="00F73464">
        <w:rPr>
          <w:rFonts w:hint="cs"/>
          <w:rtl/>
        </w:rPr>
        <w:t xml:space="preserve"> של היתרה</w:t>
      </w:r>
      <w:r w:rsidR="00BE34FF">
        <w:rPr>
          <w:rFonts w:hint="cs"/>
          <w:rtl/>
        </w:rPr>
        <w:t>.</w:t>
      </w:r>
    </w:p>
    <w:p w:rsidR="00734EB3" w:rsidRDefault="00734EB3" w:rsidP="00CD3D12">
      <w:pPr>
        <w:spacing w:line="360" w:lineRule="auto"/>
        <w:jc w:val="both"/>
        <w:rPr>
          <w:rtl/>
        </w:rPr>
      </w:pPr>
    </w:p>
    <w:p w:rsidR="00734EB3" w:rsidRDefault="002A30C6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31E78538">
            <wp:extent cx="4500000" cy="2745847"/>
            <wp:effectExtent l="0" t="0" r="0" b="0"/>
            <wp:docPr id="26" name="תמונה 26" descr="תרשים 3: תיק הנכסים של תושבי ישראל בחו&quot;ל&#10;מיליארדי ₪, מחירים שוטפים&#10;" title="תרשים 3: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Pr="00DD0FA1" w:rsidRDefault="00283B13" w:rsidP="002E5159">
      <w:pPr>
        <w:pStyle w:val="1"/>
        <w:numPr>
          <w:ilvl w:val="0"/>
          <w:numId w:val="18"/>
        </w:numPr>
        <w:rPr>
          <w:rtl/>
        </w:rPr>
      </w:pPr>
      <w:r w:rsidRPr="00DD0FA1">
        <w:rPr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B42E29" w:rsidRDefault="002C14DC" w:rsidP="00235FBA">
      <w:pPr>
        <w:spacing w:line="360" w:lineRule="auto"/>
        <w:jc w:val="both"/>
        <w:rPr>
          <w:b/>
          <w:bCs/>
          <w:rtl/>
        </w:rPr>
      </w:pPr>
      <w:r w:rsidRPr="00901DBC">
        <w:rPr>
          <w:b/>
          <w:bCs/>
          <w:rtl/>
        </w:rPr>
        <w:t xml:space="preserve">יתרת התיק המנוהל בידי המשקיעים המוסדיים </w:t>
      </w:r>
      <w:r w:rsidRPr="00901DBC">
        <w:rPr>
          <w:rtl/>
        </w:rPr>
        <w:t>על</w:t>
      </w:r>
      <w:r w:rsidR="008E7BE6">
        <w:rPr>
          <w:rFonts w:hint="cs"/>
          <w:rtl/>
        </w:rPr>
        <w:t>ת</w:t>
      </w:r>
      <w:r w:rsidRPr="00901DBC">
        <w:rPr>
          <w:rtl/>
        </w:rPr>
        <w:t xml:space="preserve">ה </w:t>
      </w:r>
      <w:r w:rsidR="00104CDD" w:rsidRPr="00AF12BE">
        <w:rPr>
          <w:rFonts w:hint="cs"/>
          <w:rtl/>
        </w:rPr>
        <w:t>ברביע השני של שנת 2017 בכ-2.2% (32.6 מיליארדי ש"ח), ועמדה בסופו על כ-1.5 טריליון ש"ח</w:t>
      </w:r>
      <w:r w:rsidRPr="00E7445E">
        <w:rPr>
          <w:rtl/>
        </w:rPr>
        <w:t>.</w:t>
      </w:r>
      <w:r w:rsidRPr="00E7445E">
        <w:rPr>
          <w:b/>
          <w:bCs/>
          <w:rtl/>
        </w:rPr>
        <w:t xml:space="preserve"> </w:t>
      </w:r>
      <w:r w:rsidRPr="00E7445E">
        <w:rPr>
          <w:rtl/>
        </w:rPr>
        <w:t>העלייה ביתרת</w:t>
      </w:r>
      <w:r w:rsidR="00235FBA">
        <w:rPr>
          <w:rtl/>
        </w:rPr>
        <w:t xml:space="preserve"> התיק נבעה</w:t>
      </w:r>
      <w:r w:rsidR="00235FBA">
        <w:rPr>
          <w:rFonts w:hint="cs"/>
          <w:rtl/>
        </w:rPr>
        <w:t xml:space="preserve"> </w:t>
      </w:r>
      <w:r w:rsidR="009863F5" w:rsidRPr="00E7445E">
        <w:rPr>
          <w:rtl/>
        </w:rPr>
        <w:t xml:space="preserve">מעלייה </w:t>
      </w:r>
      <w:r w:rsidR="00235FBA">
        <w:rPr>
          <w:rFonts w:hint="cs"/>
          <w:rtl/>
        </w:rPr>
        <w:t>במרבית הרכיבים</w:t>
      </w:r>
      <w:r w:rsidR="00104CDD" w:rsidRPr="00F87941">
        <w:rPr>
          <w:rFonts w:hint="cs"/>
          <w:rtl/>
        </w:rPr>
        <w:t xml:space="preserve">: </w:t>
      </w:r>
      <w:r w:rsidR="00104CDD" w:rsidRPr="00104CDD">
        <w:rPr>
          <w:rFonts w:hint="cs"/>
          <w:b/>
          <w:bCs/>
          <w:rtl/>
        </w:rPr>
        <w:t>המזומן והפיקדונות</w:t>
      </w:r>
      <w:r w:rsidR="00104CDD" w:rsidRPr="00F87941">
        <w:rPr>
          <w:rFonts w:hint="cs"/>
          <w:rtl/>
        </w:rPr>
        <w:t xml:space="preserve"> (10.6 מיליארדי ש"ח, 10.4%), </w:t>
      </w:r>
      <w:r w:rsidR="00104CDD" w:rsidRPr="00104CDD">
        <w:rPr>
          <w:rFonts w:hint="cs"/>
          <w:b/>
          <w:bCs/>
          <w:rtl/>
        </w:rPr>
        <w:t>האג"ח הממשלתיות והמק"מ</w:t>
      </w:r>
      <w:r w:rsidR="00104CDD" w:rsidRPr="00F87941">
        <w:rPr>
          <w:rFonts w:hint="cs"/>
          <w:rtl/>
        </w:rPr>
        <w:t xml:space="preserve"> (10.5 מיליארדים, 1.7</w:t>
      </w:r>
      <w:r w:rsidR="00104CDD">
        <w:rPr>
          <w:rFonts w:hint="cs"/>
          <w:rtl/>
        </w:rPr>
        <w:t xml:space="preserve">%), </w:t>
      </w:r>
      <w:r w:rsidR="00104CDD" w:rsidRPr="00104CDD">
        <w:rPr>
          <w:rFonts w:hint="cs"/>
          <w:b/>
          <w:bCs/>
          <w:rtl/>
        </w:rPr>
        <w:t>המניות בחו"ל ובישראל</w:t>
      </w:r>
      <w:r w:rsidR="00104CDD" w:rsidRPr="00F87941">
        <w:rPr>
          <w:rFonts w:hint="cs"/>
          <w:rtl/>
        </w:rPr>
        <w:t xml:space="preserve"> (9.5 מיליארדים, 3.3</w:t>
      </w:r>
      <w:r w:rsidR="00104CDD">
        <w:rPr>
          <w:rFonts w:hint="cs"/>
          <w:rtl/>
        </w:rPr>
        <w:t xml:space="preserve">%), </w:t>
      </w:r>
      <w:r w:rsidR="00104CDD" w:rsidRPr="00104CDD">
        <w:rPr>
          <w:rFonts w:hint="cs"/>
          <w:b/>
          <w:bCs/>
          <w:rtl/>
        </w:rPr>
        <w:t>אג"ח פרטיות בארץ</w:t>
      </w:r>
      <w:r w:rsidR="00104CDD" w:rsidRPr="00F87941">
        <w:rPr>
          <w:rFonts w:hint="cs"/>
          <w:rtl/>
        </w:rPr>
        <w:t xml:space="preserve"> (3.7 מיליארדים, 2.4%) </w:t>
      </w:r>
      <w:r w:rsidR="00104CDD" w:rsidRPr="00104CDD">
        <w:rPr>
          <w:rFonts w:hint="cs"/>
          <w:b/>
          <w:bCs/>
          <w:rtl/>
        </w:rPr>
        <w:t>והלוואות בארץ</w:t>
      </w:r>
      <w:r w:rsidR="00104CDD" w:rsidRPr="00F87941">
        <w:rPr>
          <w:rFonts w:hint="cs"/>
          <w:rtl/>
        </w:rPr>
        <w:t xml:space="preserve"> (2.3 מיליארדים, 2.9%)</w:t>
      </w:r>
      <w:r w:rsidR="00104CDD">
        <w:rPr>
          <w:rFonts w:hint="cs"/>
          <w:rtl/>
        </w:rPr>
        <w:t>.</w:t>
      </w:r>
      <w:r w:rsidR="00104CDD" w:rsidRPr="00F87941">
        <w:rPr>
          <w:rFonts w:hint="cs"/>
          <w:rtl/>
        </w:rPr>
        <w:t xml:space="preserve"> </w:t>
      </w:r>
      <w:r w:rsidR="00104CDD">
        <w:rPr>
          <w:rFonts w:hint="cs"/>
          <w:rtl/>
        </w:rPr>
        <w:t xml:space="preserve">עלייה זו </w:t>
      </w:r>
      <w:r w:rsidR="00104CDD" w:rsidRPr="00F87941">
        <w:rPr>
          <w:rFonts w:hint="cs"/>
          <w:rtl/>
        </w:rPr>
        <w:t xml:space="preserve">קוזזה בחלקה כתוצאה מירידה </w:t>
      </w:r>
      <w:r w:rsidR="00104CDD" w:rsidRPr="00104CDD">
        <w:rPr>
          <w:rFonts w:hint="cs"/>
          <w:b/>
          <w:bCs/>
          <w:rtl/>
        </w:rPr>
        <w:t>בתיק האג"ח בחו"ל</w:t>
      </w:r>
      <w:r w:rsidR="00104CDD" w:rsidRPr="00F87941">
        <w:rPr>
          <w:rFonts w:hint="cs"/>
          <w:rtl/>
        </w:rPr>
        <w:t xml:space="preserve"> (1.2 מיליארדי ש"ח, 1.</w:t>
      </w:r>
      <w:r w:rsidR="00104CDD">
        <w:rPr>
          <w:rFonts w:hint="cs"/>
          <w:rtl/>
        </w:rPr>
        <w:t>5</w:t>
      </w:r>
      <w:r w:rsidR="00104CDD" w:rsidRPr="00F87941">
        <w:rPr>
          <w:rFonts w:hint="cs"/>
          <w:rtl/>
        </w:rPr>
        <w:t>%)</w:t>
      </w:r>
      <w:r w:rsidR="00104CDD">
        <w:rPr>
          <w:rFonts w:hint="cs"/>
          <w:b/>
          <w:bCs/>
          <w:rtl/>
        </w:rPr>
        <w:t>.</w:t>
      </w:r>
    </w:p>
    <w:p w:rsidR="002D1100" w:rsidRDefault="002D1100" w:rsidP="00104CDD">
      <w:pPr>
        <w:spacing w:line="360" w:lineRule="auto"/>
        <w:jc w:val="both"/>
        <w:rPr>
          <w:b/>
          <w:bCs/>
          <w:rtl/>
        </w:rPr>
      </w:pPr>
      <w:r w:rsidRPr="00E02EB2">
        <w:rPr>
          <w:rFonts w:hint="cs"/>
          <w:b/>
          <w:bCs/>
          <w:rtl/>
        </w:rPr>
        <w:t xml:space="preserve">משקלו של התיק המנוהל </w:t>
      </w:r>
      <w:r w:rsidR="00E7445E">
        <w:rPr>
          <w:rFonts w:hint="cs"/>
          <w:rtl/>
        </w:rPr>
        <w:t>בידי</w:t>
      </w:r>
      <w:r>
        <w:rPr>
          <w:rFonts w:hint="cs"/>
          <w:rtl/>
        </w:rPr>
        <w:t xml:space="preserve"> המוסדיים מ</w:t>
      </w:r>
      <w:r w:rsidRPr="00E02EB2">
        <w:rPr>
          <w:rFonts w:hint="cs"/>
          <w:rtl/>
        </w:rPr>
        <w:t xml:space="preserve">סך תיק הנכסים של </w:t>
      </w:r>
      <w:r w:rsidR="00B42E29" w:rsidRPr="00E804B0">
        <w:rPr>
          <w:rFonts w:hint="cs"/>
          <w:rtl/>
        </w:rPr>
        <w:t xml:space="preserve">הציבור עלה </w:t>
      </w:r>
      <w:r w:rsidR="00B42E29">
        <w:rPr>
          <w:rFonts w:hint="cs"/>
          <w:rtl/>
        </w:rPr>
        <w:t xml:space="preserve">במהלך הרביע </w:t>
      </w:r>
      <w:r w:rsidR="00B42E29" w:rsidRPr="00E804B0">
        <w:rPr>
          <w:rFonts w:hint="cs"/>
          <w:rtl/>
        </w:rPr>
        <w:t>בכ-0.</w:t>
      </w:r>
      <w:r w:rsidR="00104CDD">
        <w:rPr>
          <w:rFonts w:hint="cs"/>
          <w:rtl/>
        </w:rPr>
        <w:t>4</w:t>
      </w:r>
      <w:r w:rsidR="00B42E29" w:rsidRPr="00E804B0">
        <w:rPr>
          <w:rFonts w:hint="cs"/>
          <w:rtl/>
        </w:rPr>
        <w:t xml:space="preserve"> נקודות האחוז </w:t>
      </w:r>
      <w:r w:rsidR="00B42E29">
        <w:rPr>
          <w:rFonts w:hint="cs"/>
          <w:rtl/>
        </w:rPr>
        <w:t xml:space="preserve">ועמד בסופו </w:t>
      </w:r>
      <w:r w:rsidR="00B42E29" w:rsidRPr="00E804B0">
        <w:rPr>
          <w:rFonts w:hint="cs"/>
          <w:rtl/>
        </w:rPr>
        <w:t>על כ-42.</w:t>
      </w:r>
      <w:r w:rsidR="00104CDD">
        <w:rPr>
          <w:rFonts w:hint="cs"/>
          <w:rtl/>
        </w:rPr>
        <w:t>6</w:t>
      </w:r>
      <w:r w:rsidR="00B42E29" w:rsidRPr="00E804B0">
        <w:rPr>
          <w:rFonts w:hint="cs"/>
          <w:rtl/>
        </w:rPr>
        <w:t>%.</w:t>
      </w:r>
    </w:p>
    <w:p w:rsidR="002D1100" w:rsidRPr="00B03A87" w:rsidRDefault="00AC6432" w:rsidP="00B56B26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noProof/>
          <w:lang w:eastAsia="en-US"/>
        </w:rPr>
        <w:lastRenderedPageBreak/>
        <w:drawing>
          <wp:inline distT="0" distB="0" distL="0" distR="0" wp14:anchorId="2527C335">
            <wp:extent cx="4500000" cy="2745353"/>
            <wp:effectExtent l="0" t="0" r="0" b="0"/>
            <wp:docPr id="19" name="תמונה 19" descr="תרשים 4: יתרת סך הנכסים בתיק המנוהל בידי הגופים המוסדיים&#10;ללא קרנות נאמנות&#10;" title="תרשים 4: 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B26" w:rsidRDefault="00B56B26" w:rsidP="00B31E78">
      <w:pPr>
        <w:spacing w:line="360" w:lineRule="auto"/>
        <w:jc w:val="both"/>
        <w:rPr>
          <w:b/>
          <w:bCs/>
          <w:rtl/>
        </w:rPr>
      </w:pPr>
    </w:p>
    <w:p w:rsidR="0069729F" w:rsidRDefault="0069729F" w:rsidP="00FA71E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חשיפת</w:t>
      </w:r>
      <w:r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בידי הגופים המוסדיים לנכסים זרים ולייסוף השקל מול מט"ח </w:t>
      </w:r>
      <w:r>
        <w:rPr>
          <w:b/>
          <w:bCs/>
          <w:rtl/>
        </w:rPr>
        <w:t>–</w:t>
      </w:r>
    </w:p>
    <w:p w:rsidR="0069729F" w:rsidRDefault="0069729F" w:rsidP="00235FBA">
      <w:pPr>
        <w:pStyle w:val="ae"/>
        <w:numPr>
          <w:ilvl w:val="0"/>
          <w:numId w:val="20"/>
        </w:numPr>
        <w:spacing w:line="360" w:lineRule="auto"/>
        <w:jc w:val="both"/>
      </w:pPr>
      <w:r w:rsidRPr="00374AFA">
        <w:rPr>
          <w:rFonts w:hint="cs"/>
          <w:rtl/>
        </w:rPr>
        <w:t xml:space="preserve">ברביע </w:t>
      </w:r>
      <w:r w:rsidRPr="00106FB2">
        <w:rPr>
          <w:rFonts w:hint="cs"/>
          <w:rtl/>
        </w:rPr>
        <w:t xml:space="preserve">השני של שנת 2017 </w:t>
      </w:r>
      <w:r w:rsidR="00235FBA">
        <w:rPr>
          <w:rFonts w:hint="cs"/>
          <w:rtl/>
        </w:rPr>
        <w:t xml:space="preserve">ירד </w:t>
      </w:r>
      <w:r w:rsidRPr="00106FB2">
        <w:rPr>
          <w:rFonts w:hint="cs"/>
          <w:rtl/>
        </w:rPr>
        <w:t xml:space="preserve">שיעור החשיפה של המשקיעים המוסדיים </w:t>
      </w:r>
      <w:r w:rsidRPr="00104CDD">
        <w:rPr>
          <w:rFonts w:hint="cs"/>
          <w:b/>
          <w:bCs/>
          <w:rtl/>
        </w:rPr>
        <w:t>לנכסים זרים</w:t>
      </w:r>
      <w:r w:rsidR="00235FBA">
        <w:rPr>
          <w:rFonts w:hint="cs"/>
          <w:rtl/>
        </w:rPr>
        <w:t xml:space="preserve"> </w:t>
      </w:r>
      <w:r w:rsidRPr="00106FB2">
        <w:rPr>
          <w:rFonts w:hint="cs"/>
          <w:rtl/>
        </w:rPr>
        <w:t xml:space="preserve"> בכ-0.3 נקודות אחוז, ועמד בסופו על כ-24.7% מהתיק</w:t>
      </w:r>
      <w:r w:rsidRPr="00374AF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9729F" w:rsidRPr="00B74986" w:rsidRDefault="0069729F" w:rsidP="00FA71E4">
      <w:pPr>
        <w:spacing w:line="360" w:lineRule="auto"/>
        <w:ind w:left="720"/>
        <w:jc w:val="both"/>
        <w:rPr>
          <w:rtl/>
        </w:rPr>
      </w:pPr>
      <w:r w:rsidRPr="00106FB2">
        <w:rPr>
          <w:rFonts w:hint="cs"/>
          <w:rtl/>
        </w:rPr>
        <w:t xml:space="preserve">השינוי המשמעותי ביותר, במהלך הרביע השני של השנה, התרכז אצל </w:t>
      </w:r>
      <w:r>
        <w:rPr>
          <w:rFonts w:hint="cs"/>
          <w:rtl/>
        </w:rPr>
        <w:t>תכניות</w:t>
      </w:r>
      <w:r w:rsidRPr="00106FB2">
        <w:rPr>
          <w:rFonts w:hint="cs"/>
          <w:rtl/>
        </w:rPr>
        <w:t xml:space="preserve"> ביטוח</w:t>
      </w:r>
      <w:r>
        <w:rPr>
          <w:rFonts w:hint="cs"/>
          <w:rtl/>
        </w:rPr>
        <w:t xml:space="preserve"> "משתתפות ברווחים"</w:t>
      </w:r>
      <w:r w:rsidRPr="00106FB2">
        <w:rPr>
          <w:rFonts w:hint="cs"/>
          <w:rtl/>
        </w:rPr>
        <w:t xml:space="preserve"> שהקטינו את היקף חשיפתן לנכסים זרים בכ-1.5 נק' אחוז עד לרמה של כ-33.6%. </w:t>
      </w:r>
    </w:p>
    <w:p w:rsidR="0069729F" w:rsidRDefault="0069729F" w:rsidP="00235FBA">
      <w:pPr>
        <w:pStyle w:val="ae"/>
        <w:numPr>
          <w:ilvl w:val="0"/>
          <w:numId w:val="20"/>
        </w:numPr>
        <w:tabs>
          <w:tab w:val="left" w:pos="9598"/>
        </w:tabs>
        <w:spacing w:line="360" w:lineRule="auto"/>
        <w:jc w:val="both"/>
        <w:outlineLvl w:val="0"/>
      </w:pPr>
      <w:r w:rsidRPr="00106FB2">
        <w:rPr>
          <w:rFonts w:hint="cs"/>
          <w:rtl/>
        </w:rPr>
        <w:t xml:space="preserve">ברביע השני של שנת 2017 </w:t>
      </w:r>
      <w:r w:rsidR="00235FBA">
        <w:rPr>
          <w:rFonts w:hint="cs"/>
          <w:rtl/>
        </w:rPr>
        <w:t xml:space="preserve">ירד </w:t>
      </w:r>
      <w:r w:rsidRPr="00106FB2">
        <w:rPr>
          <w:rFonts w:hint="cs"/>
          <w:rtl/>
        </w:rPr>
        <w:t xml:space="preserve">שיעור החשיפה </w:t>
      </w:r>
      <w:r w:rsidRPr="00104CDD">
        <w:rPr>
          <w:rFonts w:hint="cs"/>
          <w:b/>
          <w:bCs/>
          <w:rtl/>
        </w:rPr>
        <w:t>ל</w:t>
      </w:r>
      <w:r>
        <w:rPr>
          <w:rFonts w:hint="cs"/>
          <w:b/>
          <w:bCs/>
          <w:rtl/>
        </w:rPr>
        <w:t xml:space="preserve">ייסוף השקל מול </w:t>
      </w:r>
      <w:r w:rsidRPr="00104CDD">
        <w:rPr>
          <w:rFonts w:hint="cs"/>
          <w:b/>
          <w:bCs/>
          <w:rtl/>
        </w:rPr>
        <w:t xml:space="preserve">מט"ח </w:t>
      </w:r>
      <w:r w:rsidRPr="00106FB2">
        <w:rPr>
          <w:rFonts w:hint="cs"/>
          <w:rtl/>
        </w:rPr>
        <w:t xml:space="preserve">(כולל </w:t>
      </w:r>
      <w:r>
        <w:rPr>
          <w:rFonts w:hint="cs"/>
          <w:rtl/>
        </w:rPr>
        <w:t>נכסים נגזרים</w:t>
      </w:r>
      <w:r w:rsidR="00235FBA">
        <w:rPr>
          <w:rFonts w:hint="cs"/>
          <w:rtl/>
        </w:rPr>
        <w:t xml:space="preserve"> ש"ח/מט"ח) </w:t>
      </w:r>
      <w:r w:rsidRPr="00106FB2">
        <w:rPr>
          <w:rFonts w:hint="cs"/>
          <w:rtl/>
        </w:rPr>
        <w:t>בכ-0.</w:t>
      </w:r>
      <w:r>
        <w:rPr>
          <w:rFonts w:hint="cs"/>
          <w:rtl/>
        </w:rPr>
        <w:t>1</w:t>
      </w:r>
      <w:r w:rsidRPr="00106FB2">
        <w:rPr>
          <w:rFonts w:hint="cs"/>
          <w:rtl/>
        </w:rPr>
        <w:t xml:space="preserve"> נקודות אחוז, ועמד בסופו על כ-15.</w:t>
      </w:r>
      <w:r>
        <w:rPr>
          <w:rFonts w:hint="cs"/>
          <w:rtl/>
        </w:rPr>
        <w:t>1</w:t>
      </w:r>
      <w:r w:rsidRPr="00106FB2">
        <w:rPr>
          <w:rFonts w:hint="cs"/>
          <w:rtl/>
        </w:rPr>
        <w:t xml:space="preserve">%; </w:t>
      </w:r>
      <w:r>
        <w:rPr>
          <w:rFonts w:hint="cs"/>
          <w:rtl/>
        </w:rPr>
        <w:t xml:space="preserve">סך נכסי ההשקעה </w:t>
      </w:r>
      <w:r w:rsidRPr="000F6BAD">
        <w:rPr>
          <w:rFonts w:hint="cs"/>
          <w:rtl/>
        </w:rPr>
        <w:t>במונחים שקליים עלו בקצב גבוה יותר מאשר העלייה ביתרת החשיפה למט"ח</w:t>
      </w:r>
      <w:r w:rsidRPr="001E42F9">
        <w:rPr>
          <w:rFonts w:hint="cs"/>
          <w:rtl/>
        </w:rPr>
        <w:t xml:space="preserve">. העלייה ביתרת החשיפה נבעה הן מעלייה במחירי ני"ע בשוקי חו"ל והן מזרם השקעות נטו </w:t>
      </w:r>
      <w:r>
        <w:rPr>
          <w:rFonts w:hint="cs"/>
          <w:rtl/>
        </w:rPr>
        <w:t>בנכסים הנקובים והצמודים למט"ח</w:t>
      </w:r>
      <w:r w:rsidRPr="001E42F9">
        <w:rPr>
          <w:rFonts w:hint="cs"/>
          <w:rtl/>
        </w:rPr>
        <w:t xml:space="preserve"> שקוזזו חלקית כתוצאה </w:t>
      </w:r>
      <w:r>
        <w:rPr>
          <w:rFonts w:hint="cs"/>
          <w:rtl/>
        </w:rPr>
        <w:t>ממכירות מט"ח נטו באמצעות מכשירים נגזרים</w:t>
      </w:r>
      <w:r w:rsidRPr="001E42F9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1E42F9">
        <w:rPr>
          <w:rFonts w:hint="cs"/>
          <w:rtl/>
        </w:rPr>
        <w:t>מייסוף השקל מול הדולר שהקטין את השווי השקלי של התיק.</w:t>
      </w:r>
      <w:r>
        <w:rPr>
          <w:rFonts w:hint="cs"/>
          <w:rtl/>
        </w:rPr>
        <w:t xml:space="preserve"> </w:t>
      </w:r>
    </w:p>
    <w:tbl>
      <w:tblPr>
        <w:tblStyle w:val="ad"/>
        <w:tblpPr w:leftFromText="180" w:rightFromText="180" w:vertAnchor="text" w:horzAnchor="margin" w:tblpXSpec="center" w:tblpY="354"/>
        <w:bidiVisual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5387"/>
        <w:gridCol w:w="5361"/>
      </w:tblGrid>
      <w:tr w:rsidR="00DF7BC0" w:rsidRPr="00207B9F" w:rsidTr="00DF7BC0">
        <w:tc>
          <w:tcPr>
            <w:tcW w:w="4751" w:type="dxa"/>
          </w:tcPr>
          <w:p w:rsidR="00DF7BC0" w:rsidRPr="00207B9F" w:rsidRDefault="0069729F" w:rsidP="00DF7BC0">
            <w:pPr>
              <w:tabs>
                <w:tab w:val="left" w:pos="4928"/>
              </w:tabs>
              <w:spacing w:line="360" w:lineRule="auto"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E335465" wp14:editId="423991C4">
                  <wp:extent cx="3283593" cy="2145284"/>
                  <wp:effectExtent l="0" t="0" r="0" b="7620"/>
                  <wp:docPr id="3" name="תמונה 3" descr="תרשים 5: תנועות נטו בנכסי מט&quot;ח של המשקיעים המוסדיים מול שינוי בנגזרים ש&quot;ח/מט&quot;ח, מיליארדי דולרים (הפעולות בנכסי מט&quot;ח שבוצעו במהלך התקופה)" title="תרשים 5: תנועות נטו בנכסי מט&quot;ח של המשקיעים המוסדיים מול שינוי בנגזרים ש&quot;ח/מט&quot;ח, מיליארדי דול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595" cy="214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:rsidR="00DF7BC0" w:rsidRPr="00207B9F" w:rsidRDefault="0069729F" w:rsidP="00DF7BC0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18F7C1">
                  <wp:extent cx="3267075" cy="2134492"/>
                  <wp:effectExtent l="0" t="0" r="0" b="0"/>
                  <wp:docPr id="4" name="תמונה 4" descr="תרשים 6: שיעור החשיפה לזרים ולמט&quot;ח של המשקיעים המוסדיים (אחוזים, ללא מבטיחות תשואה)" title="תרשים 6: שיעור החשיפה לזרים ולמט&quot;ח של המשקיעים המוסד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58" cy="2134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DC1" w:rsidRDefault="00120DC1" w:rsidP="00120DC1">
      <w:pPr>
        <w:spacing w:line="360" w:lineRule="auto"/>
        <w:rPr>
          <w:b/>
          <w:bCs/>
          <w:rtl/>
        </w:rPr>
      </w:pPr>
    </w:p>
    <w:p w:rsidR="00A71EAF" w:rsidRPr="00A71EAF" w:rsidRDefault="00120DC1" w:rsidP="00120DC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19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3125D3" w:rsidRDefault="00964284" w:rsidP="00A41FE4">
      <w:pPr>
        <w:pStyle w:val="1"/>
      </w:pPr>
      <w:r>
        <w:rPr>
          <w:rFonts w:hint="cs"/>
          <w:rtl/>
        </w:rPr>
        <w:t xml:space="preserve"> </w:t>
      </w:r>
    </w:p>
    <w:p w:rsidR="007D09A4" w:rsidRDefault="009B2E2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  <w:r w:rsidR="00AC1D6B">
        <w:rPr>
          <w:rFonts w:hint="cs"/>
          <w:rtl/>
        </w:rPr>
        <w:t xml:space="preserve"> </w:t>
      </w:r>
    </w:p>
    <w:p w:rsidR="002F0DC3" w:rsidRDefault="002F0DC3" w:rsidP="005E5748">
      <w:pPr>
        <w:spacing w:line="360" w:lineRule="auto"/>
        <w:jc w:val="both"/>
        <w:rPr>
          <w:rtl/>
        </w:rPr>
      </w:pPr>
    </w:p>
    <w:p w:rsidR="00BD3B89" w:rsidRDefault="001A43E9" w:rsidP="005710A7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B253BE">
        <w:rPr>
          <w:rFonts w:hint="cs"/>
          <w:rtl/>
        </w:rPr>
        <w:t>הרביע ה</w:t>
      </w:r>
      <w:r w:rsidR="005710A7">
        <w:rPr>
          <w:rFonts w:hint="cs"/>
          <w:rtl/>
        </w:rPr>
        <w:t>שני</w:t>
      </w:r>
      <w:r w:rsidR="00B253BE">
        <w:rPr>
          <w:rFonts w:hint="cs"/>
          <w:rtl/>
        </w:rPr>
        <w:t xml:space="preserve"> של שנת</w:t>
      </w:r>
      <w:r w:rsidR="00872C40">
        <w:rPr>
          <w:rFonts w:hint="cs"/>
          <w:rtl/>
        </w:rPr>
        <w:t xml:space="preserve"> </w:t>
      </w:r>
      <w:r w:rsidR="00FA766F">
        <w:rPr>
          <w:rFonts w:hint="cs"/>
          <w:rtl/>
        </w:rPr>
        <w:t>201</w:t>
      </w:r>
      <w:r w:rsidR="00B253BE">
        <w:rPr>
          <w:rFonts w:hint="cs"/>
          <w:rtl/>
        </w:rPr>
        <w:t>7</w:t>
      </w:r>
      <w:r w:rsidR="00FA766F">
        <w:rPr>
          <w:rFonts w:hint="cs"/>
          <w:rtl/>
        </w:rPr>
        <w:t xml:space="preserve">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5710A7">
        <w:rPr>
          <w:rFonts w:hint="cs"/>
          <w:rtl/>
        </w:rPr>
        <w:t>227</w:t>
      </w:r>
      <w:r w:rsidR="00C40969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 </w:t>
      </w:r>
      <w:r w:rsidR="00FD22C6" w:rsidRPr="005E5748">
        <w:rPr>
          <w:rFonts w:hint="cs"/>
          <w:rtl/>
        </w:rPr>
        <w:t>ש</w:t>
      </w:r>
      <w:r w:rsidR="00FD22C6" w:rsidRPr="005E5748">
        <w:rPr>
          <w:rtl/>
        </w:rPr>
        <w:t>"</w:t>
      </w:r>
      <w:r w:rsidR="00FD22C6" w:rsidRPr="005E5748">
        <w:rPr>
          <w:rFonts w:hint="cs"/>
          <w:rtl/>
        </w:rPr>
        <w:t>ח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2C141D">
        <w:rPr>
          <w:rFonts w:hint="cs"/>
          <w:rtl/>
        </w:rPr>
        <w:t>6.</w:t>
      </w:r>
      <w:r w:rsidR="005710A7">
        <w:rPr>
          <w:rFonts w:hint="cs"/>
          <w:rtl/>
        </w:rPr>
        <w:t>5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B65E49">
        <w:rPr>
          <w:rFonts w:hint="cs"/>
          <w:rtl/>
        </w:rPr>
        <w:t>.</w:t>
      </w:r>
    </w:p>
    <w:p w:rsidR="00B253BE" w:rsidRDefault="007F052C" w:rsidP="00235FBA">
      <w:pPr>
        <w:spacing w:line="360" w:lineRule="auto"/>
        <w:jc w:val="both"/>
        <w:rPr>
          <w:rtl/>
        </w:rPr>
      </w:pPr>
      <w:r w:rsidRPr="00901DBC">
        <w:rPr>
          <w:rFonts w:hint="cs"/>
          <w:b/>
          <w:bCs/>
          <w:rtl/>
        </w:rPr>
        <w:t xml:space="preserve">ברביע </w:t>
      </w:r>
      <w:r w:rsidR="005710A7">
        <w:rPr>
          <w:rFonts w:hint="cs"/>
          <w:b/>
          <w:bCs/>
          <w:rtl/>
        </w:rPr>
        <w:t>השני</w:t>
      </w:r>
      <w:r w:rsidRPr="00901DBC">
        <w:rPr>
          <w:rFonts w:hint="cs"/>
          <w:b/>
          <w:bCs/>
          <w:rtl/>
        </w:rPr>
        <w:t xml:space="preserve">, </w:t>
      </w:r>
      <w:r w:rsidR="009E6953" w:rsidRPr="00901DBC">
        <w:rPr>
          <w:rFonts w:hint="cs"/>
          <w:b/>
          <w:bCs/>
          <w:rtl/>
        </w:rPr>
        <w:t>נרשמו</w:t>
      </w:r>
      <w:r w:rsidR="00C4231B" w:rsidRPr="00901DBC">
        <w:rPr>
          <w:rFonts w:hint="cs"/>
          <w:b/>
          <w:bCs/>
          <w:rtl/>
        </w:rPr>
        <w:t xml:space="preserve"> </w:t>
      </w:r>
      <w:r w:rsidR="00B253BE">
        <w:rPr>
          <w:rFonts w:hint="cs"/>
          <w:b/>
          <w:bCs/>
          <w:rtl/>
        </w:rPr>
        <w:t>הפקדות</w:t>
      </w:r>
      <w:r w:rsidR="007D09A4" w:rsidRPr="00901DBC">
        <w:rPr>
          <w:rFonts w:hint="cs"/>
          <w:b/>
          <w:bCs/>
          <w:rtl/>
        </w:rPr>
        <w:t xml:space="preserve"> נטו</w:t>
      </w:r>
      <w:r w:rsidR="006F3F52" w:rsidRPr="00901DBC">
        <w:rPr>
          <w:rFonts w:hint="cs"/>
          <w:b/>
          <w:bCs/>
          <w:rtl/>
        </w:rPr>
        <w:t xml:space="preserve"> </w:t>
      </w:r>
      <w:r w:rsidR="006F3F52" w:rsidRPr="00901DBC">
        <w:rPr>
          <w:rFonts w:hint="cs"/>
          <w:rtl/>
        </w:rPr>
        <w:t xml:space="preserve">(עודף </w:t>
      </w:r>
      <w:r w:rsidR="00B253BE">
        <w:rPr>
          <w:rFonts w:hint="cs"/>
          <w:rtl/>
        </w:rPr>
        <w:t>הפקדות על פדיונות</w:t>
      </w:r>
      <w:r w:rsidR="006F3F52" w:rsidRPr="00901DBC">
        <w:rPr>
          <w:rFonts w:hint="cs"/>
          <w:rtl/>
        </w:rPr>
        <w:t>, בניכוי דיבידנד)</w:t>
      </w:r>
      <w:r w:rsidR="00A71EAF" w:rsidRPr="00901DBC">
        <w:rPr>
          <w:rFonts w:hint="cs"/>
          <w:rtl/>
        </w:rPr>
        <w:t xml:space="preserve"> בהיקף של כ- </w:t>
      </w:r>
      <w:r w:rsidR="005710A7">
        <w:rPr>
          <w:rFonts w:hint="cs"/>
          <w:rtl/>
        </w:rPr>
        <w:t>5.8</w:t>
      </w:r>
      <w:r w:rsidR="00B253BE">
        <w:rPr>
          <w:rFonts w:hint="cs"/>
          <w:rtl/>
        </w:rPr>
        <w:t xml:space="preserve"> </w:t>
      </w:r>
      <w:r w:rsidR="00167682" w:rsidRPr="00901DBC">
        <w:rPr>
          <w:rFonts w:hint="cs"/>
          <w:rtl/>
        </w:rPr>
        <w:t xml:space="preserve">מיליארדי </w:t>
      </w:r>
      <w:r w:rsidR="0039259D">
        <w:rPr>
          <w:rFonts w:hint="cs"/>
          <w:rtl/>
        </w:rPr>
        <w:t>ש"ח</w:t>
      </w:r>
      <w:r w:rsidR="00222BD6">
        <w:rPr>
          <w:rFonts w:hint="cs"/>
          <w:rtl/>
        </w:rPr>
        <w:t>, זאת ב</w:t>
      </w:r>
      <w:r w:rsidR="005710A7">
        <w:rPr>
          <w:rFonts w:hint="cs"/>
          <w:rtl/>
        </w:rPr>
        <w:t>המשך</w:t>
      </w:r>
      <w:r w:rsidR="00222BD6">
        <w:rPr>
          <w:rFonts w:hint="cs"/>
          <w:rtl/>
        </w:rPr>
        <w:t xml:space="preserve"> ל</w:t>
      </w:r>
      <w:r w:rsidR="005710A7">
        <w:rPr>
          <w:rFonts w:hint="cs"/>
          <w:rtl/>
        </w:rPr>
        <w:t>הפקדות</w:t>
      </w:r>
      <w:r w:rsidR="00222BD6">
        <w:rPr>
          <w:rFonts w:hint="cs"/>
          <w:rtl/>
        </w:rPr>
        <w:t xml:space="preserve"> נטו ברביע ה</w:t>
      </w:r>
      <w:r w:rsidR="005710A7">
        <w:rPr>
          <w:rFonts w:hint="cs"/>
          <w:rtl/>
        </w:rPr>
        <w:t>ראשון</w:t>
      </w:r>
      <w:r w:rsidR="00222BD6">
        <w:rPr>
          <w:rFonts w:hint="cs"/>
          <w:rtl/>
        </w:rPr>
        <w:t xml:space="preserve"> של </w:t>
      </w:r>
      <w:r w:rsidR="005710A7">
        <w:rPr>
          <w:rFonts w:hint="cs"/>
          <w:rtl/>
        </w:rPr>
        <w:t>השנה</w:t>
      </w:r>
      <w:r w:rsidR="00C4231B" w:rsidRPr="00901DBC">
        <w:rPr>
          <w:rFonts w:hint="cs"/>
          <w:rtl/>
        </w:rPr>
        <w:t>.</w:t>
      </w:r>
      <w:r w:rsidR="006F3F52" w:rsidRPr="00901DBC">
        <w:rPr>
          <w:rFonts w:hint="cs"/>
          <w:rtl/>
        </w:rPr>
        <w:t xml:space="preserve"> </w:t>
      </w:r>
      <w:r w:rsidR="00222BD6">
        <w:rPr>
          <w:rFonts w:hint="cs"/>
          <w:rtl/>
        </w:rPr>
        <w:t>ה</w:t>
      </w:r>
      <w:r w:rsidR="00B253BE">
        <w:rPr>
          <w:rFonts w:hint="cs"/>
          <w:rtl/>
        </w:rPr>
        <w:t>הפקדות</w:t>
      </w:r>
      <w:r w:rsidR="000A09EC" w:rsidRPr="00901DBC">
        <w:rPr>
          <w:rFonts w:hint="cs"/>
          <w:rtl/>
        </w:rPr>
        <w:t xml:space="preserve"> נטו </w:t>
      </w:r>
      <w:r w:rsidR="00B253BE">
        <w:rPr>
          <w:rFonts w:hint="cs"/>
          <w:rtl/>
        </w:rPr>
        <w:t>ב</w:t>
      </w:r>
      <w:r w:rsidR="00235FBA">
        <w:rPr>
          <w:rFonts w:hint="cs"/>
          <w:rtl/>
        </w:rPr>
        <w:t>שילוב עם הע</w:t>
      </w:r>
      <w:r w:rsidR="00B253BE">
        <w:rPr>
          <w:rFonts w:hint="cs"/>
          <w:rtl/>
        </w:rPr>
        <w:t>לייה</w:t>
      </w:r>
      <w:r w:rsidR="000A09EC" w:rsidRPr="00901DBC">
        <w:rPr>
          <w:rFonts w:hint="cs"/>
          <w:rtl/>
        </w:rPr>
        <w:t xml:space="preserve"> במחירי הנכסים</w:t>
      </w:r>
      <w:r w:rsidR="00354058" w:rsidRPr="00901DBC">
        <w:rPr>
          <w:rFonts w:hint="cs"/>
          <w:rtl/>
        </w:rPr>
        <w:t>,</w:t>
      </w:r>
      <w:r w:rsidR="00C4231B" w:rsidRPr="00901DBC">
        <w:rPr>
          <w:rFonts w:hint="cs"/>
          <w:rtl/>
        </w:rPr>
        <w:t xml:space="preserve"> </w:t>
      </w:r>
      <w:r w:rsidR="00222BD6">
        <w:rPr>
          <w:rFonts w:hint="cs"/>
          <w:rtl/>
        </w:rPr>
        <w:t xml:space="preserve">הביאו לגידול של </w:t>
      </w:r>
      <w:r w:rsidR="00222BD6" w:rsidRPr="00901DBC">
        <w:rPr>
          <w:rFonts w:hint="cs"/>
          <w:rtl/>
        </w:rPr>
        <w:t>כ-</w:t>
      </w:r>
      <w:r w:rsidR="00BF23E2">
        <w:rPr>
          <w:rFonts w:hint="cs"/>
          <w:rtl/>
        </w:rPr>
        <w:t>7.7</w:t>
      </w:r>
      <w:r w:rsidR="00235FBA">
        <w:rPr>
          <w:rFonts w:hint="cs"/>
          <w:rtl/>
        </w:rPr>
        <w:t xml:space="preserve"> מיליארדי ש"ח</w:t>
      </w:r>
      <w:r w:rsidR="00222BD6">
        <w:rPr>
          <w:rFonts w:hint="cs"/>
          <w:rtl/>
        </w:rPr>
        <w:t xml:space="preserve"> ב</w:t>
      </w:r>
      <w:r w:rsidR="00BF23E2">
        <w:rPr>
          <w:rFonts w:hint="cs"/>
          <w:rtl/>
        </w:rPr>
        <w:t>שווי יתרות קרנות הנאמנות.</w:t>
      </w:r>
    </w:p>
    <w:p w:rsidR="002237F8" w:rsidRDefault="00A21D66" w:rsidP="00235FBA">
      <w:pPr>
        <w:spacing w:line="360" w:lineRule="auto"/>
        <w:jc w:val="both"/>
        <w:rPr>
          <w:rtl/>
        </w:rPr>
      </w:pPr>
      <w:r w:rsidRPr="00901DBC">
        <w:rPr>
          <w:rFonts w:hint="cs"/>
          <w:rtl/>
        </w:rPr>
        <w:t>מהתפלגות הקרנות לפי התמחויות עולה כי</w:t>
      </w:r>
      <w:r w:rsidRPr="00901DBC">
        <w:rPr>
          <w:rFonts w:hint="cs"/>
          <w:b/>
          <w:bCs/>
          <w:rtl/>
        </w:rPr>
        <w:t xml:space="preserve"> </w:t>
      </w:r>
      <w:r w:rsidR="00235FBA">
        <w:rPr>
          <w:rFonts w:hint="cs"/>
          <w:rtl/>
        </w:rPr>
        <w:t xml:space="preserve">בדומה לרביע הראשון של השנה, גם ברביע השני התרכזו </w:t>
      </w:r>
      <w:r w:rsidR="00354058" w:rsidRPr="00901DBC">
        <w:rPr>
          <w:rFonts w:hint="cs"/>
          <w:rtl/>
        </w:rPr>
        <w:t>ה</w:t>
      </w:r>
      <w:r w:rsidR="00B253BE">
        <w:rPr>
          <w:rFonts w:hint="cs"/>
          <w:rtl/>
        </w:rPr>
        <w:t>הפקדות</w:t>
      </w:r>
      <w:r w:rsidRPr="00901DBC">
        <w:rPr>
          <w:rFonts w:hint="cs"/>
          <w:rtl/>
        </w:rPr>
        <w:t xml:space="preserve"> נטו ברביע זה, </w:t>
      </w:r>
      <w:r w:rsidR="00235FBA">
        <w:rPr>
          <w:rFonts w:hint="cs"/>
          <w:rtl/>
        </w:rPr>
        <w:t>בקרנות המתמחות</w:t>
      </w:r>
      <w:r w:rsidR="003A4B9B" w:rsidRPr="00901DBC">
        <w:rPr>
          <w:rFonts w:hint="cs"/>
          <w:rtl/>
        </w:rPr>
        <w:t xml:space="preserve"> </w:t>
      </w:r>
      <w:r w:rsidR="00235FBA">
        <w:rPr>
          <w:rFonts w:hint="cs"/>
          <w:rtl/>
        </w:rPr>
        <w:t>ב</w:t>
      </w:r>
      <w:r w:rsidR="003A4B9B" w:rsidRPr="00901DBC">
        <w:rPr>
          <w:rFonts w:hint="cs"/>
          <w:rtl/>
        </w:rPr>
        <w:t xml:space="preserve">אג"ח </w:t>
      </w:r>
      <w:r w:rsidR="00B253BE">
        <w:rPr>
          <w:rFonts w:hint="cs"/>
          <w:rtl/>
        </w:rPr>
        <w:t>הכללי בארץ</w:t>
      </w:r>
      <w:r w:rsidR="002A2ABD">
        <w:rPr>
          <w:rFonts w:hint="cs"/>
          <w:rtl/>
        </w:rPr>
        <w:t xml:space="preserve"> </w:t>
      </w:r>
      <w:r w:rsidR="003A4B9B" w:rsidRPr="00901DBC">
        <w:rPr>
          <w:rFonts w:hint="cs"/>
          <w:rtl/>
        </w:rPr>
        <w:t>(</w:t>
      </w:r>
      <w:r w:rsidR="00BF23E2">
        <w:rPr>
          <w:rFonts w:hint="cs"/>
          <w:rtl/>
        </w:rPr>
        <w:t>5.1</w:t>
      </w:r>
      <w:r w:rsidR="003A4B9B" w:rsidRPr="00901DBC">
        <w:rPr>
          <w:rFonts w:hint="cs"/>
          <w:rtl/>
        </w:rPr>
        <w:t xml:space="preserve"> מיליארדים, </w:t>
      </w:r>
      <w:r w:rsidR="00BF23E2">
        <w:rPr>
          <w:rFonts w:hint="cs"/>
          <w:rtl/>
        </w:rPr>
        <w:t>6.5</w:t>
      </w:r>
      <w:r w:rsidR="003A4B9B" w:rsidRPr="00901DBC">
        <w:rPr>
          <w:rFonts w:hint="cs"/>
          <w:rtl/>
        </w:rPr>
        <w:t xml:space="preserve">%), </w:t>
      </w:r>
      <w:r w:rsidR="00B253BE">
        <w:rPr>
          <w:rFonts w:hint="cs"/>
          <w:rtl/>
        </w:rPr>
        <w:t>במניות בארץ ובחו"ל</w:t>
      </w:r>
      <w:r w:rsidR="003A4B9B" w:rsidRPr="00901DBC">
        <w:rPr>
          <w:rFonts w:hint="cs"/>
          <w:rtl/>
        </w:rPr>
        <w:t xml:space="preserve"> (1.</w:t>
      </w:r>
      <w:r w:rsidR="00BF23E2">
        <w:rPr>
          <w:rFonts w:hint="cs"/>
          <w:rtl/>
        </w:rPr>
        <w:t>5</w:t>
      </w:r>
      <w:r w:rsidR="003A4B9B" w:rsidRPr="00901DBC">
        <w:rPr>
          <w:rFonts w:hint="cs"/>
          <w:rtl/>
        </w:rPr>
        <w:t xml:space="preserve"> מיליארדים, </w:t>
      </w:r>
      <w:r w:rsidR="00BF23E2">
        <w:rPr>
          <w:rFonts w:hint="cs"/>
          <w:rtl/>
        </w:rPr>
        <w:t>5.6</w:t>
      </w:r>
      <w:r w:rsidR="003A4B9B" w:rsidRPr="00901DBC">
        <w:rPr>
          <w:rFonts w:hint="cs"/>
          <w:rtl/>
        </w:rPr>
        <w:t>%)</w:t>
      </w:r>
      <w:r w:rsidR="00BF23E2">
        <w:rPr>
          <w:rFonts w:hint="cs"/>
          <w:rtl/>
        </w:rPr>
        <w:t xml:space="preserve"> וב</w:t>
      </w:r>
      <w:r w:rsidR="00BF23E2" w:rsidRPr="00901DBC">
        <w:rPr>
          <w:rFonts w:hint="cs"/>
          <w:rtl/>
        </w:rPr>
        <w:t xml:space="preserve">אג"ח </w:t>
      </w:r>
      <w:r w:rsidR="00BF23E2">
        <w:rPr>
          <w:rFonts w:hint="cs"/>
          <w:rtl/>
        </w:rPr>
        <w:t>החברות</w:t>
      </w:r>
      <w:r w:rsidR="00BF23E2" w:rsidRPr="00901DBC">
        <w:rPr>
          <w:rFonts w:hint="cs"/>
          <w:rtl/>
        </w:rPr>
        <w:t xml:space="preserve"> בארץ (</w:t>
      </w:r>
      <w:r w:rsidR="00BF23E2">
        <w:rPr>
          <w:rFonts w:hint="cs"/>
          <w:rtl/>
        </w:rPr>
        <w:t>1.2</w:t>
      </w:r>
      <w:r w:rsidR="00BF23E2" w:rsidRPr="00901DBC">
        <w:rPr>
          <w:rFonts w:hint="cs"/>
          <w:rtl/>
        </w:rPr>
        <w:t xml:space="preserve"> מיליארדים, </w:t>
      </w:r>
      <w:r w:rsidR="00BF23E2">
        <w:rPr>
          <w:rFonts w:hint="cs"/>
          <w:rtl/>
        </w:rPr>
        <w:t>3.5</w:t>
      </w:r>
      <w:r w:rsidR="00BF23E2" w:rsidRPr="00901DBC">
        <w:rPr>
          <w:rFonts w:hint="cs"/>
          <w:rtl/>
        </w:rPr>
        <w:t>%)</w:t>
      </w:r>
      <w:r w:rsidR="003A4B9B" w:rsidRPr="00901DBC">
        <w:rPr>
          <w:rFonts w:hint="cs"/>
          <w:rtl/>
        </w:rPr>
        <w:t xml:space="preserve">. מנגד חלו </w:t>
      </w:r>
      <w:r w:rsidR="00B253BE">
        <w:rPr>
          <w:rFonts w:hint="cs"/>
          <w:rtl/>
        </w:rPr>
        <w:t>פדיונות</w:t>
      </w:r>
      <w:r w:rsidR="003A4B9B" w:rsidRPr="00901DBC">
        <w:rPr>
          <w:rFonts w:hint="cs"/>
          <w:rtl/>
        </w:rPr>
        <w:t xml:space="preserve"> נטו </w:t>
      </w:r>
      <w:r w:rsidR="00354058" w:rsidRPr="00901DBC">
        <w:rPr>
          <w:rFonts w:hint="cs"/>
          <w:rtl/>
        </w:rPr>
        <w:t>ב</w:t>
      </w:r>
      <w:r w:rsidR="00A868C3">
        <w:rPr>
          <w:rFonts w:hint="cs"/>
          <w:rtl/>
        </w:rPr>
        <w:t>עיקר ב</w:t>
      </w:r>
      <w:r w:rsidR="00354058" w:rsidRPr="00901DBC">
        <w:rPr>
          <w:rFonts w:hint="cs"/>
          <w:rtl/>
        </w:rPr>
        <w:t xml:space="preserve">אג"ח </w:t>
      </w:r>
      <w:r w:rsidR="00A868C3">
        <w:rPr>
          <w:rFonts w:hint="cs"/>
          <w:rtl/>
        </w:rPr>
        <w:t>ה</w:t>
      </w:r>
      <w:r w:rsidR="00BF23E2">
        <w:rPr>
          <w:rFonts w:hint="cs"/>
          <w:rtl/>
        </w:rPr>
        <w:t>שקליות בארץ</w:t>
      </w:r>
      <w:r w:rsidR="00C91B9F" w:rsidRPr="00901DBC">
        <w:rPr>
          <w:rFonts w:hint="cs"/>
          <w:rtl/>
        </w:rPr>
        <w:t xml:space="preserve"> </w:t>
      </w:r>
      <w:r w:rsidR="003A4B9B" w:rsidRPr="00901DBC">
        <w:rPr>
          <w:rFonts w:hint="cs"/>
          <w:rtl/>
        </w:rPr>
        <w:t xml:space="preserve">(מיליארד, </w:t>
      </w:r>
      <w:r w:rsidR="00BF23E2">
        <w:rPr>
          <w:rFonts w:hint="cs"/>
          <w:rtl/>
        </w:rPr>
        <w:t>5.3</w:t>
      </w:r>
      <w:r w:rsidR="00A868C3">
        <w:rPr>
          <w:rFonts w:hint="cs"/>
          <w:rtl/>
        </w:rPr>
        <w:t>%-</w:t>
      </w:r>
      <w:r w:rsidR="003A4B9B" w:rsidRPr="00901DBC">
        <w:rPr>
          <w:rFonts w:hint="cs"/>
          <w:rtl/>
        </w:rPr>
        <w:t>)</w:t>
      </w:r>
      <w:r w:rsidR="00354058" w:rsidRPr="00901DBC">
        <w:rPr>
          <w:rFonts w:hint="cs"/>
          <w:rtl/>
        </w:rPr>
        <w:t>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5710A7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25BDFEC0">
            <wp:extent cx="4500000" cy="2745847"/>
            <wp:effectExtent l="0" t="0" r="0" b="0"/>
            <wp:docPr id="27" name="תמונה 27" descr="תרשים 7: הפקדות נטו בקרנות הנאמנות לפי התמחות&#10;2013-2017, מיליארדי ש&quot;ח&#10;" title="תרשים 7: 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1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D921A2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964" w:right="1797" w:bottom="1134" w:left="1797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AE" w:rsidRDefault="006F70AE">
      <w:r>
        <w:separator/>
      </w:r>
    </w:p>
  </w:endnote>
  <w:endnote w:type="continuationSeparator" w:id="0">
    <w:p w:rsidR="006F70AE" w:rsidRDefault="006F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2E2C04" w:rsidRDefault="00D921A2" w:rsidP="002E2C04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 w:rsidR="002E2C04" w:rsidRPr="002E2C04">
      <w:rPr>
        <w:rtl/>
      </w:rPr>
      <w:t>–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תיק </w:t>
    </w:r>
    <w:r w:rsidRPr="002E2C04">
      <w:rPr>
        <w:rFonts w:hint="cs"/>
        <w:rtl/>
      </w:rPr>
      <w:t xml:space="preserve"> הנכסים</w:t>
    </w:r>
    <w:r w:rsidR="002E2C04" w:rsidRPr="002E2C04">
      <w:rPr>
        <w:rFonts w:hint="cs"/>
        <w:rtl/>
      </w:rPr>
      <w:t>,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>רביע שני 2017</w:t>
    </w:r>
    <w:r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 w:rsidRPr="002E2C04">
      <w:rPr>
        <w:rFonts w:hint="cs"/>
        <w:rtl/>
        <w:cs/>
        <w:lang w:val="he-IL"/>
      </w:rPr>
      <w:tab/>
    </w:r>
    <w:r w:rsidR="002E2C04"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2E2C04">
      <w:rPr>
        <w:b/>
        <w:bCs/>
        <w:noProof/>
        <w:rtl/>
      </w:rPr>
      <w:t>2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2E2C04">
      <w:rPr>
        <w:b/>
        <w:bCs/>
        <w:noProof/>
        <w:rtl/>
      </w:rPr>
      <w:t>6</w:t>
    </w:r>
    <w:r w:rsidRPr="002E2C04">
      <w:rPr>
        <w:b/>
        <w:bCs/>
      </w:rPr>
      <w:fldChar w:fldCharType="end"/>
    </w:r>
  </w:p>
  <w:p w:rsidR="00BD3B89" w:rsidRDefault="00BD3B89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AE" w:rsidRDefault="006F70AE">
      <w:r>
        <w:separator/>
      </w:r>
    </w:p>
  </w:footnote>
  <w:footnote w:type="continuationSeparator" w:id="0">
    <w:p w:rsidR="006F70AE" w:rsidRDefault="006F70AE">
      <w:r>
        <w:continuationSeparator/>
      </w:r>
    </w:p>
  </w:footnote>
  <w:footnote w:id="1">
    <w:p w:rsidR="0069729F" w:rsidRDefault="0069729F" w:rsidP="0069729F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631CB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0E7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4CDD"/>
    <w:rsid w:val="001056DE"/>
    <w:rsid w:val="0010593A"/>
    <w:rsid w:val="0011075A"/>
    <w:rsid w:val="00110DFF"/>
    <w:rsid w:val="00110E4D"/>
    <w:rsid w:val="00111078"/>
    <w:rsid w:val="0011121D"/>
    <w:rsid w:val="001138F6"/>
    <w:rsid w:val="00113CB0"/>
    <w:rsid w:val="00114077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A88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D1D"/>
    <w:rsid w:val="0015236A"/>
    <w:rsid w:val="00152F2D"/>
    <w:rsid w:val="00154533"/>
    <w:rsid w:val="001553C3"/>
    <w:rsid w:val="001555E5"/>
    <w:rsid w:val="001558E4"/>
    <w:rsid w:val="00156C5F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46CF"/>
    <w:rsid w:val="001C6F8F"/>
    <w:rsid w:val="001C7E12"/>
    <w:rsid w:val="001D08C2"/>
    <w:rsid w:val="001D109B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1C05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6A7"/>
    <w:rsid w:val="00214AFF"/>
    <w:rsid w:val="00214B50"/>
    <w:rsid w:val="00215C50"/>
    <w:rsid w:val="0021612F"/>
    <w:rsid w:val="00217472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319D"/>
    <w:rsid w:val="002732E7"/>
    <w:rsid w:val="00273AB3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831"/>
    <w:rsid w:val="002941EA"/>
    <w:rsid w:val="00295A41"/>
    <w:rsid w:val="00295B3F"/>
    <w:rsid w:val="0029682A"/>
    <w:rsid w:val="00297B32"/>
    <w:rsid w:val="00297EF8"/>
    <w:rsid w:val="002A05B4"/>
    <w:rsid w:val="002A07C7"/>
    <w:rsid w:val="002A172C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418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ADA"/>
    <w:rsid w:val="00380DA4"/>
    <w:rsid w:val="00380F38"/>
    <w:rsid w:val="00381900"/>
    <w:rsid w:val="00382A96"/>
    <w:rsid w:val="0038352E"/>
    <w:rsid w:val="00384733"/>
    <w:rsid w:val="00384EEC"/>
    <w:rsid w:val="00386C83"/>
    <w:rsid w:val="003873F3"/>
    <w:rsid w:val="00387665"/>
    <w:rsid w:val="0039006D"/>
    <w:rsid w:val="00390265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43E6"/>
    <w:rsid w:val="003A4B9B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7296"/>
    <w:rsid w:val="003D236F"/>
    <w:rsid w:val="003D276A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19B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05E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07C3"/>
    <w:rsid w:val="004211E7"/>
    <w:rsid w:val="004211EB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37F"/>
    <w:rsid w:val="004437C5"/>
    <w:rsid w:val="0044409B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B53"/>
    <w:rsid w:val="004770C3"/>
    <w:rsid w:val="00477660"/>
    <w:rsid w:val="004816F5"/>
    <w:rsid w:val="00482F4E"/>
    <w:rsid w:val="004830F5"/>
    <w:rsid w:val="00483238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6C0"/>
    <w:rsid w:val="00491D04"/>
    <w:rsid w:val="00491EDD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5B0F"/>
    <w:rsid w:val="004C6117"/>
    <w:rsid w:val="004C630F"/>
    <w:rsid w:val="004C7F8A"/>
    <w:rsid w:val="004D1BB9"/>
    <w:rsid w:val="004D2132"/>
    <w:rsid w:val="004D2343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4143"/>
    <w:rsid w:val="00526189"/>
    <w:rsid w:val="00526621"/>
    <w:rsid w:val="00526F17"/>
    <w:rsid w:val="00527785"/>
    <w:rsid w:val="00527BC9"/>
    <w:rsid w:val="00530CDE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007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6F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1DDA"/>
    <w:rsid w:val="006D22AC"/>
    <w:rsid w:val="006D313A"/>
    <w:rsid w:val="006D3724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6E04"/>
    <w:rsid w:val="006F70AE"/>
    <w:rsid w:val="006F794E"/>
    <w:rsid w:val="006F7DB1"/>
    <w:rsid w:val="00700924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85B"/>
    <w:rsid w:val="00764A0A"/>
    <w:rsid w:val="007651CD"/>
    <w:rsid w:val="0076566A"/>
    <w:rsid w:val="00765BFE"/>
    <w:rsid w:val="007663AE"/>
    <w:rsid w:val="00766C85"/>
    <w:rsid w:val="00766D35"/>
    <w:rsid w:val="00767CA2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220F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E61"/>
    <w:rsid w:val="0080506C"/>
    <w:rsid w:val="0080779D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AE"/>
    <w:rsid w:val="008D09E7"/>
    <w:rsid w:val="008D0A34"/>
    <w:rsid w:val="008D2453"/>
    <w:rsid w:val="008D28ED"/>
    <w:rsid w:val="008D46A9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5B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27B8E"/>
    <w:rsid w:val="00931154"/>
    <w:rsid w:val="009322E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7C05"/>
    <w:rsid w:val="00971778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56EC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1FE4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5765"/>
    <w:rsid w:val="00A665A8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74"/>
    <w:rsid w:val="00AA5ADB"/>
    <w:rsid w:val="00AA5BDE"/>
    <w:rsid w:val="00AB0646"/>
    <w:rsid w:val="00AB0AC4"/>
    <w:rsid w:val="00AB1795"/>
    <w:rsid w:val="00AB32BC"/>
    <w:rsid w:val="00AB3CF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6432"/>
    <w:rsid w:val="00AC7016"/>
    <w:rsid w:val="00AC71C5"/>
    <w:rsid w:val="00AC73DD"/>
    <w:rsid w:val="00AD018C"/>
    <w:rsid w:val="00AD01F1"/>
    <w:rsid w:val="00AD070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AF632B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1AD9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40CA6"/>
    <w:rsid w:val="00B41088"/>
    <w:rsid w:val="00B42E29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66B"/>
    <w:rsid w:val="00B51D64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C83"/>
    <w:rsid w:val="00BA0FAB"/>
    <w:rsid w:val="00BA0FF4"/>
    <w:rsid w:val="00BA15D0"/>
    <w:rsid w:val="00BA2CA9"/>
    <w:rsid w:val="00BA3F48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F7A"/>
    <w:rsid w:val="00BB35CB"/>
    <w:rsid w:val="00BB3D35"/>
    <w:rsid w:val="00BB47C3"/>
    <w:rsid w:val="00BB5A50"/>
    <w:rsid w:val="00BB5DFF"/>
    <w:rsid w:val="00BB69E2"/>
    <w:rsid w:val="00BC0829"/>
    <w:rsid w:val="00BC13AB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F24"/>
    <w:rsid w:val="00BE4F12"/>
    <w:rsid w:val="00BE509C"/>
    <w:rsid w:val="00BE74E0"/>
    <w:rsid w:val="00BE774D"/>
    <w:rsid w:val="00BF127F"/>
    <w:rsid w:val="00BF23E2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220"/>
    <w:rsid w:val="00C1658E"/>
    <w:rsid w:val="00C2080B"/>
    <w:rsid w:val="00C20BC5"/>
    <w:rsid w:val="00C20ED8"/>
    <w:rsid w:val="00C2285C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0969"/>
    <w:rsid w:val="00C4231B"/>
    <w:rsid w:val="00C42B39"/>
    <w:rsid w:val="00C4316F"/>
    <w:rsid w:val="00C43209"/>
    <w:rsid w:val="00C442ED"/>
    <w:rsid w:val="00C4519F"/>
    <w:rsid w:val="00C45766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EE1"/>
    <w:rsid w:val="00C72252"/>
    <w:rsid w:val="00C72AA7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17D9"/>
    <w:rsid w:val="00C91B9F"/>
    <w:rsid w:val="00C91D56"/>
    <w:rsid w:val="00C92BC6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64DF"/>
    <w:rsid w:val="00CF6840"/>
    <w:rsid w:val="00CF7757"/>
    <w:rsid w:val="00CF7C03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E49"/>
    <w:rsid w:val="00D171FE"/>
    <w:rsid w:val="00D17E3C"/>
    <w:rsid w:val="00D206E4"/>
    <w:rsid w:val="00D2084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3807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57014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70709"/>
    <w:rsid w:val="00D70C1F"/>
    <w:rsid w:val="00D7185F"/>
    <w:rsid w:val="00D723CD"/>
    <w:rsid w:val="00D72F0D"/>
    <w:rsid w:val="00D73171"/>
    <w:rsid w:val="00D7328E"/>
    <w:rsid w:val="00D73733"/>
    <w:rsid w:val="00D75FD8"/>
    <w:rsid w:val="00D761AA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D95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4A4"/>
    <w:rsid w:val="00E30692"/>
    <w:rsid w:val="00E317EA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560A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B33"/>
    <w:rsid w:val="00EB7FFA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DEA"/>
    <w:rsid w:val="00F30E40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1CF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3464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6A1A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.boi.org.il/he/DataAndStatistics/Pages/MainPage.aspx?Level=2&amp;Sid=15&amp;SubjectType=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DataAndStatistics/Pages/MainPage.aspx?Level=3&amp;Sid=49&amp;SubjectType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CE6B4E-DE69-4C15-ACC8-78F522E76964}"/>
</file>

<file path=customXml/itemProps2.xml><?xml version="1.0" encoding="utf-8"?>
<ds:datastoreItem xmlns:ds="http://schemas.openxmlformats.org/officeDocument/2006/customXml" ds:itemID="{68669392-5F51-4381-8AFD-762876DFBCA7}"/>
</file>

<file path=customXml/itemProps3.xml><?xml version="1.0" encoding="utf-8"?>
<ds:datastoreItem xmlns:ds="http://schemas.openxmlformats.org/officeDocument/2006/customXml" ds:itemID="{75A2F8B1-B93B-4D01-A5E3-E6FD12CEFED0}"/>
</file>

<file path=customXml/itemProps4.xml><?xml version="1.0" encoding="utf-8"?>
<ds:datastoreItem xmlns:ds="http://schemas.openxmlformats.org/officeDocument/2006/customXml" ds:itemID="{1071E204-BE2D-4320-9A51-D92A7F8EF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947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5961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2017-09-18T07:33:00Z</dcterms:created>
  <dcterms:modified xsi:type="dcterms:W3CDTF">2017-09-18T07:33:00Z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