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4A1" w:rsidRDefault="00227F34" w:rsidP="003455DD">
      <w:pPr>
        <w:spacing w:line="240" w:lineRule="auto"/>
        <w:jc w:val="right"/>
        <w:rPr>
          <w:rFonts w:hint="cs"/>
          <w:rtl/>
        </w:rPr>
      </w:pPr>
      <w:bookmarkStart w:id="0" w:name="D001"/>
      <w:r>
        <w:rPr>
          <w:rtl/>
        </w:rPr>
        <w:t>תל-אביב,</w:t>
      </w:r>
      <w:bookmarkEnd w:id="0"/>
      <w:r w:rsidR="00D044A1">
        <w:rPr>
          <w:rFonts w:hint="cs"/>
          <w:rtl/>
        </w:rPr>
        <w:t xml:space="preserve"> </w:t>
      </w:r>
      <w:bookmarkStart w:id="1" w:name="D002"/>
      <w:r>
        <w:rPr>
          <w:rFonts w:hint="eastAsia"/>
          <w:rtl/>
        </w:rPr>
        <w:t>‏</w:t>
      </w:r>
      <w:r w:rsidR="003455DD">
        <w:rPr>
          <w:rFonts w:hint="cs"/>
          <w:rtl/>
        </w:rPr>
        <w:t>כ</w:t>
      </w:r>
      <w:r w:rsidR="0082652C">
        <w:rPr>
          <w:rFonts w:hint="cs"/>
          <w:rtl/>
        </w:rPr>
        <w:t>"</w:t>
      </w:r>
      <w:r w:rsidR="003455DD">
        <w:rPr>
          <w:rFonts w:hint="cs"/>
          <w:rtl/>
        </w:rPr>
        <w:t xml:space="preserve">ג </w:t>
      </w:r>
      <w:r>
        <w:rPr>
          <w:rtl/>
        </w:rPr>
        <w:t>ב</w:t>
      </w:r>
      <w:r w:rsidR="004D6EF4">
        <w:rPr>
          <w:rFonts w:hint="cs"/>
          <w:rtl/>
        </w:rPr>
        <w:t>שבט</w:t>
      </w:r>
      <w:r>
        <w:rPr>
          <w:rtl/>
        </w:rPr>
        <w:t xml:space="preserve"> תשע"ז</w:t>
      </w:r>
      <w:bookmarkEnd w:id="1"/>
    </w:p>
    <w:p w:rsidR="00F60C31" w:rsidRDefault="00227F34" w:rsidP="003455DD">
      <w:pPr>
        <w:spacing w:line="240" w:lineRule="auto"/>
        <w:jc w:val="right"/>
        <w:rPr>
          <w:rFonts w:hint="cs"/>
          <w:rtl/>
        </w:rPr>
      </w:pPr>
      <w:bookmarkStart w:id="2" w:name="D003"/>
      <w:r>
        <w:rPr>
          <w:rFonts w:hint="eastAsia"/>
          <w:rtl/>
        </w:rPr>
        <w:t>‏</w:t>
      </w:r>
      <w:r w:rsidR="003455DD">
        <w:rPr>
          <w:rFonts w:hint="cs"/>
          <w:rtl/>
        </w:rPr>
        <w:t>19</w:t>
      </w:r>
      <w:r w:rsidR="003455DD">
        <w:rPr>
          <w:rtl/>
        </w:rPr>
        <w:t xml:space="preserve"> </w:t>
      </w:r>
      <w:r w:rsidR="004D6EF4">
        <w:rPr>
          <w:rFonts w:hint="cs"/>
          <w:rtl/>
        </w:rPr>
        <w:t>בפברואר</w:t>
      </w:r>
      <w:r>
        <w:rPr>
          <w:rtl/>
        </w:rPr>
        <w:t xml:space="preserve"> </w:t>
      </w:r>
      <w:bookmarkEnd w:id="2"/>
      <w:r w:rsidR="004D6EF4">
        <w:rPr>
          <w:rFonts w:hint="cs"/>
          <w:rtl/>
        </w:rPr>
        <w:t>2017</w:t>
      </w:r>
    </w:p>
    <w:p w:rsidR="00C03F82" w:rsidRDefault="00B5720C" w:rsidP="00131E41">
      <w:pPr>
        <w:spacing w:line="240" w:lineRule="auto"/>
        <w:jc w:val="right"/>
      </w:pPr>
      <w:bookmarkStart w:id="3" w:name="D004"/>
      <w:bookmarkEnd w:id="3"/>
      <w:r>
        <w:rPr>
          <w:rFonts w:hint="cs"/>
          <w:sz w:val="22"/>
          <w:szCs w:val="22"/>
          <w:rtl/>
        </w:rPr>
        <w:t xml:space="preserve"> </w:t>
      </w:r>
      <w:bookmarkStart w:id="4" w:name="D005"/>
      <w:bookmarkEnd w:id="4"/>
      <w:r w:rsidR="003E3D97">
        <w:rPr>
          <w:rtl/>
        </w:rPr>
        <w:t xml:space="preserve"> </w:t>
      </w:r>
      <w:bookmarkStart w:id="5" w:name="D006"/>
      <w:r w:rsidR="00227F34">
        <w:t>164S6129</w:t>
      </w:r>
      <w:bookmarkEnd w:id="5"/>
    </w:p>
    <w:p w:rsidR="00334486" w:rsidRDefault="00B1643A" w:rsidP="00B1643A">
      <w:pPr>
        <w:jc w:val="center"/>
        <w:rPr>
          <w:b/>
          <w:bCs/>
          <w:sz w:val="28"/>
          <w:szCs w:val="28"/>
          <w:u w:val="single"/>
          <w:rtl/>
        </w:rPr>
      </w:pPr>
      <w:r>
        <w:rPr>
          <w:rFonts w:hint="cs"/>
          <w:b/>
          <w:bCs/>
          <w:sz w:val="28"/>
          <w:szCs w:val="28"/>
          <w:u w:val="single"/>
          <w:rtl/>
        </w:rPr>
        <w:t xml:space="preserve">אשראי </w:t>
      </w:r>
      <w:r w:rsidR="00C22F6C">
        <w:rPr>
          <w:rFonts w:hint="cs"/>
          <w:b/>
          <w:bCs/>
          <w:sz w:val="28"/>
          <w:szCs w:val="28"/>
          <w:u w:val="single"/>
          <w:rtl/>
        </w:rPr>
        <w:t>ל</w:t>
      </w:r>
      <w:r w:rsidR="0005087E" w:rsidRPr="009B36F1">
        <w:rPr>
          <w:rFonts w:hint="cs"/>
          <w:b/>
          <w:bCs/>
          <w:sz w:val="28"/>
          <w:szCs w:val="28"/>
          <w:u w:val="single"/>
          <w:rtl/>
        </w:rPr>
        <w:t xml:space="preserve">לווים </w:t>
      </w:r>
      <w:r w:rsidR="0005087E">
        <w:rPr>
          <w:rFonts w:hint="cs"/>
          <w:b/>
          <w:bCs/>
          <w:sz w:val="28"/>
          <w:szCs w:val="28"/>
          <w:u w:val="single"/>
          <w:rtl/>
        </w:rPr>
        <w:t>ה</w:t>
      </w:r>
      <w:r w:rsidR="0005087E" w:rsidRPr="009B36F1">
        <w:rPr>
          <w:rFonts w:hint="cs"/>
          <w:b/>
          <w:bCs/>
          <w:sz w:val="28"/>
          <w:szCs w:val="28"/>
          <w:u w:val="single"/>
          <w:rtl/>
        </w:rPr>
        <w:t>גדולים</w:t>
      </w:r>
      <w:r w:rsidR="00334486">
        <w:rPr>
          <w:rFonts w:hint="cs"/>
          <w:b/>
          <w:bCs/>
          <w:sz w:val="28"/>
          <w:szCs w:val="28"/>
          <w:u w:val="single"/>
          <w:rtl/>
        </w:rPr>
        <w:t>-</w:t>
      </w:r>
      <w:r>
        <w:rPr>
          <w:rFonts w:hint="cs"/>
          <w:b/>
          <w:bCs/>
          <w:sz w:val="28"/>
          <w:szCs w:val="28"/>
          <w:u w:val="single"/>
          <w:rtl/>
        </w:rPr>
        <w:t xml:space="preserve"> </w:t>
      </w:r>
    </w:p>
    <w:p w:rsidR="00B1643A" w:rsidRDefault="00B1643A" w:rsidP="00506868">
      <w:pPr>
        <w:jc w:val="center"/>
        <w:rPr>
          <w:b/>
          <w:bCs/>
          <w:sz w:val="28"/>
          <w:szCs w:val="28"/>
          <w:u w:val="single"/>
          <w:rtl/>
        </w:rPr>
      </w:pPr>
      <w:r>
        <w:rPr>
          <w:rFonts w:hint="cs"/>
          <w:b/>
          <w:bCs/>
          <w:sz w:val="28"/>
          <w:szCs w:val="28"/>
          <w:u w:val="single"/>
          <w:rtl/>
        </w:rPr>
        <w:t>הלקחים מ</w:t>
      </w:r>
      <w:bookmarkStart w:id="6" w:name="_GoBack"/>
      <w:bookmarkEnd w:id="6"/>
      <w:r w:rsidR="00506868">
        <w:rPr>
          <w:rFonts w:hint="cs"/>
          <w:b/>
          <w:bCs/>
          <w:sz w:val="28"/>
          <w:szCs w:val="28"/>
          <w:u w:val="single"/>
          <w:rtl/>
        </w:rPr>
        <w:t>כשלי האשראי</w:t>
      </w:r>
      <w:r>
        <w:rPr>
          <w:rFonts w:hint="cs"/>
          <w:b/>
          <w:bCs/>
          <w:sz w:val="28"/>
          <w:szCs w:val="28"/>
          <w:u w:val="single"/>
          <w:rtl/>
        </w:rPr>
        <w:t xml:space="preserve">, פעולות הפיקוח </w:t>
      </w:r>
      <w:r w:rsidR="00334486">
        <w:rPr>
          <w:rFonts w:hint="cs"/>
          <w:b/>
          <w:bCs/>
          <w:sz w:val="28"/>
          <w:szCs w:val="28"/>
          <w:u w:val="single"/>
          <w:rtl/>
        </w:rPr>
        <w:t xml:space="preserve">על הבנקים </w:t>
      </w:r>
      <w:r>
        <w:rPr>
          <w:rFonts w:hint="cs"/>
          <w:b/>
          <w:bCs/>
          <w:sz w:val="28"/>
          <w:szCs w:val="28"/>
          <w:u w:val="single"/>
          <w:rtl/>
        </w:rPr>
        <w:t xml:space="preserve">והמצב כיום: </w:t>
      </w:r>
    </w:p>
    <w:p w:rsidR="0005087E" w:rsidRDefault="00B1643A" w:rsidP="00B1643A">
      <w:pPr>
        <w:jc w:val="center"/>
        <w:rPr>
          <w:b/>
          <w:bCs/>
          <w:sz w:val="28"/>
          <w:szCs w:val="28"/>
          <w:u w:val="single"/>
          <w:rtl/>
        </w:rPr>
      </w:pPr>
      <w:r>
        <w:rPr>
          <w:rFonts w:hint="cs"/>
          <w:b/>
          <w:bCs/>
          <w:sz w:val="28"/>
          <w:szCs w:val="28"/>
          <w:u w:val="single"/>
          <w:rtl/>
        </w:rPr>
        <w:t>שאלות ותשובות</w:t>
      </w:r>
      <w:r w:rsidR="0005087E" w:rsidRPr="009B36F1">
        <w:rPr>
          <w:rFonts w:hint="cs"/>
          <w:b/>
          <w:bCs/>
          <w:sz w:val="28"/>
          <w:szCs w:val="28"/>
          <w:u w:val="single"/>
          <w:rtl/>
        </w:rPr>
        <w:t xml:space="preserve"> </w:t>
      </w:r>
    </w:p>
    <w:p w:rsidR="00562A54" w:rsidRDefault="00562A54" w:rsidP="00855985">
      <w:pPr>
        <w:tabs>
          <w:tab w:val="clear" w:pos="567"/>
          <w:tab w:val="clear" w:pos="1134"/>
          <w:tab w:val="num" w:pos="562"/>
        </w:tabs>
        <w:outlineLvl w:val="0"/>
        <w:rPr>
          <w:rFonts w:hint="cs"/>
          <w:rtl/>
        </w:rPr>
      </w:pPr>
    </w:p>
    <w:p w:rsidR="00241CCC" w:rsidRDefault="00241CCC" w:rsidP="003255EB">
      <w:pPr>
        <w:tabs>
          <w:tab w:val="clear" w:pos="567"/>
          <w:tab w:val="clear" w:pos="1134"/>
          <w:tab w:val="num" w:pos="562"/>
        </w:tabs>
        <w:outlineLvl w:val="0"/>
        <w:rPr>
          <w:rFonts w:hint="cs"/>
          <w:rtl/>
        </w:rPr>
      </w:pPr>
      <w:r w:rsidRPr="00C0797A">
        <w:rPr>
          <w:rFonts w:hint="cs"/>
          <w:rtl/>
        </w:rPr>
        <w:t xml:space="preserve">לאחרונה עלו שאלות רבות בציבור </w:t>
      </w:r>
      <w:r w:rsidRPr="00E524C4">
        <w:rPr>
          <w:rFonts w:hint="cs"/>
          <w:kern w:val="28"/>
          <w:sz w:val="22"/>
          <w:rtl/>
        </w:rPr>
        <w:t>נוכח כשלי אשראי של מספר לווים וקבוצות גדולות במשק</w:t>
      </w:r>
      <w:r w:rsidRPr="00083776">
        <w:rPr>
          <w:rFonts w:hint="cs"/>
          <w:rtl/>
        </w:rPr>
        <w:t xml:space="preserve"> שהסבו הפסדים ניכרים </w:t>
      </w:r>
      <w:r w:rsidRPr="00E524C4">
        <w:rPr>
          <w:rFonts w:hint="cs"/>
          <w:kern w:val="28"/>
          <w:sz w:val="22"/>
          <w:rtl/>
        </w:rPr>
        <w:t xml:space="preserve">לציבור </w:t>
      </w:r>
      <w:r>
        <w:rPr>
          <w:rFonts w:hint="cs"/>
          <w:kern w:val="28"/>
          <w:sz w:val="22"/>
          <w:rtl/>
        </w:rPr>
        <w:t xml:space="preserve">ולבנקים. </w:t>
      </w:r>
      <w:r w:rsidRPr="00105385">
        <w:rPr>
          <w:rFonts w:hint="cs"/>
          <w:b/>
          <w:bCs/>
          <w:rtl/>
        </w:rPr>
        <w:t>מטרת המסמך היא</w:t>
      </w:r>
      <w:r w:rsidRPr="003600E5">
        <w:rPr>
          <w:rFonts w:hint="cs"/>
          <w:b/>
          <w:bCs/>
          <w:rtl/>
        </w:rPr>
        <w:t xml:space="preserve"> </w:t>
      </w:r>
      <w:r w:rsidR="003255EB">
        <w:rPr>
          <w:rFonts w:hint="cs"/>
          <w:b/>
          <w:bCs/>
          <w:rtl/>
        </w:rPr>
        <w:t>לתת מענה לשאלות אלו תוך הצגת</w:t>
      </w:r>
      <w:r w:rsidR="00105385" w:rsidRPr="003600E5">
        <w:rPr>
          <w:rFonts w:hint="cs"/>
          <w:b/>
          <w:bCs/>
          <w:rtl/>
        </w:rPr>
        <w:t xml:space="preserve"> תמונת המצב</w:t>
      </w:r>
      <w:r w:rsidRPr="003600E5">
        <w:rPr>
          <w:rFonts w:hint="cs"/>
          <w:b/>
          <w:bCs/>
          <w:rtl/>
        </w:rPr>
        <w:t xml:space="preserve"> </w:t>
      </w:r>
      <w:r w:rsidR="00105385" w:rsidRPr="003600E5">
        <w:rPr>
          <w:rFonts w:hint="cs"/>
          <w:b/>
          <w:bCs/>
          <w:rtl/>
        </w:rPr>
        <w:t>בראיה מקצועית</w:t>
      </w:r>
      <w:r w:rsidRPr="005E7640">
        <w:rPr>
          <w:rFonts w:hint="cs"/>
          <w:rtl/>
        </w:rPr>
        <w:t xml:space="preserve">. </w:t>
      </w:r>
      <w:r w:rsidRPr="00E71E31">
        <w:rPr>
          <w:rFonts w:hint="cs"/>
          <w:rtl/>
        </w:rPr>
        <w:t>הדגשים המרכזיים:</w:t>
      </w:r>
    </w:p>
    <w:p w:rsidR="006D5AD5" w:rsidRPr="00963C15" w:rsidRDefault="00811445" w:rsidP="004009AD">
      <w:pPr>
        <w:numPr>
          <w:ilvl w:val="0"/>
          <w:numId w:val="27"/>
        </w:numPr>
        <w:tabs>
          <w:tab w:val="clear" w:pos="567"/>
          <w:tab w:val="clear" w:pos="1134"/>
          <w:tab w:val="clear" w:pos="1814"/>
          <w:tab w:val="left" w:pos="735"/>
        </w:tabs>
        <w:spacing w:after="120" w:line="240" w:lineRule="auto"/>
        <w:outlineLvl w:val="0"/>
        <w:rPr>
          <w:color w:val="002060"/>
          <w:rtl/>
        </w:rPr>
      </w:pPr>
      <w:r w:rsidRPr="00963C15">
        <w:rPr>
          <w:rFonts w:hint="cs"/>
          <w:color w:val="002060"/>
          <w:rtl/>
        </w:rPr>
        <w:t>במערכת הבנקאות, כמו גם בשוק ההון הישראלי, היו בשנים האחרונות מספר אירועי</w:t>
      </w:r>
      <w:r w:rsidR="00417422" w:rsidRPr="00963C15">
        <w:rPr>
          <w:rFonts w:hint="cs"/>
          <w:color w:val="002060"/>
          <w:rtl/>
        </w:rPr>
        <w:t>ם של</w:t>
      </w:r>
      <w:r w:rsidRPr="00963C15">
        <w:rPr>
          <w:rFonts w:hint="cs"/>
          <w:color w:val="002060"/>
          <w:rtl/>
        </w:rPr>
        <w:t xml:space="preserve"> הפסדי אשראי גדולים בעקבות כשל של קבוצות לווי</w:t>
      </w:r>
      <w:r w:rsidR="00241CCC" w:rsidRPr="00963C15">
        <w:rPr>
          <w:rFonts w:hint="cs"/>
          <w:color w:val="002060"/>
          <w:rtl/>
        </w:rPr>
        <w:t>ם</w:t>
      </w:r>
      <w:r w:rsidR="00B307DC" w:rsidRPr="00963C15">
        <w:rPr>
          <w:rFonts w:hint="cs"/>
          <w:color w:val="002060"/>
          <w:rtl/>
        </w:rPr>
        <w:t xml:space="preserve"> גדול</w:t>
      </w:r>
      <w:r w:rsidR="006F0C81" w:rsidRPr="00963C15">
        <w:rPr>
          <w:rFonts w:hint="cs"/>
          <w:color w:val="002060"/>
          <w:rtl/>
        </w:rPr>
        <w:t>ות</w:t>
      </w:r>
      <w:r w:rsidRPr="00963C15">
        <w:rPr>
          <w:rFonts w:hint="cs"/>
          <w:color w:val="002060"/>
          <w:rtl/>
        </w:rPr>
        <w:t>.</w:t>
      </w:r>
      <w:r w:rsidR="00C201C8" w:rsidRPr="00963C15">
        <w:rPr>
          <w:rFonts w:hint="cs"/>
          <w:color w:val="002060"/>
          <w:rtl/>
        </w:rPr>
        <w:t xml:space="preserve"> </w:t>
      </w:r>
      <w:r w:rsidR="0064359B" w:rsidRPr="00963C15">
        <w:rPr>
          <w:rFonts w:hint="cs"/>
          <w:b/>
          <w:bCs/>
          <w:color w:val="002060"/>
          <w:rtl/>
        </w:rPr>
        <w:t xml:space="preserve">הפיקוח על הבנקים והמערכת הבנקאית הפיקו לקחים </w:t>
      </w:r>
      <w:r w:rsidR="0064359B" w:rsidRPr="00963C15">
        <w:rPr>
          <w:rFonts w:hint="cs"/>
          <w:color w:val="002060"/>
          <w:rtl/>
        </w:rPr>
        <w:t>מאירועים אלו</w:t>
      </w:r>
      <w:r w:rsidR="00105385" w:rsidRPr="00963C15">
        <w:rPr>
          <w:rFonts w:hint="cs"/>
          <w:color w:val="002060"/>
          <w:rtl/>
        </w:rPr>
        <w:t xml:space="preserve"> לאורך השנים</w:t>
      </w:r>
      <w:r w:rsidR="00C201C8" w:rsidRPr="00963C15">
        <w:rPr>
          <w:rFonts w:hint="cs"/>
          <w:color w:val="002060"/>
          <w:rtl/>
        </w:rPr>
        <w:t>.</w:t>
      </w:r>
      <w:r w:rsidRPr="00963C15">
        <w:rPr>
          <w:rFonts w:hint="cs"/>
          <w:color w:val="002060"/>
          <w:rtl/>
        </w:rPr>
        <w:t xml:space="preserve"> </w:t>
      </w:r>
    </w:p>
    <w:p w:rsidR="00811445" w:rsidRPr="00963C15" w:rsidRDefault="0064359B" w:rsidP="004009AD">
      <w:pPr>
        <w:numPr>
          <w:ilvl w:val="0"/>
          <w:numId w:val="27"/>
        </w:numPr>
        <w:tabs>
          <w:tab w:val="clear" w:pos="567"/>
          <w:tab w:val="clear" w:pos="1134"/>
          <w:tab w:val="clear" w:pos="1814"/>
          <w:tab w:val="left" w:pos="735"/>
        </w:tabs>
        <w:spacing w:after="120" w:line="240" w:lineRule="auto"/>
        <w:outlineLvl w:val="0"/>
        <w:rPr>
          <w:rFonts w:hint="cs"/>
          <w:color w:val="002060"/>
          <w:rtl/>
        </w:rPr>
      </w:pPr>
      <w:r w:rsidRPr="00963C15">
        <w:rPr>
          <w:rFonts w:hint="cs"/>
          <w:color w:val="002060"/>
          <w:rtl/>
        </w:rPr>
        <w:t xml:space="preserve">בהסתכלות על סך תיק האשראי של הבנקים, הפסדי האשראי של קבוצות הלווים </w:t>
      </w:r>
      <w:r w:rsidR="00B307DC" w:rsidRPr="00963C15">
        <w:rPr>
          <w:rFonts w:hint="cs"/>
          <w:color w:val="002060"/>
          <w:rtl/>
        </w:rPr>
        <w:t>ה</w:t>
      </w:r>
      <w:r w:rsidR="006F0C81" w:rsidRPr="00963C15">
        <w:rPr>
          <w:rFonts w:hint="cs"/>
          <w:color w:val="002060"/>
          <w:rtl/>
        </w:rPr>
        <w:t>ללו</w:t>
      </w:r>
      <w:r w:rsidR="00B307DC" w:rsidRPr="00963C15">
        <w:rPr>
          <w:rFonts w:hint="cs"/>
          <w:color w:val="002060"/>
          <w:rtl/>
        </w:rPr>
        <w:t xml:space="preserve"> </w:t>
      </w:r>
      <w:r w:rsidR="00CD0EE8" w:rsidRPr="00963C15">
        <w:rPr>
          <w:rFonts w:hint="cs"/>
          <w:color w:val="002060"/>
          <w:rtl/>
        </w:rPr>
        <w:t xml:space="preserve">לא </w:t>
      </w:r>
      <w:r w:rsidRPr="00963C15">
        <w:rPr>
          <w:rFonts w:hint="cs"/>
          <w:color w:val="002060"/>
          <w:rtl/>
        </w:rPr>
        <w:t xml:space="preserve">היו בהיקף </w:t>
      </w:r>
      <w:r w:rsidR="00CD0EE8" w:rsidRPr="00963C15">
        <w:rPr>
          <w:rFonts w:hint="cs"/>
          <w:color w:val="002060"/>
          <w:rtl/>
        </w:rPr>
        <w:t>חריג בפרספקטיבה בינ</w:t>
      </w:r>
      <w:r w:rsidR="006F0C81" w:rsidRPr="00963C15">
        <w:rPr>
          <w:rFonts w:hint="cs"/>
          <w:color w:val="002060"/>
          <w:rtl/>
        </w:rPr>
        <w:t>לאומית</w:t>
      </w:r>
      <w:r w:rsidRPr="00963C15">
        <w:rPr>
          <w:rFonts w:hint="cs"/>
          <w:color w:val="002060"/>
          <w:rtl/>
        </w:rPr>
        <w:t xml:space="preserve">, </w:t>
      </w:r>
      <w:r w:rsidR="00417422" w:rsidRPr="00963C15">
        <w:rPr>
          <w:rFonts w:hint="cs"/>
          <w:color w:val="002060"/>
          <w:rtl/>
        </w:rPr>
        <w:t xml:space="preserve">ולמרות </w:t>
      </w:r>
      <w:r w:rsidR="001B59F6" w:rsidRPr="00963C15">
        <w:rPr>
          <w:rFonts w:hint="cs"/>
          <w:color w:val="002060"/>
          <w:rtl/>
        </w:rPr>
        <w:t>ה</w:t>
      </w:r>
      <w:r w:rsidR="00241CCC" w:rsidRPr="00963C15">
        <w:rPr>
          <w:rFonts w:hint="cs"/>
          <w:color w:val="002060"/>
          <w:rtl/>
        </w:rPr>
        <w:t xml:space="preserve">כשלים </w:t>
      </w:r>
      <w:r w:rsidR="00417422" w:rsidRPr="00963C15">
        <w:rPr>
          <w:rFonts w:hint="cs"/>
          <w:b/>
          <w:bCs/>
          <w:color w:val="002060"/>
          <w:rtl/>
        </w:rPr>
        <w:t>איכות תיק האשראי של הבנקים בישראל טובה מזו של בנקים ב</w:t>
      </w:r>
      <w:r w:rsidR="00982CE2">
        <w:rPr>
          <w:rFonts w:hint="cs"/>
          <w:b/>
          <w:bCs/>
          <w:color w:val="002060"/>
          <w:rtl/>
        </w:rPr>
        <w:t>מרבית ה</w:t>
      </w:r>
      <w:r w:rsidR="00417422" w:rsidRPr="00963C15">
        <w:rPr>
          <w:rFonts w:hint="cs"/>
          <w:b/>
          <w:bCs/>
          <w:color w:val="002060"/>
          <w:rtl/>
        </w:rPr>
        <w:t xml:space="preserve">מדינות </w:t>
      </w:r>
      <w:r w:rsidR="00982CE2">
        <w:rPr>
          <w:rFonts w:hint="cs"/>
          <w:b/>
          <w:bCs/>
          <w:color w:val="002060"/>
          <w:rtl/>
        </w:rPr>
        <w:t>ה</w:t>
      </w:r>
      <w:r w:rsidR="00417422" w:rsidRPr="00963C15">
        <w:rPr>
          <w:rFonts w:hint="cs"/>
          <w:b/>
          <w:bCs/>
          <w:color w:val="002060"/>
          <w:rtl/>
        </w:rPr>
        <w:t>מפותחות בעולם.</w:t>
      </w:r>
      <w:r w:rsidR="00524C34" w:rsidRPr="00963C15">
        <w:rPr>
          <w:rFonts w:hint="cs"/>
          <w:color w:val="002060"/>
          <w:rtl/>
        </w:rPr>
        <w:t xml:space="preserve"> להפסדי האשראי יש משמעות ציבורית נרחבת, אולם הם לא סיכנו בשום שלב את יציבותה של המערכת הבנקאית.</w:t>
      </w:r>
    </w:p>
    <w:p w:rsidR="00936153" w:rsidRPr="00963C15" w:rsidRDefault="00811445" w:rsidP="00B308A4">
      <w:pPr>
        <w:numPr>
          <w:ilvl w:val="0"/>
          <w:numId w:val="27"/>
        </w:numPr>
        <w:tabs>
          <w:tab w:val="clear" w:pos="567"/>
          <w:tab w:val="clear" w:pos="1134"/>
          <w:tab w:val="clear" w:pos="1814"/>
          <w:tab w:val="left" w:pos="735"/>
        </w:tabs>
        <w:spacing w:after="120" w:line="240" w:lineRule="auto"/>
        <w:outlineLvl w:val="0"/>
        <w:rPr>
          <w:color w:val="002060"/>
        </w:rPr>
      </w:pPr>
      <w:r w:rsidRPr="00963C15">
        <w:rPr>
          <w:rFonts w:hint="cs"/>
          <w:b/>
          <w:bCs/>
          <w:color w:val="002060"/>
          <w:rtl/>
        </w:rPr>
        <w:t xml:space="preserve">הפיקוח על הבנקים פעל בכלים </w:t>
      </w:r>
      <w:r w:rsidR="00417422" w:rsidRPr="00963C15">
        <w:rPr>
          <w:rFonts w:hint="cs"/>
          <w:b/>
          <w:bCs/>
          <w:color w:val="002060"/>
          <w:rtl/>
        </w:rPr>
        <w:t>מגוונים</w:t>
      </w:r>
      <w:r w:rsidRPr="00963C15">
        <w:rPr>
          <w:rFonts w:hint="cs"/>
          <w:b/>
          <w:bCs/>
          <w:color w:val="002060"/>
          <w:rtl/>
        </w:rPr>
        <w:t xml:space="preserve"> </w:t>
      </w:r>
      <w:r w:rsidR="00855985" w:rsidRPr="00963C15">
        <w:rPr>
          <w:rFonts w:hint="cs"/>
          <w:b/>
          <w:bCs/>
          <w:color w:val="002060"/>
          <w:kern w:val="28"/>
          <w:sz w:val="22"/>
          <w:rtl/>
        </w:rPr>
        <w:t>במטרה לצמצם את הסיכוי להישנות של מקרים דומים בעתיד</w:t>
      </w:r>
      <w:r w:rsidR="00855985" w:rsidRPr="00963C15">
        <w:rPr>
          <w:rFonts w:hint="cs"/>
          <w:b/>
          <w:bCs/>
          <w:color w:val="002060"/>
          <w:rtl/>
        </w:rPr>
        <w:t>.</w:t>
      </w:r>
      <w:r w:rsidR="00855985" w:rsidRPr="00963C15">
        <w:rPr>
          <w:rFonts w:hint="cs"/>
          <w:color w:val="002060"/>
          <w:rtl/>
        </w:rPr>
        <w:t xml:space="preserve"> הצעדים כללו </w:t>
      </w:r>
      <w:r w:rsidR="00CD0EE8" w:rsidRPr="00963C15">
        <w:rPr>
          <w:rFonts w:hint="cs"/>
          <w:color w:val="002060"/>
          <w:rtl/>
        </w:rPr>
        <w:t xml:space="preserve">קביעת מגבלות, הוראות רגולטוריות, </w:t>
      </w:r>
      <w:r w:rsidRPr="00963C15">
        <w:rPr>
          <w:rFonts w:hint="cs"/>
          <w:color w:val="002060"/>
          <w:rtl/>
        </w:rPr>
        <w:t>ביקורות</w:t>
      </w:r>
      <w:r w:rsidR="00417422" w:rsidRPr="00963C15">
        <w:rPr>
          <w:rFonts w:hint="cs"/>
          <w:color w:val="002060"/>
          <w:rtl/>
        </w:rPr>
        <w:t xml:space="preserve"> רבות</w:t>
      </w:r>
      <w:r w:rsidR="00855985" w:rsidRPr="00963C15">
        <w:rPr>
          <w:rFonts w:hint="cs"/>
          <w:color w:val="002060"/>
          <w:rtl/>
        </w:rPr>
        <w:t xml:space="preserve">, </w:t>
      </w:r>
      <w:r w:rsidR="00C90BE9">
        <w:rPr>
          <w:rFonts w:hint="cs"/>
          <w:color w:val="002060"/>
          <w:rtl/>
        </w:rPr>
        <w:t xml:space="preserve">יישום ההחלטות שהתקבלו </w:t>
      </w:r>
      <w:r w:rsidR="00936153" w:rsidRPr="00963C15">
        <w:rPr>
          <w:rFonts w:hint="cs"/>
          <w:color w:val="002060"/>
          <w:rtl/>
        </w:rPr>
        <w:t xml:space="preserve">בוועדות משקיות (לצמצום הריכוזיות ולהסדרי חוב) </w:t>
      </w:r>
      <w:r w:rsidR="00CD0EE8" w:rsidRPr="00963C15">
        <w:rPr>
          <w:rFonts w:hint="cs"/>
          <w:color w:val="002060"/>
          <w:rtl/>
        </w:rPr>
        <w:t xml:space="preserve"> </w:t>
      </w:r>
      <w:r w:rsidRPr="00963C15">
        <w:rPr>
          <w:rFonts w:hint="cs"/>
          <w:color w:val="002060"/>
          <w:rtl/>
        </w:rPr>
        <w:t>ועוד</w:t>
      </w:r>
      <w:r w:rsidR="000C5146" w:rsidRPr="00963C15">
        <w:rPr>
          <w:rFonts w:hint="cs"/>
          <w:color w:val="002060"/>
          <w:rtl/>
        </w:rPr>
        <w:t xml:space="preserve">. </w:t>
      </w:r>
      <w:r w:rsidR="00455FB0">
        <w:rPr>
          <w:rFonts w:hint="cs"/>
          <w:color w:val="002060"/>
          <w:rtl/>
        </w:rPr>
        <w:t xml:space="preserve">חלק מצעדי הפיקוח במקרים ספציפיים הביאו, בזמן אמת, לצמצום ההפסדים של הבנקים </w:t>
      </w:r>
      <w:r w:rsidR="00B308A4">
        <w:rPr>
          <w:rFonts w:hint="cs"/>
          <w:color w:val="002060"/>
          <w:rtl/>
        </w:rPr>
        <w:t>בסכומים משמעותיים</w:t>
      </w:r>
      <w:r w:rsidR="00455FB0">
        <w:rPr>
          <w:rFonts w:hint="cs"/>
          <w:color w:val="002060"/>
          <w:rtl/>
        </w:rPr>
        <w:t>.</w:t>
      </w:r>
    </w:p>
    <w:p w:rsidR="00811445" w:rsidRPr="00963C15" w:rsidRDefault="00F2028A" w:rsidP="00963C15">
      <w:pPr>
        <w:numPr>
          <w:ilvl w:val="0"/>
          <w:numId w:val="27"/>
        </w:numPr>
        <w:tabs>
          <w:tab w:val="clear" w:pos="567"/>
          <w:tab w:val="clear" w:pos="1134"/>
          <w:tab w:val="clear" w:pos="1814"/>
          <w:tab w:val="left" w:pos="735"/>
        </w:tabs>
        <w:spacing w:after="120" w:line="240" w:lineRule="auto"/>
        <w:outlineLvl w:val="0"/>
        <w:rPr>
          <w:color w:val="002060"/>
          <w:rtl/>
        </w:rPr>
      </w:pPr>
      <w:r w:rsidRPr="00963C15">
        <w:rPr>
          <w:rFonts w:hint="cs"/>
          <w:color w:val="002060"/>
          <w:rtl/>
        </w:rPr>
        <w:t>הצעדים</w:t>
      </w:r>
      <w:r w:rsidR="000C5146" w:rsidRPr="00963C15">
        <w:rPr>
          <w:rFonts w:hint="cs"/>
          <w:color w:val="002060"/>
          <w:rtl/>
        </w:rPr>
        <w:t xml:space="preserve"> השונים</w:t>
      </w:r>
      <w:r w:rsidR="006D5AD5" w:rsidRPr="00963C15">
        <w:rPr>
          <w:rFonts w:hint="cs"/>
          <w:color w:val="002060"/>
          <w:rtl/>
        </w:rPr>
        <w:t xml:space="preserve"> </w:t>
      </w:r>
      <w:r w:rsidRPr="00963C15">
        <w:rPr>
          <w:rFonts w:hint="cs"/>
          <w:color w:val="002060"/>
          <w:rtl/>
        </w:rPr>
        <w:t xml:space="preserve">של הפיקוח ושל הבנקים </w:t>
      </w:r>
      <w:r w:rsidR="00811445" w:rsidRPr="00963C15">
        <w:rPr>
          <w:rFonts w:hint="cs"/>
          <w:color w:val="002060"/>
          <w:rtl/>
        </w:rPr>
        <w:t>הוביל</w:t>
      </w:r>
      <w:r w:rsidR="000C5146" w:rsidRPr="00963C15">
        <w:rPr>
          <w:rFonts w:hint="cs"/>
          <w:color w:val="002060"/>
          <w:rtl/>
        </w:rPr>
        <w:t>ו</w:t>
      </w:r>
      <w:r w:rsidR="00811445" w:rsidRPr="00963C15">
        <w:rPr>
          <w:rFonts w:hint="cs"/>
          <w:color w:val="002060"/>
          <w:rtl/>
        </w:rPr>
        <w:t xml:space="preserve"> לכך ש</w:t>
      </w:r>
      <w:r w:rsidR="00811445" w:rsidRPr="00963C15">
        <w:rPr>
          <w:rFonts w:hint="cs"/>
          <w:b/>
          <w:bCs/>
          <w:color w:val="002060"/>
          <w:rtl/>
        </w:rPr>
        <w:t xml:space="preserve">היום </w:t>
      </w:r>
      <w:r w:rsidR="00417422" w:rsidRPr="00963C15">
        <w:rPr>
          <w:rFonts w:hint="cs"/>
          <w:b/>
          <w:bCs/>
          <w:color w:val="002060"/>
          <w:rtl/>
        </w:rPr>
        <w:t>החשיפה ל</w:t>
      </w:r>
      <w:r w:rsidR="00E7695B" w:rsidRPr="00963C15">
        <w:rPr>
          <w:rFonts w:hint="cs"/>
          <w:b/>
          <w:bCs/>
          <w:color w:val="002060"/>
          <w:rtl/>
        </w:rPr>
        <w:t xml:space="preserve">קבוצות </w:t>
      </w:r>
      <w:r w:rsidR="009748D9" w:rsidRPr="00963C15">
        <w:rPr>
          <w:rFonts w:hint="cs"/>
          <w:b/>
          <w:bCs/>
          <w:color w:val="002060"/>
          <w:rtl/>
        </w:rPr>
        <w:t>לווים</w:t>
      </w:r>
      <w:r w:rsidR="00417422" w:rsidRPr="00963C15">
        <w:rPr>
          <w:rFonts w:hint="cs"/>
          <w:b/>
          <w:bCs/>
          <w:color w:val="002060"/>
          <w:rtl/>
        </w:rPr>
        <w:t xml:space="preserve"> גדול</w:t>
      </w:r>
      <w:r w:rsidR="00E7695B" w:rsidRPr="00963C15">
        <w:rPr>
          <w:rFonts w:hint="cs"/>
          <w:b/>
          <w:bCs/>
          <w:color w:val="002060"/>
          <w:rtl/>
        </w:rPr>
        <w:t>ות</w:t>
      </w:r>
      <w:r w:rsidR="00417422" w:rsidRPr="00963C15">
        <w:rPr>
          <w:rFonts w:hint="cs"/>
          <w:b/>
          <w:bCs/>
          <w:color w:val="002060"/>
          <w:rtl/>
        </w:rPr>
        <w:t xml:space="preserve"> וממונפ</w:t>
      </w:r>
      <w:r w:rsidR="00E7695B" w:rsidRPr="00963C15">
        <w:rPr>
          <w:rFonts w:hint="cs"/>
          <w:b/>
          <w:bCs/>
          <w:color w:val="002060"/>
          <w:rtl/>
        </w:rPr>
        <w:t>ות</w:t>
      </w:r>
      <w:r w:rsidR="00417422" w:rsidRPr="00963C15">
        <w:rPr>
          <w:rFonts w:hint="cs"/>
          <w:b/>
          <w:bCs/>
          <w:color w:val="002060"/>
          <w:rtl/>
        </w:rPr>
        <w:t xml:space="preserve"> נמוכה משמעותית ו</w:t>
      </w:r>
      <w:r w:rsidR="00811445" w:rsidRPr="00963C15">
        <w:rPr>
          <w:rFonts w:hint="cs"/>
          <w:b/>
          <w:bCs/>
          <w:color w:val="002060"/>
          <w:rtl/>
        </w:rPr>
        <w:t xml:space="preserve">ניהול סיכוני האשראי </w:t>
      </w:r>
      <w:r w:rsidR="00FE2397" w:rsidRPr="00963C15">
        <w:rPr>
          <w:rFonts w:hint="cs"/>
          <w:b/>
          <w:bCs/>
          <w:color w:val="002060"/>
          <w:rtl/>
        </w:rPr>
        <w:t xml:space="preserve">בבנקים </w:t>
      </w:r>
      <w:r w:rsidR="00811445" w:rsidRPr="00963C15">
        <w:rPr>
          <w:rFonts w:hint="cs"/>
          <w:b/>
          <w:bCs/>
          <w:color w:val="002060"/>
          <w:rtl/>
        </w:rPr>
        <w:t>ה</w:t>
      </w:r>
      <w:r w:rsidR="00855985" w:rsidRPr="00963C15">
        <w:rPr>
          <w:rFonts w:hint="cs"/>
          <w:b/>
          <w:bCs/>
          <w:color w:val="002060"/>
          <w:rtl/>
        </w:rPr>
        <w:t>י</w:t>
      </w:r>
      <w:r w:rsidR="00811445" w:rsidRPr="00963C15">
        <w:rPr>
          <w:rFonts w:hint="cs"/>
          <w:b/>
          <w:bCs/>
          <w:color w:val="002060"/>
          <w:rtl/>
        </w:rPr>
        <w:t>נו שמרני יותר.</w:t>
      </w:r>
      <w:r w:rsidR="00811445" w:rsidRPr="00963C15">
        <w:rPr>
          <w:rFonts w:hint="cs"/>
          <w:color w:val="002060"/>
          <w:rtl/>
        </w:rPr>
        <w:t xml:space="preserve"> עד</w:t>
      </w:r>
      <w:r w:rsidR="0064359B" w:rsidRPr="00963C15">
        <w:rPr>
          <w:rFonts w:hint="cs"/>
          <w:color w:val="002060"/>
          <w:rtl/>
        </w:rPr>
        <w:t>י</w:t>
      </w:r>
      <w:r w:rsidR="00811445" w:rsidRPr="00963C15">
        <w:rPr>
          <w:rFonts w:hint="cs"/>
          <w:color w:val="002060"/>
          <w:rtl/>
        </w:rPr>
        <w:t xml:space="preserve">ין קיימים בתיק האשראי הבנקאי אשראים היסטוריים </w:t>
      </w:r>
      <w:r w:rsidR="006F438A" w:rsidRPr="00963C15">
        <w:rPr>
          <w:rFonts w:hint="cs"/>
          <w:color w:val="002060"/>
          <w:rtl/>
        </w:rPr>
        <w:t xml:space="preserve">שהועמדו </w:t>
      </w:r>
      <w:r w:rsidR="002026A9" w:rsidRPr="00963C15">
        <w:rPr>
          <w:rFonts w:hint="cs"/>
          <w:color w:val="002060"/>
          <w:rtl/>
        </w:rPr>
        <w:t>קודם לביצוע</w:t>
      </w:r>
      <w:r w:rsidR="006F438A" w:rsidRPr="00963C15">
        <w:rPr>
          <w:rFonts w:hint="cs"/>
          <w:color w:val="002060"/>
          <w:rtl/>
        </w:rPr>
        <w:t xml:space="preserve"> הפקות הלקחים</w:t>
      </w:r>
      <w:r w:rsidR="00DB6511" w:rsidRPr="00963C15">
        <w:rPr>
          <w:rFonts w:hint="cs"/>
          <w:color w:val="002060"/>
          <w:rtl/>
        </w:rPr>
        <w:t>, ש</w:t>
      </w:r>
      <w:r w:rsidR="006F438A" w:rsidRPr="00963C15">
        <w:rPr>
          <w:rFonts w:hint="cs"/>
          <w:color w:val="002060"/>
          <w:rtl/>
        </w:rPr>
        <w:t>טרם נפרעו במלוא</w:t>
      </w:r>
      <w:r w:rsidR="00982CE2">
        <w:rPr>
          <w:rFonts w:hint="cs"/>
          <w:color w:val="002060"/>
          <w:rtl/>
        </w:rPr>
        <w:t>ם</w:t>
      </w:r>
      <w:r w:rsidR="006F438A" w:rsidRPr="00963C15">
        <w:rPr>
          <w:rFonts w:hint="cs"/>
          <w:color w:val="002060"/>
          <w:rtl/>
        </w:rPr>
        <w:t xml:space="preserve"> </w:t>
      </w:r>
      <w:r w:rsidR="00DB6511" w:rsidRPr="00963C15">
        <w:rPr>
          <w:rFonts w:hint="cs"/>
          <w:color w:val="002060"/>
          <w:rtl/>
        </w:rPr>
        <w:t xml:space="preserve">ואשר </w:t>
      </w:r>
      <w:r w:rsidR="00417422" w:rsidRPr="00963C15">
        <w:rPr>
          <w:rFonts w:hint="cs"/>
          <w:color w:val="002060"/>
          <w:rtl/>
        </w:rPr>
        <w:t>חלקם הגיע</w:t>
      </w:r>
      <w:r w:rsidR="00811445" w:rsidRPr="00963C15">
        <w:rPr>
          <w:rFonts w:hint="cs"/>
          <w:color w:val="002060"/>
          <w:rtl/>
        </w:rPr>
        <w:t xml:space="preserve"> להסדרי חוב</w:t>
      </w:r>
      <w:r w:rsidR="00FE2397" w:rsidRPr="00963C15">
        <w:rPr>
          <w:rFonts w:hint="cs"/>
          <w:color w:val="002060"/>
          <w:rtl/>
        </w:rPr>
        <w:t>.</w:t>
      </w:r>
      <w:r w:rsidR="006F438A" w:rsidRPr="00963C15">
        <w:rPr>
          <w:rFonts w:hint="cs"/>
          <w:color w:val="002060"/>
          <w:rtl/>
        </w:rPr>
        <w:t xml:space="preserve"> </w:t>
      </w:r>
    </w:p>
    <w:p w:rsidR="001B59F6" w:rsidRPr="00963C15" w:rsidRDefault="00524C34" w:rsidP="00963C15">
      <w:pPr>
        <w:numPr>
          <w:ilvl w:val="0"/>
          <w:numId w:val="27"/>
        </w:numPr>
        <w:tabs>
          <w:tab w:val="clear" w:pos="567"/>
          <w:tab w:val="clear" w:pos="1134"/>
          <w:tab w:val="clear" w:pos="1814"/>
          <w:tab w:val="left" w:pos="735"/>
        </w:tabs>
        <w:spacing w:after="120" w:line="240" w:lineRule="auto"/>
        <w:outlineLvl w:val="0"/>
        <w:rPr>
          <w:rFonts w:hint="cs"/>
          <w:color w:val="002060"/>
        </w:rPr>
      </w:pPr>
      <w:r w:rsidRPr="00963C15">
        <w:rPr>
          <w:rFonts w:hint="cs"/>
          <w:b/>
          <w:bCs/>
          <w:color w:val="002060"/>
          <w:rtl/>
        </w:rPr>
        <w:t xml:space="preserve">כשלי האשראי </w:t>
      </w:r>
      <w:r w:rsidR="00F2028A" w:rsidRPr="00963C15">
        <w:rPr>
          <w:rFonts w:hint="cs"/>
          <w:b/>
          <w:bCs/>
          <w:color w:val="002060"/>
          <w:rtl/>
        </w:rPr>
        <w:t xml:space="preserve">הללו </w:t>
      </w:r>
      <w:r w:rsidRPr="00963C15">
        <w:rPr>
          <w:rFonts w:hint="cs"/>
          <w:b/>
          <w:bCs/>
          <w:color w:val="002060"/>
          <w:rtl/>
        </w:rPr>
        <w:t xml:space="preserve">נבעו </w:t>
      </w:r>
      <w:r w:rsidR="00EE4E1A" w:rsidRPr="00963C15">
        <w:rPr>
          <w:rFonts w:hint="cs"/>
          <w:b/>
          <w:bCs/>
          <w:color w:val="002060"/>
          <w:rtl/>
        </w:rPr>
        <w:t xml:space="preserve">ברובם </w:t>
      </w:r>
      <w:r w:rsidR="00A56A26" w:rsidRPr="00963C15">
        <w:rPr>
          <w:rFonts w:hint="cs"/>
          <w:b/>
          <w:bCs/>
          <w:color w:val="002060"/>
          <w:rtl/>
        </w:rPr>
        <w:t>מ</w:t>
      </w:r>
      <w:r w:rsidR="00936153" w:rsidRPr="00963C15">
        <w:rPr>
          <w:rFonts w:hint="cs"/>
          <w:b/>
          <w:bCs/>
          <w:color w:val="002060"/>
          <w:rtl/>
        </w:rPr>
        <w:t xml:space="preserve">העמדת אשראי </w:t>
      </w:r>
      <w:r w:rsidR="00936153" w:rsidRPr="00963C15">
        <w:rPr>
          <w:rFonts w:hint="cs"/>
          <w:b/>
          <w:bCs/>
          <w:color w:val="002060"/>
          <w:kern w:val="28"/>
          <w:sz w:val="22"/>
          <w:rtl/>
        </w:rPr>
        <w:t xml:space="preserve">לחברות החזקה (במבנה פירמידאלי) במינוף גבוה </w:t>
      </w:r>
      <w:r w:rsidR="00F2028A" w:rsidRPr="00963C15">
        <w:rPr>
          <w:rFonts w:hint="cs"/>
          <w:b/>
          <w:bCs/>
          <w:color w:val="002060"/>
          <w:kern w:val="28"/>
          <w:sz w:val="22"/>
          <w:rtl/>
        </w:rPr>
        <w:t xml:space="preserve">(כלומר עם חוב גדול) </w:t>
      </w:r>
      <w:r w:rsidR="00936153" w:rsidRPr="00963C15">
        <w:rPr>
          <w:rFonts w:hint="cs"/>
          <w:b/>
          <w:bCs/>
          <w:color w:val="002060"/>
          <w:kern w:val="28"/>
          <w:sz w:val="22"/>
          <w:rtl/>
        </w:rPr>
        <w:t>שהלך ו</w:t>
      </w:r>
      <w:r w:rsidR="00D03D22">
        <w:rPr>
          <w:rFonts w:hint="cs"/>
          <w:b/>
          <w:bCs/>
          <w:color w:val="002060"/>
          <w:kern w:val="28"/>
          <w:sz w:val="22"/>
          <w:rtl/>
        </w:rPr>
        <w:t>עלה</w:t>
      </w:r>
      <w:r w:rsidR="00936153" w:rsidRPr="00963C15">
        <w:rPr>
          <w:rFonts w:hint="cs"/>
          <w:b/>
          <w:bCs/>
          <w:color w:val="002060"/>
          <w:kern w:val="28"/>
          <w:sz w:val="22"/>
          <w:rtl/>
        </w:rPr>
        <w:t xml:space="preserve"> עם השנים</w:t>
      </w:r>
      <w:r w:rsidR="00F2028A" w:rsidRPr="00963C15">
        <w:rPr>
          <w:rFonts w:hint="cs"/>
          <w:b/>
          <w:bCs/>
          <w:color w:val="002060"/>
          <w:kern w:val="28"/>
          <w:sz w:val="22"/>
          <w:rtl/>
        </w:rPr>
        <w:t>,</w:t>
      </w:r>
      <w:r w:rsidR="00F2028A" w:rsidRPr="00963C15">
        <w:rPr>
          <w:rFonts w:hint="cs"/>
          <w:color w:val="002060"/>
          <w:kern w:val="28"/>
          <w:sz w:val="22"/>
          <w:rtl/>
        </w:rPr>
        <w:t xml:space="preserve"> גם באמצעות גיוסים שביצעו החברות בשוק אגרות החוב</w:t>
      </w:r>
      <w:r w:rsidR="00936153" w:rsidRPr="00963C15">
        <w:rPr>
          <w:rFonts w:hint="cs"/>
          <w:color w:val="002060"/>
          <w:kern w:val="28"/>
          <w:sz w:val="22"/>
          <w:rtl/>
        </w:rPr>
        <w:t xml:space="preserve">. </w:t>
      </w:r>
      <w:r w:rsidR="00936153" w:rsidRPr="00963C15">
        <w:rPr>
          <w:rFonts w:hint="cs"/>
          <w:b/>
          <w:bCs/>
          <w:color w:val="002060"/>
          <w:kern w:val="28"/>
          <w:sz w:val="22"/>
          <w:rtl/>
        </w:rPr>
        <w:t xml:space="preserve">זאת, לצד </w:t>
      </w:r>
      <w:r w:rsidR="00A56A26" w:rsidRPr="00963C15">
        <w:rPr>
          <w:rFonts w:hint="cs"/>
          <w:b/>
          <w:bCs/>
          <w:color w:val="002060"/>
          <w:rtl/>
        </w:rPr>
        <w:t>הסתמכות על שווי החברות כבסיס להעמדת האשראי</w:t>
      </w:r>
      <w:r w:rsidR="00936153" w:rsidRPr="00963C15">
        <w:rPr>
          <w:rFonts w:hint="cs"/>
          <w:b/>
          <w:bCs/>
          <w:color w:val="002060"/>
          <w:rtl/>
        </w:rPr>
        <w:t xml:space="preserve"> והסתמכות יתר על </w:t>
      </w:r>
      <w:r w:rsidR="00B307DC" w:rsidRPr="00963C15">
        <w:rPr>
          <w:rFonts w:hint="cs"/>
          <w:b/>
          <w:bCs/>
          <w:color w:val="002060"/>
          <w:rtl/>
        </w:rPr>
        <w:t>היכולת ו</w:t>
      </w:r>
      <w:r w:rsidR="00936153" w:rsidRPr="00963C15">
        <w:rPr>
          <w:rFonts w:hint="cs"/>
          <w:b/>
          <w:bCs/>
          <w:color w:val="002060"/>
          <w:rtl/>
        </w:rPr>
        <w:t xml:space="preserve">הניסיון הקודם של </w:t>
      </w:r>
      <w:r w:rsidR="00B307DC" w:rsidRPr="00963C15">
        <w:rPr>
          <w:rFonts w:hint="cs"/>
          <w:b/>
          <w:bCs/>
          <w:color w:val="002060"/>
          <w:rtl/>
        </w:rPr>
        <w:t>ה</w:t>
      </w:r>
      <w:r w:rsidR="00936153" w:rsidRPr="00963C15">
        <w:rPr>
          <w:rFonts w:hint="cs"/>
          <w:b/>
          <w:bCs/>
          <w:color w:val="002060"/>
          <w:rtl/>
        </w:rPr>
        <w:t>איש שעמד בראש הקבוצ</w:t>
      </w:r>
      <w:r w:rsidR="00936153" w:rsidRPr="00963C15">
        <w:rPr>
          <w:rFonts w:hint="cs"/>
          <w:b/>
          <w:bCs/>
          <w:color w:val="002060"/>
          <w:kern w:val="28"/>
          <w:sz w:val="22"/>
          <w:rtl/>
        </w:rPr>
        <w:t>ה ("אפקט הילה")</w:t>
      </w:r>
      <w:r w:rsidR="001B59F6" w:rsidRPr="00963C15">
        <w:rPr>
          <w:rFonts w:hint="cs"/>
          <w:b/>
          <w:bCs/>
          <w:color w:val="002060"/>
          <w:kern w:val="28"/>
          <w:sz w:val="22"/>
          <w:rtl/>
        </w:rPr>
        <w:t>.</w:t>
      </w:r>
      <w:r w:rsidR="00936153" w:rsidRPr="00963C15">
        <w:rPr>
          <w:rFonts w:hint="cs"/>
          <w:color w:val="002060"/>
          <w:kern w:val="28"/>
          <w:sz w:val="22"/>
          <w:rtl/>
        </w:rPr>
        <w:t xml:space="preserve"> </w:t>
      </w:r>
      <w:r w:rsidR="001B59F6" w:rsidRPr="00963C15">
        <w:rPr>
          <w:rFonts w:hint="cs"/>
          <w:color w:val="002060"/>
          <w:kern w:val="28"/>
          <w:sz w:val="22"/>
          <w:rtl/>
        </w:rPr>
        <w:t xml:space="preserve">אלו תרמו </w:t>
      </w:r>
      <w:r w:rsidR="00982CE2">
        <w:rPr>
          <w:rFonts w:hint="cs"/>
          <w:color w:val="002060"/>
          <w:kern w:val="28"/>
          <w:sz w:val="22"/>
          <w:rtl/>
        </w:rPr>
        <w:t>ל</w:t>
      </w:r>
      <w:r w:rsidR="00A56A26" w:rsidRPr="00963C15">
        <w:rPr>
          <w:rFonts w:hint="cs"/>
          <w:color w:val="002060"/>
          <w:rtl/>
        </w:rPr>
        <w:t>הערכות אופטי</w:t>
      </w:r>
      <w:r w:rsidR="00A070BC" w:rsidRPr="00963C15">
        <w:rPr>
          <w:rFonts w:hint="cs"/>
          <w:color w:val="002060"/>
          <w:rtl/>
        </w:rPr>
        <w:t>מ</w:t>
      </w:r>
      <w:r w:rsidR="001B59F6" w:rsidRPr="00963C15">
        <w:rPr>
          <w:rFonts w:hint="cs"/>
          <w:color w:val="002060"/>
          <w:rtl/>
        </w:rPr>
        <w:t>י</w:t>
      </w:r>
      <w:r w:rsidR="00A56A26" w:rsidRPr="00963C15">
        <w:rPr>
          <w:rFonts w:hint="cs"/>
          <w:color w:val="002060"/>
          <w:rtl/>
        </w:rPr>
        <w:t>ות של הבנקים</w:t>
      </w:r>
      <w:r w:rsidR="00B307DC" w:rsidRPr="00963C15">
        <w:rPr>
          <w:rFonts w:hint="cs"/>
          <w:color w:val="002060"/>
          <w:rtl/>
        </w:rPr>
        <w:t>,</w:t>
      </w:r>
      <w:r w:rsidR="00A56A26" w:rsidRPr="00963C15">
        <w:rPr>
          <w:rFonts w:hint="cs"/>
          <w:color w:val="002060"/>
          <w:rtl/>
        </w:rPr>
        <w:t xml:space="preserve"> </w:t>
      </w:r>
      <w:r w:rsidR="000B5DA2" w:rsidRPr="00963C15">
        <w:rPr>
          <w:rFonts w:hint="cs"/>
          <w:color w:val="002060"/>
          <w:rtl/>
        </w:rPr>
        <w:t>כמו גם של חברות הדירוג והגופים המוסדיים</w:t>
      </w:r>
      <w:r w:rsidR="00B307DC" w:rsidRPr="00963C15">
        <w:rPr>
          <w:rFonts w:hint="cs"/>
          <w:color w:val="002060"/>
          <w:rtl/>
        </w:rPr>
        <w:t>,</w:t>
      </w:r>
      <w:r w:rsidR="000B5DA2" w:rsidRPr="00963C15">
        <w:rPr>
          <w:rFonts w:hint="cs"/>
          <w:color w:val="002060"/>
          <w:rtl/>
        </w:rPr>
        <w:t xml:space="preserve"> </w:t>
      </w:r>
      <w:r w:rsidR="00A56A26" w:rsidRPr="00963C15">
        <w:rPr>
          <w:rFonts w:hint="cs"/>
          <w:color w:val="002060"/>
          <w:rtl/>
        </w:rPr>
        <w:t>לגבי כושר ההחזר של הלווים</w:t>
      </w:r>
      <w:r w:rsidR="00982CE2">
        <w:rPr>
          <w:rFonts w:hint="cs"/>
          <w:color w:val="002060"/>
          <w:rtl/>
        </w:rPr>
        <w:t xml:space="preserve">. כשלי האשראי </w:t>
      </w:r>
      <w:r w:rsidR="00E379FD">
        <w:rPr>
          <w:rFonts w:hint="cs"/>
          <w:color w:val="002060"/>
          <w:rtl/>
        </w:rPr>
        <w:t>נבעו ג</w:t>
      </w:r>
      <w:r w:rsidR="00982CE2">
        <w:rPr>
          <w:rFonts w:hint="cs"/>
          <w:color w:val="002060"/>
          <w:rtl/>
        </w:rPr>
        <w:t>ם מ</w:t>
      </w:r>
      <w:r w:rsidR="00A070BC" w:rsidRPr="00963C15">
        <w:rPr>
          <w:rFonts w:hint="cs"/>
          <w:color w:val="002060"/>
          <w:rtl/>
        </w:rPr>
        <w:t>כ</w:t>
      </w:r>
      <w:r w:rsidR="00CD0EE8" w:rsidRPr="00963C15">
        <w:rPr>
          <w:rFonts w:hint="cs"/>
          <w:color w:val="002060"/>
          <w:rtl/>
        </w:rPr>
        <w:t>י</w:t>
      </w:r>
      <w:r w:rsidR="00A070BC" w:rsidRPr="00963C15">
        <w:rPr>
          <w:rFonts w:hint="cs"/>
          <w:color w:val="002060"/>
          <w:rtl/>
        </w:rPr>
        <w:t>שלון עסק</w:t>
      </w:r>
      <w:r w:rsidR="00C86996">
        <w:rPr>
          <w:rFonts w:hint="cs"/>
          <w:color w:val="002060"/>
          <w:rtl/>
        </w:rPr>
        <w:t>י של החברות,</w:t>
      </w:r>
      <w:r w:rsidRPr="00963C15">
        <w:rPr>
          <w:rFonts w:hint="cs"/>
          <w:color w:val="002060"/>
          <w:rtl/>
        </w:rPr>
        <w:t xml:space="preserve"> שלא תמיד ניתן היה לחזות אותו בעת מתן האשראי. </w:t>
      </w:r>
    </w:p>
    <w:p w:rsidR="00524C34" w:rsidRPr="00963C15" w:rsidRDefault="006D5AD5" w:rsidP="003255EB">
      <w:pPr>
        <w:tabs>
          <w:tab w:val="clear" w:pos="567"/>
          <w:tab w:val="clear" w:pos="1134"/>
          <w:tab w:val="clear" w:pos="1814"/>
          <w:tab w:val="left" w:pos="735"/>
        </w:tabs>
        <w:spacing w:after="120" w:line="240" w:lineRule="auto"/>
        <w:ind w:left="720"/>
        <w:outlineLvl w:val="0"/>
        <w:rPr>
          <w:rFonts w:hint="cs"/>
          <w:b/>
          <w:bCs/>
          <w:color w:val="002060"/>
          <w:rtl/>
        </w:rPr>
      </w:pPr>
      <w:r w:rsidRPr="00963C15">
        <w:rPr>
          <w:rFonts w:hint="cs"/>
          <w:b/>
          <w:bCs/>
          <w:color w:val="002060"/>
          <w:rtl/>
        </w:rPr>
        <w:t>ל</w:t>
      </w:r>
      <w:r w:rsidR="00524C34" w:rsidRPr="00963C15">
        <w:rPr>
          <w:rFonts w:hint="cs"/>
          <w:b/>
          <w:bCs/>
          <w:color w:val="002060"/>
          <w:rtl/>
        </w:rPr>
        <w:t>מעט במקרים בודדים, הביקורות לא העלו שהועמד אשראי משיקולים זרים ותוך ניגוד עניינים</w:t>
      </w:r>
      <w:r w:rsidR="00A070BC" w:rsidRPr="00963C15">
        <w:rPr>
          <w:rFonts w:hint="cs"/>
          <w:b/>
          <w:bCs/>
          <w:color w:val="002060"/>
          <w:rtl/>
        </w:rPr>
        <w:t xml:space="preserve">, אם כי הכלים של הפיקוח לבצע בדיקות </w:t>
      </w:r>
      <w:r w:rsidR="003255EB">
        <w:rPr>
          <w:rFonts w:hint="cs"/>
          <w:b/>
          <w:bCs/>
          <w:color w:val="002060"/>
          <w:rtl/>
        </w:rPr>
        <w:t>שיאתרו מצבים כאלו</w:t>
      </w:r>
      <w:r w:rsidR="00A070BC" w:rsidRPr="00963C15">
        <w:rPr>
          <w:rFonts w:hint="cs"/>
          <w:b/>
          <w:bCs/>
          <w:color w:val="002060"/>
          <w:rtl/>
        </w:rPr>
        <w:t xml:space="preserve"> הינם מוגבלים</w:t>
      </w:r>
      <w:r w:rsidR="00524C34" w:rsidRPr="00963C15">
        <w:rPr>
          <w:rFonts w:hint="cs"/>
          <w:b/>
          <w:bCs/>
          <w:color w:val="002060"/>
          <w:rtl/>
        </w:rPr>
        <w:t>.</w:t>
      </w:r>
    </w:p>
    <w:p w:rsidR="00EE4E1A" w:rsidRPr="00963C15" w:rsidRDefault="000C5146" w:rsidP="00E775D6">
      <w:pPr>
        <w:numPr>
          <w:ilvl w:val="0"/>
          <w:numId w:val="27"/>
        </w:numPr>
        <w:tabs>
          <w:tab w:val="clear" w:pos="567"/>
          <w:tab w:val="clear" w:pos="1134"/>
          <w:tab w:val="clear" w:pos="1814"/>
          <w:tab w:val="left" w:pos="735"/>
        </w:tabs>
        <w:spacing w:after="120" w:line="240" w:lineRule="auto"/>
        <w:outlineLvl w:val="0"/>
        <w:rPr>
          <w:color w:val="002060"/>
          <w:rtl/>
        </w:rPr>
      </w:pPr>
      <w:r w:rsidRPr="00963C15">
        <w:rPr>
          <w:rFonts w:hint="cs"/>
          <w:color w:val="002060"/>
          <w:kern w:val="28"/>
          <w:sz w:val="22"/>
          <w:rtl/>
        </w:rPr>
        <w:t xml:space="preserve">בניגוד למה שמרבים לטעון, </w:t>
      </w:r>
      <w:r w:rsidR="00A070BC" w:rsidRPr="00963C15">
        <w:rPr>
          <w:rFonts w:hint="cs"/>
          <w:b/>
          <w:bCs/>
          <w:color w:val="002060"/>
          <w:kern w:val="28"/>
          <w:sz w:val="22"/>
          <w:rtl/>
        </w:rPr>
        <w:t>הנתונים אינם מראים ש</w:t>
      </w:r>
      <w:r w:rsidRPr="00963C15">
        <w:rPr>
          <w:rFonts w:hint="cs"/>
          <w:b/>
          <w:bCs/>
          <w:color w:val="002060"/>
          <w:kern w:val="28"/>
          <w:sz w:val="22"/>
          <w:rtl/>
        </w:rPr>
        <w:t>היחס של הבנקים כלפי הלווי</w:t>
      </w:r>
      <w:r w:rsidR="00EE4E1A" w:rsidRPr="00963C15">
        <w:rPr>
          <w:rFonts w:hint="cs"/>
          <w:b/>
          <w:bCs/>
          <w:color w:val="002060"/>
          <w:kern w:val="28"/>
          <w:sz w:val="22"/>
          <w:rtl/>
        </w:rPr>
        <w:t>ם</w:t>
      </w:r>
      <w:r w:rsidRPr="00963C15">
        <w:rPr>
          <w:rFonts w:hint="cs"/>
          <w:b/>
          <w:bCs/>
          <w:color w:val="002060"/>
          <w:kern w:val="28"/>
          <w:sz w:val="22"/>
          <w:rtl/>
        </w:rPr>
        <w:t xml:space="preserve"> הגדולים יותר</w:t>
      </w:r>
      <w:r w:rsidR="00E775D6" w:rsidRPr="00963C15">
        <w:rPr>
          <w:rFonts w:hint="cs"/>
          <w:b/>
          <w:bCs/>
          <w:color w:val="002060"/>
          <w:kern w:val="28"/>
          <w:sz w:val="22"/>
          <w:rtl/>
        </w:rPr>
        <w:t xml:space="preserve"> </w:t>
      </w:r>
      <w:r w:rsidRPr="00963C15">
        <w:rPr>
          <w:rFonts w:hint="cs"/>
          <w:b/>
          <w:bCs/>
          <w:color w:val="002060"/>
          <w:kern w:val="28"/>
          <w:sz w:val="22"/>
          <w:rtl/>
        </w:rPr>
        <w:t xml:space="preserve">סלחני מאשר כלפי לווים </w:t>
      </w:r>
      <w:r w:rsidR="00A070BC" w:rsidRPr="00963C15">
        <w:rPr>
          <w:rFonts w:hint="cs"/>
          <w:b/>
          <w:bCs/>
          <w:color w:val="002060"/>
          <w:kern w:val="28"/>
          <w:sz w:val="22"/>
          <w:rtl/>
        </w:rPr>
        <w:t>צרכניים</w:t>
      </w:r>
      <w:r w:rsidRPr="00963C15">
        <w:rPr>
          <w:rFonts w:hint="cs"/>
          <w:color w:val="002060"/>
          <w:kern w:val="28"/>
          <w:sz w:val="22"/>
          <w:rtl/>
        </w:rPr>
        <w:t xml:space="preserve">, ובשנים האחרונות אנו עדים למאמצים </w:t>
      </w:r>
      <w:r w:rsidR="00A070BC" w:rsidRPr="00963C15">
        <w:rPr>
          <w:rFonts w:hint="cs"/>
          <w:color w:val="002060"/>
          <w:kern w:val="28"/>
          <w:sz w:val="22"/>
          <w:rtl/>
        </w:rPr>
        <w:t xml:space="preserve">גדולים </w:t>
      </w:r>
      <w:r w:rsidRPr="00963C15">
        <w:rPr>
          <w:rFonts w:hint="cs"/>
          <w:color w:val="002060"/>
          <w:kern w:val="28"/>
          <w:sz w:val="22"/>
          <w:rtl/>
        </w:rPr>
        <w:t>של הבנקים לקדם תהליכי הסדר ו"גביה רכה" דווקא מול הלקוחות הצרכניים</w:t>
      </w:r>
      <w:r w:rsidRPr="00963C15">
        <w:rPr>
          <w:rFonts w:hint="cs"/>
          <w:color w:val="002060"/>
          <w:rtl/>
        </w:rPr>
        <w:t xml:space="preserve">. </w:t>
      </w:r>
    </w:p>
    <w:p w:rsidR="002B1891" w:rsidRPr="00963C15" w:rsidRDefault="00FE2397" w:rsidP="00963C15">
      <w:pPr>
        <w:numPr>
          <w:ilvl w:val="0"/>
          <w:numId w:val="27"/>
        </w:numPr>
        <w:tabs>
          <w:tab w:val="clear" w:pos="567"/>
          <w:tab w:val="clear" w:pos="1134"/>
          <w:tab w:val="clear" w:pos="1814"/>
          <w:tab w:val="left" w:pos="735"/>
        </w:tabs>
        <w:spacing w:line="240" w:lineRule="auto"/>
        <w:outlineLvl w:val="0"/>
        <w:rPr>
          <w:color w:val="002060"/>
          <w:rtl/>
        </w:rPr>
      </w:pPr>
      <w:r w:rsidRPr="00963C15">
        <w:rPr>
          <w:rFonts w:hint="cs"/>
          <w:color w:val="002060"/>
          <w:kern w:val="28"/>
          <w:sz w:val="22"/>
          <w:rtl/>
        </w:rPr>
        <w:t xml:space="preserve">למרות הכשלים שהיו והסיכון לכשל </w:t>
      </w:r>
      <w:r w:rsidR="00286CE7" w:rsidRPr="00963C15">
        <w:rPr>
          <w:rFonts w:hint="cs"/>
          <w:color w:val="002060"/>
          <w:kern w:val="28"/>
          <w:sz w:val="22"/>
          <w:rtl/>
        </w:rPr>
        <w:t xml:space="preserve">אשר מטבעו </w:t>
      </w:r>
      <w:r w:rsidRPr="00963C15">
        <w:rPr>
          <w:rFonts w:hint="cs"/>
          <w:color w:val="002060"/>
          <w:kern w:val="28"/>
          <w:sz w:val="22"/>
          <w:rtl/>
        </w:rPr>
        <w:t>קיים בכל אשראי חדש שניתן</w:t>
      </w:r>
      <w:r w:rsidR="00241CCC" w:rsidRPr="00963C15">
        <w:rPr>
          <w:rFonts w:hint="cs"/>
          <w:color w:val="002060"/>
          <w:kern w:val="28"/>
          <w:sz w:val="22"/>
          <w:rtl/>
        </w:rPr>
        <w:t xml:space="preserve">, </w:t>
      </w:r>
      <w:r w:rsidR="00241CCC" w:rsidRPr="00963C15">
        <w:rPr>
          <w:rFonts w:hint="cs"/>
          <w:b/>
          <w:bCs/>
          <w:color w:val="002060"/>
          <w:kern w:val="28"/>
          <w:sz w:val="22"/>
          <w:rtl/>
        </w:rPr>
        <w:t xml:space="preserve">חשוב לאפשר ולעודד את הבנקים להעמיד אשראים </w:t>
      </w:r>
      <w:r w:rsidR="002B70BA" w:rsidRPr="00963C15">
        <w:rPr>
          <w:rFonts w:hint="cs"/>
          <w:b/>
          <w:bCs/>
          <w:color w:val="002060"/>
          <w:kern w:val="28"/>
          <w:sz w:val="22"/>
          <w:rtl/>
        </w:rPr>
        <w:t xml:space="preserve">גם </w:t>
      </w:r>
      <w:r w:rsidR="00241CCC" w:rsidRPr="00963C15">
        <w:rPr>
          <w:rFonts w:hint="cs"/>
          <w:b/>
          <w:bCs/>
          <w:color w:val="002060"/>
          <w:kern w:val="28"/>
          <w:sz w:val="22"/>
          <w:rtl/>
        </w:rPr>
        <w:t>ל</w:t>
      </w:r>
      <w:r w:rsidR="00B307DC" w:rsidRPr="00963C15">
        <w:rPr>
          <w:rFonts w:hint="cs"/>
          <w:b/>
          <w:bCs/>
          <w:color w:val="002060"/>
          <w:kern w:val="28"/>
          <w:sz w:val="22"/>
          <w:rtl/>
        </w:rPr>
        <w:t>לווים גדולים ול</w:t>
      </w:r>
      <w:r w:rsidR="00241CCC" w:rsidRPr="00963C15">
        <w:rPr>
          <w:rFonts w:hint="cs"/>
          <w:b/>
          <w:bCs/>
          <w:color w:val="002060"/>
          <w:kern w:val="28"/>
          <w:sz w:val="22"/>
          <w:rtl/>
        </w:rPr>
        <w:t xml:space="preserve">חברות עסקיות </w:t>
      </w:r>
      <w:r w:rsidR="002B70BA" w:rsidRPr="00963C15">
        <w:rPr>
          <w:rFonts w:hint="cs"/>
          <w:b/>
          <w:bCs/>
          <w:color w:val="002060"/>
          <w:kern w:val="28"/>
          <w:sz w:val="22"/>
          <w:rtl/>
        </w:rPr>
        <w:t xml:space="preserve">גדולות </w:t>
      </w:r>
      <w:r w:rsidR="00241CCC" w:rsidRPr="00963C15">
        <w:rPr>
          <w:rFonts w:hint="cs"/>
          <w:b/>
          <w:bCs/>
          <w:color w:val="002060"/>
          <w:kern w:val="28"/>
          <w:sz w:val="22"/>
          <w:rtl/>
        </w:rPr>
        <w:t>במשק</w:t>
      </w:r>
      <w:r w:rsidRPr="00963C15">
        <w:rPr>
          <w:rFonts w:hint="cs"/>
          <w:color w:val="002060"/>
          <w:kern w:val="28"/>
          <w:sz w:val="22"/>
          <w:rtl/>
        </w:rPr>
        <w:t>, באופן זהיר</w:t>
      </w:r>
      <w:r w:rsidR="00241CCC" w:rsidRPr="00963C15">
        <w:rPr>
          <w:rFonts w:hint="cs"/>
          <w:color w:val="002060"/>
          <w:kern w:val="28"/>
          <w:sz w:val="22"/>
          <w:rtl/>
        </w:rPr>
        <w:t>, שכן לאלה תפקיד חשוב ביצירת הצמיחה הכלכלית ומקומות העבודה.</w:t>
      </w:r>
      <w:r w:rsidRPr="00963C15">
        <w:rPr>
          <w:rFonts w:hint="cs"/>
          <w:color w:val="002060"/>
          <w:kern w:val="28"/>
          <w:sz w:val="22"/>
          <w:rtl/>
        </w:rPr>
        <w:t xml:space="preserve"> </w:t>
      </w:r>
      <w:r w:rsidR="002B1891">
        <w:rPr>
          <w:rFonts w:hint="cs"/>
          <w:color w:val="002060"/>
          <w:kern w:val="28"/>
          <w:sz w:val="22"/>
          <w:rtl/>
        </w:rPr>
        <w:t>חשוב גם להכיר בכך שפעילות כלכלית-עסקי</w:t>
      </w:r>
      <w:r w:rsidR="00C86996">
        <w:rPr>
          <w:rFonts w:hint="cs"/>
          <w:color w:val="002060"/>
          <w:kern w:val="28"/>
          <w:sz w:val="22"/>
          <w:rtl/>
        </w:rPr>
        <w:t>ת</w:t>
      </w:r>
      <w:r w:rsidR="002B1891">
        <w:rPr>
          <w:rFonts w:hint="cs"/>
          <w:color w:val="002060"/>
          <w:kern w:val="28"/>
          <w:sz w:val="22"/>
          <w:rtl/>
        </w:rPr>
        <w:t xml:space="preserve"> מעצם טבעה כרוכה באי וודאות, ולכן המימון שלה כרוך בסיכון.</w:t>
      </w:r>
      <w:r w:rsidR="002B1891" w:rsidRPr="00963C15" w:rsidDel="002B1891">
        <w:rPr>
          <w:rFonts w:hint="cs"/>
          <w:color w:val="002060"/>
          <w:kern w:val="28"/>
          <w:sz w:val="22"/>
          <w:rtl/>
        </w:rPr>
        <w:t xml:space="preserve"> </w:t>
      </w:r>
    </w:p>
    <w:p w:rsidR="00811445" w:rsidRPr="00963C15" w:rsidRDefault="00811445" w:rsidP="00811445">
      <w:pPr>
        <w:tabs>
          <w:tab w:val="clear" w:pos="567"/>
          <w:tab w:val="clear" w:pos="1134"/>
          <w:tab w:val="num" w:pos="562"/>
        </w:tabs>
        <w:outlineLvl w:val="0"/>
        <w:rPr>
          <w:color w:val="002060"/>
          <w:rtl/>
        </w:rPr>
      </w:pPr>
    </w:p>
    <w:p w:rsidR="00562A54" w:rsidRDefault="00562A54" w:rsidP="0005087E">
      <w:pPr>
        <w:tabs>
          <w:tab w:val="clear" w:pos="567"/>
          <w:tab w:val="clear" w:pos="1134"/>
          <w:tab w:val="num" w:pos="562"/>
        </w:tabs>
        <w:outlineLvl w:val="0"/>
        <w:rPr>
          <w:rFonts w:hint="cs"/>
          <w:b/>
          <w:bCs/>
          <w:color w:val="00B0F0"/>
          <w:sz w:val="16"/>
          <w:szCs w:val="16"/>
          <w:rtl/>
        </w:rPr>
      </w:pPr>
    </w:p>
    <w:p w:rsidR="00EC65B4" w:rsidRDefault="003255EB" w:rsidP="00963C15">
      <w:pPr>
        <w:tabs>
          <w:tab w:val="clear" w:pos="567"/>
          <w:tab w:val="clear" w:pos="1134"/>
          <w:tab w:val="num" w:pos="562"/>
        </w:tabs>
        <w:outlineLvl w:val="0"/>
        <w:rPr>
          <w:rFonts w:hint="cs"/>
          <w:b/>
          <w:bCs/>
          <w:color w:val="00B0F0"/>
          <w:rtl/>
        </w:rPr>
      </w:pPr>
      <w:r>
        <w:rPr>
          <w:b/>
          <w:bCs/>
          <w:color w:val="00B0F0"/>
          <w:rtl/>
        </w:rPr>
        <w:br w:type="page"/>
      </w:r>
      <w:r w:rsidR="00EC65B4" w:rsidRPr="00863726">
        <w:rPr>
          <w:rFonts w:hint="cs"/>
          <w:b/>
          <w:bCs/>
          <w:color w:val="00B0F0"/>
          <w:rtl/>
        </w:rPr>
        <w:lastRenderedPageBreak/>
        <w:t>מה היקף האשראי ש</w:t>
      </w:r>
      <w:r w:rsidR="005620A8">
        <w:rPr>
          <w:rFonts w:hint="cs"/>
          <w:b/>
          <w:bCs/>
          <w:color w:val="00B0F0"/>
          <w:rtl/>
        </w:rPr>
        <w:t>העמידה</w:t>
      </w:r>
      <w:r w:rsidR="00EC65B4" w:rsidRPr="00863726">
        <w:rPr>
          <w:rFonts w:hint="cs"/>
          <w:b/>
          <w:bCs/>
          <w:color w:val="00B0F0"/>
          <w:rtl/>
        </w:rPr>
        <w:t xml:space="preserve"> המערכת הבנקאית</w:t>
      </w:r>
      <w:r w:rsidR="00765929" w:rsidRPr="00863726">
        <w:rPr>
          <w:rFonts w:hint="cs"/>
          <w:b/>
          <w:bCs/>
          <w:color w:val="00B0F0"/>
          <w:rtl/>
        </w:rPr>
        <w:t xml:space="preserve"> בישראל</w:t>
      </w:r>
      <w:r w:rsidR="00083776">
        <w:rPr>
          <w:rFonts w:hint="cs"/>
          <w:b/>
          <w:bCs/>
          <w:color w:val="00B0F0"/>
          <w:rtl/>
        </w:rPr>
        <w:t xml:space="preserve"> ללווים הגדולים</w:t>
      </w:r>
      <w:r w:rsidR="004174D5">
        <w:rPr>
          <w:rFonts w:hint="cs"/>
          <w:b/>
          <w:bCs/>
          <w:color w:val="00B0F0"/>
          <w:rtl/>
        </w:rPr>
        <w:t xml:space="preserve"> ו</w:t>
      </w:r>
      <w:r w:rsidR="0040287B">
        <w:rPr>
          <w:rFonts w:hint="cs"/>
          <w:b/>
          <w:bCs/>
          <w:color w:val="00B0F0"/>
          <w:rtl/>
        </w:rPr>
        <w:t>כמה מתוכו מסוכן</w:t>
      </w:r>
      <w:r w:rsidR="00EC65B4" w:rsidRPr="00863726">
        <w:rPr>
          <w:rFonts w:hint="cs"/>
          <w:b/>
          <w:bCs/>
          <w:color w:val="00B0F0"/>
          <w:rtl/>
        </w:rPr>
        <w:t>?</w:t>
      </w:r>
    </w:p>
    <w:p w:rsidR="001D787D" w:rsidRDefault="001414A4" w:rsidP="00CA6F3C">
      <w:pPr>
        <w:tabs>
          <w:tab w:val="clear" w:pos="567"/>
          <w:tab w:val="clear" w:pos="1134"/>
          <w:tab w:val="num" w:pos="562"/>
        </w:tabs>
        <w:outlineLvl w:val="0"/>
        <w:rPr>
          <w:rFonts w:hint="cs"/>
          <w:rtl/>
        </w:rPr>
      </w:pPr>
      <w:r w:rsidRPr="00E524C4">
        <w:rPr>
          <w:rFonts w:hint="cs"/>
          <w:rtl/>
        </w:rPr>
        <w:t xml:space="preserve">הנתונים מצביעים על כך שמתוך תיק אשראי </w:t>
      </w:r>
      <w:r>
        <w:rPr>
          <w:rFonts w:hint="cs"/>
          <w:rtl/>
        </w:rPr>
        <w:t xml:space="preserve">של כ </w:t>
      </w:r>
      <w:r>
        <w:rPr>
          <w:rtl/>
        </w:rPr>
        <w:t>–</w:t>
      </w:r>
      <w:r>
        <w:rPr>
          <w:rFonts w:hint="cs"/>
          <w:rtl/>
        </w:rPr>
        <w:t xml:space="preserve"> 940 מיליארד ₪ במערכת הבנקאית, </w:t>
      </w:r>
      <w:r w:rsidRPr="00863726">
        <w:rPr>
          <w:rFonts w:hint="cs"/>
          <w:b/>
          <w:bCs/>
          <w:rtl/>
        </w:rPr>
        <w:t xml:space="preserve">כ- 2.3% </w:t>
      </w:r>
      <w:r>
        <w:rPr>
          <w:rFonts w:hint="cs"/>
          <w:b/>
          <w:bCs/>
          <w:rtl/>
        </w:rPr>
        <w:t xml:space="preserve">מהאשראי הוא </w:t>
      </w:r>
      <w:r w:rsidRPr="00863726">
        <w:rPr>
          <w:rFonts w:hint="cs"/>
          <w:b/>
          <w:bCs/>
          <w:rtl/>
        </w:rPr>
        <w:t>ל</w:t>
      </w:r>
      <w:r w:rsidR="00CD0EE8">
        <w:rPr>
          <w:rFonts w:hint="cs"/>
          <w:b/>
          <w:bCs/>
          <w:rtl/>
        </w:rPr>
        <w:t>חברות החזקה ממונפות ב</w:t>
      </w:r>
      <w:r w:rsidRPr="00863726">
        <w:rPr>
          <w:rFonts w:hint="cs"/>
          <w:b/>
          <w:bCs/>
          <w:rtl/>
        </w:rPr>
        <w:t xml:space="preserve">קבוצות </w:t>
      </w:r>
      <w:r w:rsidR="00CD0EE8">
        <w:rPr>
          <w:rFonts w:hint="cs"/>
          <w:b/>
          <w:bCs/>
          <w:rtl/>
        </w:rPr>
        <w:t>ה</w:t>
      </w:r>
      <w:r w:rsidRPr="00863726">
        <w:rPr>
          <w:rFonts w:hint="cs"/>
          <w:b/>
          <w:bCs/>
          <w:rtl/>
        </w:rPr>
        <w:t xml:space="preserve">לווים </w:t>
      </w:r>
      <w:r w:rsidR="00CD0EE8">
        <w:rPr>
          <w:rFonts w:hint="cs"/>
          <w:b/>
          <w:bCs/>
          <w:rtl/>
        </w:rPr>
        <w:t>ה</w:t>
      </w:r>
      <w:r w:rsidRPr="00863726">
        <w:rPr>
          <w:rFonts w:hint="cs"/>
          <w:b/>
          <w:bCs/>
          <w:rtl/>
        </w:rPr>
        <w:t xml:space="preserve">גדולות בהן הסיכון </w:t>
      </w:r>
      <w:r>
        <w:rPr>
          <w:rFonts w:hint="cs"/>
          <w:b/>
          <w:bCs/>
          <w:rtl/>
        </w:rPr>
        <w:t>גבוה</w:t>
      </w:r>
      <w:r w:rsidRPr="00863726">
        <w:rPr>
          <w:rFonts w:hint="cs"/>
          <w:b/>
          <w:bCs/>
          <w:rtl/>
        </w:rPr>
        <w:t xml:space="preserve"> יותר</w:t>
      </w:r>
      <w:r>
        <w:rPr>
          <w:rFonts w:hint="cs"/>
          <w:rtl/>
        </w:rPr>
        <w:t>.</w:t>
      </w:r>
    </w:p>
    <w:p w:rsidR="001414A4" w:rsidRDefault="00475AC7" w:rsidP="004009AD">
      <w:pPr>
        <w:tabs>
          <w:tab w:val="clear" w:pos="567"/>
          <w:tab w:val="clear" w:pos="1134"/>
          <w:tab w:val="num" w:pos="562"/>
        </w:tabs>
        <w:outlineLvl w:val="0"/>
        <w:rPr>
          <w:rFonts w:hint="cs"/>
          <w:rtl/>
        </w:rPr>
      </w:pPr>
      <w:r>
        <w:rPr>
          <w:rFonts w:hint="cs"/>
          <w:rtl/>
        </w:rPr>
        <w:t xml:space="preserve">חברות החזקה ממונפות הן חברות </w:t>
      </w:r>
      <w:r w:rsidR="00E7695B">
        <w:rPr>
          <w:rFonts w:hint="cs"/>
          <w:rtl/>
        </w:rPr>
        <w:t>אשר משקיעות בחברות אחרות ואשר היחס בין האשראים שהן נטלו לבין ההון העצמי שלהן גבוה מהמקובל.</w:t>
      </w:r>
      <w:r>
        <w:rPr>
          <w:rFonts w:hint="cs"/>
          <w:rtl/>
        </w:rPr>
        <w:t xml:space="preserve"> עסקאות </w:t>
      </w:r>
      <w:r w:rsidR="00E7695B">
        <w:rPr>
          <w:rFonts w:hint="cs"/>
          <w:rtl/>
        </w:rPr>
        <w:t xml:space="preserve">מתן </w:t>
      </w:r>
      <w:r>
        <w:rPr>
          <w:rFonts w:hint="cs"/>
          <w:rtl/>
        </w:rPr>
        <w:t xml:space="preserve">אשראי לחברות אלו </w:t>
      </w:r>
      <w:r w:rsidR="00E7695B">
        <w:rPr>
          <w:rFonts w:hint="cs"/>
          <w:rtl/>
        </w:rPr>
        <w:t xml:space="preserve">לצורך מימון השקעות נוספות </w:t>
      </w:r>
      <w:r>
        <w:rPr>
          <w:rFonts w:hint="cs"/>
          <w:rtl/>
        </w:rPr>
        <w:t>מטבען מגדילות את רמת המינוף של הלווים ולכן הן מסוכנות יותר ומחייבות התנהלות זהירה יותר</w:t>
      </w:r>
      <w:r w:rsidR="00E11A9A">
        <w:rPr>
          <w:rFonts w:hint="cs"/>
          <w:rtl/>
        </w:rPr>
        <w:t xml:space="preserve"> מצד ספקי האשראי, </w:t>
      </w:r>
      <w:r w:rsidR="00D963E9">
        <w:rPr>
          <w:rFonts w:hint="cs"/>
          <w:rtl/>
        </w:rPr>
        <w:t xml:space="preserve">שהם </w:t>
      </w:r>
      <w:r w:rsidR="00E11A9A">
        <w:rPr>
          <w:rFonts w:hint="cs"/>
          <w:rtl/>
        </w:rPr>
        <w:t xml:space="preserve">המערכת הבנקאית </w:t>
      </w:r>
      <w:r w:rsidR="00D963E9">
        <w:rPr>
          <w:rFonts w:hint="cs"/>
          <w:rtl/>
        </w:rPr>
        <w:t>והגופים המוסדיים.</w:t>
      </w:r>
    </w:p>
    <w:p w:rsidR="00A46434" w:rsidRDefault="00A46434" w:rsidP="00431FC4">
      <w:pPr>
        <w:tabs>
          <w:tab w:val="clear" w:pos="567"/>
          <w:tab w:val="clear" w:pos="1134"/>
          <w:tab w:val="num" w:pos="562"/>
        </w:tabs>
        <w:outlineLvl w:val="0"/>
        <w:rPr>
          <w:rFonts w:hint="cs"/>
          <w:rtl/>
        </w:rPr>
      </w:pPr>
      <w:r w:rsidRPr="00E524C4">
        <w:rPr>
          <w:rFonts w:hint="cs"/>
          <w:rtl/>
        </w:rPr>
        <w:t xml:space="preserve">מצ"ב נתונים על היקף האשראי במערכת הבנקאית </w:t>
      </w:r>
      <w:r w:rsidR="003255EB">
        <w:rPr>
          <w:rFonts w:hint="cs"/>
          <w:rtl/>
        </w:rPr>
        <w:t xml:space="preserve">נכון </w:t>
      </w:r>
      <w:r w:rsidRPr="00E524C4">
        <w:rPr>
          <w:rFonts w:hint="cs"/>
          <w:rtl/>
        </w:rPr>
        <w:t xml:space="preserve">ל </w:t>
      </w:r>
      <w:r w:rsidRPr="00E524C4">
        <w:rPr>
          <w:rtl/>
        </w:rPr>
        <w:t>–</w:t>
      </w:r>
      <w:r w:rsidRPr="00E524C4">
        <w:rPr>
          <w:rFonts w:hint="cs"/>
          <w:rtl/>
        </w:rPr>
        <w:t xml:space="preserve"> 30.</w:t>
      </w:r>
      <w:r w:rsidR="00431FC4">
        <w:rPr>
          <w:rFonts w:hint="cs"/>
          <w:rtl/>
        </w:rPr>
        <w:t>9</w:t>
      </w:r>
      <w:r w:rsidRPr="00E524C4">
        <w:rPr>
          <w:rFonts w:hint="cs"/>
          <w:rtl/>
        </w:rPr>
        <w:t>.</w:t>
      </w:r>
      <w:r w:rsidR="00087DD5" w:rsidRPr="00E524C4">
        <w:rPr>
          <w:rFonts w:hint="cs"/>
          <w:rtl/>
        </w:rPr>
        <w:t>1</w:t>
      </w:r>
      <w:r w:rsidR="00087DD5">
        <w:rPr>
          <w:rFonts w:hint="cs"/>
          <w:rtl/>
        </w:rPr>
        <w:t>6</w:t>
      </w:r>
      <w:r>
        <w:rPr>
          <w:rFonts w:hint="cs"/>
          <w:rtl/>
        </w:rPr>
        <w:t>:</w:t>
      </w:r>
      <w:r w:rsidRPr="00E524C4">
        <w:rPr>
          <w:rFonts w:hint="cs"/>
          <w:rtl/>
        </w:rPr>
        <w:t xml:space="preserve"> </w:t>
      </w:r>
    </w:p>
    <w:p w:rsidR="00E23204" w:rsidRDefault="00506868" w:rsidP="00442D09">
      <w:pPr>
        <w:tabs>
          <w:tab w:val="clear" w:pos="567"/>
          <w:tab w:val="clear" w:pos="1134"/>
          <w:tab w:val="num" w:pos="562"/>
        </w:tabs>
        <w:jc w:val="center"/>
        <w:outlineLvl w:val="0"/>
        <w:rPr>
          <w:rFonts w:hint="cs"/>
          <w:rtl/>
        </w:rPr>
      </w:pPr>
      <w:r>
        <w:rPr>
          <w:noProof/>
        </w:rPr>
        <w:drawing>
          <wp:inline distT="0" distB="0" distL="0" distR="0">
            <wp:extent cx="3562350" cy="2544445"/>
            <wp:effectExtent l="19050" t="19050" r="19050" b="273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2350" cy="2544445"/>
                    </a:xfrm>
                    <a:prstGeom prst="rect">
                      <a:avLst/>
                    </a:prstGeom>
                    <a:noFill/>
                    <a:ln w="19050" cmpd="sng">
                      <a:solidFill>
                        <a:srgbClr val="000000"/>
                      </a:solidFill>
                      <a:miter lim="800000"/>
                      <a:headEnd/>
                      <a:tailEnd/>
                    </a:ln>
                    <a:effectLst/>
                  </pic:spPr>
                </pic:pic>
              </a:graphicData>
            </a:graphic>
          </wp:inline>
        </w:drawing>
      </w:r>
    </w:p>
    <w:p w:rsidR="00132EBF" w:rsidRDefault="00132EBF" w:rsidP="00F2028A">
      <w:pPr>
        <w:tabs>
          <w:tab w:val="clear" w:pos="567"/>
          <w:tab w:val="clear" w:pos="1134"/>
          <w:tab w:val="num" w:pos="562"/>
        </w:tabs>
        <w:outlineLvl w:val="0"/>
        <w:rPr>
          <w:rFonts w:hint="cs"/>
          <w:rtl/>
        </w:rPr>
      </w:pPr>
      <w:r w:rsidRPr="00E22E70">
        <w:rPr>
          <w:rFonts w:hint="cs"/>
          <w:rtl/>
        </w:rPr>
        <w:t xml:space="preserve">בכל קבוצת לווים </w:t>
      </w:r>
      <w:r w:rsidR="004B15A5">
        <w:rPr>
          <w:rFonts w:hint="cs"/>
          <w:rtl/>
        </w:rPr>
        <w:t xml:space="preserve">גדולה </w:t>
      </w:r>
      <w:r w:rsidRPr="00E22E70">
        <w:rPr>
          <w:rFonts w:hint="cs"/>
          <w:rtl/>
        </w:rPr>
        <w:t xml:space="preserve">כזאת, </w:t>
      </w:r>
      <w:r w:rsidR="00223658">
        <w:rPr>
          <w:rFonts w:hint="cs"/>
          <w:rtl/>
        </w:rPr>
        <w:t>מלבד</w:t>
      </w:r>
      <w:r w:rsidR="00223658" w:rsidRPr="00E22E70">
        <w:rPr>
          <w:rFonts w:hint="cs"/>
          <w:rtl/>
        </w:rPr>
        <w:t xml:space="preserve"> </w:t>
      </w:r>
      <w:r w:rsidRPr="00E22E70">
        <w:rPr>
          <w:rFonts w:hint="cs"/>
          <w:rtl/>
        </w:rPr>
        <w:t xml:space="preserve">חברות </w:t>
      </w:r>
      <w:r w:rsidR="00CA6F3C" w:rsidRPr="00E22E70">
        <w:rPr>
          <w:rFonts w:hint="cs"/>
          <w:rtl/>
        </w:rPr>
        <w:t>ה</w:t>
      </w:r>
      <w:r w:rsidR="00CA6F3C">
        <w:rPr>
          <w:rFonts w:hint="cs"/>
          <w:rtl/>
        </w:rPr>
        <w:t>ה</w:t>
      </w:r>
      <w:r w:rsidR="00CA6F3C" w:rsidRPr="00E22E70">
        <w:rPr>
          <w:rFonts w:hint="cs"/>
          <w:rtl/>
        </w:rPr>
        <w:t>חזקה</w:t>
      </w:r>
      <w:r w:rsidRPr="00E22E70">
        <w:rPr>
          <w:rFonts w:hint="cs"/>
          <w:rtl/>
        </w:rPr>
        <w:t>, פועלות גם עשרות</w:t>
      </w:r>
      <w:r w:rsidR="00CA6ADE">
        <w:rPr>
          <w:rFonts w:hint="cs"/>
          <w:rtl/>
        </w:rPr>
        <w:t xml:space="preserve"> </w:t>
      </w:r>
      <w:r w:rsidRPr="00E22E70">
        <w:rPr>
          <w:rFonts w:hint="cs"/>
          <w:rtl/>
        </w:rPr>
        <w:t xml:space="preserve">חברות </w:t>
      </w:r>
      <w:r w:rsidR="00F2028A">
        <w:rPr>
          <w:rFonts w:hint="cs"/>
          <w:rtl/>
        </w:rPr>
        <w:t>יצרניות</w:t>
      </w:r>
      <w:r w:rsidR="00F2028A" w:rsidRPr="00E22E70">
        <w:rPr>
          <w:rFonts w:hint="cs"/>
          <w:rtl/>
        </w:rPr>
        <w:t xml:space="preserve"> </w:t>
      </w:r>
      <w:r w:rsidRPr="00E22E70">
        <w:rPr>
          <w:rFonts w:hint="cs"/>
          <w:rtl/>
        </w:rPr>
        <w:t>החיוניות לפעילות המשקית וזקוקות לאשראי להמשך פעילותן התקין.</w:t>
      </w:r>
    </w:p>
    <w:p w:rsidR="00932BC9" w:rsidRDefault="00E22E70" w:rsidP="00E7695B">
      <w:pPr>
        <w:tabs>
          <w:tab w:val="clear" w:pos="567"/>
          <w:tab w:val="clear" w:pos="1134"/>
          <w:tab w:val="num" w:pos="562"/>
        </w:tabs>
        <w:outlineLvl w:val="0"/>
        <w:rPr>
          <w:rFonts w:hint="cs"/>
          <w:rtl/>
        </w:rPr>
      </w:pPr>
      <w:r>
        <w:rPr>
          <w:rFonts w:hint="cs"/>
          <w:rtl/>
        </w:rPr>
        <w:t xml:space="preserve">חשוב </w:t>
      </w:r>
      <w:r w:rsidR="003C54C5">
        <w:rPr>
          <w:rFonts w:hint="cs"/>
          <w:rtl/>
        </w:rPr>
        <w:t xml:space="preserve">לציין </w:t>
      </w:r>
      <w:r w:rsidR="00132EBF">
        <w:rPr>
          <w:rFonts w:hint="cs"/>
          <w:rtl/>
        </w:rPr>
        <w:t>ש</w:t>
      </w:r>
      <w:r w:rsidR="00223658">
        <w:rPr>
          <w:rFonts w:hint="cs"/>
          <w:rtl/>
        </w:rPr>
        <w:t xml:space="preserve">נכון להיום </w:t>
      </w:r>
      <w:r w:rsidR="003C54C5">
        <w:rPr>
          <w:rFonts w:hint="cs"/>
          <w:rtl/>
        </w:rPr>
        <w:t xml:space="preserve">מרבית האשראי </w:t>
      </w:r>
      <w:r w:rsidR="00D56601">
        <w:rPr>
          <w:rFonts w:hint="cs"/>
          <w:rtl/>
        </w:rPr>
        <w:t xml:space="preserve">הבנקאי </w:t>
      </w:r>
      <w:r w:rsidR="00132EBF">
        <w:rPr>
          <w:rFonts w:hint="cs"/>
          <w:rtl/>
        </w:rPr>
        <w:t xml:space="preserve">בקבוצות הלווים הגדולות </w:t>
      </w:r>
      <w:r w:rsidR="003C54C5">
        <w:rPr>
          <w:rFonts w:hint="cs"/>
          <w:rtl/>
        </w:rPr>
        <w:t xml:space="preserve">הוא אשראי תקין </w:t>
      </w:r>
      <w:r w:rsidR="00132EBF">
        <w:rPr>
          <w:rFonts w:hint="cs"/>
          <w:rtl/>
        </w:rPr>
        <w:t>(</w:t>
      </w:r>
      <w:r w:rsidR="009A5282">
        <w:rPr>
          <w:rFonts w:hint="cs"/>
          <w:rtl/>
        </w:rPr>
        <w:t>כלומר,</w:t>
      </w:r>
      <w:r w:rsidR="00132EBF">
        <w:rPr>
          <w:rFonts w:hint="cs"/>
          <w:rtl/>
        </w:rPr>
        <w:t xml:space="preserve"> אשראי שניתן לחברות </w:t>
      </w:r>
      <w:r w:rsidR="00223658">
        <w:rPr>
          <w:rFonts w:hint="cs"/>
          <w:rtl/>
        </w:rPr>
        <w:t>בעלות</w:t>
      </w:r>
      <w:r w:rsidR="00132EBF">
        <w:rPr>
          <w:rFonts w:hint="cs"/>
          <w:rtl/>
        </w:rPr>
        <w:t xml:space="preserve"> יכולת פירעון לשירות החובות)</w:t>
      </w:r>
      <w:r w:rsidR="001E5C08">
        <w:rPr>
          <w:rFonts w:hint="cs"/>
          <w:rtl/>
        </w:rPr>
        <w:t>, ואילו</w:t>
      </w:r>
      <w:r w:rsidR="003C54C5">
        <w:rPr>
          <w:rFonts w:hint="cs"/>
          <w:rtl/>
        </w:rPr>
        <w:t xml:space="preserve"> </w:t>
      </w:r>
      <w:r w:rsidR="003C54C5" w:rsidRPr="00E524C4">
        <w:rPr>
          <w:rFonts w:hint="cs"/>
          <w:rtl/>
        </w:rPr>
        <w:t>מקצתו</w:t>
      </w:r>
      <w:r w:rsidR="006325A8" w:rsidRPr="00E524C4">
        <w:rPr>
          <w:rFonts w:hint="cs"/>
          <w:rtl/>
        </w:rPr>
        <w:t xml:space="preserve"> (סדר גודל </w:t>
      </w:r>
      <w:r w:rsidR="00AE2AE0" w:rsidRPr="00E524C4">
        <w:rPr>
          <w:rFonts w:hint="cs"/>
          <w:rtl/>
        </w:rPr>
        <w:t xml:space="preserve">של </w:t>
      </w:r>
      <w:r w:rsidR="006325A8" w:rsidRPr="00E524C4">
        <w:rPr>
          <w:rFonts w:hint="cs"/>
          <w:rtl/>
        </w:rPr>
        <w:t xml:space="preserve">כ </w:t>
      </w:r>
      <w:r w:rsidR="006325A8" w:rsidRPr="00E524C4">
        <w:rPr>
          <w:rtl/>
        </w:rPr>
        <w:t>–</w:t>
      </w:r>
      <w:r w:rsidR="006325A8" w:rsidRPr="00E524C4">
        <w:rPr>
          <w:rFonts w:hint="cs"/>
          <w:rtl/>
        </w:rPr>
        <w:t xml:space="preserve"> </w:t>
      </w:r>
      <w:r w:rsidR="00F42856" w:rsidRPr="00E524C4">
        <w:rPr>
          <w:rFonts w:hint="cs"/>
          <w:rtl/>
        </w:rPr>
        <w:t>5</w:t>
      </w:r>
      <w:r w:rsidR="006325A8" w:rsidRPr="00E524C4">
        <w:rPr>
          <w:rFonts w:hint="cs"/>
          <w:rtl/>
        </w:rPr>
        <w:t>%)</w:t>
      </w:r>
      <w:r w:rsidR="00132EBF" w:rsidRPr="00E524C4">
        <w:rPr>
          <w:rFonts w:hint="cs"/>
          <w:rtl/>
        </w:rPr>
        <w:t xml:space="preserve"> </w:t>
      </w:r>
      <w:r w:rsidR="00132EBF" w:rsidRPr="00B81B7D">
        <w:rPr>
          <w:rFonts w:hint="cs"/>
          <w:rtl/>
        </w:rPr>
        <w:t>הוא</w:t>
      </w:r>
      <w:r w:rsidR="00132EBF">
        <w:rPr>
          <w:rFonts w:hint="cs"/>
          <w:rtl/>
        </w:rPr>
        <w:t xml:space="preserve"> </w:t>
      </w:r>
      <w:r w:rsidR="003C54C5">
        <w:rPr>
          <w:rFonts w:hint="cs"/>
          <w:rtl/>
        </w:rPr>
        <w:t xml:space="preserve">אשראי </w:t>
      </w:r>
      <w:r w:rsidR="00223658">
        <w:rPr>
          <w:rFonts w:hint="cs"/>
          <w:rtl/>
        </w:rPr>
        <w:t>שמוגדר</w:t>
      </w:r>
      <w:r w:rsidR="003C54C5">
        <w:rPr>
          <w:rFonts w:hint="cs"/>
          <w:rtl/>
        </w:rPr>
        <w:t xml:space="preserve"> "בעייתי" </w:t>
      </w:r>
      <w:r w:rsidR="00932BC9">
        <w:rPr>
          <w:rFonts w:hint="cs"/>
          <w:rtl/>
        </w:rPr>
        <w:t>(</w:t>
      </w:r>
      <w:r w:rsidR="003C54C5">
        <w:rPr>
          <w:rFonts w:hint="cs"/>
          <w:rtl/>
        </w:rPr>
        <w:t>שמשמעותו שקיים סיכוי</w:t>
      </w:r>
      <w:r w:rsidR="00932BC9">
        <w:rPr>
          <w:rFonts w:hint="cs"/>
          <w:rtl/>
        </w:rPr>
        <w:t xml:space="preserve"> פוטנציאלי או ממשי לכך שלא כל החוב יוחזר). </w:t>
      </w:r>
    </w:p>
    <w:p w:rsidR="00D56601" w:rsidRPr="00E775D6" w:rsidRDefault="00475AC7" w:rsidP="00F2028A">
      <w:pPr>
        <w:tabs>
          <w:tab w:val="clear" w:pos="567"/>
          <w:tab w:val="clear" w:pos="1134"/>
          <w:tab w:val="num" w:pos="562"/>
        </w:tabs>
        <w:outlineLvl w:val="0"/>
        <w:rPr>
          <w:rFonts w:hint="cs"/>
          <w:rtl/>
        </w:rPr>
      </w:pPr>
      <w:r w:rsidRPr="00E775D6">
        <w:rPr>
          <w:rFonts w:hint="cs"/>
          <w:rtl/>
        </w:rPr>
        <w:t xml:space="preserve">חלק </w:t>
      </w:r>
      <w:r w:rsidR="00333506">
        <w:rPr>
          <w:rFonts w:hint="cs"/>
          <w:rtl/>
        </w:rPr>
        <w:t xml:space="preserve">משמעותי </w:t>
      </w:r>
      <w:r w:rsidRPr="00E775D6">
        <w:rPr>
          <w:rFonts w:hint="cs"/>
          <w:rtl/>
        </w:rPr>
        <w:t>מ</w:t>
      </w:r>
      <w:r w:rsidR="00D56601" w:rsidRPr="00E775D6">
        <w:rPr>
          <w:rFonts w:hint="cs"/>
          <w:rtl/>
        </w:rPr>
        <w:t xml:space="preserve">ההפסדים של קבוצות הלווים הגדולות התממשו בשנים האחרונות בחברות ההחזקה הממונפות: חלקם בשוק </w:t>
      </w:r>
      <w:r w:rsidR="00F2028A">
        <w:rPr>
          <w:rFonts w:hint="cs"/>
          <w:rtl/>
        </w:rPr>
        <w:t>אגרות החוב</w:t>
      </w:r>
      <w:r w:rsidR="005C1A13">
        <w:rPr>
          <w:rFonts w:hint="cs"/>
          <w:rtl/>
        </w:rPr>
        <w:t xml:space="preserve"> </w:t>
      </w:r>
      <w:r w:rsidR="00D56601" w:rsidRPr="00E775D6">
        <w:rPr>
          <w:rFonts w:hint="cs"/>
          <w:rtl/>
        </w:rPr>
        <w:t>הסחירות באמצעות "תספורות" לציבור, וחלקם באמצעות הפסדי אשראי במערכת הבנקאית.</w:t>
      </w:r>
    </w:p>
    <w:p w:rsidR="002A6333" w:rsidRDefault="002A6333" w:rsidP="004009AD">
      <w:pPr>
        <w:tabs>
          <w:tab w:val="clear" w:pos="567"/>
          <w:tab w:val="clear" w:pos="1134"/>
          <w:tab w:val="num" w:pos="562"/>
        </w:tabs>
        <w:outlineLvl w:val="0"/>
        <w:rPr>
          <w:rFonts w:hint="cs"/>
          <w:rtl/>
        </w:rPr>
      </w:pPr>
      <w:r w:rsidRPr="00E775D6">
        <w:rPr>
          <w:rFonts w:hint="cs"/>
          <w:rtl/>
        </w:rPr>
        <w:t xml:space="preserve">חשוב לציין כי </w:t>
      </w:r>
      <w:r w:rsidR="00A63655">
        <w:rPr>
          <w:rFonts w:hint="cs"/>
          <w:rtl/>
        </w:rPr>
        <w:t xml:space="preserve">רישום ההפסדים </w:t>
      </w:r>
      <w:r w:rsidRPr="00E775D6">
        <w:rPr>
          <w:rFonts w:hint="cs"/>
          <w:rtl/>
        </w:rPr>
        <w:t xml:space="preserve">בבנקים </w:t>
      </w:r>
      <w:r w:rsidR="00A63655">
        <w:rPr>
          <w:rFonts w:hint="cs"/>
          <w:rtl/>
        </w:rPr>
        <w:t>בחלק גדול מהמקרים לא כלל</w:t>
      </w:r>
      <w:r w:rsidRPr="00E775D6">
        <w:rPr>
          <w:rFonts w:hint="cs"/>
          <w:rtl/>
        </w:rPr>
        <w:t xml:space="preserve"> ויתור משפטי כלפי החייב</w:t>
      </w:r>
      <w:r w:rsidR="00A63655">
        <w:rPr>
          <w:rFonts w:hint="cs"/>
          <w:rtl/>
        </w:rPr>
        <w:t>,</w:t>
      </w:r>
      <w:r w:rsidRPr="00E775D6">
        <w:rPr>
          <w:rFonts w:hint="cs"/>
          <w:rtl/>
        </w:rPr>
        <w:t xml:space="preserve"> לכן הבנקים עדיין מנהלים מאמצי גביה בגין הפסדים אלו וייתכן שחלקם ייגבו בעתיד (</w:t>
      </w:r>
      <w:r w:rsidRPr="00E775D6">
        <w:rPr>
          <w:sz w:val="22"/>
          <w:szCs w:val="22"/>
        </w:rPr>
        <w:t>Recovery</w:t>
      </w:r>
      <w:r w:rsidRPr="00E775D6">
        <w:rPr>
          <w:rFonts w:hint="cs"/>
          <w:rtl/>
        </w:rPr>
        <w:t>).</w:t>
      </w:r>
    </w:p>
    <w:p w:rsidR="00E106F8" w:rsidRDefault="00E106F8" w:rsidP="00932BC9">
      <w:pPr>
        <w:tabs>
          <w:tab w:val="clear" w:pos="567"/>
          <w:tab w:val="clear" w:pos="1134"/>
          <w:tab w:val="num" w:pos="562"/>
        </w:tabs>
        <w:outlineLvl w:val="0"/>
        <w:rPr>
          <w:rFonts w:hint="cs"/>
          <w:sz w:val="16"/>
          <w:szCs w:val="16"/>
          <w:rtl/>
        </w:rPr>
      </w:pPr>
    </w:p>
    <w:p w:rsidR="00EC65B4" w:rsidRPr="00863726" w:rsidRDefault="00EE7FF2" w:rsidP="00524C34">
      <w:pPr>
        <w:tabs>
          <w:tab w:val="clear" w:pos="567"/>
          <w:tab w:val="clear" w:pos="1134"/>
          <w:tab w:val="num" w:pos="562"/>
        </w:tabs>
        <w:outlineLvl w:val="0"/>
        <w:rPr>
          <w:rFonts w:hint="cs"/>
          <w:b/>
          <w:bCs/>
          <w:color w:val="00B0F0"/>
          <w:rtl/>
        </w:rPr>
      </w:pPr>
      <w:r>
        <w:rPr>
          <w:rFonts w:hint="cs"/>
          <w:b/>
          <w:bCs/>
          <w:color w:val="00B0F0"/>
          <w:rtl/>
        </w:rPr>
        <w:t>מדוע</w:t>
      </w:r>
      <w:r w:rsidRPr="00863726">
        <w:rPr>
          <w:rFonts w:hint="cs"/>
          <w:b/>
          <w:bCs/>
          <w:color w:val="00B0F0"/>
          <w:rtl/>
        </w:rPr>
        <w:t xml:space="preserve"> </w:t>
      </w:r>
      <w:r w:rsidR="00524C34">
        <w:rPr>
          <w:rFonts w:hint="cs"/>
          <w:b/>
          <w:bCs/>
          <w:color w:val="00B0F0"/>
          <w:rtl/>
        </w:rPr>
        <w:t>הבנקים מעניקים אשראי לקבוצות כאלו</w:t>
      </w:r>
      <w:r w:rsidR="00E22E70" w:rsidRPr="00863726">
        <w:rPr>
          <w:rFonts w:hint="cs"/>
          <w:b/>
          <w:bCs/>
          <w:color w:val="00B0F0"/>
          <w:rtl/>
        </w:rPr>
        <w:t>?</w:t>
      </w:r>
    </w:p>
    <w:p w:rsidR="00EC65B4" w:rsidRDefault="00EC65B4" w:rsidP="00CA6ADE">
      <w:pPr>
        <w:tabs>
          <w:tab w:val="clear" w:pos="567"/>
          <w:tab w:val="clear" w:pos="1134"/>
          <w:tab w:val="num" w:pos="562"/>
        </w:tabs>
        <w:outlineLvl w:val="0"/>
        <w:rPr>
          <w:rFonts w:hint="cs"/>
          <w:rtl/>
        </w:rPr>
      </w:pPr>
      <w:r w:rsidRPr="00863726">
        <w:rPr>
          <w:rFonts w:hint="cs"/>
          <w:b/>
          <w:bCs/>
          <w:rtl/>
        </w:rPr>
        <w:t>צמיחה בכלכלה מודרנית מבוססת, בין היתר, על אספקת אשראי סדירה</w:t>
      </w:r>
      <w:r w:rsidRPr="00E22E70">
        <w:rPr>
          <w:rFonts w:hint="cs"/>
          <w:rtl/>
        </w:rPr>
        <w:t xml:space="preserve"> לסקטור העסקי על-ידי מתווכים פיננסיים. האשראי לסקטור העסקי מסייע לפתח את העסקים, ליצור מקומות עבודה ולהניע את גלגלי המשק. עם זאת, מתן אשראי כרוך באופן בלתי נמנע בסיכון שהלווה מסיבות שונות לא</w:t>
      </w:r>
      <w:r w:rsidRPr="009D7A09">
        <w:rPr>
          <w:rFonts w:hint="cs"/>
          <w:color w:val="1F497D"/>
          <w:rtl/>
        </w:rPr>
        <w:t xml:space="preserve"> </w:t>
      </w:r>
      <w:r w:rsidRPr="00E22E70">
        <w:rPr>
          <w:rFonts w:hint="cs"/>
          <w:rtl/>
        </w:rPr>
        <w:t xml:space="preserve">יצליח להחזיר לבנק את האשראי. כתוצאה מכך </w:t>
      </w:r>
      <w:r w:rsidRPr="00863726">
        <w:rPr>
          <w:rFonts w:hint="cs"/>
          <w:b/>
          <w:bCs/>
          <w:rtl/>
        </w:rPr>
        <w:t>הפסדי אשראי הם חלק בלתי נפרד מהפעילות הבנקאית</w:t>
      </w:r>
      <w:r w:rsidR="00E22E70" w:rsidRPr="00863726">
        <w:rPr>
          <w:rFonts w:hint="cs"/>
          <w:b/>
          <w:bCs/>
          <w:rtl/>
        </w:rPr>
        <w:t>.</w:t>
      </w:r>
      <w:r w:rsidRPr="00E22E70">
        <w:rPr>
          <w:rFonts w:hint="cs"/>
          <w:rtl/>
        </w:rPr>
        <w:t xml:space="preserve"> ניהול סיכונים מושכל וזהיר - מטרתו להביא לאיזון מיטבי בין רמת הסיכונים וההפסדים הללו לבין היקף האשראי התומך בפעילות העסקית במשק ומחירו. </w:t>
      </w:r>
    </w:p>
    <w:p w:rsidR="00117576" w:rsidRPr="00E22E70" w:rsidRDefault="00117576" w:rsidP="00CA6ADE">
      <w:pPr>
        <w:tabs>
          <w:tab w:val="clear" w:pos="567"/>
          <w:tab w:val="clear" w:pos="1134"/>
          <w:tab w:val="num" w:pos="562"/>
        </w:tabs>
        <w:outlineLvl w:val="0"/>
        <w:rPr>
          <w:rFonts w:hint="cs"/>
          <w:rtl/>
        </w:rPr>
      </w:pPr>
    </w:p>
    <w:p w:rsidR="00DE5CF1" w:rsidRPr="00863726" w:rsidRDefault="00DE5CF1" w:rsidP="00DE5CF1">
      <w:pPr>
        <w:tabs>
          <w:tab w:val="clear" w:pos="567"/>
          <w:tab w:val="clear" w:pos="1134"/>
          <w:tab w:val="num" w:pos="562"/>
        </w:tabs>
        <w:outlineLvl w:val="0"/>
        <w:rPr>
          <w:rFonts w:hint="cs"/>
          <w:b/>
          <w:bCs/>
          <w:color w:val="00B0F0"/>
          <w:rtl/>
        </w:rPr>
      </w:pPr>
      <w:r>
        <w:rPr>
          <w:rFonts w:hint="cs"/>
          <w:b/>
          <w:bCs/>
          <w:color w:val="00B0F0"/>
          <w:rtl/>
        </w:rPr>
        <w:t xml:space="preserve">מה היו הסיבות </w:t>
      </w:r>
      <w:r w:rsidR="00AE2AE0">
        <w:rPr>
          <w:rFonts w:hint="cs"/>
          <w:b/>
          <w:bCs/>
          <w:color w:val="00B0F0"/>
          <w:rtl/>
        </w:rPr>
        <w:t xml:space="preserve">המרכזיות </w:t>
      </w:r>
      <w:r>
        <w:rPr>
          <w:rFonts w:hint="cs"/>
          <w:b/>
          <w:bCs/>
          <w:color w:val="00B0F0"/>
          <w:rtl/>
        </w:rPr>
        <w:t>ל</w:t>
      </w:r>
      <w:r w:rsidRPr="00863726">
        <w:rPr>
          <w:rFonts w:hint="cs"/>
          <w:b/>
          <w:bCs/>
          <w:color w:val="00B0F0"/>
          <w:rtl/>
        </w:rPr>
        <w:t>כשלי</w:t>
      </w:r>
      <w:r>
        <w:rPr>
          <w:rFonts w:hint="cs"/>
          <w:b/>
          <w:bCs/>
          <w:color w:val="00B0F0"/>
          <w:rtl/>
        </w:rPr>
        <w:t xml:space="preserve"> אשראי</w:t>
      </w:r>
      <w:r w:rsidRPr="00863726">
        <w:rPr>
          <w:rFonts w:hint="cs"/>
          <w:b/>
          <w:bCs/>
          <w:color w:val="00B0F0"/>
          <w:rtl/>
        </w:rPr>
        <w:t xml:space="preserve"> בסדרי גודל כאלו</w:t>
      </w:r>
      <w:r>
        <w:rPr>
          <w:rFonts w:hint="cs"/>
          <w:b/>
          <w:bCs/>
          <w:color w:val="00B0F0"/>
          <w:rtl/>
        </w:rPr>
        <w:t xml:space="preserve"> במערכת הבנקאית</w:t>
      </w:r>
      <w:r w:rsidRPr="00863726">
        <w:rPr>
          <w:rFonts w:hint="cs"/>
          <w:b/>
          <w:bCs/>
          <w:color w:val="00B0F0"/>
          <w:rtl/>
        </w:rPr>
        <w:t>?</w:t>
      </w:r>
    </w:p>
    <w:p w:rsidR="00DE5CF1" w:rsidRPr="0087028C" w:rsidRDefault="00DE5CF1" w:rsidP="00B238F7">
      <w:pPr>
        <w:tabs>
          <w:tab w:val="clear" w:pos="567"/>
          <w:tab w:val="clear" w:pos="1134"/>
          <w:tab w:val="num" w:pos="562"/>
        </w:tabs>
        <w:outlineLvl w:val="0"/>
        <w:rPr>
          <w:rFonts w:hint="cs"/>
          <w:rtl/>
        </w:rPr>
      </w:pPr>
      <w:r w:rsidRPr="0087028C">
        <w:rPr>
          <w:rFonts w:hint="cs"/>
          <w:rtl/>
        </w:rPr>
        <w:t xml:space="preserve">כאשר מדובר בהלוואות לעסקות בסכומים גדולים, סיכוני האשראי בהכרח מתעצמים. </w:t>
      </w:r>
      <w:r w:rsidRPr="00863726">
        <w:rPr>
          <w:rFonts w:hint="cs"/>
          <w:b/>
          <w:bCs/>
          <w:rtl/>
        </w:rPr>
        <w:t xml:space="preserve">הריכוזיות הגבוהה במשק הישראלי הביאה באופן בלתי נמנע להיווצרות ריכוזיות גם בשוק האשראי למספר </w:t>
      </w:r>
      <w:r w:rsidRPr="00863726">
        <w:rPr>
          <w:rFonts w:hint="cs"/>
          <w:b/>
          <w:bCs/>
          <w:rtl/>
        </w:rPr>
        <w:lastRenderedPageBreak/>
        <w:t>מצומצם של קבוצות לווים גדולות</w:t>
      </w:r>
      <w:r w:rsidRPr="0087028C">
        <w:rPr>
          <w:rFonts w:hint="cs"/>
          <w:rtl/>
        </w:rPr>
        <w:t xml:space="preserve">, </w:t>
      </w:r>
      <w:r w:rsidR="00B238F7">
        <w:rPr>
          <w:rFonts w:hint="cs"/>
          <w:rtl/>
        </w:rPr>
        <w:t xml:space="preserve">למרות </w:t>
      </w:r>
      <w:r w:rsidRPr="0087028C">
        <w:rPr>
          <w:rFonts w:hint="cs"/>
          <w:rtl/>
        </w:rPr>
        <w:t xml:space="preserve">שהוראות הפיקוח גרמו לכך שהחשיפות לכל לווה גדול יתפזרו על פני מספר בנקים. </w:t>
      </w:r>
    </w:p>
    <w:p w:rsidR="00DE5CF1" w:rsidRPr="004C6803" w:rsidRDefault="003B0802" w:rsidP="003B0802">
      <w:pPr>
        <w:tabs>
          <w:tab w:val="clear" w:pos="567"/>
          <w:tab w:val="clear" w:pos="1134"/>
        </w:tabs>
        <w:outlineLvl w:val="0"/>
        <w:rPr>
          <w:rFonts w:hint="cs"/>
          <w:kern w:val="28"/>
          <w:rtl/>
        </w:rPr>
      </w:pPr>
      <w:r>
        <w:rPr>
          <w:rFonts w:hint="cs"/>
          <w:kern w:val="28"/>
          <w:rtl/>
        </w:rPr>
        <w:t>עיקר האשראי</w:t>
      </w:r>
      <w:r w:rsidR="00DE5CF1" w:rsidRPr="004C6803">
        <w:rPr>
          <w:rFonts w:hint="cs"/>
          <w:kern w:val="28"/>
          <w:rtl/>
        </w:rPr>
        <w:t xml:space="preserve"> אשר בגינ</w:t>
      </w:r>
      <w:r>
        <w:rPr>
          <w:rFonts w:hint="cs"/>
          <w:kern w:val="28"/>
          <w:rtl/>
        </w:rPr>
        <w:t>ו</w:t>
      </w:r>
      <w:r w:rsidR="00DE5CF1" w:rsidRPr="004C6803">
        <w:rPr>
          <w:rFonts w:hint="cs"/>
          <w:kern w:val="28"/>
          <w:rtl/>
        </w:rPr>
        <w:t xml:space="preserve"> נרשמו הפסדים גדולים כאמור, הועמדו על ידי הבנקים לצורך מימון רכישת שליטה בחברות גדולות בשנים שלפני המשבר הפיננסי של 2008. </w:t>
      </w:r>
      <w:r>
        <w:rPr>
          <w:rFonts w:hint="cs"/>
          <w:kern w:val="28"/>
          <w:rtl/>
        </w:rPr>
        <w:t>חלק אחר נבע מפעילות מימון בנגזרים ומפעילויות נוספות.</w:t>
      </w:r>
    </w:p>
    <w:p w:rsidR="00DE5CF1" w:rsidRPr="00863726" w:rsidRDefault="00DE5CF1" w:rsidP="004009AD">
      <w:pPr>
        <w:tabs>
          <w:tab w:val="clear" w:pos="567"/>
          <w:tab w:val="clear" w:pos="1134"/>
        </w:tabs>
        <w:outlineLvl w:val="0"/>
        <w:rPr>
          <w:rFonts w:hint="cs"/>
          <w:b/>
          <w:bCs/>
          <w:kern w:val="28"/>
          <w:rtl/>
        </w:rPr>
      </w:pPr>
      <w:r w:rsidRPr="00D839AD">
        <w:rPr>
          <w:rFonts w:hint="cs"/>
          <w:kern w:val="28"/>
          <w:rtl/>
        </w:rPr>
        <w:t>ככלל, האשראים למימון רכישת שליטה ניתנו לחברות החזקה (במבנה פירמידאלי), תוך הגדלה ניכרת בנטל החובות הכולל</w:t>
      </w:r>
      <w:r w:rsidRPr="004C6803">
        <w:rPr>
          <w:rFonts w:hint="cs"/>
          <w:kern w:val="28"/>
          <w:rtl/>
        </w:rPr>
        <w:t xml:space="preserve"> העומד מול הפעילות העסקית הקיימת בחברות הבת הנרכשות (גידול בשיעור המינוף של </w:t>
      </w:r>
      <w:r w:rsidR="00D963E9">
        <w:rPr>
          <w:rFonts w:hint="cs"/>
          <w:kern w:val="28"/>
          <w:rtl/>
        </w:rPr>
        <w:t xml:space="preserve">קבוצת </w:t>
      </w:r>
      <w:r w:rsidRPr="004C6803">
        <w:rPr>
          <w:rFonts w:hint="cs"/>
          <w:kern w:val="28"/>
          <w:rtl/>
        </w:rPr>
        <w:t>הלוו</w:t>
      </w:r>
      <w:r w:rsidR="00D963E9">
        <w:rPr>
          <w:rFonts w:hint="cs"/>
          <w:kern w:val="28"/>
          <w:rtl/>
        </w:rPr>
        <w:t>ים</w:t>
      </w:r>
      <w:r w:rsidRPr="004C6803">
        <w:rPr>
          <w:rFonts w:hint="cs"/>
          <w:kern w:val="28"/>
          <w:rtl/>
        </w:rPr>
        <w:t>). המגבלות המחמירות של הפיקוח</w:t>
      </w:r>
      <w:r>
        <w:rPr>
          <w:rFonts w:hint="cs"/>
          <w:kern w:val="28"/>
          <w:rtl/>
        </w:rPr>
        <w:t xml:space="preserve"> </w:t>
      </w:r>
      <w:r w:rsidR="002D3A89">
        <w:rPr>
          <w:rFonts w:hint="cs"/>
          <w:kern w:val="28"/>
          <w:rtl/>
        </w:rPr>
        <w:t xml:space="preserve">על הבנקים </w:t>
      </w:r>
      <w:r>
        <w:rPr>
          <w:rFonts w:hint="cs"/>
          <w:kern w:val="28"/>
          <w:rtl/>
        </w:rPr>
        <w:t>לא אפשרו ללווים להגדיל את האשראי במערכת הבנקאית</w:t>
      </w:r>
      <w:r w:rsidRPr="004C6803">
        <w:rPr>
          <w:rFonts w:hint="cs"/>
          <w:kern w:val="28"/>
          <w:rtl/>
        </w:rPr>
        <w:t xml:space="preserve">, </w:t>
      </w:r>
      <w:r w:rsidRPr="00937020">
        <w:rPr>
          <w:rFonts w:hint="cs"/>
          <w:kern w:val="28"/>
          <w:rtl/>
        </w:rPr>
        <w:t xml:space="preserve">ולכן </w:t>
      </w:r>
      <w:r w:rsidRPr="00863726">
        <w:rPr>
          <w:rFonts w:hint="cs"/>
          <w:b/>
          <w:bCs/>
          <w:kern w:val="28"/>
          <w:rtl/>
        </w:rPr>
        <w:t xml:space="preserve">חלק מהגידול במינוף </w:t>
      </w:r>
      <w:r w:rsidR="001414A4">
        <w:rPr>
          <w:rFonts w:hint="cs"/>
          <w:b/>
          <w:bCs/>
          <w:kern w:val="28"/>
          <w:rtl/>
        </w:rPr>
        <w:t xml:space="preserve">(בחוב) </w:t>
      </w:r>
      <w:r w:rsidRPr="00863726">
        <w:rPr>
          <w:rFonts w:hint="cs"/>
          <w:b/>
          <w:bCs/>
          <w:kern w:val="28"/>
          <w:rtl/>
        </w:rPr>
        <w:t>התרחש לאחר העמדת האשראי הבנקאי</w:t>
      </w:r>
      <w:r w:rsidR="007C3C41">
        <w:rPr>
          <w:rFonts w:hint="cs"/>
          <w:b/>
          <w:bCs/>
          <w:kern w:val="28"/>
          <w:rtl/>
        </w:rPr>
        <w:t>,</w:t>
      </w:r>
      <w:r w:rsidRPr="00863726">
        <w:rPr>
          <w:rFonts w:hint="cs"/>
          <w:b/>
          <w:bCs/>
          <w:kern w:val="28"/>
          <w:rtl/>
        </w:rPr>
        <w:t xml:space="preserve"> באמצעות גיוסי חוב שביצעו החברות משוק ההון ומהגופים המוסדיים.</w:t>
      </w:r>
    </w:p>
    <w:p w:rsidR="00DE5CF1" w:rsidRDefault="00DE5CF1" w:rsidP="00DE5CF1">
      <w:pPr>
        <w:tabs>
          <w:tab w:val="clear" w:pos="567"/>
          <w:tab w:val="clear" w:pos="1134"/>
          <w:tab w:val="num" w:pos="562"/>
        </w:tabs>
        <w:outlineLvl w:val="0"/>
        <w:rPr>
          <w:rFonts w:hint="cs"/>
          <w:rtl/>
        </w:rPr>
      </w:pPr>
      <w:r w:rsidRPr="00E71E31">
        <w:rPr>
          <w:b/>
          <w:bCs/>
          <w:rtl/>
        </w:rPr>
        <w:t xml:space="preserve">המתודולוגיה למתן אשראי </w:t>
      </w:r>
      <w:r w:rsidRPr="00E71E31">
        <w:rPr>
          <w:rFonts w:hint="cs"/>
          <w:b/>
          <w:bCs/>
          <w:rtl/>
        </w:rPr>
        <w:t>מסוג זה</w:t>
      </w:r>
      <w:r w:rsidRPr="00E8301C">
        <w:rPr>
          <w:rtl/>
        </w:rPr>
        <w:t xml:space="preserve"> </w:t>
      </w:r>
      <w:r w:rsidRPr="00E524C4">
        <w:rPr>
          <w:rFonts w:hint="cs"/>
          <w:b/>
          <w:bCs/>
          <w:rtl/>
        </w:rPr>
        <w:t>התבססה על שווי הנכסים של החברות</w:t>
      </w:r>
      <w:r w:rsidRPr="00E8301C">
        <w:rPr>
          <w:rFonts w:hint="cs"/>
          <w:rtl/>
        </w:rPr>
        <w:t>, שהיה גבוה מאוד בעת העמדת האשראי.</w:t>
      </w:r>
      <w:r w:rsidRPr="00863726">
        <w:rPr>
          <w:rFonts w:hint="cs"/>
          <w:b/>
          <w:bCs/>
          <w:rtl/>
        </w:rPr>
        <w:t xml:space="preserve"> </w:t>
      </w:r>
      <w:r>
        <w:rPr>
          <w:rFonts w:hint="cs"/>
          <w:rtl/>
        </w:rPr>
        <w:t xml:space="preserve">עם זאת, חיתום האשראי </w:t>
      </w:r>
      <w:r w:rsidRPr="00D839AD">
        <w:rPr>
          <w:rFonts w:hint="cs"/>
          <w:rtl/>
        </w:rPr>
        <w:t xml:space="preserve">לא תמיד </w:t>
      </w:r>
      <w:r>
        <w:rPr>
          <w:rFonts w:hint="cs"/>
          <w:rtl/>
        </w:rPr>
        <w:t>התבסס</w:t>
      </w:r>
      <w:r w:rsidRPr="00D839AD">
        <w:rPr>
          <w:rFonts w:hint="cs"/>
          <w:rtl/>
        </w:rPr>
        <w:t xml:space="preserve"> </w:t>
      </w:r>
      <w:r w:rsidRPr="00D839AD">
        <w:rPr>
          <w:rtl/>
        </w:rPr>
        <w:t xml:space="preserve">על ניתוח </w:t>
      </w:r>
      <w:r w:rsidRPr="00D839AD">
        <w:rPr>
          <w:rFonts w:hint="cs"/>
          <w:rtl/>
        </w:rPr>
        <w:t xml:space="preserve">כושר החזר, אשר אמור לבטא את </w:t>
      </w:r>
      <w:r w:rsidRPr="00D839AD">
        <w:rPr>
          <w:rtl/>
        </w:rPr>
        <w:t>תזרימי</w:t>
      </w:r>
      <w:r w:rsidRPr="00D839AD">
        <w:rPr>
          <w:rFonts w:hint="cs"/>
          <w:rtl/>
        </w:rPr>
        <w:t xml:space="preserve"> המזומנים הצפויים של הלווה</w:t>
      </w:r>
      <w:r w:rsidRPr="00D839AD">
        <w:rPr>
          <w:rtl/>
        </w:rPr>
        <w:t xml:space="preserve">, </w:t>
      </w:r>
      <w:r w:rsidRPr="00D839AD">
        <w:rPr>
          <w:rFonts w:hint="cs"/>
          <w:rtl/>
        </w:rPr>
        <w:t>תוך התחשבות ב</w:t>
      </w:r>
      <w:r w:rsidRPr="00D839AD">
        <w:rPr>
          <w:rtl/>
        </w:rPr>
        <w:t xml:space="preserve">תרחישים שליליים </w:t>
      </w:r>
      <w:r>
        <w:rPr>
          <w:rFonts w:hint="cs"/>
          <w:rtl/>
        </w:rPr>
        <w:t xml:space="preserve">שעלולים לקרות </w:t>
      </w:r>
      <w:r w:rsidRPr="00D839AD">
        <w:rPr>
          <w:rFonts w:hint="cs"/>
          <w:rtl/>
        </w:rPr>
        <w:t>וב</w:t>
      </w:r>
      <w:r w:rsidRPr="00D839AD">
        <w:rPr>
          <w:rtl/>
        </w:rPr>
        <w:t>מבנה הפירמיד</w:t>
      </w:r>
      <w:r>
        <w:rPr>
          <w:rFonts w:hint="cs"/>
          <w:rtl/>
        </w:rPr>
        <w:t>א</w:t>
      </w:r>
      <w:r w:rsidRPr="00D839AD">
        <w:rPr>
          <w:rtl/>
        </w:rPr>
        <w:t>לי של ההחזקות. מתודולוגי</w:t>
      </w:r>
      <w:r w:rsidRPr="00D839AD">
        <w:rPr>
          <w:rFonts w:hint="cs"/>
          <w:rtl/>
        </w:rPr>
        <w:t xml:space="preserve">ה </w:t>
      </w:r>
      <w:r w:rsidRPr="00D839AD">
        <w:rPr>
          <w:rtl/>
        </w:rPr>
        <w:t xml:space="preserve">זו השתנתה על פני השנים, </w:t>
      </w:r>
      <w:r w:rsidRPr="00D839AD">
        <w:rPr>
          <w:rFonts w:hint="cs"/>
          <w:rtl/>
        </w:rPr>
        <w:t xml:space="preserve">על-רקע דרישות הפיקוח על הבנקים, </w:t>
      </w:r>
      <w:r w:rsidRPr="00D839AD">
        <w:rPr>
          <w:rtl/>
        </w:rPr>
        <w:t xml:space="preserve">אלא שברוב המקרים </w:t>
      </w:r>
      <w:r w:rsidRPr="00D839AD">
        <w:rPr>
          <w:rFonts w:hint="cs"/>
          <w:rtl/>
        </w:rPr>
        <w:t xml:space="preserve">בעיתוי שהיה </w:t>
      </w:r>
      <w:r w:rsidRPr="00D839AD">
        <w:rPr>
          <w:rtl/>
        </w:rPr>
        <w:t>מאוחר מידי</w:t>
      </w:r>
      <w:r w:rsidRPr="00D839AD">
        <w:rPr>
          <w:rFonts w:hint="cs"/>
          <w:rtl/>
        </w:rPr>
        <w:t xml:space="preserve"> מכדי למנוע את ההפסדים באשראים שכבר הועמדו</w:t>
      </w:r>
      <w:r w:rsidRPr="00D839AD">
        <w:rPr>
          <w:rtl/>
        </w:rPr>
        <w:t xml:space="preserve">. </w:t>
      </w:r>
    </w:p>
    <w:p w:rsidR="00DE5CF1" w:rsidRPr="00863726" w:rsidRDefault="00DE5CF1" w:rsidP="00417D7A">
      <w:pPr>
        <w:tabs>
          <w:tab w:val="clear" w:pos="567"/>
          <w:tab w:val="clear" w:pos="1134"/>
        </w:tabs>
        <w:outlineLvl w:val="0"/>
        <w:rPr>
          <w:rFonts w:hint="cs"/>
          <w:b/>
          <w:bCs/>
          <w:kern w:val="28"/>
          <w:rtl/>
        </w:rPr>
      </w:pPr>
      <w:r w:rsidRPr="00863726">
        <w:rPr>
          <w:rFonts w:hint="cs"/>
          <w:b/>
          <w:bCs/>
          <w:kern w:val="28"/>
          <w:rtl/>
        </w:rPr>
        <w:t>תרמה להעלאת הסיכון באותם מקרים השפעת התחרות העזה על היקפי הפעילות שהתחוללה באותן שנים בין הבנקים הגדולים וגם בין הבנקים והגופים המוסדיים</w:t>
      </w:r>
      <w:r>
        <w:rPr>
          <w:rFonts w:hint="cs"/>
          <w:b/>
          <w:bCs/>
          <w:kern w:val="28"/>
          <w:rtl/>
        </w:rPr>
        <w:t>,</w:t>
      </w:r>
      <w:r w:rsidRPr="00863726">
        <w:rPr>
          <w:rFonts w:hint="cs"/>
          <w:b/>
          <w:bCs/>
          <w:kern w:val="28"/>
          <w:rtl/>
        </w:rPr>
        <w:t xml:space="preserve"> והשפעת "אפקט ההילה" של מספר לווים גדולים</w:t>
      </w:r>
      <w:r>
        <w:rPr>
          <w:rFonts w:hint="cs"/>
          <w:b/>
          <w:bCs/>
          <w:kern w:val="28"/>
          <w:rtl/>
        </w:rPr>
        <w:t>,</w:t>
      </w:r>
      <w:r w:rsidRPr="00863726">
        <w:rPr>
          <w:rFonts w:hint="cs"/>
          <w:b/>
          <w:bCs/>
          <w:kern w:val="28"/>
          <w:rtl/>
        </w:rPr>
        <w:t xml:space="preserve"> תוך הסתמכות על שמו של הלווה ועל הניסיון הקודם בעמידה בהחזרי חובות העבר. </w:t>
      </w:r>
    </w:p>
    <w:p w:rsidR="00DE5CF1" w:rsidRPr="00D839AD" w:rsidRDefault="001E5C08" w:rsidP="001E5C08">
      <w:pPr>
        <w:tabs>
          <w:tab w:val="clear" w:pos="567"/>
          <w:tab w:val="clear" w:pos="1134"/>
        </w:tabs>
        <w:outlineLvl w:val="0"/>
        <w:rPr>
          <w:rFonts w:hint="cs"/>
          <w:kern w:val="28"/>
          <w:rtl/>
        </w:rPr>
      </w:pPr>
      <w:r>
        <w:rPr>
          <w:rFonts w:hint="cs"/>
          <w:kern w:val="28"/>
          <w:rtl/>
        </w:rPr>
        <w:t>מ</w:t>
      </w:r>
      <w:r w:rsidR="00DE5CF1" w:rsidRPr="00D839AD">
        <w:rPr>
          <w:rFonts w:hint="cs"/>
          <w:kern w:val="28"/>
          <w:rtl/>
        </w:rPr>
        <w:t>הביקורות שנערכו על ידי הפיקוח על הבנקים לאורך השנים בנושא אשראי ללווים גדולים, עלה כי הנהלות הבנקים</w:t>
      </w:r>
      <w:r w:rsidR="00DE5CF1">
        <w:rPr>
          <w:rFonts w:hint="cs"/>
          <w:kern w:val="28"/>
          <w:rtl/>
        </w:rPr>
        <w:t>,</w:t>
      </w:r>
      <w:r w:rsidR="00DE5CF1" w:rsidRPr="00D839AD">
        <w:rPr>
          <w:rFonts w:hint="cs"/>
          <w:kern w:val="28"/>
          <w:rtl/>
        </w:rPr>
        <w:t xml:space="preserve"> כמו גם חברות הדירוג במשק והגופים המוסדיים שהלוו כספים לאותן חברות</w:t>
      </w:r>
      <w:r w:rsidR="00DE5CF1">
        <w:rPr>
          <w:rFonts w:hint="cs"/>
          <w:kern w:val="28"/>
          <w:rtl/>
        </w:rPr>
        <w:t>,</w:t>
      </w:r>
      <w:r w:rsidR="00DE5CF1" w:rsidRPr="00D839AD">
        <w:rPr>
          <w:rFonts w:hint="cs"/>
          <w:kern w:val="28"/>
          <w:rtl/>
        </w:rPr>
        <w:t xml:space="preserve"> </w:t>
      </w:r>
      <w:r w:rsidR="00DE5CF1" w:rsidRPr="00E71E31">
        <w:rPr>
          <w:rFonts w:hint="cs"/>
          <w:kern w:val="28"/>
          <w:rtl/>
        </w:rPr>
        <w:t>העריכו באופן אופטימי</w:t>
      </w:r>
      <w:r w:rsidR="00DE5CF1" w:rsidRPr="00D839AD">
        <w:rPr>
          <w:rFonts w:hint="cs"/>
          <w:kern w:val="28"/>
          <w:rtl/>
        </w:rPr>
        <w:t xml:space="preserve"> את רמת הסיכון של הלווים ואת התזרימים הצפויים ושווי הבטוחות שקיבלו מהם תוך הסתמכות יתר על ההערכות וההסברים של הלווים.</w:t>
      </w:r>
      <w:r w:rsidR="00DE5CF1" w:rsidRPr="00D839AD" w:rsidDel="004E2239">
        <w:rPr>
          <w:rFonts w:hint="cs"/>
          <w:kern w:val="28"/>
          <w:rtl/>
        </w:rPr>
        <w:t xml:space="preserve"> </w:t>
      </w:r>
    </w:p>
    <w:p w:rsidR="00DE5CF1" w:rsidRPr="00D839AD" w:rsidRDefault="00DE5CF1" w:rsidP="00A17C0D">
      <w:pPr>
        <w:tabs>
          <w:tab w:val="clear" w:pos="567"/>
          <w:tab w:val="clear" w:pos="1134"/>
        </w:tabs>
        <w:outlineLvl w:val="0"/>
        <w:rPr>
          <w:rFonts w:hint="cs"/>
          <w:kern w:val="28"/>
          <w:rtl/>
        </w:rPr>
      </w:pPr>
      <w:r w:rsidRPr="00D839AD">
        <w:rPr>
          <w:rFonts w:hint="cs"/>
          <w:kern w:val="28"/>
          <w:rtl/>
        </w:rPr>
        <w:t xml:space="preserve">עוד עלה בביקורות, </w:t>
      </w:r>
      <w:r>
        <w:rPr>
          <w:rFonts w:hint="cs"/>
          <w:kern w:val="28"/>
          <w:rtl/>
        </w:rPr>
        <w:t xml:space="preserve">כי </w:t>
      </w:r>
      <w:r w:rsidRPr="00D839AD">
        <w:rPr>
          <w:rFonts w:hint="cs"/>
          <w:kern w:val="28"/>
          <w:rtl/>
        </w:rPr>
        <w:t xml:space="preserve">האשראים שניתנו לאותם לווים </w:t>
      </w:r>
      <w:r w:rsidRPr="00E71E31">
        <w:rPr>
          <w:rFonts w:hint="cs"/>
          <w:kern w:val="28"/>
          <w:rtl/>
        </w:rPr>
        <w:t>לא תמיד כללו התניות פיננסיות מספקות או זיקה משפטית מתאימה אחרת למקורות ההחזר</w:t>
      </w:r>
      <w:r w:rsidRPr="00B238F7">
        <w:rPr>
          <w:rFonts w:hint="cs"/>
          <w:kern w:val="28"/>
          <w:rtl/>
        </w:rPr>
        <w:t>,</w:t>
      </w:r>
      <w:r w:rsidRPr="00D839AD">
        <w:rPr>
          <w:rFonts w:hint="cs"/>
          <w:kern w:val="28"/>
          <w:rtl/>
        </w:rPr>
        <w:t xml:space="preserve"> וכך הבנקים לא שלטו בדיעבד בזרימת הכספים מחברות הבנות ו</w:t>
      </w:r>
      <w:r>
        <w:rPr>
          <w:rFonts w:hint="cs"/>
          <w:kern w:val="28"/>
          <w:rtl/>
        </w:rPr>
        <w:t xml:space="preserve">לא שלטו </w:t>
      </w:r>
      <w:r w:rsidRPr="00D839AD">
        <w:rPr>
          <w:rFonts w:hint="cs"/>
          <w:kern w:val="28"/>
          <w:rtl/>
        </w:rPr>
        <w:t xml:space="preserve">על יכולתם לפעול לצמצום ההפסדים, במקרה של התדרדרות עסקית. </w:t>
      </w:r>
    </w:p>
    <w:p w:rsidR="00DE5CF1" w:rsidRPr="00863726" w:rsidRDefault="00DE5CF1" w:rsidP="00DE5CF1">
      <w:pPr>
        <w:tabs>
          <w:tab w:val="clear" w:pos="567"/>
          <w:tab w:val="clear" w:pos="1134"/>
        </w:tabs>
        <w:outlineLvl w:val="0"/>
        <w:rPr>
          <w:b/>
          <w:bCs/>
          <w:kern w:val="28"/>
          <w:rtl/>
        </w:rPr>
      </w:pPr>
      <w:r w:rsidRPr="00863726">
        <w:rPr>
          <w:rFonts w:hint="cs"/>
          <w:b/>
          <w:bCs/>
          <w:kern w:val="28"/>
          <w:rtl/>
        </w:rPr>
        <w:t xml:space="preserve">מובן שהיכן שזוהו הכשלים בתהליכי הביקורת, הבנקים נדרשו לפעול, ככל שניתן, לצמצום הסיכון כמפורט בהמשך. </w:t>
      </w:r>
    </w:p>
    <w:p w:rsidR="001E5C08" w:rsidRPr="00D839AD" w:rsidRDefault="001E5C08" w:rsidP="00475AC7">
      <w:pPr>
        <w:tabs>
          <w:tab w:val="clear" w:pos="567"/>
          <w:tab w:val="clear" w:pos="1134"/>
        </w:tabs>
        <w:outlineLvl w:val="0"/>
        <w:rPr>
          <w:rFonts w:hint="cs"/>
          <w:kern w:val="28"/>
          <w:rtl/>
        </w:rPr>
      </w:pPr>
      <w:r w:rsidRPr="00BF720B">
        <w:rPr>
          <w:rFonts w:hint="cs"/>
          <w:kern w:val="28"/>
          <w:rtl/>
        </w:rPr>
        <w:t xml:space="preserve">כאשר התנאים הכלכליים נעשו קשים יותר וככל שהרווחים מהפעילויות העסקיות התרחקו מההערכות האופטימיות על בסיסן האשראים ניתנו, חלק מהלווים מצאו עצמם נטולי יכולת לעמוד בהתחייבויותיהם, ואילו הבנקים נאלצו לרשום הפסדי אשראי כבדים ולנהל מהלכי גביה מורכבים אשר </w:t>
      </w:r>
      <w:r>
        <w:rPr>
          <w:rFonts w:hint="cs"/>
          <w:kern w:val="28"/>
          <w:rtl/>
        </w:rPr>
        <w:t>חלקם</w:t>
      </w:r>
      <w:r w:rsidRPr="00BF720B">
        <w:rPr>
          <w:rFonts w:hint="cs"/>
          <w:kern w:val="28"/>
          <w:rtl/>
        </w:rPr>
        <w:t xml:space="preserve"> נמשכים עד היום.</w:t>
      </w:r>
      <w:r w:rsidRPr="00D839AD">
        <w:rPr>
          <w:rFonts w:hint="cs"/>
          <w:kern w:val="28"/>
          <w:rtl/>
        </w:rPr>
        <w:t xml:space="preserve"> </w:t>
      </w:r>
      <w:r w:rsidR="0084559B" w:rsidRPr="00E775D6">
        <w:rPr>
          <w:rFonts w:hint="cs"/>
          <w:kern w:val="28"/>
          <w:rtl/>
        </w:rPr>
        <w:t xml:space="preserve">כאמור, </w:t>
      </w:r>
      <w:r w:rsidRPr="00E775D6">
        <w:rPr>
          <w:rFonts w:hint="cs"/>
          <w:kern w:val="28"/>
          <w:rtl/>
        </w:rPr>
        <w:t>בשוק ההון הפסדים של אותן קבוצות התבטאו ב"תספורות" על אגרות החוב שמחזיק הציבור, ופגיעה בחיסכון הפנסיוני.</w:t>
      </w:r>
    </w:p>
    <w:p w:rsidR="00C823A2" w:rsidRPr="00417D7A" w:rsidRDefault="00C823A2" w:rsidP="002E7C34">
      <w:pPr>
        <w:rPr>
          <w:sz w:val="16"/>
          <w:szCs w:val="16"/>
          <w:rtl/>
        </w:rPr>
      </w:pPr>
    </w:p>
    <w:p w:rsidR="00FB29D3" w:rsidRPr="00863726" w:rsidRDefault="00B11A6D" w:rsidP="005F79F0">
      <w:pPr>
        <w:tabs>
          <w:tab w:val="clear" w:pos="567"/>
          <w:tab w:val="clear" w:pos="1134"/>
          <w:tab w:val="num" w:pos="562"/>
        </w:tabs>
        <w:outlineLvl w:val="0"/>
        <w:rPr>
          <w:rFonts w:hint="cs"/>
          <w:b/>
          <w:bCs/>
          <w:color w:val="00B0F0"/>
          <w:rtl/>
        </w:rPr>
      </w:pPr>
      <w:r>
        <w:rPr>
          <w:rFonts w:hint="cs"/>
          <w:b/>
          <w:bCs/>
          <w:color w:val="00B0F0"/>
          <w:rtl/>
        </w:rPr>
        <w:t xml:space="preserve">האם </w:t>
      </w:r>
      <w:r w:rsidRPr="00863726">
        <w:rPr>
          <w:rFonts w:hint="cs"/>
          <w:b/>
          <w:bCs/>
          <w:color w:val="00B0F0"/>
          <w:rtl/>
        </w:rPr>
        <w:t xml:space="preserve">הפסדי </w:t>
      </w:r>
      <w:r w:rsidR="00E04BBE">
        <w:rPr>
          <w:rFonts w:hint="cs"/>
          <w:b/>
          <w:bCs/>
          <w:color w:val="00B0F0"/>
          <w:rtl/>
        </w:rPr>
        <w:t xml:space="preserve">האשראי </w:t>
      </w:r>
      <w:r w:rsidR="001921F6" w:rsidRPr="00863726">
        <w:rPr>
          <w:rFonts w:hint="cs"/>
          <w:b/>
          <w:bCs/>
          <w:color w:val="00B0F0"/>
          <w:rtl/>
        </w:rPr>
        <w:t>הללו</w:t>
      </w:r>
      <w:r w:rsidR="00FB29D3" w:rsidRPr="00863726">
        <w:rPr>
          <w:rFonts w:hint="cs"/>
          <w:b/>
          <w:bCs/>
          <w:color w:val="00B0F0"/>
          <w:rtl/>
        </w:rPr>
        <w:t xml:space="preserve"> </w:t>
      </w:r>
      <w:r w:rsidR="002B70BA">
        <w:rPr>
          <w:rFonts w:hint="cs"/>
          <w:b/>
          <w:bCs/>
          <w:color w:val="00B0F0"/>
          <w:rtl/>
        </w:rPr>
        <w:t xml:space="preserve">סיכנו או </w:t>
      </w:r>
      <w:r w:rsidR="00FB29D3" w:rsidRPr="00863726">
        <w:rPr>
          <w:rFonts w:hint="cs"/>
          <w:b/>
          <w:bCs/>
          <w:color w:val="00B0F0"/>
          <w:rtl/>
        </w:rPr>
        <w:t>מסכנים את יציבות המערכת</w:t>
      </w:r>
      <w:r w:rsidR="006444C0" w:rsidRPr="00863726">
        <w:rPr>
          <w:rFonts w:hint="cs"/>
          <w:b/>
          <w:bCs/>
          <w:color w:val="00B0F0"/>
          <w:rtl/>
        </w:rPr>
        <w:t xml:space="preserve"> הבנקאית</w:t>
      </w:r>
      <w:r w:rsidR="00FB29D3" w:rsidRPr="00863726">
        <w:rPr>
          <w:rFonts w:hint="cs"/>
          <w:b/>
          <w:bCs/>
          <w:color w:val="00B0F0"/>
          <w:rtl/>
        </w:rPr>
        <w:t>?</w:t>
      </w:r>
    </w:p>
    <w:p w:rsidR="00B11A6D" w:rsidRPr="005F79F0" w:rsidRDefault="00421591" w:rsidP="00982CE2">
      <w:pPr>
        <w:rPr>
          <w:rtl/>
        </w:rPr>
      </w:pPr>
      <w:r w:rsidRPr="008E7DC1">
        <w:rPr>
          <w:rFonts w:hint="cs"/>
          <w:b/>
          <w:bCs/>
          <w:rtl/>
        </w:rPr>
        <w:t xml:space="preserve">אחד </w:t>
      </w:r>
      <w:r w:rsidRPr="008E7DC1">
        <w:rPr>
          <w:b/>
          <w:bCs/>
          <w:rtl/>
        </w:rPr>
        <w:t>התפקיד</w:t>
      </w:r>
      <w:r w:rsidRPr="008E7DC1">
        <w:rPr>
          <w:rFonts w:hint="cs"/>
          <w:b/>
          <w:bCs/>
          <w:rtl/>
        </w:rPr>
        <w:t>ים</w:t>
      </w:r>
      <w:r w:rsidRPr="008E7DC1">
        <w:rPr>
          <w:b/>
          <w:bCs/>
          <w:rtl/>
        </w:rPr>
        <w:t xml:space="preserve"> העיקרי</w:t>
      </w:r>
      <w:r w:rsidRPr="008E7DC1">
        <w:rPr>
          <w:rFonts w:hint="cs"/>
          <w:b/>
          <w:bCs/>
          <w:rtl/>
        </w:rPr>
        <w:t>ים</w:t>
      </w:r>
      <w:r w:rsidRPr="008E7DC1">
        <w:rPr>
          <w:b/>
          <w:bCs/>
          <w:rtl/>
        </w:rPr>
        <w:t xml:space="preserve"> של הפיקוח על הבנקים הוא </w:t>
      </w:r>
      <w:r w:rsidRPr="004009AD">
        <w:rPr>
          <w:b/>
          <w:bCs/>
          <w:rtl/>
        </w:rPr>
        <w:t>להבטיח את היציבות הפיננסית</w:t>
      </w:r>
      <w:r w:rsidRPr="008E7DC1">
        <w:rPr>
          <w:b/>
          <w:bCs/>
          <w:rtl/>
        </w:rPr>
        <w:t xml:space="preserve"> של הבנקים בארץ, </w:t>
      </w:r>
      <w:r w:rsidRPr="00117576">
        <w:rPr>
          <w:rtl/>
        </w:rPr>
        <w:t>גם כאשר התנאים הכלכליים נעשים קשים וגם כאשר נוצרים אצלם הפסדים לא צפויים.</w:t>
      </w:r>
      <w:r w:rsidRPr="006161A3">
        <w:rPr>
          <w:rtl/>
        </w:rPr>
        <w:t xml:space="preserve"> </w:t>
      </w:r>
      <w:r w:rsidRPr="008E7DC1">
        <w:rPr>
          <w:rFonts w:hint="cs"/>
          <w:rtl/>
        </w:rPr>
        <w:t xml:space="preserve">בהקשר זה, </w:t>
      </w:r>
      <w:r w:rsidR="00B11A6D" w:rsidRPr="008E7DC1">
        <w:rPr>
          <w:rtl/>
        </w:rPr>
        <w:t>למרות ש</w:t>
      </w:r>
      <w:r w:rsidR="00B11A6D" w:rsidRPr="00117576">
        <w:rPr>
          <w:b/>
          <w:bCs/>
          <w:rtl/>
        </w:rPr>
        <w:t>ההפסדים שנגרמו</w:t>
      </w:r>
      <w:r w:rsidR="00B11A6D" w:rsidRPr="008E7DC1">
        <w:rPr>
          <w:rtl/>
        </w:rPr>
        <w:t xml:space="preserve"> ממספר </w:t>
      </w:r>
      <w:r w:rsidR="00082998" w:rsidRPr="008E7DC1">
        <w:rPr>
          <w:rFonts w:hint="cs"/>
          <w:rtl/>
        </w:rPr>
        <w:t xml:space="preserve">קבוצות </w:t>
      </w:r>
      <w:r w:rsidR="00B11A6D" w:rsidRPr="008E7DC1">
        <w:rPr>
          <w:rtl/>
        </w:rPr>
        <w:t xml:space="preserve">לווים גדולים היו בסכומים ניכרים, </w:t>
      </w:r>
      <w:r w:rsidR="007C3C41" w:rsidRPr="00963C15">
        <w:rPr>
          <w:rFonts w:hint="cs"/>
          <w:b/>
          <w:bCs/>
          <w:rtl/>
        </w:rPr>
        <w:t>ההפסדים</w:t>
      </w:r>
      <w:r w:rsidR="007C3C41" w:rsidRPr="008E7DC1">
        <w:rPr>
          <w:rtl/>
        </w:rPr>
        <w:t xml:space="preserve"> </w:t>
      </w:r>
      <w:r w:rsidR="00082998">
        <w:rPr>
          <w:rFonts w:hint="cs"/>
          <w:b/>
          <w:bCs/>
          <w:rtl/>
        </w:rPr>
        <w:t xml:space="preserve">לא </w:t>
      </w:r>
      <w:r w:rsidR="00B238F7">
        <w:rPr>
          <w:rFonts w:hint="cs"/>
          <w:b/>
          <w:bCs/>
          <w:rtl/>
        </w:rPr>
        <w:t xml:space="preserve">היו בסדרי גודל </w:t>
      </w:r>
      <w:r w:rsidR="00082998">
        <w:rPr>
          <w:rFonts w:hint="cs"/>
          <w:b/>
          <w:bCs/>
          <w:rtl/>
        </w:rPr>
        <w:t xml:space="preserve">כאלה שיש </w:t>
      </w:r>
      <w:r w:rsidR="00B26DF8">
        <w:rPr>
          <w:rFonts w:hint="cs"/>
          <w:b/>
          <w:bCs/>
          <w:rtl/>
        </w:rPr>
        <w:t>בהם כדי לערער</w:t>
      </w:r>
      <w:r w:rsidR="00B238F7">
        <w:rPr>
          <w:rFonts w:hint="cs"/>
          <w:b/>
          <w:bCs/>
          <w:rtl/>
        </w:rPr>
        <w:t xml:space="preserve"> </w:t>
      </w:r>
      <w:r w:rsidR="00B11A6D" w:rsidRPr="00E524C4">
        <w:rPr>
          <w:b/>
          <w:bCs/>
          <w:rtl/>
        </w:rPr>
        <w:t xml:space="preserve">את היציבות של הבנקים המלווים או להביא לשיעורי הפסד חריגים בהשוואה בינלאומית. </w:t>
      </w:r>
    </w:p>
    <w:p w:rsidR="003B0802" w:rsidRPr="003B0802" w:rsidRDefault="003B0802" w:rsidP="003B0802">
      <w:pPr>
        <w:tabs>
          <w:tab w:val="clear" w:pos="567"/>
          <w:tab w:val="clear" w:pos="1134"/>
          <w:tab w:val="num" w:pos="562"/>
        </w:tabs>
        <w:outlineLvl w:val="0"/>
        <w:rPr>
          <w:rFonts w:hint="cs"/>
          <w:rtl/>
        </w:rPr>
      </w:pPr>
      <w:r w:rsidRPr="003B0802">
        <w:rPr>
          <w:rFonts w:hint="cs"/>
          <w:rtl/>
        </w:rPr>
        <w:t>חשוב לחדד כי הפיקוח</w:t>
      </w:r>
      <w:r w:rsidRPr="003B0802">
        <w:rPr>
          <w:rtl/>
        </w:rPr>
        <w:t xml:space="preserve"> </w:t>
      </w:r>
      <w:r w:rsidRPr="003B0802">
        <w:rPr>
          <w:rFonts w:hint="cs"/>
          <w:rtl/>
        </w:rPr>
        <w:t>לא אמור ואינו מ</w:t>
      </w:r>
      <w:r w:rsidRPr="003B0802">
        <w:rPr>
          <w:rtl/>
        </w:rPr>
        <w:t>אשר מראש עסק</w:t>
      </w:r>
      <w:r w:rsidRPr="003B0802">
        <w:rPr>
          <w:rFonts w:hint="cs"/>
          <w:rtl/>
        </w:rPr>
        <w:t>א</w:t>
      </w:r>
      <w:r w:rsidRPr="003B0802">
        <w:rPr>
          <w:rtl/>
        </w:rPr>
        <w:t>ות של העמדת אשראי</w:t>
      </w:r>
      <w:r w:rsidRPr="003B0802">
        <w:rPr>
          <w:rFonts w:hint="cs"/>
          <w:rtl/>
        </w:rPr>
        <w:t xml:space="preserve"> על ידי הבנקים</w:t>
      </w:r>
      <w:r w:rsidRPr="003B0802">
        <w:rPr>
          <w:rtl/>
        </w:rPr>
        <w:t>. תחת זאת, הוא פועל לכך ש</w:t>
      </w:r>
      <w:r>
        <w:rPr>
          <w:rFonts w:hint="cs"/>
          <w:rtl/>
        </w:rPr>
        <w:t>ה</w:t>
      </w:r>
      <w:r w:rsidRPr="003B0802">
        <w:rPr>
          <w:rtl/>
        </w:rPr>
        <w:t>בנקים יקיימו מערכים מוקפדים</w:t>
      </w:r>
      <w:r w:rsidRPr="003B0802">
        <w:rPr>
          <w:rFonts w:hint="cs"/>
          <w:rtl/>
        </w:rPr>
        <w:t xml:space="preserve"> </w:t>
      </w:r>
      <w:r w:rsidRPr="003B0802">
        <w:rPr>
          <w:rtl/>
        </w:rPr>
        <w:t>של</w:t>
      </w:r>
      <w:r w:rsidRPr="003B0802">
        <w:rPr>
          <w:rFonts w:hint="cs"/>
          <w:rtl/>
        </w:rPr>
        <w:t xml:space="preserve"> </w:t>
      </w:r>
      <w:r w:rsidRPr="003B0802">
        <w:rPr>
          <w:rtl/>
        </w:rPr>
        <w:t>ממשל תאגידי וניהול סיכונים, שהם יחזיקו כריות הון ונזילות מספיק גדולות</w:t>
      </w:r>
      <w:r w:rsidRPr="003B0802">
        <w:rPr>
          <w:rFonts w:hint="cs"/>
          <w:rtl/>
        </w:rPr>
        <w:t>,</w:t>
      </w:r>
      <w:r w:rsidRPr="003B0802">
        <w:rPr>
          <w:rtl/>
        </w:rPr>
        <w:t xml:space="preserve"> ושהם יתנו גילוי על פעילותם </w:t>
      </w:r>
      <w:r w:rsidRPr="003B0802">
        <w:rPr>
          <w:rFonts w:hint="cs"/>
          <w:rtl/>
        </w:rPr>
        <w:t xml:space="preserve">ועל הפסדי האשראי הצפויים </w:t>
      </w:r>
      <w:r w:rsidRPr="003B0802">
        <w:rPr>
          <w:rtl/>
        </w:rPr>
        <w:t>לציבור</w:t>
      </w:r>
      <w:r w:rsidRPr="003B0802">
        <w:rPr>
          <w:rFonts w:hint="cs"/>
          <w:rtl/>
        </w:rPr>
        <w:t xml:space="preserve">. </w:t>
      </w:r>
    </w:p>
    <w:p w:rsidR="00C94044" w:rsidRPr="00963C15" w:rsidRDefault="00C94044" w:rsidP="003B0802">
      <w:pPr>
        <w:tabs>
          <w:tab w:val="clear" w:pos="567"/>
          <w:tab w:val="clear" w:pos="1134"/>
          <w:tab w:val="num" w:pos="562"/>
        </w:tabs>
        <w:outlineLvl w:val="0"/>
        <w:rPr>
          <w:rFonts w:hint="cs"/>
          <w:b/>
          <w:bCs/>
          <w:rtl/>
        </w:rPr>
      </w:pPr>
      <w:r w:rsidRPr="00963C15">
        <w:rPr>
          <w:rFonts w:hint="cs"/>
          <w:b/>
          <w:bCs/>
          <w:rtl/>
        </w:rPr>
        <w:lastRenderedPageBreak/>
        <w:t xml:space="preserve">הסטטיסטיקה מראה שבשנים האחרונות שיעור </w:t>
      </w:r>
      <w:r w:rsidRPr="00963C15">
        <w:rPr>
          <w:b/>
          <w:bCs/>
          <w:rtl/>
        </w:rPr>
        <w:t xml:space="preserve">הפסדי האשראי </w:t>
      </w:r>
      <w:r w:rsidRPr="00F2028A">
        <w:rPr>
          <w:rFonts w:hint="cs"/>
          <w:b/>
          <w:bCs/>
          <w:rtl/>
        </w:rPr>
        <w:t>בתיק העסקי בישראל</w:t>
      </w:r>
      <w:r w:rsidR="00772603">
        <w:rPr>
          <w:rStyle w:val="a8"/>
          <w:rtl/>
        </w:rPr>
        <w:footnoteReference w:id="1"/>
      </w:r>
      <w:r w:rsidRPr="00963C15">
        <w:rPr>
          <w:rFonts w:hint="cs"/>
          <w:b/>
          <w:bCs/>
          <w:rtl/>
        </w:rPr>
        <w:t xml:space="preserve">, היה </w:t>
      </w:r>
      <w:r w:rsidR="00CA6ADE" w:rsidRPr="00963C15">
        <w:rPr>
          <w:rFonts w:hint="cs"/>
          <w:b/>
          <w:bCs/>
          <w:rtl/>
        </w:rPr>
        <w:t xml:space="preserve">דומה או אף </w:t>
      </w:r>
      <w:r w:rsidRPr="00963C15">
        <w:rPr>
          <w:rFonts w:hint="cs"/>
          <w:b/>
          <w:bCs/>
          <w:rtl/>
        </w:rPr>
        <w:t>נמוך ביחס לשיעור ההפסדים של התיק הצרכני</w:t>
      </w:r>
      <w:r w:rsidR="00CA6ADE" w:rsidRPr="00963C15">
        <w:rPr>
          <w:rFonts w:hint="cs"/>
          <w:b/>
          <w:bCs/>
          <w:rtl/>
        </w:rPr>
        <w:t>, כפי שניתן לראות בגרף להלן</w:t>
      </w:r>
      <w:r w:rsidR="0094215E" w:rsidRPr="00963C15">
        <w:rPr>
          <w:rFonts w:hint="cs"/>
          <w:b/>
          <w:bCs/>
          <w:rtl/>
        </w:rPr>
        <w:t>:</w:t>
      </w:r>
    </w:p>
    <w:p w:rsidR="00F47381" w:rsidRDefault="00506868" w:rsidP="00F47381">
      <w:pPr>
        <w:tabs>
          <w:tab w:val="clear" w:pos="567"/>
          <w:tab w:val="clear" w:pos="1134"/>
          <w:tab w:val="num" w:pos="562"/>
        </w:tabs>
        <w:jc w:val="center"/>
        <w:outlineLvl w:val="0"/>
        <w:rPr>
          <w:rFonts w:hint="cs"/>
          <w:rtl/>
        </w:rPr>
      </w:pPr>
      <w:r>
        <w:rPr>
          <w:noProof/>
        </w:rPr>
        <w:drawing>
          <wp:inline distT="0" distB="0" distL="0" distR="0">
            <wp:extent cx="3578225" cy="1900555"/>
            <wp:effectExtent l="19050" t="19050" r="22225" b="23495"/>
            <wp:docPr id="4" name="תרשים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רשים 1"/>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8225" cy="1900555"/>
                    </a:xfrm>
                    <a:prstGeom prst="rect">
                      <a:avLst/>
                    </a:prstGeom>
                    <a:noFill/>
                    <a:ln w="19050" cmpd="sng">
                      <a:solidFill>
                        <a:srgbClr val="000000"/>
                      </a:solidFill>
                      <a:miter lim="800000"/>
                      <a:headEnd/>
                      <a:tailEnd/>
                    </a:ln>
                    <a:effectLst/>
                  </pic:spPr>
                </pic:pic>
              </a:graphicData>
            </a:graphic>
          </wp:inline>
        </w:drawing>
      </w:r>
    </w:p>
    <w:p w:rsidR="00DA680E" w:rsidRDefault="00A43654" w:rsidP="00963C15">
      <w:pPr>
        <w:tabs>
          <w:tab w:val="clear" w:pos="567"/>
          <w:tab w:val="clear" w:pos="1134"/>
          <w:tab w:val="num" w:pos="562"/>
        </w:tabs>
        <w:outlineLvl w:val="0"/>
        <w:rPr>
          <w:rFonts w:hint="cs"/>
          <w:rtl/>
        </w:rPr>
      </w:pPr>
      <w:r>
        <w:rPr>
          <w:rFonts w:hint="cs"/>
          <w:rtl/>
        </w:rPr>
        <w:t xml:space="preserve">שיעור הפסדי האשראי במגזר העסקי בישראל </w:t>
      </w:r>
      <w:r w:rsidR="00C94044" w:rsidRPr="00C94044">
        <w:rPr>
          <w:rFonts w:hint="cs"/>
          <w:rtl/>
        </w:rPr>
        <w:t>דומ</w:t>
      </w:r>
      <w:r w:rsidR="006444C0">
        <w:rPr>
          <w:rFonts w:hint="cs"/>
          <w:rtl/>
        </w:rPr>
        <w:t>ים</w:t>
      </w:r>
      <w:r w:rsidR="00C94044" w:rsidRPr="00C94044">
        <w:rPr>
          <w:rFonts w:hint="cs"/>
          <w:rtl/>
        </w:rPr>
        <w:t xml:space="preserve"> לשיעורי ההפסד במערכת הבנקאות בארה"ב</w:t>
      </w:r>
      <w:r>
        <w:rPr>
          <w:rFonts w:hint="cs"/>
          <w:rtl/>
        </w:rPr>
        <w:t xml:space="preserve">, </w:t>
      </w:r>
      <w:r w:rsidRPr="000350F4">
        <w:rPr>
          <w:rFonts w:hint="cs"/>
          <w:rtl/>
        </w:rPr>
        <w:t>ונמו</w:t>
      </w:r>
      <w:r w:rsidR="006444C0" w:rsidRPr="000350F4">
        <w:rPr>
          <w:rFonts w:hint="cs"/>
          <w:rtl/>
        </w:rPr>
        <w:t>כים</w:t>
      </w:r>
      <w:r w:rsidRPr="000350F4">
        <w:rPr>
          <w:rFonts w:hint="cs"/>
          <w:rtl/>
        </w:rPr>
        <w:t xml:space="preserve"> משיעורי ההפסד במערכת הבנקאות באירופה.</w:t>
      </w:r>
      <w:r w:rsidR="00305C9F" w:rsidRPr="00305C9F">
        <w:rPr>
          <w:rFonts w:hint="cs"/>
          <w:rtl/>
        </w:rPr>
        <w:t xml:space="preserve"> </w:t>
      </w:r>
    </w:p>
    <w:p w:rsidR="00CC291F" w:rsidRDefault="00CC291F" w:rsidP="009748B4">
      <w:pPr>
        <w:tabs>
          <w:tab w:val="clear" w:pos="567"/>
          <w:tab w:val="clear" w:pos="1134"/>
          <w:tab w:val="num" w:pos="562"/>
        </w:tabs>
        <w:outlineLvl w:val="0"/>
        <w:rPr>
          <w:rFonts w:hint="cs"/>
          <w:color w:val="1F497D"/>
          <w:rtl/>
        </w:rPr>
      </w:pPr>
      <w:r>
        <w:rPr>
          <w:rFonts w:hint="cs"/>
          <w:b/>
          <w:bCs/>
          <w:kern w:val="28"/>
          <w:sz w:val="22"/>
          <w:rtl/>
        </w:rPr>
        <w:t>גם בהסתכלות על תיק האשראי בכללותו (עסקי וצרכני גם יחד)</w:t>
      </w:r>
      <w:r w:rsidR="00EE6FA6">
        <w:rPr>
          <w:rFonts w:hint="cs"/>
          <w:b/>
          <w:bCs/>
          <w:kern w:val="28"/>
          <w:sz w:val="22"/>
          <w:rtl/>
        </w:rPr>
        <w:t xml:space="preserve"> בשנים האחרונות</w:t>
      </w:r>
      <w:r>
        <w:rPr>
          <w:rFonts w:hint="cs"/>
          <w:b/>
          <w:bCs/>
          <w:kern w:val="28"/>
          <w:sz w:val="22"/>
          <w:rtl/>
        </w:rPr>
        <w:t>, מדדי הסיכון מצביעים על כך</w:t>
      </w:r>
      <w:r w:rsidRPr="008B484E">
        <w:rPr>
          <w:rFonts w:hint="cs"/>
          <w:b/>
          <w:bCs/>
          <w:kern w:val="28"/>
          <w:sz w:val="22"/>
          <w:rtl/>
        </w:rPr>
        <w:t xml:space="preserve"> שהאיכות הכוללת של תיק האשראי של הבנקים בישראל גבוהה</w:t>
      </w:r>
      <w:r w:rsidRPr="008B484E">
        <w:rPr>
          <w:rFonts w:hint="cs"/>
          <w:kern w:val="28"/>
          <w:sz w:val="22"/>
          <w:rtl/>
        </w:rPr>
        <w:t xml:space="preserve"> </w:t>
      </w:r>
      <w:r w:rsidRPr="003600E5">
        <w:rPr>
          <w:rFonts w:hint="cs"/>
          <w:b/>
          <w:bCs/>
          <w:kern w:val="28"/>
          <w:sz w:val="22"/>
          <w:rtl/>
        </w:rPr>
        <w:t>מזו של בנקים מובילים בעולם</w:t>
      </w:r>
      <w:r>
        <w:rPr>
          <w:rFonts w:hint="cs"/>
          <w:kern w:val="28"/>
          <w:sz w:val="22"/>
          <w:rtl/>
        </w:rPr>
        <w:t>. מדדים אלו באים לידי ביטוי הן בשיעור הפסדי האשראי הנמוכים, והן במשקלו הנמוך של האשראי הבעייתי של הבנקים הישראלים בהשוואה בינ"ל</w:t>
      </w:r>
      <w:r w:rsidRPr="008B484E">
        <w:rPr>
          <w:rFonts w:hint="cs"/>
          <w:kern w:val="28"/>
          <w:sz w:val="22"/>
          <w:rtl/>
        </w:rPr>
        <w:t>.</w:t>
      </w:r>
      <w:r w:rsidRPr="00DB7727">
        <w:rPr>
          <w:rFonts w:hint="cs"/>
          <w:color w:val="1F497D"/>
          <w:rtl/>
        </w:rPr>
        <w:t xml:space="preserve"> </w:t>
      </w:r>
    </w:p>
    <w:p w:rsidR="00CC291F" w:rsidRDefault="00506868" w:rsidP="00CC291F">
      <w:pPr>
        <w:tabs>
          <w:tab w:val="clear" w:pos="567"/>
          <w:tab w:val="clear" w:pos="1134"/>
          <w:tab w:val="num" w:pos="562"/>
        </w:tabs>
        <w:jc w:val="center"/>
        <w:outlineLvl w:val="0"/>
        <w:rPr>
          <w:rFonts w:hint="cs"/>
          <w:b/>
          <w:bCs/>
          <w:color w:val="1F497D"/>
          <w:rtl/>
        </w:rPr>
      </w:pPr>
      <w:r>
        <w:rPr>
          <w:rFonts w:cs="Times New Roman"/>
          <w:noProof/>
        </w:rPr>
        <w:drawing>
          <wp:anchor distT="0" distB="0" distL="114300" distR="114300" simplePos="0" relativeHeight="251657216" behindDoc="0" locked="0" layoutInCell="1" allowOverlap="1">
            <wp:simplePos x="0" y="0"/>
            <wp:positionH relativeFrom="column">
              <wp:posOffset>1299210</wp:posOffset>
            </wp:positionH>
            <wp:positionV relativeFrom="paragraph">
              <wp:posOffset>2136140</wp:posOffset>
            </wp:positionV>
            <wp:extent cx="3076575" cy="2145030"/>
            <wp:effectExtent l="19050" t="19050" r="28575" b="26670"/>
            <wp:wrapNone/>
            <wp:docPr id="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214503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3084830" cy="2075180"/>
            <wp:effectExtent l="0" t="0" r="1270" b="1270"/>
            <wp:docPr id="5" name="תמונה 3" descr="cid:image001.png@01D28770.B5236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cid:image001.png@01D28770.B5236B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84830" cy="2075180"/>
                    </a:xfrm>
                    <a:prstGeom prst="rect">
                      <a:avLst/>
                    </a:prstGeom>
                    <a:noFill/>
                    <a:ln>
                      <a:noFill/>
                    </a:ln>
                  </pic:spPr>
                </pic:pic>
              </a:graphicData>
            </a:graphic>
          </wp:inline>
        </w:drawing>
      </w:r>
    </w:p>
    <w:p w:rsidR="00CC291F" w:rsidRDefault="00CC291F" w:rsidP="000A7A25">
      <w:pPr>
        <w:tabs>
          <w:tab w:val="clear" w:pos="567"/>
          <w:tab w:val="clear" w:pos="1134"/>
          <w:tab w:val="num" w:pos="562"/>
        </w:tabs>
        <w:outlineLvl w:val="0"/>
        <w:rPr>
          <w:rFonts w:hint="cs"/>
          <w:b/>
          <w:bCs/>
          <w:color w:val="1F497D"/>
          <w:rtl/>
        </w:rPr>
      </w:pPr>
    </w:p>
    <w:p w:rsidR="00CC291F" w:rsidRDefault="00CC291F" w:rsidP="00CC291F">
      <w:pPr>
        <w:tabs>
          <w:tab w:val="clear" w:pos="567"/>
          <w:tab w:val="clear" w:pos="1134"/>
          <w:tab w:val="num" w:pos="562"/>
        </w:tabs>
        <w:outlineLvl w:val="0"/>
        <w:rPr>
          <w:rFonts w:hint="cs"/>
          <w:b/>
          <w:bCs/>
          <w:color w:val="1F497D"/>
          <w:rtl/>
        </w:rPr>
      </w:pPr>
    </w:p>
    <w:p w:rsidR="00CC291F" w:rsidRDefault="00CC291F" w:rsidP="00CC291F">
      <w:pPr>
        <w:tabs>
          <w:tab w:val="clear" w:pos="567"/>
          <w:tab w:val="clear" w:pos="1134"/>
          <w:tab w:val="num" w:pos="562"/>
        </w:tabs>
        <w:outlineLvl w:val="0"/>
        <w:rPr>
          <w:rFonts w:hint="cs"/>
          <w:b/>
          <w:bCs/>
          <w:color w:val="1F497D"/>
          <w:rtl/>
        </w:rPr>
      </w:pPr>
    </w:p>
    <w:p w:rsidR="00CC291F" w:rsidRDefault="00CC291F" w:rsidP="00CC291F">
      <w:pPr>
        <w:tabs>
          <w:tab w:val="clear" w:pos="567"/>
          <w:tab w:val="clear" w:pos="1134"/>
          <w:tab w:val="num" w:pos="562"/>
        </w:tabs>
        <w:outlineLvl w:val="0"/>
        <w:rPr>
          <w:rFonts w:hint="cs"/>
          <w:b/>
          <w:bCs/>
          <w:color w:val="1F497D"/>
          <w:rtl/>
        </w:rPr>
      </w:pPr>
    </w:p>
    <w:p w:rsidR="00CC291F" w:rsidRDefault="00CC291F" w:rsidP="00CC291F">
      <w:pPr>
        <w:tabs>
          <w:tab w:val="clear" w:pos="567"/>
          <w:tab w:val="clear" w:pos="1134"/>
          <w:tab w:val="num" w:pos="562"/>
        </w:tabs>
        <w:outlineLvl w:val="0"/>
        <w:rPr>
          <w:rFonts w:hint="cs"/>
          <w:b/>
          <w:bCs/>
          <w:color w:val="1F497D"/>
          <w:rtl/>
        </w:rPr>
      </w:pPr>
    </w:p>
    <w:p w:rsidR="00CC291F" w:rsidRDefault="00CC291F" w:rsidP="00CC291F">
      <w:pPr>
        <w:tabs>
          <w:tab w:val="clear" w:pos="567"/>
          <w:tab w:val="clear" w:pos="1134"/>
          <w:tab w:val="num" w:pos="562"/>
        </w:tabs>
        <w:outlineLvl w:val="0"/>
        <w:rPr>
          <w:rFonts w:hint="cs"/>
          <w:b/>
          <w:bCs/>
          <w:color w:val="1F497D"/>
          <w:rtl/>
        </w:rPr>
      </w:pPr>
    </w:p>
    <w:p w:rsidR="00CC291F" w:rsidRDefault="00CC291F" w:rsidP="00CC291F">
      <w:pPr>
        <w:tabs>
          <w:tab w:val="clear" w:pos="567"/>
          <w:tab w:val="clear" w:pos="1134"/>
          <w:tab w:val="num" w:pos="562"/>
        </w:tabs>
        <w:outlineLvl w:val="0"/>
        <w:rPr>
          <w:rFonts w:hint="cs"/>
          <w:b/>
          <w:bCs/>
          <w:color w:val="1F497D"/>
          <w:rtl/>
        </w:rPr>
      </w:pPr>
    </w:p>
    <w:p w:rsidR="00CC291F" w:rsidRDefault="00CC291F" w:rsidP="00CC291F">
      <w:pPr>
        <w:tabs>
          <w:tab w:val="clear" w:pos="567"/>
          <w:tab w:val="clear" w:pos="1134"/>
          <w:tab w:val="num" w:pos="562"/>
        </w:tabs>
        <w:outlineLvl w:val="0"/>
        <w:rPr>
          <w:rFonts w:hint="cs"/>
          <w:b/>
          <w:bCs/>
          <w:color w:val="1F497D"/>
          <w:rtl/>
        </w:rPr>
      </w:pPr>
    </w:p>
    <w:p w:rsidR="00CC291F" w:rsidRDefault="00CC291F" w:rsidP="00CC291F">
      <w:pPr>
        <w:tabs>
          <w:tab w:val="clear" w:pos="567"/>
          <w:tab w:val="clear" w:pos="1134"/>
          <w:tab w:val="num" w:pos="562"/>
        </w:tabs>
        <w:outlineLvl w:val="0"/>
        <w:rPr>
          <w:rFonts w:hint="cs"/>
          <w:b/>
          <w:bCs/>
          <w:color w:val="1F497D"/>
          <w:rtl/>
        </w:rPr>
      </w:pPr>
    </w:p>
    <w:p w:rsidR="003B0802" w:rsidRPr="003B0802" w:rsidRDefault="003B0802" w:rsidP="000561CD">
      <w:pPr>
        <w:tabs>
          <w:tab w:val="clear" w:pos="567"/>
          <w:tab w:val="clear" w:pos="1134"/>
          <w:tab w:val="num" w:pos="562"/>
        </w:tabs>
        <w:outlineLvl w:val="0"/>
        <w:rPr>
          <w:rFonts w:hint="cs"/>
          <w:sz w:val="16"/>
          <w:szCs w:val="16"/>
          <w:rtl/>
        </w:rPr>
      </w:pPr>
    </w:p>
    <w:p w:rsidR="00E04BBE" w:rsidRDefault="00E04BBE" w:rsidP="000561CD">
      <w:pPr>
        <w:tabs>
          <w:tab w:val="clear" w:pos="567"/>
          <w:tab w:val="clear" w:pos="1134"/>
          <w:tab w:val="num" w:pos="562"/>
        </w:tabs>
        <w:outlineLvl w:val="0"/>
        <w:rPr>
          <w:rFonts w:hint="cs"/>
          <w:rtl/>
        </w:rPr>
      </w:pPr>
      <w:r>
        <w:rPr>
          <w:rFonts w:hint="cs"/>
          <w:rtl/>
        </w:rPr>
        <w:t xml:space="preserve">ככלל, בעוד שבשנים האחרונות בנקים רבים </w:t>
      </w:r>
      <w:r w:rsidR="00C803FD">
        <w:rPr>
          <w:rFonts w:hint="cs"/>
          <w:rtl/>
        </w:rPr>
        <w:t xml:space="preserve">בעולם </w:t>
      </w:r>
      <w:r>
        <w:rPr>
          <w:rFonts w:hint="cs"/>
          <w:rtl/>
        </w:rPr>
        <w:t>פשטו רגל ונקלעו לקשיים מהותיים, בעקבות המשבר הפיננסי, הבנקים בישראל נותרו יציבים.</w:t>
      </w:r>
    </w:p>
    <w:p w:rsidR="00811445" w:rsidRDefault="00811445" w:rsidP="00B238F7">
      <w:pPr>
        <w:tabs>
          <w:tab w:val="clear" w:pos="567"/>
          <w:tab w:val="clear" w:pos="1134"/>
          <w:tab w:val="num" w:pos="562"/>
        </w:tabs>
        <w:outlineLvl w:val="0"/>
        <w:rPr>
          <w:rFonts w:hint="cs"/>
          <w:sz w:val="16"/>
          <w:szCs w:val="16"/>
          <w:rtl/>
        </w:rPr>
      </w:pPr>
    </w:p>
    <w:p w:rsidR="00614C47" w:rsidRDefault="00614C47" w:rsidP="00607C09">
      <w:pPr>
        <w:tabs>
          <w:tab w:val="clear" w:pos="567"/>
          <w:tab w:val="clear" w:pos="1134"/>
          <w:tab w:val="num" w:pos="562"/>
        </w:tabs>
        <w:outlineLvl w:val="0"/>
        <w:rPr>
          <w:b/>
          <w:bCs/>
          <w:color w:val="00B0F0"/>
          <w:rtl/>
        </w:rPr>
      </w:pPr>
    </w:p>
    <w:p w:rsidR="00607C09" w:rsidRPr="00863726" w:rsidRDefault="00607C09" w:rsidP="00607C09">
      <w:pPr>
        <w:tabs>
          <w:tab w:val="clear" w:pos="567"/>
          <w:tab w:val="clear" w:pos="1134"/>
          <w:tab w:val="num" w:pos="562"/>
        </w:tabs>
        <w:outlineLvl w:val="0"/>
        <w:rPr>
          <w:rFonts w:hint="cs"/>
          <w:b/>
          <w:bCs/>
          <w:color w:val="00B0F0"/>
          <w:rtl/>
        </w:rPr>
      </w:pPr>
      <w:r>
        <w:rPr>
          <w:rFonts w:hint="cs"/>
          <w:b/>
          <w:bCs/>
          <w:color w:val="00B0F0"/>
          <w:rtl/>
        </w:rPr>
        <w:lastRenderedPageBreak/>
        <w:t>מה עשה הפיקוח על הבנקים לנוכח ה</w:t>
      </w:r>
      <w:r w:rsidRPr="00863726">
        <w:rPr>
          <w:rFonts w:hint="cs"/>
          <w:b/>
          <w:bCs/>
          <w:color w:val="00B0F0"/>
          <w:rtl/>
        </w:rPr>
        <w:t xml:space="preserve">הפסדים </w:t>
      </w:r>
      <w:r>
        <w:rPr>
          <w:rFonts w:hint="cs"/>
          <w:b/>
          <w:bCs/>
          <w:color w:val="00B0F0"/>
          <w:rtl/>
        </w:rPr>
        <w:t>הגדולים ומה המצב כיום</w:t>
      </w:r>
      <w:r w:rsidRPr="00863726">
        <w:rPr>
          <w:rFonts w:hint="cs"/>
          <w:b/>
          <w:bCs/>
          <w:color w:val="00B0F0"/>
          <w:rtl/>
        </w:rPr>
        <w:t>?</w:t>
      </w:r>
    </w:p>
    <w:p w:rsidR="00E775D6" w:rsidRPr="00F45DC3" w:rsidRDefault="00607C09" w:rsidP="00963C15">
      <w:pPr>
        <w:tabs>
          <w:tab w:val="clear" w:pos="567"/>
          <w:tab w:val="clear" w:pos="1134"/>
          <w:tab w:val="num" w:pos="562"/>
        </w:tabs>
        <w:outlineLvl w:val="0"/>
        <w:rPr>
          <w:rFonts w:hint="cs"/>
          <w:b/>
          <w:bCs/>
          <w:rtl/>
        </w:rPr>
      </w:pPr>
      <w:r w:rsidRPr="00F45DC3">
        <w:rPr>
          <w:rFonts w:hint="cs"/>
          <w:b/>
          <w:bCs/>
          <w:rtl/>
        </w:rPr>
        <w:t xml:space="preserve">הפיקוח פעל </w:t>
      </w:r>
      <w:r w:rsidR="00F45DC3" w:rsidRPr="00F45DC3">
        <w:rPr>
          <w:rFonts w:hint="cs"/>
          <w:b/>
          <w:bCs/>
          <w:rtl/>
        </w:rPr>
        <w:t>במספר רב של מישורים</w:t>
      </w:r>
      <w:r w:rsidRPr="00F45DC3">
        <w:rPr>
          <w:rFonts w:hint="cs"/>
          <w:b/>
          <w:bCs/>
          <w:rtl/>
        </w:rPr>
        <w:t xml:space="preserve"> לשיפור תהליכי ניהול האשראי בבנקים ולצמצום חשיפתם ללווים הגדולים </w:t>
      </w:r>
      <w:r w:rsidR="00F45DC3" w:rsidRPr="00F45DC3">
        <w:rPr>
          <w:rFonts w:hint="cs"/>
          <w:b/>
          <w:bCs/>
          <w:rtl/>
        </w:rPr>
        <w:t>והסיכון אכן ירד</w:t>
      </w:r>
      <w:r w:rsidR="00E775D6" w:rsidRPr="00F45DC3">
        <w:rPr>
          <w:rFonts w:hint="cs"/>
          <w:b/>
          <w:bCs/>
          <w:rtl/>
        </w:rPr>
        <w:t>:</w:t>
      </w:r>
    </w:p>
    <w:p w:rsidR="00C24E8A" w:rsidRDefault="00C24E8A" w:rsidP="00982CE2">
      <w:pPr>
        <w:numPr>
          <w:ilvl w:val="2"/>
          <w:numId w:val="1"/>
        </w:numPr>
        <w:tabs>
          <w:tab w:val="clear" w:pos="567"/>
          <w:tab w:val="clear" w:pos="1134"/>
          <w:tab w:val="clear" w:pos="1814"/>
          <w:tab w:val="clear" w:pos="2665"/>
        </w:tabs>
        <w:ind w:left="587" w:hanging="450"/>
        <w:outlineLvl w:val="1"/>
        <w:rPr>
          <w:rFonts w:hint="cs"/>
        </w:rPr>
      </w:pPr>
      <w:r w:rsidRPr="00937020">
        <w:rPr>
          <w:rFonts w:hint="cs"/>
          <w:u w:val="single"/>
          <w:rtl/>
        </w:rPr>
        <w:t>ברמת המערכת הבנקאית</w:t>
      </w:r>
      <w:r>
        <w:rPr>
          <w:rFonts w:hint="cs"/>
          <w:rtl/>
        </w:rPr>
        <w:t xml:space="preserve"> </w:t>
      </w:r>
      <w:r>
        <w:rPr>
          <w:rtl/>
        </w:rPr>
        <w:t>–</w:t>
      </w:r>
      <w:r>
        <w:rPr>
          <w:rFonts w:hint="cs"/>
          <w:rtl/>
        </w:rPr>
        <w:t xml:space="preserve">  כחלק מ</w:t>
      </w:r>
      <w:r w:rsidRPr="00B81B74">
        <w:rPr>
          <w:rFonts w:hint="cs"/>
          <w:rtl/>
        </w:rPr>
        <w:t xml:space="preserve">הפקת הלקחים הבינלאומית מהמשבר הפיננסי הגלובלי  </w:t>
      </w:r>
      <w:r w:rsidR="005C1A13">
        <w:rPr>
          <w:rFonts w:hint="cs"/>
          <w:rtl/>
        </w:rPr>
        <w:t>ו</w:t>
      </w:r>
      <w:r w:rsidRPr="00B81B74">
        <w:rPr>
          <w:rFonts w:hint="cs"/>
          <w:rtl/>
        </w:rPr>
        <w:t xml:space="preserve">הפקת הלקחים הפיקוחית מכשלי האשראי </w:t>
      </w:r>
      <w:r>
        <w:rPr>
          <w:rFonts w:hint="cs"/>
          <w:rtl/>
        </w:rPr>
        <w:t>ללווים גדולים בארץ,</w:t>
      </w:r>
      <w:r w:rsidRPr="00B81B74">
        <w:rPr>
          <w:rFonts w:hint="cs"/>
          <w:rtl/>
        </w:rPr>
        <w:t xml:space="preserve"> הפיקוח על הבנקים </w:t>
      </w:r>
      <w:r>
        <w:rPr>
          <w:rFonts w:hint="cs"/>
          <w:rtl/>
        </w:rPr>
        <w:t>ביצע</w:t>
      </w:r>
      <w:r w:rsidRPr="00B81B74">
        <w:rPr>
          <w:rFonts w:hint="cs"/>
          <w:rtl/>
        </w:rPr>
        <w:t xml:space="preserve"> עדכון שיטתי ומקיף של הוראות </w:t>
      </w:r>
      <w:r>
        <w:rPr>
          <w:rFonts w:hint="cs"/>
          <w:rtl/>
        </w:rPr>
        <w:t xml:space="preserve">המפקח </w:t>
      </w:r>
      <w:r w:rsidRPr="00B81B74">
        <w:rPr>
          <w:rFonts w:hint="cs"/>
          <w:rtl/>
        </w:rPr>
        <w:t>בתחום האשראי</w:t>
      </w:r>
      <w:r>
        <w:rPr>
          <w:rFonts w:hint="cs"/>
          <w:rtl/>
        </w:rPr>
        <w:t>.</w:t>
      </w:r>
    </w:p>
    <w:p w:rsidR="00C24E8A" w:rsidRPr="00863726" w:rsidRDefault="00C24E8A" w:rsidP="00C24E8A">
      <w:pPr>
        <w:tabs>
          <w:tab w:val="clear" w:pos="567"/>
          <w:tab w:val="clear" w:pos="1134"/>
          <w:tab w:val="num" w:pos="562"/>
        </w:tabs>
        <w:ind w:left="587"/>
        <w:outlineLvl w:val="0"/>
        <w:rPr>
          <w:rFonts w:hint="cs"/>
          <w:b/>
          <w:bCs/>
        </w:rPr>
      </w:pPr>
      <w:r>
        <w:rPr>
          <w:rFonts w:hint="cs"/>
          <w:rtl/>
        </w:rPr>
        <w:t xml:space="preserve">בראשם </w:t>
      </w:r>
      <w:r w:rsidRPr="00863726">
        <w:rPr>
          <w:rFonts w:hint="cs"/>
          <w:b/>
          <w:bCs/>
          <w:rtl/>
        </w:rPr>
        <w:t>דרישה לצמצום החשיפה ללווים גדולים והחמרת המגבלות על היקף האשראי שבנק יכול להעניק לקבוצה לווים בודדת, לצד דרישה לצמצום האשראי הממונף.</w:t>
      </w:r>
    </w:p>
    <w:p w:rsidR="00C24E8A" w:rsidRPr="00B81B74" w:rsidRDefault="00C24E8A" w:rsidP="004009AD">
      <w:pPr>
        <w:tabs>
          <w:tab w:val="clear" w:pos="567"/>
          <w:tab w:val="clear" w:pos="1134"/>
          <w:tab w:val="num" w:pos="562"/>
        </w:tabs>
        <w:ind w:left="587"/>
        <w:outlineLvl w:val="0"/>
        <w:rPr>
          <w:rFonts w:hint="cs"/>
          <w:rtl/>
        </w:rPr>
      </w:pPr>
      <w:r>
        <w:rPr>
          <w:rFonts w:hint="cs"/>
          <w:rtl/>
        </w:rPr>
        <w:t xml:space="preserve">בנוסף, </w:t>
      </w:r>
      <w:r w:rsidRPr="00B81B74">
        <w:rPr>
          <w:rFonts w:hint="cs"/>
          <w:rtl/>
        </w:rPr>
        <w:t xml:space="preserve">במסגרת </w:t>
      </w:r>
      <w:r>
        <w:rPr>
          <w:rFonts w:hint="cs"/>
          <w:rtl/>
        </w:rPr>
        <w:t xml:space="preserve">עדכון ההוראות </w:t>
      </w:r>
      <w:r w:rsidRPr="00B81B74">
        <w:rPr>
          <w:rFonts w:hint="cs"/>
          <w:rtl/>
        </w:rPr>
        <w:t xml:space="preserve">נדרשו הבנקים לנקוט בצעדים </w:t>
      </w:r>
      <w:r>
        <w:rPr>
          <w:rFonts w:hint="cs"/>
          <w:rtl/>
        </w:rPr>
        <w:t xml:space="preserve">אופרטיביים </w:t>
      </w:r>
      <w:r w:rsidRPr="00B81B74">
        <w:rPr>
          <w:rFonts w:hint="cs"/>
          <w:rtl/>
        </w:rPr>
        <w:t xml:space="preserve">לחיזוק הליכי חיתום, ניהול וניטור האשראי בכלל, והאשראי הממונף בפרט, </w:t>
      </w:r>
      <w:r>
        <w:rPr>
          <w:rFonts w:hint="cs"/>
          <w:rtl/>
        </w:rPr>
        <w:t>ליישם כללי דיווח מחמירים בדוחות הכספיים ו</w:t>
      </w:r>
      <w:r w:rsidRPr="00B81B74">
        <w:rPr>
          <w:rFonts w:hint="cs"/>
          <w:rtl/>
        </w:rPr>
        <w:t>לבצע שינויים משמעותיים במתודולוגית ניהול הסיכון, בתהליכי העבודה ובמבנה הארגוני של הפונקציות המטפלות בתחום האשראי</w:t>
      </w:r>
      <w:r>
        <w:rPr>
          <w:rFonts w:hint="cs"/>
          <w:rtl/>
        </w:rPr>
        <w:t>.</w:t>
      </w:r>
    </w:p>
    <w:p w:rsidR="00C24E8A" w:rsidRPr="00863726" w:rsidRDefault="00C24E8A" w:rsidP="00C24E8A">
      <w:pPr>
        <w:numPr>
          <w:ilvl w:val="2"/>
          <w:numId w:val="1"/>
        </w:numPr>
        <w:tabs>
          <w:tab w:val="clear" w:pos="567"/>
          <w:tab w:val="clear" w:pos="1134"/>
          <w:tab w:val="clear" w:pos="1814"/>
          <w:tab w:val="clear" w:pos="2665"/>
        </w:tabs>
        <w:ind w:left="587" w:hanging="450"/>
        <w:outlineLvl w:val="1"/>
        <w:rPr>
          <w:rFonts w:hint="cs"/>
          <w:b/>
          <w:bCs/>
        </w:rPr>
      </w:pPr>
      <w:r w:rsidRPr="00937020">
        <w:rPr>
          <w:rFonts w:hint="cs"/>
          <w:u w:val="single"/>
          <w:rtl/>
        </w:rPr>
        <w:t>ברמת הטיפול בלווים הספציפיים</w:t>
      </w:r>
      <w:r w:rsidRPr="00C750A6">
        <w:rPr>
          <w:rFonts w:hint="cs"/>
          <w:rtl/>
        </w:rPr>
        <w:t xml:space="preserve"> </w:t>
      </w:r>
      <w:r w:rsidRPr="00C750A6">
        <w:rPr>
          <w:rtl/>
        </w:rPr>
        <w:t>–</w:t>
      </w:r>
      <w:r w:rsidRPr="00C750A6">
        <w:rPr>
          <w:rFonts w:hint="cs"/>
          <w:rtl/>
        </w:rPr>
        <w:t xml:space="preserve"> </w:t>
      </w:r>
      <w:r w:rsidRPr="00C750A6">
        <w:rPr>
          <w:rFonts w:hint="cs"/>
          <w:kern w:val="28"/>
          <w:rtl/>
        </w:rPr>
        <w:t>במקרים בהם זיהה הפיקוח על הבנקים במסגרת ביקורות כשלים בהתנהלות בנק כלפי לווה גדול</w:t>
      </w:r>
      <w:r>
        <w:rPr>
          <w:rFonts w:hint="cs"/>
          <w:kern w:val="28"/>
          <w:rtl/>
        </w:rPr>
        <w:t xml:space="preserve"> מסוים</w:t>
      </w:r>
      <w:r w:rsidRPr="00C750A6">
        <w:rPr>
          <w:rFonts w:hint="cs"/>
          <w:kern w:val="28"/>
          <w:rtl/>
        </w:rPr>
        <w:t xml:space="preserve">, </w:t>
      </w:r>
      <w:r w:rsidRPr="00863726">
        <w:rPr>
          <w:rFonts w:hint="cs"/>
          <w:b/>
          <w:bCs/>
          <w:kern w:val="28"/>
          <w:rtl/>
        </w:rPr>
        <w:t>הבנק נדרש לנקוט בצעדים קונקרטים שהובילו בסופו של דבר להקטנת החשיפות ולצמצום הסיכון לבנקים</w:t>
      </w:r>
      <w:r w:rsidRPr="005D7D5F">
        <w:rPr>
          <w:rFonts w:hint="cs"/>
          <w:b/>
          <w:bCs/>
          <w:kern w:val="28"/>
          <w:sz w:val="22"/>
          <w:rtl/>
        </w:rPr>
        <w:t>.</w:t>
      </w:r>
    </w:p>
    <w:p w:rsidR="00C34839" w:rsidRDefault="00C34839" w:rsidP="00C34839">
      <w:pPr>
        <w:numPr>
          <w:ilvl w:val="2"/>
          <w:numId w:val="1"/>
        </w:numPr>
        <w:tabs>
          <w:tab w:val="clear" w:pos="567"/>
          <w:tab w:val="clear" w:pos="1134"/>
          <w:tab w:val="clear" w:pos="1814"/>
          <w:tab w:val="clear" w:pos="2665"/>
        </w:tabs>
        <w:ind w:left="587" w:hanging="450"/>
        <w:outlineLvl w:val="1"/>
        <w:rPr>
          <w:rFonts w:hint="cs"/>
        </w:rPr>
      </w:pPr>
      <w:r w:rsidRPr="00937020">
        <w:rPr>
          <w:rFonts w:hint="cs"/>
          <w:u w:val="single"/>
          <w:rtl/>
        </w:rPr>
        <w:t>ברמת המשק</w:t>
      </w:r>
      <w:r w:rsidRPr="001D3FED">
        <w:rPr>
          <w:rFonts w:hint="cs"/>
          <w:rtl/>
        </w:rPr>
        <w:t xml:space="preserve"> </w:t>
      </w:r>
      <w:r w:rsidRPr="001D3FED">
        <w:rPr>
          <w:rtl/>
        </w:rPr>
        <w:t>–</w:t>
      </w:r>
      <w:r w:rsidRPr="001D3FED">
        <w:rPr>
          <w:rFonts w:hint="cs"/>
          <w:rtl/>
        </w:rPr>
        <w:t xml:space="preserve"> בנק ישראל השתתף והוביל ביחד עם הממשלה ועדות משקיות ("הועדה להסדרי חוב" ו"ועדת הריכוזיות") שפעלו לשינוי מערך התמריצים המאפשר </w:t>
      </w:r>
      <w:r w:rsidRPr="001D3FED">
        <w:rPr>
          <w:rtl/>
        </w:rPr>
        <w:t>להימנע מאי תשלום חוב</w:t>
      </w:r>
      <w:r w:rsidRPr="001D3FED">
        <w:rPr>
          <w:rFonts w:hint="cs"/>
          <w:rtl/>
        </w:rPr>
        <w:t>, ולצמצום תופעת הפירמידו</w:t>
      </w:r>
      <w:r w:rsidRPr="001D3FED">
        <w:rPr>
          <w:rFonts w:hint="eastAsia"/>
          <w:rtl/>
        </w:rPr>
        <w:t>ת</w:t>
      </w:r>
      <w:r w:rsidRPr="001D3FED">
        <w:rPr>
          <w:rFonts w:hint="cs"/>
          <w:rtl/>
        </w:rPr>
        <w:t xml:space="preserve"> בשוק ההון</w:t>
      </w:r>
      <w:r>
        <w:rPr>
          <w:rFonts w:hint="cs"/>
          <w:rtl/>
        </w:rPr>
        <w:t xml:space="preserve"> והכספים</w:t>
      </w:r>
      <w:r w:rsidR="001C122A">
        <w:rPr>
          <w:rFonts w:hint="cs"/>
          <w:rtl/>
        </w:rPr>
        <w:t>,</w:t>
      </w:r>
      <w:r>
        <w:rPr>
          <w:rFonts w:hint="cs"/>
          <w:rtl/>
        </w:rPr>
        <w:t xml:space="preserve"> והפיקוח יישם את השינויים במערכת הבנקאית</w:t>
      </w:r>
      <w:r w:rsidRPr="001D3FED">
        <w:rPr>
          <w:rFonts w:hint="cs"/>
          <w:rtl/>
        </w:rPr>
        <w:t>.</w:t>
      </w:r>
    </w:p>
    <w:p w:rsidR="00C24E8A" w:rsidRPr="00963C15" w:rsidRDefault="00C24E8A" w:rsidP="00607C09">
      <w:pPr>
        <w:tabs>
          <w:tab w:val="clear" w:pos="567"/>
          <w:tab w:val="clear" w:pos="1134"/>
          <w:tab w:val="num" w:pos="562"/>
        </w:tabs>
        <w:outlineLvl w:val="0"/>
        <w:rPr>
          <w:rFonts w:hint="cs"/>
          <w:sz w:val="16"/>
          <w:szCs w:val="16"/>
          <w:rtl/>
        </w:rPr>
      </w:pPr>
    </w:p>
    <w:p w:rsidR="00117576" w:rsidRDefault="00117576" w:rsidP="006161A3">
      <w:pPr>
        <w:tabs>
          <w:tab w:val="clear" w:pos="567"/>
          <w:tab w:val="clear" w:pos="1134"/>
          <w:tab w:val="num" w:pos="562"/>
        </w:tabs>
        <w:outlineLvl w:val="0"/>
        <w:rPr>
          <w:rFonts w:hint="cs"/>
          <w:b/>
          <w:bCs/>
          <w:rtl/>
        </w:rPr>
      </w:pPr>
      <w:r w:rsidRPr="00863726">
        <w:rPr>
          <w:rFonts w:hint="cs"/>
          <w:b/>
          <w:bCs/>
          <w:rtl/>
        </w:rPr>
        <w:t xml:space="preserve">מהלכי הפיקוח </w:t>
      </w:r>
      <w:r w:rsidRPr="00321638">
        <w:rPr>
          <w:rFonts w:hint="cs"/>
          <w:b/>
          <w:bCs/>
          <w:rtl/>
        </w:rPr>
        <w:t xml:space="preserve">הובילו </w:t>
      </w:r>
      <w:r w:rsidRPr="00863726">
        <w:rPr>
          <w:rFonts w:hint="cs"/>
          <w:b/>
          <w:bCs/>
          <w:rtl/>
        </w:rPr>
        <w:t xml:space="preserve">להסטת אשראי מלווים עסקיים גדולים (וריכוזיים יותר) לאשראי </w:t>
      </w:r>
      <w:r>
        <w:rPr>
          <w:rFonts w:hint="cs"/>
          <w:b/>
          <w:bCs/>
          <w:rtl/>
        </w:rPr>
        <w:t xml:space="preserve">למשקי הבית </w:t>
      </w:r>
      <w:r w:rsidRPr="00863726">
        <w:rPr>
          <w:rFonts w:hint="cs"/>
          <w:b/>
          <w:bCs/>
          <w:rtl/>
        </w:rPr>
        <w:t xml:space="preserve">(שהוא מבוזר יותר). </w:t>
      </w:r>
      <w:r w:rsidR="00C24E8A">
        <w:rPr>
          <w:rFonts w:hint="cs"/>
          <w:rtl/>
        </w:rPr>
        <w:t xml:space="preserve">צעדי הפיקוח הובילו </w:t>
      </w:r>
      <w:r>
        <w:rPr>
          <w:rFonts w:hint="cs"/>
          <w:rtl/>
        </w:rPr>
        <w:t xml:space="preserve">גם </w:t>
      </w:r>
      <w:r w:rsidR="00C24E8A">
        <w:rPr>
          <w:rFonts w:hint="cs"/>
          <w:rtl/>
        </w:rPr>
        <w:t xml:space="preserve">לניהול סיכונים שמרני יותר וכתוצאה מכך </w:t>
      </w:r>
      <w:r w:rsidR="00607C09" w:rsidRPr="008E7DC1">
        <w:rPr>
          <w:rFonts w:hint="cs"/>
          <w:b/>
          <w:bCs/>
          <w:rtl/>
        </w:rPr>
        <w:t>חלה ירידה משמעותית בהיקף החשיפה</w:t>
      </w:r>
      <w:r w:rsidR="00607C09" w:rsidRPr="00132BB7">
        <w:rPr>
          <w:rFonts w:hint="cs"/>
          <w:rtl/>
        </w:rPr>
        <w:t xml:space="preserve"> של הבנקים ללווים </w:t>
      </w:r>
      <w:r w:rsidR="005C1A13">
        <w:rPr>
          <w:rFonts w:hint="cs"/>
          <w:rtl/>
        </w:rPr>
        <w:t xml:space="preserve">גדולים </w:t>
      </w:r>
      <w:r w:rsidR="00607C09" w:rsidRPr="00132BB7">
        <w:rPr>
          <w:rFonts w:hint="cs"/>
          <w:rtl/>
        </w:rPr>
        <w:t xml:space="preserve">אלו, ובפרט </w:t>
      </w:r>
      <w:r w:rsidR="00607C09" w:rsidRPr="008E7DC1">
        <w:rPr>
          <w:rFonts w:hint="cs"/>
          <w:b/>
          <w:bCs/>
          <w:rtl/>
        </w:rPr>
        <w:t>לחברות ההחזקה שהמינוף בהן גבוה</w:t>
      </w:r>
      <w:r w:rsidR="00607C09">
        <w:rPr>
          <w:rFonts w:hint="cs"/>
          <w:rtl/>
        </w:rPr>
        <w:t xml:space="preserve"> יותר ולכן גם החשיפה בגינם </w:t>
      </w:r>
      <w:r w:rsidR="00607C09" w:rsidRPr="00132BB7">
        <w:rPr>
          <w:rFonts w:hint="cs"/>
          <w:rtl/>
        </w:rPr>
        <w:t>מסוכנ</w:t>
      </w:r>
      <w:r w:rsidR="00607C09">
        <w:rPr>
          <w:rFonts w:hint="cs"/>
          <w:rtl/>
        </w:rPr>
        <w:t>ת</w:t>
      </w:r>
      <w:r w:rsidR="00607C09" w:rsidRPr="00132BB7">
        <w:rPr>
          <w:rFonts w:hint="cs"/>
          <w:rtl/>
        </w:rPr>
        <w:t xml:space="preserve"> יותר</w:t>
      </w:r>
      <w:r w:rsidR="00607C09">
        <w:rPr>
          <w:rFonts w:hint="cs"/>
          <w:rtl/>
        </w:rPr>
        <w:t>.</w:t>
      </w:r>
      <w:r w:rsidR="00607C09" w:rsidRPr="00132BB7">
        <w:rPr>
          <w:rFonts w:hint="cs"/>
          <w:rtl/>
        </w:rPr>
        <w:t xml:space="preserve"> </w:t>
      </w:r>
    </w:p>
    <w:p w:rsidR="00117576" w:rsidRDefault="00506868" w:rsidP="008E7DC1">
      <w:pPr>
        <w:tabs>
          <w:tab w:val="clear" w:pos="567"/>
          <w:tab w:val="clear" w:pos="1134"/>
          <w:tab w:val="num" w:pos="562"/>
        </w:tabs>
        <w:jc w:val="center"/>
        <w:outlineLvl w:val="0"/>
        <w:rPr>
          <w:b/>
          <w:bCs/>
          <w:rtl/>
        </w:rPr>
      </w:pPr>
      <w:r>
        <w:rPr>
          <w:b/>
          <w:bCs/>
          <w:noProof/>
        </w:rPr>
        <w:drawing>
          <wp:inline distT="0" distB="0" distL="0" distR="0">
            <wp:extent cx="3598545" cy="1933575"/>
            <wp:effectExtent l="19050" t="19050" r="20955" b="28575"/>
            <wp:docPr id="1"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8545" cy="1933575"/>
                    </a:xfrm>
                    <a:prstGeom prst="rect">
                      <a:avLst/>
                    </a:prstGeom>
                    <a:noFill/>
                    <a:ln w="12700">
                      <a:solidFill>
                        <a:srgbClr val="000000"/>
                      </a:solidFill>
                      <a:miter lim="800000"/>
                      <a:headEnd/>
                      <a:tailEnd/>
                    </a:ln>
                  </pic:spPr>
                </pic:pic>
              </a:graphicData>
            </a:graphic>
          </wp:inline>
        </w:drawing>
      </w:r>
    </w:p>
    <w:p w:rsidR="00117576" w:rsidRDefault="00506868" w:rsidP="008E7DC1">
      <w:pPr>
        <w:tabs>
          <w:tab w:val="clear" w:pos="567"/>
          <w:tab w:val="clear" w:pos="1134"/>
          <w:tab w:val="num" w:pos="562"/>
        </w:tabs>
        <w:jc w:val="center"/>
        <w:outlineLvl w:val="0"/>
        <w:rPr>
          <w:rFonts w:hint="cs"/>
          <w:rtl/>
        </w:rPr>
      </w:pPr>
      <w:r>
        <w:rPr>
          <w:noProof/>
        </w:rPr>
        <w:drawing>
          <wp:inline distT="0" distB="0" distL="0" distR="0">
            <wp:extent cx="3625850" cy="1924050"/>
            <wp:effectExtent l="0" t="0" r="0" b="0"/>
            <wp:docPr id="6" name="תרשים 2" descr="cid:image001.png@01D2876F.B3C33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רשים 2" descr="cid:image001.png@01D2876F.B3C334C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625850" cy="1924050"/>
                    </a:xfrm>
                    <a:prstGeom prst="rect">
                      <a:avLst/>
                    </a:prstGeom>
                    <a:noFill/>
                    <a:ln>
                      <a:noFill/>
                    </a:ln>
                  </pic:spPr>
                </pic:pic>
              </a:graphicData>
            </a:graphic>
          </wp:inline>
        </w:drawing>
      </w:r>
    </w:p>
    <w:p w:rsidR="00607C09" w:rsidRPr="00963C15" w:rsidRDefault="00607C09" w:rsidP="001C122A">
      <w:pPr>
        <w:tabs>
          <w:tab w:val="clear" w:pos="567"/>
          <w:tab w:val="clear" w:pos="1134"/>
          <w:tab w:val="num" w:pos="562"/>
        </w:tabs>
        <w:outlineLvl w:val="0"/>
        <w:rPr>
          <w:rFonts w:hint="cs"/>
          <w:b/>
          <w:bCs/>
          <w:rtl/>
        </w:rPr>
      </w:pPr>
      <w:r>
        <w:rPr>
          <w:rFonts w:hint="cs"/>
          <w:rtl/>
        </w:rPr>
        <w:lastRenderedPageBreak/>
        <w:t xml:space="preserve">חשוב לזכור שעל אף הסיכון הגבוה, </w:t>
      </w:r>
      <w:r w:rsidR="001C122A">
        <w:rPr>
          <w:rFonts w:hint="cs"/>
          <w:rtl/>
        </w:rPr>
        <w:t xml:space="preserve">גם בקרב החברות הממונפות, </w:t>
      </w:r>
      <w:r>
        <w:rPr>
          <w:rFonts w:hint="cs"/>
          <w:rtl/>
        </w:rPr>
        <w:t xml:space="preserve">חלק משמעותי מיתרות האשראי הוא </w:t>
      </w:r>
      <w:r w:rsidRPr="00393BC2">
        <w:rPr>
          <w:rFonts w:hint="cs"/>
          <w:rtl/>
        </w:rPr>
        <w:t xml:space="preserve">לחברות </w:t>
      </w:r>
      <w:r>
        <w:rPr>
          <w:rFonts w:hint="cs"/>
          <w:rtl/>
        </w:rPr>
        <w:t xml:space="preserve">בעלות יכולת פירעון. </w:t>
      </w:r>
      <w:r w:rsidRPr="00963C15">
        <w:rPr>
          <w:rFonts w:hint="cs"/>
          <w:b/>
          <w:bCs/>
          <w:rtl/>
        </w:rPr>
        <w:t xml:space="preserve">נכון להיום עיקר האשראים ללווים הגדולים המצויים במצב כשל ואשר הסבו הפסדים כבדים לבנקים ולציבור </w:t>
      </w:r>
      <w:r w:rsidRPr="00963C15">
        <w:rPr>
          <w:b/>
          <w:bCs/>
          <w:rtl/>
        </w:rPr>
        <w:t>–</w:t>
      </w:r>
      <w:r w:rsidRPr="00963C15">
        <w:rPr>
          <w:rFonts w:hint="cs"/>
          <w:b/>
          <w:bCs/>
          <w:rtl/>
        </w:rPr>
        <w:t xml:space="preserve"> מקורם ביתרות של אשראים היסטוריים שהועמדו בתקופה שלפני המשבר</w:t>
      </w:r>
      <w:r w:rsidR="00BA48CF">
        <w:rPr>
          <w:rFonts w:hint="cs"/>
          <w:b/>
          <w:bCs/>
          <w:rtl/>
        </w:rPr>
        <w:t xml:space="preserve"> הגלובלי</w:t>
      </w:r>
      <w:r w:rsidRPr="00963C15">
        <w:rPr>
          <w:rFonts w:hint="cs"/>
          <w:b/>
          <w:bCs/>
          <w:rtl/>
        </w:rPr>
        <w:t>.</w:t>
      </w:r>
    </w:p>
    <w:p w:rsidR="006161A3" w:rsidRPr="008E7DC1" w:rsidRDefault="006161A3" w:rsidP="008E7DC1">
      <w:pPr>
        <w:tabs>
          <w:tab w:val="clear" w:pos="567"/>
          <w:tab w:val="clear" w:pos="1134"/>
          <w:tab w:val="num" w:pos="562"/>
        </w:tabs>
        <w:outlineLvl w:val="0"/>
        <w:rPr>
          <w:rFonts w:hint="cs"/>
          <w:sz w:val="16"/>
          <w:szCs w:val="16"/>
          <w:rtl/>
        </w:rPr>
      </w:pPr>
    </w:p>
    <w:p w:rsidR="00E45484" w:rsidRPr="00863726" w:rsidRDefault="00E45484" w:rsidP="001C122A">
      <w:pPr>
        <w:tabs>
          <w:tab w:val="clear" w:pos="567"/>
          <w:tab w:val="clear" w:pos="1134"/>
          <w:tab w:val="num" w:pos="562"/>
        </w:tabs>
        <w:outlineLvl w:val="0"/>
        <w:rPr>
          <w:rFonts w:hint="cs"/>
          <w:b/>
          <w:bCs/>
          <w:color w:val="00B0F0"/>
          <w:rtl/>
        </w:rPr>
      </w:pPr>
      <w:r w:rsidRPr="00863726">
        <w:rPr>
          <w:rFonts w:hint="cs"/>
          <w:b/>
          <w:bCs/>
          <w:color w:val="00B0F0"/>
          <w:rtl/>
        </w:rPr>
        <w:t>ה</w:t>
      </w:r>
      <w:r>
        <w:rPr>
          <w:rFonts w:hint="cs"/>
          <w:b/>
          <w:bCs/>
          <w:color w:val="00B0F0"/>
          <w:rtl/>
        </w:rPr>
        <w:t>אם קבוצות הלווים הגדולות</w:t>
      </w:r>
      <w:r w:rsidRPr="00863726">
        <w:rPr>
          <w:rFonts w:hint="cs"/>
          <w:b/>
          <w:bCs/>
          <w:color w:val="00B0F0"/>
          <w:rtl/>
        </w:rPr>
        <w:t xml:space="preserve"> המשיכו לקבל אשראי גם בשנים האחרונות </w:t>
      </w:r>
      <w:r w:rsidR="00BA48CF">
        <w:rPr>
          <w:rFonts w:hint="cs"/>
          <w:b/>
          <w:bCs/>
          <w:color w:val="00B0F0"/>
          <w:rtl/>
        </w:rPr>
        <w:t>כ</w:t>
      </w:r>
      <w:r w:rsidRPr="00863726">
        <w:rPr>
          <w:rFonts w:hint="cs"/>
          <w:b/>
          <w:bCs/>
          <w:color w:val="00B0F0"/>
          <w:rtl/>
        </w:rPr>
        <w:t>שכבר היה ברור שה</w:t>
      </w:r>
      <w:r w:rsidR="001C122A">
        <w:rPr>
          <w:rFonts w:hint="cs"/>
          <w:b/>
          <w:bCs/>
          <w:color w:val="00B0F0"/>
          <w:rtl/>
        </w:rPr>
        <w:t>ן</w:t>
      </w:r>
      <w:r w:rsidRPr="00863726">
        <w:rPr>
          <w:rFonts w:hint="cs"/>
          <w:b/>
          <w:bCs/>
          <w:color w:val="00B0F0"/>
          <w:rtl/>
        </w:rPr>
        <w:t xml:space="preserve"> חדל</w:t>
      </w:r>
      <w:r w:rsidR="001C122A">
        <w:rPr>
          <w:rFonts w:hint="cs"/>
          <w:b/>
          <w:bCs/>
          <w:color w:val="00B0F0"/>
          <w:rtl/>
        </w:rPr>
        <w:t>ות</w:t>
      </w:r>
      <w:r w:rsidRPr="00863726">
        <w:rPr>
          <w:rFonts w:hint="cs"/>
          <w:b/>
          <w:bCs/>
          <w:color w:val="00B0F0"/>
          <w:rtl/>
        </w:rPr>
        <w:t xml:space="preserve"> פירעון?</w:t>
      </w:r>
    </w:p>
    <w:p w:rsidR="00E45484" w:rsidRDefault="00E45484" w:rsidP="00982CE2">
      <w:pPr>
        <w:rPr>
          <w:rFonts w:hint="cs"/>
          <w:rtl/>
        </w:rPr>
      </w:pPr>
      <w:r>
        <w:rPr>
          <w:rtl/>
        </w:rPr>
        <w:t xml:space="preserve">ככלל, כאשר לווה מסווג כלווה בעייתי, הבנק </w:t>
      </w:r>
      <w:r w:rsidR="00EE0BE2">
        <w:rPr>
          <w:rFonts w:hint="cs"/>
          <w:rtl/>
        </w:rPr>
        <w:t>נמנע</w:t>
      </w:r>
      <w:r>
        <w:rPr>
          <w:rtl/>
        </w:rPr>
        <w:t xml:space="preserve"> מלהגדיל את החשיפה כלפיו ו</w:t>
      </w:r>
      <w:r w:rsidR="00E53D7D">
        <w:rPr>
          <w:rFonts w:hint="cs"/>
          <w:rtl/>
        </w:rPr>
        <w:t>מ</w:t>
      </w:r>
      <w:r>
        <w:rPr>
          <w:rtl/>
        </w:rPr>
        <w:t xml:space="preserve">להעמיד לו אשראי חדש. עם זאת, בקבוצות הלווים הגדולים קורה שבזמן שחלק מהחברות נכנסות לכשל אשראי (למשל חברת </w:t>
      </w:r>
      <w:r w:rsidR="000F5F62">
        <w:rPr>
          <w:rtl/>
        </w:rPr>
        <w:t>ה</w:t>
      </w:r>
      <w:r w:rsidR="000F5F62">
        <w:rPr>
          <w:rFonts w:hint="cs"/>
          <w:rtl/>
        </w:rPr>
        <w:t>ה</w:t>
      </w:r>
      <w:r w:rsidR="000F5F62">
        <w:rPr>
          <w:rtl/>
        </w:rPr>
        <w:t>חזקה</w:t>
      </w:r>
      <w:r>
        <w:rPr>
          <w:rtl/>
        </w:rPr>
        <w:t>), חברות אחרות בקבוצה ממשיכות בפעילות עסקית רווחית</w:t>
      </w:r>
      <w:r>
        <w:rPr>
          <w:rFonts w:hint="cs"/>
          <w:rtl/>
        </w:rPr>
        <w:t xml:space="preserve"> והן </w:t>
      </w:r>
      <w:r w:rsidR="00C21E11">
        <w:rPr>
          <w:rFonts w:hint="cs"/>
          <w:rtl/>
        </w:rPr>
        <w:t>ב</w:t>
      </w:r>
      <w:r>
        <w:rPr>
          <w:rFonts w:hint="cs"/>
          <w:rtl/>
        </w:rPr>
        <w:t>עלות יכולת פירעון</w:t>
      </w:r>
      <w:r>
        <w:rPr>
          <w:rtl/>
        </w:rPr>
        <w:t>.</w:t>
      </w:r>
      <w:r w:rsidR="000F5F62">
        <w:rPr>
          <w:rFonts w:hint="cs"/>
          <w:rtl/>
        </w:rPr>
        <w:t xml:space="preserve"> </w:t>
      </w:r>
      <w:r>
        <w:rPr>
          <w:rtl/>
        </w:rPr>
        <w:t xml:space="preserve">במצב זה עולה לעיתים שיקול של כדאיות המשך המימון של פעילות החברות הטובות על מנת לאפשר להן להמשיך </w:t>
      </w:r>
      <w:r w:rsidR="00BA48CF">
        <w:rPr>
          <w:rFonts w:hint="cs"/>
          <w:rtl/>
        </w:rPr>
        <w:t>בפעילות הכלכלית</w:t>
      </w:r>
      <w:r w:rsidR="001C122A">
        <w:rPr>
          <w:rFonts w:hint="cs"/>
          <w:rtl/>
        </w:rPr>
        <w:t>,</w:t>
      </w:r>
      <w:r w:rsidR="00BA48CF">
        <w:rPr>
          <w:rFonts w:hint="cs"/>
          <w:rtl/>
        </w:rPr>
        <w:t xml:space="preserve"> </w:t>
      </w:r>
      <w:r>
        <w:rPr>
          <w:rtl/>
        </w:rPr>
        <w:t>להפיק מזומנים</w:t>
      </w:r>
      <w:r w:rsidR="001C122A">
        <w:rPr>
          <w:rFonts w:hint="cs"/>
          <w:rtl/>
        </w:rPr>
        <w:t>,</w:t>
      </w:r>
      <w:r>
        <w:rPr>
          <w:rtl/>
        </w:rPr>
        <w:t xml:space="preserve"> ולצמצם את הפסדי הבנק</w:t>
      </w:r>
      <w:r w:rsidR="00FE1712">
        <w:rPr>
          <w:rFonts w:hint="cs"/>
          <w:rtl/>
        </w:rPr>
        <w:t xml:space="preserve"> בחברות ההחזקה</w:t>
      </w:r>
      <w:r>
        <w:rPr>
          <w:rtl/>
        </w:rPr>
        <w:t xml:space="preserve">.  </w:t>
      </w:r>
    </w:p>
    <w:p w:rsidR="00607C09" w:rsidRPr="008E7DC1" w:rsidRDefault="00607C09" w:rsidP="00105385">
      <w:pPr>
        <w:rPr>
          <w:sz w:val="16"/>
          <w:szCs w:val="16"/>
          <w:rtl/>
        </w:rPr>
      </w:pPr>
    </w:p>
    <w:p w:rsidR="00E45484" w:rsidRPr="00863726" w:rsidRDefault="00E45484" w:rsidP="00C21E11">
      <w:pPr>
        <w:tabs>
          <w:tab w:val="clear" w:pos="567"/>
          <w:tab w:val="clear" w:pos="1134"/>
          <w:tab w:val="num" w:pos="562"/>
        </w:tabs>
        <w:outlineLvl w:val="0"/>
        <w:rPr>
          <w:rFonts w:hint="cs"/>
          <w:b/>
          <w:bCs/>
          <w:color w:val="00B0F0"/>
          <w:rtl/>
        </w:rPr>
      </w:pPr>
      <w:r w:rsidRPr="00863726">
        <w:rPr>
          <w:rFonts w:hint="cs"/>
          <w:b/>
          <w:bCs/>
          <w:color w:val="00B0F0"/>
          <w:rtl/>
        </w:rPr>
        <w:t xml:space="preserve">מדוע </w:t>
      </w:r>
      <w:r>
        <w:rPr>
          <w:rFonts w:hint="cs"/>
          <w:b/>
          <w:bCs/>
          <w:color w:val="00B0F0"/>
          <w:rtl/>
        </w:rPr>
        <w:t>ללווים הגדולים</w:t>
      </w:r>
      <w:r w:rsidRPr="00863726">
        <w:rPr>
          <w:rFonts w:hint="cs"/>
          <w:b/>
          <w:bCs/>
          <w:color w:val="00B0F0"/>
          <w:rtl/>
        </w:rPr>
        <w:t xml:space="preserve"> מבצעים הסדרי חוב, והלווים הקטנים נדרשים לשלם את הלוואותיה</w:t>
      </w:r>
      <w:r w:rsidR="00C21E11">
        <w:rPr>
          <w:rFonts w:hint="cs"/>
          <w:b/>
          <w:bCs/>
          <w:color w:val="00B0F0"/>
          <w:rtl/>
        </w:rPr>
        <w:t>ם</w:t>
      </w:r>
      <w:r w:rsidRPr="00863726">
        <w:rPr>
          <w:rFonts w:hint="cs"/>
          <w:b/>
          <w:bCs/>
          <w:color w:val="00B0F0"/>
          <w:rtl/>
        </w:rPr>
        <w:t xml:space="preserve"> עד</w:t>
      </w:r>
      <w:r>
        <w:rPr>
          <w:rFonts w:hint="cs"/>
          <w:b/>
          <w:bCs/>
          <w:color w:val="00B0F0"/>
          <w:rtl/>
        </w:rPr>
        <w:t xml:space="preserve"> תום</w:t>
      </w:r>
      <w:r w:rsidRPr="00863726">
        <w:rPr>
          <w:rFonts w:hint="cs"/>
          <w:b/>
          <w:bCs/>
          <w:color w:val="00B0F0"/>
          <w:rtl/>
        </w:rPr>
        <w:t>?</w:t>
      </w:r>
    </w:p>
    <w:p w:rsidR="00E45484" w:rsidRDefault="00E45484" w:rsidP="00C658AB">
      <w:pPr>
        <w:tabs>
          <w:tab w:val="clear" w:pos="567"/>
          <w:tab w:val="clear" w:pos="1134"/>
          <w:tab w:val="clear" w:pos="1814"/>
          <w:tab w:val="clear" w:pos="2665"/>
        </w:tabs>
        <w:outlineLvl w:val="1"/>
        <w:rPr>
          <w:rFonts w:hint="cs"/>
          <w:color w:val="000000"/>
          <w:kern w:val="28"/>
          <w:sz w:val="22"/>
          <w:rtl/>
        </w:rPr>
      </w:pPr>
      <w:r w:rsidRPr="00863726">
        <w:rPr>
          <w:rFonts w:hint="cs"/>
          <w:b/>
          <w:bCs/>
          <w:color w:val="000000"/>
          <w:kern w:val="28"/>
          <w:sz w:val="22"/>
          <w:rtl/>
        </w:rPr>
        <w:t>הנתונים מצביעים דווקא על מצב הפוך.</w:t>
      </w:r>
      <w:r>
        <w:rPr>
          <w:rFonts w:hint="cs"/>
          <w:color w:val="000000"/>
          <w:kern w:val="28"/>
          <w:sz w:val="22"/>
          <w:rtl/>
        </w:rPr>
        <w:t xml:space="preserve"> </w:t>
      </w:r>
      <w:r w:rsidRPr="008C11E7">
        <w:rPr>
          <w:rFonts w:hint="cs"/>
          <w:color w:val="000000"/>
          <w:kern w:val="28"/>
          <w:sz w:val="22"/>
          <w:rtl/>
        </w:rPr>
        <w:t xml:space="preserve"> יחס הסדרי חוב ליתרת החוב </w:t>
      </w:r>
      <w:r>
        <w:rPr>
          <w:rFonts w:hint="cs"/>
          <w:color w:val="000000"/>
          <w:kern w:val="28"/>
          <w:sz w:val="22"/>
          <w:rtl/>
        </w:rPr>
        <w:t xml:space="preserve">גבוה יותר בקרב </w:t>
      </w:r>
      <w:r w:rsidRPr="008C11E7">
        <w:rPr>
          <w:rFonts w:hint="cs"/>
          <w:color w:val="000000"/>
          <w:kern w:val="28"/>
          <w:sz w:val="22"/>
          <w:rtl/>
        </w:rPr>
        <w:t xml:space="preserve">לקוחות </w:t>
      </w:r>
      <w:r>
        <w:rPr>
          <w:rFonts w:hint="cs"/>
          <w:color w:val="000000"/>
          <w:kern w:val="28"/>
          <w:sz w:val="22"/>
          <w:rtl/>
        </w:rPr>
        <w:t xml:space="preserve">פרטיים לעומת </w:t>
      </w:r>
      <w:r w:rsidRPr="008C11E7">
        <w:rPr>
          <w:rFonts w:hint="cs"/>
          <w:color w:val="000000"/>
          <w:kern w:val="28"/>
          <w:sz w:val="22"/>
          <w:rtl/>
        </w:rPr>
        <w:t xml:space="preserve">לקוחות </w:t>
      </w:r>
      <w:r w:rsidR="00E53D7D">
        <w:rPr>
          <w:rFonts w:hint="cs"/>
          <w:color w:val="000000"/>
          <w:kern w:val="28"/>
          <w:sz w:val="22"/>
          <w:rtl/>
        </w:rPr>
        <w:t>עסקיים</w:t>
      </w:r>
      <w:r w:rsidRPr="008C11E7">
        <w:rPr>
          <w:rFonts w:hint="cs"/>
          <w:color w:val="000000"/>
          <w:kern w:val="28"/>
          <w:sz w:val="22"/>
          <w:rtl/>
        </w:rPr>
        <w:t>.</w:t>
      </w:r>
      <w:r w:rsidRPr="007C180C">
        <w:rPr>
          <w:rFonts w:hint="cs"/>
          <w:color w:val="000000"/>
          <w:kern w:val="28"/>
          <w:sz w:val="22"/>
          <w:rtl/>
        </w:rPr>
        <w:t xml:space="preserve"> יתרה מכך, בשנים האחרונות אנו עדים למאמצים גבוהים של הבנקים לקדם תהליכי הסדר ו"גביה רכ</w:t>
      </w:r>
      <w:r>
        <w:rPr>
          <w:rFonts w:hint="cs"/>
          <w:color w:val="000000"/>
          <w:kern w:val="28"/>
          <w:sz w:val="22"/>
          <w:rtl/>
        </w:rPr>
        <w:t>ה" דווקא מול הלקוחות הצרכניים</w:t>
      </w:r>
      <w:r w:rsidR="00C658AB">
        <w:rPr>
          <w:rFonts w:hint="cs"/>
          <w:color w:val="000000"/>
          <w:kern w:val="28"/>
          <w:sz w:val="22"/>
          <w:rtl/>
        </w:rPr>
        <w:t>:</w:t>
      </w:r>
    </w:p>
    <w:p w:rsidR="00E45484" w:rsidRDefault="006161A3" w:rsidP="00E45484">
      <w:pPr>
        <w:tabs>
          <w:tab w:val="clear" w:pos="567"/>
          <w:tab w:val="clear" w:pos="1134"/>
          <w:tab w:val="clear" w:pos="1814"/>
          <w:tab w:val="clear" w:pos="2665"/>
        </w:tabs>
        <w:spacing w:before="120"/>
        <w:jc w:val="center"/>
        <w:outlineLvl w:val="1"/>
        <w:rPr>
          <w:rFonts w:hint="cs"/>
          <w:color w:val="000000"/>
          <w:kern w:val="28"/>
          <w:sz w:val="22"/>
          <w:rtl/>
        </w:rPr>
      </w:pPr>
      <w:r w:rsidRPr="006161A3">
        <w:t xml:space="preserve"> </w:t>
      </w:r>
      <w:r w:rsidR="00506868">
        <w:rPr>
          <w:noProof/>
        </w:rPr>
        <w:drawing>
          <wp:inline distT="0" distB="0" distL="0" distR="0">
            <wp:extent cx="2870200" cy="2234565"/>
            <wp:effectExtent l="0" t="0" r="6350" b="0"/>
            <wp:docPr id="7" name="תמונה 2" descr="cid:image002.png@01D28784.C8F7C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cid:image002.png@01D28784.C8F7C6C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870200" cy="2234565"/>
                    </a:xfrm>
                    <a:prstGeom prst="rect">
                      <a:avLst/>
                    </a:prstGeom>
                    <a:noFill/>
                    <a:ln>
                      <a:noFill/>
                    </a:ln>
                  </pic:spPr>
                </pic:pic>
              </a:graphicData>
            </a:graphic>
          </wp:inline>
        </w:drawing>
      </w:r>
    </w:p>
    <w:p w:rsidR="00E45484" w:rsidRDefault="00E45484" w:rsidP="00E45484">
      <w:pPr>
        <w:tabs>
          <w:tab w:val="clear" w:pos="567"/>
          <w:tab w:val="clear" w:pos="1134"/>
          <w:tab w:val="num" w:pos="562"/>
        </w:tabs>
        <w:outlineLvl w:val="0"/>
        <w:rPr>
          <w:rFonts w:hint="cs"/>
          <w:rtl/>
        </w:rPr>
      </w:pPr>
      <w:r w:rsidRPr="00863726">
        <w:rPr>
          <w:rFonts w:hint="cs"/>
          <w:b/>
          <w:bCs/>
          <w:rtl/>
        </w:rPr>
        <w:t>בהתייחס להסדרי חוב ל</w:t>
      </w:r>
      <w:r w:rsidR="00814C4D">
        <w:rPr>
          <w:rFonts w:hint="cs"/>
          <w:b/>
          <w:bCs/>
          <w:rtl/>
        </w:rPr>
        <w:t xml:space="preserve">לווים </w:t>
      </w:r>
      <w:r w:rsidRPr="00863726">
        <w:rPr>
          <w:rFonts w:hint="cs"/>
          <w:b/>
          <w:bCs/>
          <w:rtl/>
        </w:rPr>
        <w:t>עסקים - הניסיון מראה שכאשר לווה מגיע למצב של כשל אשראי, ביצוע הסדר חוב מהווה לעיתים אלטרנטיבה עדיפה לצורך צמצום ההפסדים</w:t>
      </w:r>
      <w:r w:rsidRPr="00B21E16">
        <w:rPr>
          <w:rFonts w:hint="cs"/>
          <w:rtl/>
        </w:rPr>
        <w:t xml:space="preserve"> ומניעת כשל מוחלט של העסק על פני תהליך של חדלות פירעון. הסדר חוב אשר בנוי נכון מקל על לווה הנמצא בקשיים כלכליים, במטרה למתן את הקשיים אליהם הוא נקלע ולאפשר לו להבריא ולעמוד בתשלום חובותיו, במלואם או בחלקם. </w:t>
      </w:r>
      <w:r w:rsidRPr="00963C15">
        <w:rPr>
          <w:rFonts w:hint="cs"/>
          <w:b/>
          <w:bCs/>
          <w:rtl/>
        </w:rPr>
        <w:t>במקרים רבים הסדרי חוב מונעים מצב של סגירה סופית של עסק, ושל פיטורי עובדים.</w:t>
      </w:r>
      <w:r w:rsidRPr="00B21E16">
        <w:rPr>
          <w:rFonts w:hint="cs"/>
          <w:rtl/>
        </w:rPr>
        <w:t xml:space="preserve"> יתרה מכך, הסדר חוב לעיתים מגדיל את סיכויי הנושים לקבל תמורה גבוהה יותר לעומת מצב של היעדר הסדר.</w:t>
      </w:r>
    </w:p>
    <w:p w:rsidR="00E45484" w:rsidRPr="00B21E16" w:rsidRDefault="00E45484" w:rsidP="00982CE2">
      <w:pPr>
        <w:tabs>
          <w:tab w:val="clear" w:pos="567"/>
          <w:tab w:val="clear" w:pos="1134"/>
          <w:tab w:val="num" w:pos="562"/>
        </w:tabs>
        <w:outlineLvl w:val="0"/>
        <w:rPr>
          <w:rFonts w:hint="cs"/>
          <w:color w:val="000000"/>
          <w:kern w:val="28"/>
          <w:sz w:val="22"/>
          <w:rtl/>
        </w:rPr>
      </w:pPr>
      <w:r w:rsidRPr="00B21E16">
        <w:rPr>
          <w:rFonts w:hint="cs"/>
          <w:color w:val="000000"/>
          <w:kern w:val="28"/>
          <w:sz w:val="22"/>
          <w:rtl/>
        </w:rPr>
        <w:t xml:space="preserve">מובן שהבנקים נדרשים ליישם מדיניות הסדרים הוגנת כלפי </w:t>
      </w:r>
      <w:r w:rsidR="00E8106F">
        <w:rPr>
          <w:rFonts w:hint="cs"/>
          <w:color w:val="000000"/>
          <w:kern w:val="28"/>
          <w:sz w:val="22"/>
          <w:rtl/>
        </w:rPr>
        <w:t xml:space="preserve">לקוחות פרטיים. הפיקוח על הבנקים מקפיד על כך, ופירסם לאחרונה הוראה מקיפה בנושא </w:t>
      </w:r>
      <w:r w:rsidR="00FE1712">
        <w:rPr>
          <w:rFonts w:hint="cs"/>
          <w:color w:val="000000"/>
          <w:kern w:val="28"/>
          <w:sz w:val="22"/>
          <w:rtl/>
        </w:rPr>
        <w:t>הוגנות בגביית חובות של משקי בית</w:t>
      </w:r>
      <w:r w:rsidR="00E8106F">
        <w:rPr>
          <w:rFonts w:hint="cs"/>
          <w:color w:val="000000"/>
          <w:kern w:val="28"/>
          <w:sz w:val="22"/>
          <w:rtl/>
        </w:rPr>
        <w:t>.</w:t>
      </w:r>
    </w:p>
    <w:p w:rsidR="00E45484" w:rsidRPr="00DE5CF1" w:rsidRDefault="00E45484" w:rsidP="00E45484">
      <w:pPr>
        <w:tabs>
          <w:tab w:val="clear" w:pos="567"/>
          <w:tab w:val="clear" w:pos="1134"/>
          <w:tab w:val="clear" w:pos="1814"/>
          <w:tab w:val="clear" w:pos="2665"/>
        </w:tabs>
        <w:outlineLvl w:val="1"/>
        <w:rPr>
          <w:rFonts w:hint="cs"/>
          <w:color w:val="000000"/>
          <w:kern w:val="28"/>
          <w:sz w:val="16"/>
          <w:szCs w:val="16"/>
          <w:rtl/>
        </w:rPr>
      </w:pPr>
    </w:p>
    <w:p w:rsidR="00E45484" w:rsidRPr="00863726" w:rsidRDefault="004F4805" w:rsidP="00E71E31">
      <w:pPr>
        <w:tabs>
          <w:tab w:val="clear" w:pos="567"/>
          <w:tab w:val="clear" w:pos="1134"/>
          <w:tab w:val="num" w:pos="562"/>
        </w:tabs>
        <w:outlineLvl w:val="0"/>
        <w:rPr>
          <w:rFonts w:hint="cs"/>
          <w:b/>
          <w:bCs/>
          <w:color w:val="00B0F0"/>
          <w:rtl/>
        </w:rPr>
      </w:pPr>
      <w:r>
        <w:rPr>
          <w:rFonts w:hint="cs"/>
          <w:b/>
          <w:bCs/>
          <w:color w:val="00B0F0"/>
          <w:rtl/>
        </w:rPr>
        <w:t>האם נלקחה</w:t>
      </w:r>
      <w:r w:rsidR="00E45484" w:rsidRPr="00863726">
        <w:rPr>
          <w:rFonts w:hint="cs"/>
          <w:b/>
          <w:bCs/>
          <w:color w:val="00B0F0"/>
          <w:rtl/>
        </w:rPr>
        <w:t xml:space="preserve"> אחריות אישית</w:t>
      </w:r>
      <w:r w:rsidR="00A01DEA">
        <w:rPr>
          <w:rFonts w:hint="cs"/>
          <w:b/>
          <w:bCs/>
          <w:color w:val="00B0F0"/>
          <w:rtl/>
        </w:rPr>
        <w:t xml:space="preserve"> על כשלי האשראי</w:t>
      </w:r>
      <w:r w:rsidR="00E45484" w:rsidRPr="00863726">
        <w:rPr>
          <w:rFonts w:hint="cs"/>
          <w:b/>
          <w:bCs/>
          <w:color w:val="00B0F0"/>
          <w:rtl/>
        </w:rPr>
        <w:t>?</w:t>
      </w:r>
    </w:p>
    <w:p w:rsidR="00E45484" w:rsidRDefault="00E45484" w:rsidP="00607C09">
      <w:pPr>
        <w:tabs>
          <w:tab w:val="clear" w:pos="567"/>
          <w:tab w:val="clear" w:pos="1134"/>
        </w:tabs>
        <w:spacing w:after="240"/>
        <w:outlineLvl w:val="0"/>
        <w:rPr>
          <w:rFonts w:hint="cs"/>
          <w:kern w:val="28"/>
          <w:rtl/>
        </w:rPr>
      </w:pPr>
      <w:r>
        <w:rPr>
          <w:rFonts w:hint="cs"/>
          <w:kern w:val="28"/>
          <w:rtl/>
        </w:rPr>
        <w:t xml:space="preserve">בהתאם להוראות הפיקוח, החלטות אשראי </w:t>
      </w:r>
      <w:r w:rsidR="002B70BA">
        <w:rPr>
          <w:rFonts w:hint="cs"/>
          <w:kern w:val="28"/>
          <w:rtl/>
        </w:rPr>
        <w:t xml:space="preserve">בבנק לא מתקבלות </w:t>
      </w:r>
      <w:r>
        <w:rPr>
          <w:rFonts w:hint="cs"/>
          <w:kern w:val="28"/>
          <w:rtl/>
        </w:rPr>
        <w:t>ע</w:t>
      </w:r>
      <w:r w:rsidR="002B70BA">
        <w:rPr>
          <w:rFonts w:hint="cs"/>
          <w:kern w:val="28"/>
          <w:rtl/>
        </w:rPr>
        <w:t>ל-ידי</w:t>
      </w:r>
      <w:r>
        <w:rPr>
          <w:rFonts w:hint="cs"/>
          <w:kern w:val="28"/>
          <w:rtl/>
        </w:rPr>
        <w:t xml:space="preserve"> אדם יחיד, אלא </w:t>
      </w:r>
      <w:r w:rsidR="00607C09">
        <w:rPr>
          <w:rFonts w:hint="cs"/>
          <w:kern w:val="28"/>
          <w:rtl/>
        </w:rPr>
        <w:t>בוועדו</w:t>
      </w:r>
      <w:r w:rsidR="00607C09">
        <w:rPr>
          <w:rFonts w:hint="eastAsia"/>
          <w:kern w:val="28"/>
          <w:rtl/>
        </w:rPr>
        <w:t>ת</w:t>
      </w:r>
      <w:r>
        <w:rPr>
          <w:rFonts w:hint="cs"/>
          <w:kern w:val="28"/>
          <w:rtl/>
        </w:rPr>
        <w:t xml:space="preserve"> האשראי ובתהליכים מוסדרים. </w:t>
      </w:r>
      <w:r w:rsidR="00822EE3">
        <w:rPr>
          <w:rFonts w:hint="cs"/>
          <w:kern w:val="28"/>
          <w:rtl/>
        </w:rPr>
        <w:t xml:space="preserve">עם זאת, </w:t>
      </w:r>
      <w:r w:rsidRPr="00E44FD9">
        <w:rPr>
          <w:rFonts w:hint="cs"/>
          <w:kern w:val="28"/>
          <w:rtl/>
        </w:rPr>
        <w:t>טיב האשראי מבוסס</w:t>
      </w:r>
      <w:r w:rsidRPr="00E44FD9">
        <w:rPr>
          <w:kern w:val="28"/>
          <w:rtl/>
        </w:rPr>
        <w:t xml:space="preserve"> בסופו של דבר על תחזיות ואומדנים</w:t>
      </w:r>
      <w:r w:rsidR="00822EE3">
        <w:rPr>
          <w:rFonts w:hint="cs"/>
          <w:kern w:val="28"/>
          <w:rtl/>
        </w:rPr>
        <w:t>,</w:t>
      </w:r>
      <w:r>
        <w:rPr>
          <w:rFonts w:hint="cs"/>
          <w:kern w:val="28"/>
          <w:rtl/>
        </w:rPr>
        <w:t xml:space="preserve"> לכן </w:t>
      </w:r>
      <w:r w:rsidRPr="00E44FD9">
        <w:rPr>
          <w:kern w:val="28"/>
          <w:rtl/>
        </w:rPr>
        <w:t>איכות תהליכי האשראי תלויה באופן מהותי</w:t>
      </w:r>
      <w:r w:rsidRPr="00E44FD9">
        <w:rPr>
          <w:rFonts w:hint="cs"/>
          <w:kern w:val="28"/>
        </w:rPr>
        <w:t xml:space="preserve"> </w:t>
      </w:r>
      <w:r w:rsidRPr="00E44FD9">
        <w:rPr>
          <w:kern w:val="28"/>
          <w:rtl/>
        </w:rPr>
        <w:t>בשיקול הדעת שמפעילים נושאי המשרה הבכירים</w:t>
      </w:r>
      <w:r w:rsidRPr="00E44FD9" w:rsidDel="00002E28">
        <w:rPr>
          <w:rFonts w:hint="cs"/>
          <w:kern w:val="28"/>
          <w:rtl/>
        </w:rPr>
        <w:t xml:space="preserve"> </w:t>
      </w:r>
      <w:r w:rsidRPr="00E44FD9">
        <w:rPr>
          <w:rFonts w:hint="cs"/>
          <w:kern w:val="28"/>
          <w:rtl/>
        </w:rPr>
        <w:t>ו</w:t>
      </w:r>
      <w:r w:rsidRPr="00E44FD9">
        <w:rPr>
          <w:kern w:val="28"/>
          <w:rtl/>
        </w:rPr>
        <w:t xml:space="preserve">בתרבות </w:t>
      </w:r>
      <w:r w:rsidRPr="00E44FD9">
        <w:rPr>
          <w:rFonts w:hint="cs"/>
          <w:kern w:val="28"/>
          <w:rtl/>
        </w:rPr>
        <w:t>ה</w:t>
      </w:r>
      <w:r w:rsidRPr="00E44FD9">
        <w:rPr>
          <w:kern w:val="28"/>
          <w:rtl/>
        </w:rPr>
        <w:t xml:space="preserve">סיכון המוכתבת מלמעלה </w:t>
      </w:r>
      <w:r w:rsidRPr="00E524C4">
        <w:rPr>
          <w:kern w:val="28"/>
          <w:sz w:val="22"/>
          <w:szCs w:val="22"/>
          <w:rtl/>
        </w:rPr>
        <w:t>(</w:t>
      </w:r>
      <w:r w:rsidRPr="00E524C4">
        <w:rPr>
          <w:kern w:val="28"/>
          <w:sz w:val="22"/>
          <w:szCs w:val="22"/>
        </w:rPr>
        <w:t>Tone at the Top</w:t>
      </w:r>
      <w:r w:rsidRPr="00E524C4">
        <w:rPr>
          <w:kern w:val="28"/>
          <w:sz w:val="22"/>
          <w:szCs w:val="22"/>
          <w:rtl/>
        </w:rPr>
        <w:t xml:space="preserve">) </w:t>
      </w:r>
      <w:r w:rsidRPr="00E44FD9">
        <w:rPr>
          <w:kern w:val="28"/>
          <w:rtl/>
        </w:rPr>
        <w:t>המחלחלת לכל שכבות הארגון.</w:t>
      </w:r>
      <w:r>
        <w:rPr>
          <w:rFonts w:hint="cs"/>
          <w:kern w:val="28"/>
          <w:rtl/>
        </w:rPr>
        <w:t xml:space="preserve"> </w:t>
      </w:r>
    </w:p>
    <w:p w:rsidR="00FE1712" w:rsidRDefault="00FE1712" w:rsidP="00982CE2">
      <w:pPr>
        <w:tabs>
          <w:tab w:val="clear" w:pos="567"/>
          <w:tab w:val="clear" w:pos="1134"/>
          <w:tab w:val="num" w:pos="562"/>
        </w:tabs>
        <w:outlineLvl w:val="0"/>
        <w:rPr>
          <w:rFonts w:hint="cs"/>
          <w:rtl/>
        </w:rPr>
      </w:pPr>
      <w:r w:rsidRPr="00963C15">
        <w:rPr>
          <w:rFonts w:hint="cs"/>
          <w:rtl/>
        </w:rPr>
        <w:lastRenderedPageBreak/>
        <w:t>הליקויים שנמצאו בתהליכי הביקורת, הצביעו במקרים מסוימים על כשלים שנבעו משיקול דעת לא זהיר דיו של ועדות האשראי ומקבלי ההחלטות,</w:t>
      </w:r>
      <w:r>
        <w:rPr>
          <w:rFonts w:hint="cs"/>
          <w:b/>
          <w:bCs/>
          <w:rtl/>
        </w:rPr>
        <w:t xml:space="preserve"> </w:t>
      </w:r>
      <w:r w:rsidRPr="00E43B80">
        <w:rPr>
          <w:rFonts w:hint="cs"/>
          <w:rtl/>
        </w:rPr>
        <w:t>בהתבסס על הנתונים שעמדו באותה עת בפני</w:t>
      </w:r>
      <w:r>
        <w:rPr>
          <w:rFonts w:hint="cs"/>
          <w:rtl/>
        </w:rPr>
        <w:t>הם</w:t>
      </w:r>
      <w:r w:rsidRPr="00E43B80">
        <w:rPr>
          <w:rFonts w:hint="cs"/>
          <w:rtl/>
        </w:rPr>
        <w:t>.</w:t>
      </w:r>
      <w:r>
        <w:rPr>
          <w:rFonts w:hint="cs"/>
          <w:rtl/>
        </w:rPr>
        <w:t xml:space="preserve"> </w:t>
      </w:r>
      <w:r>
        <w:rPr>
          <w:rFonts w:hint="cs"/>
          <w:b/>
          <w:bCs/>
          <w:rtl/>
        </w:rPr>
        <w:t xml:space="preserve">אולם </w:t>
      </w:r>
      <w:r w:rsidRPr="00863726">
        <w:rPr>
          <w:rFonts w:hint="cs"/>
          <w:b/>
          <w:bCs/>
          <w:rtl/>
        </w:rPr>
        <w:t>למעט במקרים חריגים, הביקורות לא העלו שהועמד אשראי משיקולים זרים ותוך ניגוד עניינים</w:t>
      </w:r>
      <w:r>
        <w:rPr>
          <w:rFonts w:hint="cs"/>
          <w:b/>
          <w:bCs/>
          <w:rtl/>
        </w:rPr>
        <w:t>, הגם שיכולת הפיקוח לבדוק זאת בכלים שברשותו הינה מוגבלת</w:t>
      </w:r>
      <w:r w:rsidRPr="00E43B80">
        <w:rPr>
          <w:rFonts w:hint="cs"/>
          <w:rtl/>
        </w:rPr>
        <w:t>.</w:t>
      </w:r>
    </w:p>
    <w:p w:rsidR="00FE1712" w:rsidRPr="00963C15" w:rsidRDefault="00FE1712" w:rsidP="006D4A4D">
      <w:pPr>
        <w:tabs>
          <w:tab w:val="clear" w:pos="567"/>
          <w:tab w:val="clear" w:pos="1134"/>
          <w:tab w:val="num" w:pos="562"/>
        </w:tabs>
        <w:spacing w:after="240"/>
        <w:outlineLvl w:val="0"/>
        <w:rPr>
          <w:rFonts w:hint="cs"/>
          <w:rtl/>
        </w:rPr>
      </w:pPr>
      <w:r w:rsidRPr="00963C15">
        <w:rPr>
          <w:rFonts w:hint="cs"/>
          <w:rtl/>
        </w:rPr>
        <w:t xml:space="preserve">במקרים חריגים אלו, כאשר עלה חשש מבוסס לכך שההחלטה היתה מונעת משיקולים זרים או מניגודי עניינים, הפיקוח העביר את המידע שברשותו לטיפול במשטרת ישראל או להתייעצות עם הפרקליטות. </w:t>
      </w:r>
    </w:p>
    <w:p w:rsidR="00E45484" w:rsidRDefault="00E8106F" w:rsidP="00E8106F">
      <w:pPr>
        <w:tabs>
          <w:tab w:val="clear" w:pos="567"/>
          <w:tab w:val="clear" w:pos="1134"/>
          <w:tab w:val="num" w:pos="562"/>
        </w:tabs>
        <w:outlineLvl w:val="0"/>
        <w:rPr>
          <w:rFonts w:hint="cs"/>
          <w:rtl/>
        </w:rPr>
      </w:pPr>
      <w:r>
        <w:rPr>
          <w:rFonts w:hint="cs"/>
          <w:rtl/>
        </w:rPr>
        <w:t xml:space="preserve">מטרת </w:t>
      </w:r>
      <w:r w:rsidR="00E45484">
        <w:rPr>
          <w:rFonts w:hint="cs"/>
          <w:rtl/>
        </w:rPr>
        <w:t xml:space="preserve">תהליכי הביקורת </w:t>
      </w:r>
      <w:r w:rsidR="00822EE3">
        <w:rPr>
          <w:rFonts w:hint="cs"/>
          <w:rtl/>
        </w:rPr>
        <w:t xml:space="preserve">של הפיקוח </w:t>
      </w:r>
      <w:r>
        <w:rPr>
          <w:rFonts w:hint="cs"/>
          <w:rtl/>
        </w:rPr>
        <w:t>הנה</w:t>
      </w:r>
      <w:r w:rsidR="00E45484">
        <w:rPr>
          <w:rFonts w:hint="cs"/>
          <w:rtl/>
        </w:rPr>
        <w:t xml:space="preserve"> לאתר ליקויים בזמן ולשפר את תהליכי העבודה והבקרות </w:t>
      </w:r>
      <w:r>
        <w:rPr>
          <w:rFonts w:hint="cs"/>
          <w:rtl/>
        </w:rPr>
        <w:t xml:space="preserve">של הבנק </w:t>
      </w:r>
      <w:r w:rsidR="00E45484">
        <w:rPr>
          <w:rFonts w:hint="cs"/>
          <w:rtl/>
        </w:rPr>
        <w:t>בראיה קדימה.</w:t>
      </w:r>
      <w:r w:rsidR="00E45484">
        <w:rPr>
          <w:rFonts w:hint="cs"/>
          <w:b/>
          <w:bCs/>
          <w:rtl/>
        </w:rPr>
        <w:t xml:space="preserve"> </w:t>
      </w:r>
      <w:r w:rsidR="00E45484">
        <w:rPr>
          <w:rFonts w:hint="cs"/>
          <w:rtl/>
        </w:rPr>
        <w:t xml:space="preserve">הפיקוח בוחן את סבירות ההחלטות המתקבלות בבנק בהתאם לכלל ה </w:t>
      </w:r>
      <w:r w:rsidR="00E45484">
        <w:rPr>
          <w:rtl/>
        </w:rPr>
        <w:t>–</w:t>
      </w:r>
      <w:r w:rsidR="00E45484" w:rsidRPr="00F25AA6">
        <w:rPr>
          <w:rFonts w:hint="cs"/>
          <w:rtl/>
        </w:rPr>
        <w:t xml:space="preserve"> </w:t>
      </w:r>
      <w:r w:rsidR="00E45484" w:rsidRPr="00E524C4">
        <w:rPr>
          <w:sz w:val="22"/>
          <w:szCs w:val="22"/>
        </w:rPr>
        <w:t>BJR</w:t>
      </w:r>
      <w:r w:rsidR="00E45484" w:rsidRPr="00E524C4">
        <w:rPr>
          <w:rFonts w:hint="cs"/>
          <w:sz w:val="22"/>
          <w:szCs w:val="22"/>
          <w:rtl/>
        </w:rPr>
        <w:t xml:space="preserve">  (</w:t>
      </w:r>
      <w:r w:rsidR="00E45484" w:rsidRPr="00E524C4">
        <w:rPr>
          <w:sz w:val="22"/>
          <w:szCs w:val="22"/>
        </w:rPr>
        <w:t>Business Judgment Rule</w:t>
      </w:r>
      <w:r w:rsidR="00E45484" w:rsidRPr="00E524C4">
        <w:rPr>
          <w:rFonts w:hint="cs"/>
          <w:sz w:val="22"/>
          <w:szCs w:val="22"/>
          <w:rtl/>
        </w:rPr>
        <w:t>)</w:t>
      </w:r>
      <w:r w:rsidR="004F4805">
        <w:rPr>
          <w:rFonts w:hint="cs"/>
          <w:sz w:val="22"/>
          <w:szCs w:val="22"/>
          <w:rtl/>
        </w:rPr>
        <w:t>,</w:t>
      </w:r>
      <w:r w:rsidR="00E45484">
        <w:rPr>
          <w:rFonts w:hint="cs"/>
          <w:rtl/>
        </w:rPr>
        <w:t xml:space="preserve"> בהתבסס על ההחלטות המתועדות בבנק. דהיינו</w:t>
      </w:r>
      <w:r w:rsidR="001C122A">
        <w:rPr>
          <w:rFonts w:hint="cs"/>
          <w:rtl/>
        </w:rPr>
        <w:t>,</w:t>
      </w:r>
      <w:r w:rsidR="00E45484">
        <w:rPr>
          <w:rFonts w:hint="cs"/>
          <w:rtl/>
        </w:rPr>
        <w:t xml:space="preserve"> האם הופעל שיקול דעת סביר על בסיס המידע שהיה קיים בעת ההחלטה ולא כחוכמה בדיעבד.</w:t>
      </w:r>
    </w:p>
    <w:p w:rsidR="004F4805" w:rsidRPr="0065445F" w:rsidRDefault="004F4805" w:rsidP="00E71E31">
      <w:pPr>
        <w:tabs>
          <w:tab w:val="clear" w:pos="567"/>
          <w:tab w:val="clear" w:pos="1134"/>
          <w:tab w:val="num" w:pos="562"/>
        </w:tabs>
        <w:outlineLvl w:val="0"/>
        <w:rPr>
          <w:rFonts w:hint="cs"/>
          <w:b/>
          <w:bCs/>
          <w:color w:val="00B0F0"/>
          <w:sz w:val="14"/>
          <w:szCs w:val="14"/>
          <w:rtl/>
        </w:rPr>
      </w:pPr>
    </w:p>
    <w:p w:rsidR="00E45484" w:rsidRPr="00863726" w:rsidRDefault="00E45484" w:rsidP="00E45484">
      <w:pPr>
        <w:tabs>
          <w:tab w:val="clear" w:pos="567"/>
          <w:tab w:val="clear" w:pos="1134"/>
          <w:tab w:val="num" w:pos="562"/>
        </w:tabs>
        <w:outlineLvl w:val="0"/>
        <w:rPr>
          <w:rFonts w:hint="cs"/>
          <w:b/>
          <w:bCs/>
          <w:color w:val="00B0F0"/>
          <w:rtl/>
        </w:rPr>
      </w:pPr>
      <w:r w:rsidRPr="00863726">
        <w:rPr>
          <w:rFonts w:hint="cs"/>
          <w:b/>
          <w:bCs/>
          <w:color w:val="00B0F0"/>
          <w:rtl/>
        </w:rPr>
        <w:t xml:space="preserve">האם זה יכול לקרות שוב? האם עדיין קיימות הלוואות </w:t>
      </w:r>
      <w:r w:rsidR="00ED7A7D">
        <w:rPr>
          <w:rFonts w:hint="cs"/>
          <w:b/>
          <w:bCs/>
          <w:color w:val="00B0F0"/>
          <w:rtl/>
        </w:rPr>
        <w:t>גדולות ו</w:t>
      </w:r>
      <w:r w:rsidRPr="00863726">
        <w:rPr>
          <w:rFonts w:hint="cs"/>
          <w:b/>
          <w:bCs/>
          <w:color w:val="00B0F0"/>
          <w:rtl/>
        </w:rPr>
        <w:t>מסוכנות שעלולות להסב הפסדים?</w:t>
      </w:r>
    </w:p>
    <w:p w:rsidR="00E45484" w:rsidRDefault="00E45484" w:rsidP="00E71E31">
      <w:pPr>
        <w:tabs>
          <w:tab w:val="clear" w:pos="567"/>
          <w:tab w:val="clear" w:pos="1134"/>
          <w:tab w:val="num" w:pos="562"/>
        </w:tabs>
        <w:spacing w:after="240"/>
        <w:outlineLvl w:val="0"/>
        <w:rPr>
          <w:rFonts w:hint="cs"/>
          <w:color w:val="000000"/>
          <w:rtl/>
        </w:rPr>
      </w:pPr>
      <w:r w:rsidRPr="00E71E31">
        <w:rPr>
          <w:rFonts w:hint="cs"/>
          <w:b/>
          <w:bCs/>
          <w:color w:val="000000"/>
          <w:u w:val="single"/>
          <w:rtl/>
        </w:rPr>
        <w:t>לגבי אשראים היסטוריים</w:t>
      </w:r>
      <w:r>
        <w:rPr>
          <w:rFonts w:hint="cs"/>
          <w:color w:val="000000"/>
          <w:rtl/>
        </w:rPr>
        <w:t xml:space="preserve"> - </w:t>
      </w:r>
      <w:r w:rsidRPr="00863726">
        <w:rPr>
          <w:rFonts w:hint="cs"/>
          <w:b/>
          <w:bCs/>
          <w:color w:val="000000"/>
          <w:rtl/>
        </w:rPr>
        <w:t>מאזני הבנקים עדיין כוללים הלוואות היסטוריות בעלות מאפייני סיכון גבוה שהועמדו עוד לפני שבוצעו הפקות הלקחים, וטרם נפרעו במלואן.</w:t>
      </w:r>
      <w:r>
        <w:rPr>
          <w:rFonts w:hint="cs"/>
          <w:color w:val="000000"/>
          <w:rtl/>
        </w:rPr>
        <w:t xml:space="preserve"> מובן שכאשר לווה בסיכון גבוה מזוהה כלווה בעייתי, הבנקים נדרשים להכיר בהפסד בגינו באופן מיידי ולפעול למימוש הביטחונות </w:t>
      </w:r>
      <w:r w:rsidR="00ED7A7D">
        <w:rPr>
          <w:rFonts w:hint="cs"/>
          <w:color w:val="000000"/>
          <w:rtl/>
        </w:rPr>
        <w:t xml:space="preserve">וצמצום ההפסד </w:t>
      </w:r>
      <w:r>
        <w:rPr>
          <w:rFonts w:hint="cs"/>
          <w:color w:val="000000"/>
          <w:rtl/>
        </w:rPr>
        <w:t xml:space="preserve">באופן מיטבי. הפיקוח על הבנקים ממשיך לבחון גם סיכונים במדגם לווים ספציפיים ולהעלות לבנקים דרישות סיווג ודרישות לצמצום הסיכון ככל שניתן בצמתי החלטה. </w:t>
      </w:r>
    </w:p>
    <w:p w:rsidR="00E45484" w:rsidRDefault="00E45484" w:rsidP="00C71A94">
      <w:pPr>
        <w:tabs>
          <w:tab w:val="clear" w:pos="567"/>
          <w:tab w:val="clear" w:pos="1134"/>
          <w:tab w:val="num" w:pos="562"/>
        </w:tabs>
        <w:outlineLvl w:val="0"/>
        <w:rPr>
          <w:rFonts w:hint="cs"/>
          <w:color w:val="000000"/>
          <w:rtl/>
        </w:rPr>
      </w:pPr>
      <w:r w:rsidRPr="00E71E31">
        <w:rPr>
          <w:rFonts w:hint="cs"/>
          <w:b/>
          <w:bCs/>
          <w:color w:val="000000"/>
          <w:u w:val="single"/>
          <w:rtl/>
        </w:rPr>
        <w:t>לגבי העמדת אשראי חדש</w:t>
      </w:r>
      <w:r>
        <w:rPr>
          <w:rFonts w:hint="cs"/>
          <w:color w:val="000000"/>
          <w:rtl/>
        </w:rPr>
        <w:t xml:space="preserve"> - צעדי הפיקוח </w:t>
      </w:r>
      <w:r w:rsidRPr="00863726">
        <w:rPr>
          <w:rFonts w:hint="cs"/>
          <w:b/>
          <w:bCs/>
          <w:color w:val="000000"/>
          <w:rtl/>
        </w:rPr>
        <w:t>נועדו לוודא שככל שיועמדו הלוואות ללווים בקבוצות הלווים הגדולות, הן לא יכללו את מאפייני הסיכון שבעטיים אירעו הכשלים.</w:t>
      </w:r>
      <w:r w:rsidRPr="007C2661">
        <w:rPr>
          <w:rFonts w:hint="cs"/>
          <w:color w:val="000000"/>
          <w:rtl/>
        </w:rPr>
        <w:t xml:space="preserve"> דהיינו, שיהיו עם מטרות מוגדרות; בהיקפים סבירים; עם רמת מינוף נאותה; בהתבסס על נתונים כלכליים לגבי יכולת ההחזר של האשראי בזמן סביר (ולא בהתבסס על המוניטין של בעל השליטה);</w:t>
      </w:r>
      <w:r>
        <w:rPr>
          <w:rFonts w:hint="cs"/>
          <w:color w:val="000000"/>
          <w:rtl/>
        </w:rPr>
        <w:t xml:space="preserve"> </w:t>
      </w:r>
      <w:r w:rsidRPr="007C2661">
        <w:rPr>
          <w:rFonts w:hint="cs"/>
          <w:color w:val="000000"/>
          <w:rtl/>
        </w:rPr>
        <w:t>במבנה אשראי הכולל התניות שיאפשרו לבנק לפעול בעת כשל ובגיבוי ביטחונות נאותים.</w:t>
      </w:r>
    </w:p>
    <w:p w:rsidR="00C71A94" w:rsidRPr="0065445F" w:rsidRDefault="00C71A94" w:rsidP="00C71A94">
      <w:pPr>
        <w:tabs>
          <w:tab w:val="clear" w:pos="567"/>
          <w:tab w:val="clear" w:pos="1134"/>
          <w:tab w:val="num" w:pos="562"/>
        </w:tabs>
        <w:outlineLvl w:val="0"/>
        <w:rPr>
          <w:rFonts w:hint="cs"/>
          <w:color w:val="000000"/>
          <w:sz w:val="14"/>
          <w:szCs w:val="14"/>
          <w:rtl/>
        </w:rPr>
      </w:pPr>
    </w:p>
    <w:p w:rsidR="00BF720B" w:rsidRPr="00863726" w:rsidRDefault="0090711A" w:rsidP="005F79F0">
      <w:pPr>
        <w:tabs>
          <w:tab w:val="clear" w:pos="567"/>
          <w:tab w:val="clear" w:pos="1134"/>
          <w:tab w:val="num" w:pos="562"/>
        </w:tabs>
        <w:outlineLvl w:val="0"/>
        <w:rPr>
          <w:rFonts w:hint="cs"/>
          <w:b/>
          <w:bCs/>
          <w:color w:val="00B0F0"/>
          <w:rtl/>
        </w:rPr>
      </w:pPr>
      <w:r>
        <w:rPr>
          <w:rFonts w:hint="cs"/>
          <w:b/>
          <w:bCs/>
          <w:color w:val="00B0F0"/>
          <w:rtl/>
        </w:rPr>
        <w:t xml:space="preserve">באילו צעדים </w:t>
      </w:r>
      <w:r w:rsidR="00C71A94">
        <w:rPr>
          <w:rFonts w:hint="cs"/>
          <w:b/>
          <w:bCs/>
          <w:color w:val="00B0F0"/>
          <w:rtl/>
        </w:rPr>
        <w:t xml:space="preserve">קונקרטיים </w:t>
      </w:r>
      <w:r>
        <w:rPr>
          <w:rFonts w:hint="cs"/>
          <w:b/>
          <w:bCs/>
          <w:color w:val="00B0F0"/>
          <w:rtl/>
        </w:rPr>
        <w:t xml:space="preserve">נקט הפיקוח </w:t>
      </w:r>
      <w:r w:rsidR="00F45DC3">
        <w:rPr>
          <w:rFonts w:hint="cs"/>
          <w:b/>
          <w:bCs/>
          <w:color w:val="00B0F0"/>
          <w:rtl/>
        </w:rPr>
        <w:t xml:space="preserve">מול המערכת הבנקאית </w:t>
      </w:r>
      <w:r>
        <w:rPr>
          <w:rFonts w:hint="cs"/>
          <w:b/>
          <w:bCs/>
          <w:color w:val="00B0F0"/>
          <w:rtl/>
        </w:rPr>
        <w:t>על מנת</w:t>
      </w:r>
      <w:r w:rsidR="001D3FED" w:rsidRPr="00863726">
        <w:rPr>
          <w:rFonts w:hint="cs"/>
          <w:b/>
          <w:bCs/>
          <w:color w:val="00B0F0"/>
          <w:rtl/>
        </w:rPr>
        <w:t xml:space="preserve"> למנוע הפסדים</w:t>
      </w:r>
      <w:r w:rsidR="000D1047" w:rsidRPr="00863726">
        <w:rPr>
          <w:rFonts w:hint="cs"/>
          <w:b/>
          <w:bCs/>
          <w:color w:val="00B0F0"/>
          <w:rtl/>
        </w:rPr>
        <w:t xml:space="preserve"> דומים בעתיד</w:t>
      </w:r>
      <w:r w:rsidR="00BF720B" w:rsidRPr="00863726">
        <w:rPr>
          <w:rFonts w:hint="cs"/>
          <w:b/>
          <w:bCs/>
          <w:color w:val="00B0F0"/>
          <w:rtl/>
        </w:rPr>
        <w:t>?</w:t>
      </w:r>
    </w:p>
    <w:p w:rsidR="00F45DC3" w:rsidRPr="00863726" w:rsidRDefault="00F45DC3" w:rsidP="001C122A">
      <w:pPr>
        <w:tabs>
          <w:tab w:val="clear" w:pos="567"/>
          <w:tab w:val="clear" w:pos="1134"/>
        </w:tabs>
        <w:outlineLvl w:val="0"/>
        <w:rPr>
          <w:rFonts w:hint="cs"/>
          <w:b/>
          <w:bCs/>
          <w:kern w:val="28"/>
          <w:sz w:val="22"/>
          <w:rtl/>
        </w:rPr>
      </w:pPr>
      <w:r>
        <w:rPr>
          <w:rFonts w:hint="cs"/>
          <w:b/>
          <w:bCs/>
          <w:kern w:val="28"/>
          <w:sz w:val="22"/>
          <w:rtl/>
        </w:rPr>
        <w:t>תהליכי ניהול הסיכונים כיום שונים</w:t>
      </w:r>
      <w:r w:rsidRPr="00863726">
        <w:rPr>
          <w:rFonts w:hint="cs"/>
          <w:b/>
          <w:bCs/>
          <w:kern w:val="28"/>
          <w:sz w:val="22"/>
          <w:rtl/>
        </w:rPr>
        <w:t xml:space="preserve"> מאוד</w:t>
      </w:r>
      <w:r w:rsidR="00ED7A7D">
        <w:rPr>
          <w:rFonts w:hint="cs"/>
          <w:b/>
          <w:bCs/>
          <w:kern w:val="28"/>
          <w:sz w:val="22"/>
          <w:rtl/>
        </w:rPr>
        <w:t xml:space="preserve"> מבעבר</w:t>
      </w:r>
      <w:r w:rsidRPr="00863726">
        <w:rPr>
          <w:rFonts w:hint="cs"/>
          <w:b/>
          <w:bCs/>
          <w:kern w:val="28"/>
          <w:sz w:val="22"/>
          <w:rtl/>
        </w:rPr>
        <w:t>. נפרט מספר צעדים מרכזיים ש</w:t>
      </w:r>
      <w:r w:rsidR="001C122A">
        <w:rPr>
          <w:rFonts w:hint="cs"/>
          <w:b/>
          <w:bCs/>
          <w:kern w:val="28"/>
          <w:sz w:val="22"/>
          <w:rtl/>
        </w:rPr>
        <w:t xml:space="preserve">בהם </w:t>
      </w:r>
      <w:r w:rsidRPr="00863726">
        <w:rPr>
          <w:rFonts w:hint="cs"/>
          <w:b/>
          <w:bCs/>
          <w:kern w:val="28"/>
          <w:sz w:val="22"/>
          <w:rtl/>
        </w:rPr>
        <w:t xml:space="preserve">נקט הפיקוח </w:t>
      </w:r>
      <w:r w:rsidR="001C122A">
        <w:rPr>
          <w:rFonts w:hint="cs"/>
          <w:b/>
          <w:bCs/>
          <w:kern w:val="28"/>
          <w:sz w:val="22"/>
          <w:rtl/>
        </w:rPr>
        <w:t xml:space="preserve">משנת </w:t>
      </w:r>
      <w:r w:rsidRPr="00863726">
        <w:rPr>
          <w:rFonts w:hint="cs"/>
          <w:b/>
          <w:bCs/>
          <w:kern w:val="28"/>
          <w:sz w:val="22"/>
          <w:rtl/>
        </w:rPr>
        <w:t>2008 ועד היום:</w:t>
      </w:r>
    </w:p>
    <w:p w:rsidR="00607C09" w:rsidRDefault="00607C09" w:rsidP="00F45DC3">
      <w:pPr>
        <w:numPr>
          <w:ilvl w:val="2"/>
          <w:numId w:val="1"/>
        </w:numPr>
        <w:tabs>
          <w:tab w:val="clear" w:pos="567"/>
          <w:tab w:val="clear" w:pos="1134"/>
          <w:tab w:val="clear" w:pos="1814"/>
          <w:tab w:val="clear" w:pos="2665"/>
        </w:tabs>
        <w:ind w:left="587" w:hanging="450"/>
        <w:outlineLvl w:val="1"/>
        <w:rPr>
          <w:rFonts w:hint="cs"/>
        </w:rPr>
      </w:pPr>
      <w:r w:rsidRPr="00937020">
        <w:rPr>
          <w:rFonts w:hint="cs"/>
          <w:u w:val="single"/>
          <w:rtl/>
        </w:rPr>
        <w:t>החמרה מהותית של המגבלות החלות על חשיפות הבנקים ללווים הגדולים</w:t>
      </w:r>
      <w:r w:rsidRPr="00692ADE">
        <w:rPr>
          <w:rFonts w:hint="cs"/>
          <w:rtl/>
        </w:rPr>
        <w:t xml:space="preserve"> </w:t>
      </w:r>
      <w:r w:rsidRPr="00692ADE">
        <w:rPr>
          <w:rtl/>
        </w:rPr>
        <w:t>–</w:t>
      </w:r>
      <w:r w:rsidRPr="00692ADE">
        <w:rPr>
          <w:rFonts w:hint="cs"/>
          <w:rtl/>
        </w:rPr>
        <w:t xml:space="preserve"> מהלך זה הוביל לצמצום האשראי ללווים גדולים, ובפרט לחברות </w:t>
      </w:r>
      <w:r w:rsidR="00F45DC3">
        <w:rPr>
          <w:rFonts w:hint="cs"/>
          <w:rtl/>
        </w:rPr>
        <w:t xml:space="preserve">ההחזקה </w:t>
      </w:r>
      <w:r w:rsidRPr="00692ADE">
        <w:rPr>
          <w:rFonts w:hint="cs"/>
          <w:rtl/>
        </w:rPr>
        <w:t>הממונפות</w:t>
      </w:r>
      <w:r w:rsidR="00F45DC3">
        <w:rPr>
          <w:rFonts w:hint="cs"/>
          <w:rtl/>
        </w:rPr>
        <w:t>,</w:t>
      </w:r>
      <w:r w:rsidRPr="00692ADE">
        <w:rPr>
          <w:rFonts w:hint="cs"/>
          <w:rtl/>
        </w:rPr>
        <w:t xml:space="preserve"> ולשינוי תמהיל תיק האשראי לתיק מבוזר יותר.</w:t>
      </w:r>
    </w:p>
    <w:p w:rsidR="00607C09" w:rsidRPr="003600E5" w:rsidRDefault="00607C09" w:rsidP="00607C09">
      <w:pPr>
        <w:tabs>
          <w:tab w:val="clear" w:pos="567"/>
          <w:tab w:val="clear" w:pos="1134"/>
          <w:tab w:val="clear" w:pos="1814"/>
          <w:tab w:val="clear" w:pos="2665"/>
        </w:tabs>
        <w:spacing w:after="240" w:line="240" w:lineRule="auto"/>
        <w:ind w:left="587"/>
        <w:outlineLvl w:val="1"/>
        <w:rPr>
          <w:rFonts w:hint="cs"/>
          <w:rtl/>
        </w:rPr>
      </w:pPr>
      <w:r w:rsidRPr="003600E5">
        <w:rPr>
          <w:rFonts w:eastAsia="Calibri" w:hint="cs"/>
          <w:b/>
          <w:bCs/>
          <w:i/>
          <w:iCs/>
          <w:kern w:val="28"/>
          <w:sz w:val="20"/>
          <w:szCs w:val="20"/>
          <w:rtl/>
        </w:rPr>
        <w:t>הוראת ניהול בנקאי תקין מס' 313 בדבר "מגבלות על חבות של לווה ושל קבוצת לווים"</w:t>
      </w:r>
      <w:r w:rsidRPr="00CA6F3C">
        <w:rPr>
          <w:rFonts w:hint="cs"/>
          <w:rtl/>
        </w:rPr>
        <w:t xml:space="preserve"> </w:t>
      </w:r>
      <w:r>
        <w:rPr>
          <w:rtl/>
        </w:rPr>
        <w:t>–</w:t>
      </w:r>
      <w:r w:rsidRPr="00CA6F3C">
        <w:rPr>
          <w:rFonts w:hint="cs"/>
          <w:rtl/>
        </w:rPr>
        <w:t xml:space="preserve"> </w:t>
      </w:r>
      <w:r w:rsidRPr="003600E5">
        <w:rPr>
          <w:rFonts w:hint="cs"/>
          <w:b/>
          <w:bCs/>
          <w:i/>
          <w:iCs/>
          <w:kern w:val="28"/>
          <w:sz w:val="20"/>
          <w:szCs w:val="20"/>
          <w:rtl/>
        </w:rPr>
        <w:t>עדכון</w:t>
      </w:r>
      <w:r>
        <w:rPr>
          <w:rFonts w:hint="cs"/>
          <w:rtl/>
        </w:rPr>
        <w:t xml:space="preserve"> </w:t>
      </w:r>
      <w:r w:rsidRPr="00CA6F3C">
        <w:rPr>
          <w:rFonts w:hint="cs"/>
          <w:b/>
          <w:bCs/>
          <w:i/>
          <w:iCs/>
          <w:kern w:val="28"/>
          <w:sz w:val="20"/>
          <w:szCs w:val="20"/>
          <w:rtl/>
        </w:rPr>
        <w:t xml:space="preserve">הופץ במהלך 2011 </w:t>
      </w:r>
      <w:r w:rsidRPr="003600E5">
        <w:rPr>
          <w:rFonts w:eastAsia="Calibri" w:hint="cs"/>
          <w:b/>
          <w:bCs/>
          <w:i/>
          <w:iCs/>
          <w:kern w:val="28"/>
          <w:sz w:val="20"/>
          <w:szCs w:val="20"/>
          <w:rtl/>
        </w:rPr>
        <w:t>ונכנס לתוקף ב - 31.12.2011</w:t>
      </w:r>
      <w:r>
        <w:rPr>
          <w:rFonts w:eastAsia="Calibri" w:hint="cs"/>
          <w:b/>
          <w:bCs/>
          <w:i/>
          <w:iCs/>
          <w:kern w:val="28"/>
          <w:sz w:val="20"/>
          <w:szCs w:val="20"/>
          <w:rtl/>
        </w:rPr>
        <w:t>;</w:t>
      </w:r>
      <w:r w:rsidRPr="003600E5">
        <w:rPr>
          <w:rFonts w:eastAsia="Calibri" w:hint="cs"/>
          <w:b/>
          <w:bCs/>
          <w:i/>
          <w:iCs/>
          <w:kern w:val="28"/>
          <w:sz w:val="20"/>
          <w:szCs w:val="20"/>
          <w:rtl/>
        </w:rPr>
        <w:t xml:space="preserve"> הורא</w:t>
      </w:r>
      <w:r>
        <w:rPr>
          <w:rFonts w:eastAsia="Calibri" w:hint="cs"/>
          <w:b/>
          <w:bCs/>
          <w:i/>
          <w:iCs/>
          <w:kern w:val="28"/>
          <w:sz w:val="20"/>
          <w:szCs w:val="20"/>
          <w:rtl/>
        </w:rPr>
        <w:t xml:space="preserve">ת ניהול בנקאי תקין </w:t>
      </w:r>
      <w:r w:rsidRPr="003600E5">
        <w:rPr>
          <w:rFonts w:eastAsia="Calibri" w:hint="cs"/>
          <w:b/>
          <w:bCs/>
          <w:i/>
          <w:iCs/>
          <w:kern w:val="28"/>
          <w:sz w:val="20"/>
          <w:szCs w:val="20"/>
          <w:rtl/>
        </w:rPr>
        <w:t xml:space="preserve">מס' 323 בדבר "מגבלות על מימון עסקאות הוניות" </w:t>
      </w:r>
      <w:r w:rsidRPr="003600E5">
        <w:rPr>
          <w:rtl/>
        </w:rPr>
        <w:t>–</w:t>
      </w:r>
      <w:r w:rsidRPr="003600E5">
        <w:rPr>
          <w:rFonts w:hint="cs"/>
          <w:rtl/>
        </w:rPr>
        <w:t xml:space="preserve"> </w:t>
      </w:r>
      <w:r>
        <w:rPr>
          <w:rFonts w:eastAsia="Calibri" w:hint="cs"/>
          <w:b/>
          <w:bCs/>
          <w:i/>
          <w:iCs/>
          <w:kern w:val="28"/>
          <w:sz w:val="20"/>
          <w:szCs w:val="20"/>
          <w:rtl/>
        </w:rPr>
        <w:t xml:space="preserve"> עדכון הופץ </w:t>
      </w:r>
      <w:r w:rsidRPr="00CA6F3C">
        <w:rPr>
          <w:rFonts w:eastAsia="Calibri" w:hint="cs"/>
          <w:b/>
          <w:bCs/>
          <w:i/>
          <w:iCs/>
          <w:kern w:val="28"/>
          <w:sz w:val="20"/>
          <w:szCs w:val="20"/>
          <w:rtl/>
        </w:rPr>
        <w:t xml:space="preserve">ב- 28.4.15 ונכנס לתוקף ב </w:t>
      </w:r>
      <w:r w:rsidRPr="00105385">
        <w:rPr>
          <w:rFonts w:eastAsia="Calibri"/>
          <w:b/>
          <w:bCs/>
          <w:i/>
          <w:iCs/>
          <w:kern w:val="28"/>
          <w:sz w:val="20"/>
          <w:szCs w:val="20"/>
          <w:rtl/>
        </w:rPr>
        <w:t>–</w:t>
      </w:r>
      <w:r w:rsidRPr="00105385">
        <w:rPr>
          <w:rFonts w:eastAsia="Calibri" w:hint="cs"/>
          <w:b/>
          <w:bCs/>
          <w:i/>
          <w:iCs/>
          <w:kern w:val="28"/>
          <w:sz w:val="20"/>
          <w:szCs w:val="20"/>
          <w:rtl/>
        </w:rPr>
        <w:t xml:space="preserve"> 1.1.16</w:t>
      </w:r>
      <w:r>
        <w:rPr>
          <w:rFonts w:hint="cs"/>
          <w:rtl/>
        </w:rPr>
        <w:t>.</w:t>
      </w:r>
    </w:p>
    <w:p w:rsidR="00607C09" w:rsidRPr="00105385" w:rsidRDefault="00607C09" w:rsidP="00607C09">
      <w:pPr>
        <w:numPr>
          <w:ilvl w:val="2"/>
          <w:numId w:val="1"/>
        </w:numPr>
        <w:tabs>
          <w:tab w:val="clear" w:pos="567"/>
          <w:tab w:val="clear" w:pos="1134"/>
          <w:tab w:val="clear" w:pos="1814"/>
          <w:tab w:val="clear" w:pos="2665"/>
        </w:tabs>
        <w:ind w:left="587" w:hanging="450"/>
        <w:outlineLvl w:val="1"/>
        <w:rPr>
          <w:rFonts w:hint="cs"/>
        </w:rPr>
      </w:pPr>
      <w:r w:rsidRPr="00CA6F3C">
        <w:rPr>
          <w:rFonts w:hint="cs"/>
          <w:u w:val="single"/>
          <w:rtl/>
        </w:rPr>
        <w:t>מגבלות והגדרת סטנדרטים לחיזוק תהליכים בניהול הלוואות ממונפות</w:t>
      </w:r>
      <w:r w:rsidRPr="00CA6F3C">
        <w:rPr>
          <w:rFonts w:hint="cs"/>
          <w:rtl/>
        </w:rPr>
        <w:t xml:space="preserve"> - חודדו סטנדרטים לניהול הלוואות ממונפות ובכלל זה התמקדות ביכולת הפירעון של הלווה, תוך הסתמכות מוגבלת על שווי חברה ועל תמיכתו של בעל השליטה. מהלכים אלו הובילו להגדלת ד</w:t>
      </w:r>
      <w:r w:rsidRPr="00105385">
        <w:rPr>
          <w:rFonts w:hint="cs"/>
          <w:rtl/>
        </w:rPr>
        <w:t>רישת הערבויות וביטחונות מבעלי השליטה ולחיזוק מבנה האשראי ואמות המידה הפיננסיות.</w:t>
      </w:r>
    </w:p>
    <w:p w:rsidR="00607C09" w:rsidRDefault="00C71A94" w:rsidP="00AD5B82">
      <w:pPr>
        <w:tabs>
          <w:tab w:val="clear" w:pos="567"/>
          <w:tab w:val="clear" w:pos="1134"/>
          <w:tab w:val="clear" w:pos="1814"/>
          <w:tab w:val="clear" w:pos="2665"/>
        </w:tabs>
        <w:spacing w:after="240" w:line="240" w:lineRule="auto"/>
        <w:ind w:left="587"/>
        <w:outlineLvl w:val="1"/>
        <w:rPr>
          <w:rFonts w:eastAsia="Calibri" w:hint="cs"/>
          <w:b/>
          <w:bCs/>
          <w:i/>
          <w:iCs/>
          <w:kern w:val="28"/>
          <w:sz w:val="20"/>
          <w:szCs w:val="20"/>
          <w:rtl/>
        </w:rPr>
      </w:pPr>
      <w:r>
        <w:rPr>
          <w:rFonts w:eastAsia="Calibri" w:hint="cs"/>
          <w:b/>
          <w:bCs/>
          <w:i/>
          <w:iCs/>
          <w:kern w:val="28"/>
          <w:sz w:val="20"/>
          <w:szCs w:val="20"/>
          <w:rtl/>
        </w:rPr>
        <w:t>מכתב</w:t>
      </w:r>
      <w:r w:rsidR="00AD5B82">
        <w:rPr>
          <w:rFonts w:eastAsia="Calibri" w:hint="cs"/>
          <w:b/>
          <w:bCs/>
          <w:i/>
          <w:iCs/>
          <w:kern w:val="28"/>
          <w:sz w:val="20"/>
          <w:szCs w:val="20"/>
          <w:rtl/>
        </w:rPr>
        <w:t>ים</w:t>
      </w:r>
      <w:r w:rsidR="00814C4D">
        <w:rPr>
          <w:rFonts w:eastAsia="Calibri" w:hint="cs"/>
          <w:b/>
          <w:bCs/>
          <w:i/>
          <w:iCs/>
          <w:kern w:val="28"/>
          <w:sz w:val="20"/>
          <w:szCs w:val="20"/>
          <w:rtl/>
        </w:rPr>
        <w:t xml:space="preserve"> פיקוחיים</w:t>
      </w:r>
      <w:r>
        <w:rPr>
          <w:rFonts w:eastAsia="Calibri" w:hint="cs"/>
          <w:b/>
          <w:bCs/>
          <w:i/>
          <w:iCs/>
          <w:kern w:val="28"/>
          <w:sz w:val="20"/>
          <w:szCs w:val="20"/>
          <w:rtl/>
        </w:rPr>
        <w:t xml:space="preserve"> בנושא</w:t>
      </w:r>
      <w:r w:rsidR="00AD5B82">
        <w:rPr>
          <w:rFonts w:eastAsia="Calibri" w:hint="cs"/>
          <w:b/>
          <w:bCs/>
          <w:i/>
          <w:iCs/>
          <w:kern w:val="28"/>
          <w:sz w:val="20"/>
          <w:szCs w:val="20"/>
          <w:rtl/>
        </w:rPr>
        <w:t xml:space="preserve"> שכללו דרישות למערכת הופצו במהלך 2009 (1.1.2009, 12.10.2009 ו </w:t>
      </w:r>
      <w:r w:rsidR="00AD5B82">
        <w:rPr>
          <w:rFonts w:eastAsia="Calibri"/>
          <w:b/>
          <w:bCs/>
          <w:i/>
          <w:iCs/>
          <w:kern w:val="28"/>
          <w:sz w:val="20"/>
          <w:szCs w:val="20"/>
          <w:rtl/>
        </w:rPr>
        <w:t>–</w:t>
      </w:r>
      <w:r w:rsidR="00AD5B82">
        <w:rPr>
          <w:rFonts w:eastAsia="Calibri" w:hint="cs"/>
          <w:b/>
          <w:bCs/>
          <w:i/>
          <w:iCs/>
          <w:kern w:val="28"/>
          <w:sz w:val="20"/>
          <w:szCs w:val="20"/>
          <w:rtl/>
        </w:rPr>
        <w:t xml:space="preserve"> 10.12.2009); </w:t>
      </w:r>
      <w:r w:rsidR="00607C09" w:rsidRPr="003600E5">
        <w:rPr>
          <w:rFonts w:eastAsia="Calibri" w:hint="cs"/>
          <w:b/>
          <w:bCs/>
          <w:i/>
          <w:iCs/>
          <w:kern w:val="28"/>
          <w:sz w:val="20"/>
          <w:szCs w:val="20"/>
          <w:rtl/>
        </w:rPr>
        <w:t>הוראת ניהול בנקאי תקין מס' 327 בנושא "ניהול הלוואות ממונפות"</w:t>
      </w:r>
      <w:r w:rsidR="00607C09">
        <w:rPr>
          <w:rFonts w:eastAsia="Calibri" w:hint="cs"/>
          <w:b/>
          <w:bCs/>
          <w:i/>
          <w:iCs/>
          <w:kern w:val="28"/>
          <w:sz w:val="20"/>
          <w:szCs w:val="20"/>
          <w:rtl/>
        </w:rPr>
        <w:t xml:space="preserve"> </w:t>
      </w:r>
      <w:r w:rsidR="00607C09" w:rsidRPr="003600E5">
        <w:rPr>
          <w:rFonts w:eastAsia="Calibri" w:hint="cs"/>
          <w:b/>
          <w:bCs/>
          <w:i/>
          <w:iCs/>
          <w:kern w:val="28"/>
          <w:sz w:val="20"/>
          <w:szCs w:val="20"/>
          <w:rtl/>
        </w:rPr>
        <w:t xml:space="preserve">- </w:t>
      </w:r>
      <w:r w:rsidR="00607C09">
        <w:rPr>
          <w:rFonts w:eastAsia="Calibri" w:hint="cs"/>
          <w:b/>
          <w:bCs/>
          <w:i/>
          <w:iCs/>
          <w:kern w:val="28"/>
          <w:sz w:val="20"/>
          <w:szCs w:val="20"/>
          <w:rtl/>
        </w:rPr>
        <w:t xml:space="preserve">הופצה </w:t>
      </w:r>
      <w:r w:rsidR="00607C09" w:rsidRPr="00F0270C">
        <w:rPr>
          <w:rFonts w:eastAsia="Calibri" w:hint="cs"/>
          <w:b/>
          <w:bCs/>
          <w:i/>
          <w:iCs/>
          <w:kern w:val="28"/>
          <w:sz w:val="20"/>
          <w:szCs w:val="20"/>
          <w:rtl/>
        </w:rPr>
        <w:t>ב- 28.4.15 ונכנס</w:t>
      </w:r>
      <w:r w:rsidR="00AD5B82">
        <w:rPr>
          <w:rFonts w:eastAsia="Calibri" w:hint="cs"/>
          <w:b/>
          <w:bCs/>
          <w:i/>
          <w:iCs/>
          <w:kern w:val="28"/>
          <w:sz w:val="20"/>
          <w:szCs w:val="20"/>
          <w:rtl/>
        </w:rPr>
        <w:t>ה</w:t>
      </w:r>
      <w:r w:rsidR="00607C09" w:rsidRPr="00F0270C">
        <w:rPr>
          <w:rFonts w:eastAsia="Calibri" w:hint="cs"/>
          <w:b/>
          <w:bCs/>
          <w:i/>
          <w:iCs/>
          <w:kern w:val="28"/>
          <w:sz w:val="20"/>
          <w:szCs w:val="20"/>
          <w:rtl/>
        </w:rPr>
        <w:t xml:space="preserve"> לתוקף ב </w:t>
      </w:r>
      <w:r w:rsidR="00607C09" w:rsidRPr="00F0270C">
        <w:rPr>
          <w:rFonts w:eastAsia="Calibri"/>
          <w:b/>
          <w:bCs/>
          <w:i/>
          <w:iCs/>
          <w:kern w:val="28"/>
          <w:sz w:val="20"/>
          <w:szCs w:val="20"/>
          <w:rtl/>
        </w:rPr>
        <w:t>–</w:t>
      </w:r>
      <w:r w:rsidR="00607C09" w:rsidRPr="00F0270C">
        <w:rPr>
          <w:rFonts w:eastAsia="Calibri" w:hint="cs"/>
          <w:b/>
          <w:bCs/>
          <w:i/>
          <w:iCs/>
          <w:kern w:val="28"/>
          <w:sz w:val="20"/>
          <w:szCs w:val="20"/>
          <w:rtl/>
        </w:rPr>
        <w:t xml:space="preserve"> 1.1.16</w:t>
      </w:r>
      <w:r w:rsidR="00607C09" w:rsidRPr="003600E5">
        <w:rPr>
          <w:rFonts w:eastAsia="Calibri" w:hint="cs"/>
          <w:b/>
          <w:bCs/>
          <w:i/>
          <w:iCs/>
          <w:kern w:val="28"/>
          <w:sz w:val="20"/>
          <w:szCs w:val="20"/>
          <w:rtl/>
        </w:rPr>
        <w:t>.</w:t>
      </w:r>
    </w:p>
    <w:p w:rsidR="00607C09" w:rsidRDefault="00607C09" w:rsidP="00607C09">
      <w:pPr>
        <w:numPr>
          <w:ilvl w:val="2"/>
          <w:numId w:val="1"/>
        </w:numPr>
        <w:tabs>
          <w:tab w:val="clear" w:pos="567"/>
          <w:tab w:val="clear" w:pos="1134"/>
          <w:tab w:val="clear" w:pos="1814"/>
          <w:tab w:val="clear" w:pos="2665"/>
        </w:tabs>
        <w:ind w:left="587" w:hanging="450"/>
        <w:outlineLvl w:val="1"/>
        <w:rPr>
          <w:rFonts w:hint="cs"/>
        </w:rPr>
      </w:pPr>
      <w:r w:rsidRPr="00937020">
        <w:rPr>
          <w:rFonts w:hint="cs"/>
          <w:u w:val="single"/>
          <w:rtl/>
        </w:rPr>
        <w:t>צמצום מעורבות הדירקטורים באישור עסקות אשראי פרטני</w:t>
      </w:r>
      <w:r>
        <w:rPr>
          <w:rFonts w:hint="cs"/>
          <w:rtl/>
        </w:rPr>
        <w:t xml:space="preserve"> </w:t>
      </w:r>
      <w:r>
        <w:rPr>
          <w:rtl/>
        </w:rPr>
        <w:t>–</w:t>
      </w:r>
      <w:r>
        <w:rPr>
          <w:rFonts w:hint="cs"/>
          <w:rtl/>
        </w:rPr>
        <w:t xml:space="preserve"> מהלך זה הוביל את הדירקטורים להתמקד</w:t>
      </w:r>
      <w:r w:rsidRPr="00692ADE">
        <w:rPr>
          <w:rFonts w:hint="cs"/>
          <w:rtl/>
        </w:rPr>
        <w:t xml:space="preserve"> בבניית מערכים נאותים של בקרה ופיקוח על פעולות הנהלה וסמכויותיה.</w:t>
      </w:r>
    </w:p>
    <w:p w:rsidR="00607C09" w:rsidRPr="003600E5" w:rsidRDefault="00607C09" w:rsidP="008E7DC1">
      <w:pPr>
        <w:tabs>
          <w:tab w:val="clear" w:pos="567"/>
          <w:tab w:val="clear" w:pos="1134"/>
          <w:tab w:val="clear" w:pos="1814"/>
          <w:tab w:val="clear" w:pos="2665"/>
        </w:tabs>
        <w:spacing w:after="160" w:line="240" w:lineRule="auto"/>
        <w:ind w:left="590"/>
        <w:outlineLvl w:val="1"/>
        <w:rPr>
          <w:rFonts w:eastAsia="Calibri" w:hint="cs"/>
          <w:b/>
          <w:bCs/>
          <w:i/>
          <w:iCs/>
          <w:kern w:val="28"/>
          <w:sz w:val="20"/>
          <w:szCs w:val="20"/>
          <w:rtl/>
        </w:rPr>
      </w:pPr>
      <w:r w:rsidRPr="003600E5">
        <w:rPr>
          <w:rFonts w:eastAsia="Calibri" w:hint="cs"/>
          <w:b/>
          <w:bCs/>
          <w:i/>
          <w:iCs/>
          <w:kern w:val="28"/>
          <w:sz w:val="20"/>
          <w:szCs w:val="20"/>
          <w:rtl/>
        </w:rPr>
        <w:t>הורא</w:t>
      </w:r>
      <w:r>
        <w:rPr>
          <w:rFonts w:eastAsia="Calibri" w:hint="cs"/>
          <w:b/>
          <w:bCs/>
          <w:i/>
          <w:iCs/>
          <w:kern w:val="28"/>
          <w:sz w:val="20"/>
          <w:szCs w:val="20"/>
          <w:rtl/>
        </w:rPr>
        <w:t>ת ניהול בנקאי תקין</w:t>
      </w:r>
      <w:r w:rsidRPr="003600E5">
        <w:rPr>
          <w:rFonts w:eastAsia="Calibri" w:hint="cs"/>
          <w:b/>
          <w:bCs/>
          <w:i/>
          <w:iCs/>
          <w:kern w:val="28"/>
          <w:sz w:val="20"/>
          <w:szCs w:val="20"/>
          <w:rtl/>
        </w:rPr>
        <w:t xml:space="preserve"> מס' 301 בנושא "דירקטוריון" - עדכון </w:t>
      </w:r>
      <w:r w:rsidRPr="00CA6F3C">
        <w:rPr>
          <w:rFonts w:eastAsia="Calibri" w:hint="cs"/>
          <w:b/>
          <w:bCs/>
          <w:i/>
          <w:iCs/>
          <w:kern w:val="28"/>
          <w:sz w:val="20"/>
          <w:szCs w:val="20"/>
          <w:rtl/>
        </w:rPr>
        <w:t>הופ</w:t>
      </w:r>
      <w:r>
        <w:rPr>
          <w:rFonts w:eastAsia="Calibri" w:hint="cs"/>
          <w:b/>
          <w:bCs/>
          <w:i/>
          <w:iCs/>
          <w:kern w:val="28"/>
          <w:sz w:val="20"/>
          <w:szCs w:val="20"/>
          <w:rtl/>
        </w:rPr>
        <w:t>ץ</w:t>
      </w:r>
      <w:r w:rsidRPr="00CA6F3C">
        <w:rPr>
          <w:rFonts w:eastAsia="Calibri" w:hint="cs"/>
          <w:b/>
          <w:bCs/>
          <w:i/>
          <w:iCs/>
          <w:kern w:val="28"/>
          <w:sz w:val="20"/>
          <w:szCs w:val="20"/>
          <w:rtl/>
        </w:rPr>
        <w:t xml:space="preserve"> ב - 29.12.10</w:t>
      </w:r>
      <w:r w:rsidR="00AD5B82">
        <w:rPr>
          <w:rFonts w:eastAsia="Calibri" w:hint="cs"/>
          <w:b/>
          <w:bCs/>
          <w:i/>
          <w:iCs/>
          <w:kern w:val="28"/>
          <w:sz w:val="20"/>
          <w:szCs w:val="20"/>
          <w:rtl/>
        </w:rPr>
        <w:t xml:space="preserve">. ההנחיות בתחום האשראי נכנסו </w:t>
      </w:r>
      <w:r w:rsidRPr="00CA6F3C">
        <w:rPr>
          <w:rFonts w:eastAsia="Calibri" w:hint="cs"/>
          <w:b/>
          <w:bCs/>
          <w:i/>
          <w:iCs/>
          <w:kern w:val="28"/>
          <w:sz w:val="20"/>
          <w:szCs w:val="20"/>
          <w:rtl/>
        </w:rPr>
        <w:t xml:space="preserve">לתוקף ב </w:t>
      </w:r>
      <w:r w:rsidRPr="00AD5B82">
        <w:rPr>
          <w:rFonts w:eastAsia="Calibri"/>
          <w:b/>
          <w:bCs/>
          <w:i/>
          <w:iCs/>
          <w:kern w:val="28"/>
          <w:sz w:val="20"/>
          <w:szCs w:val="20"/>
          <w:rtl/>
        </w:rPr>
        <w:t>–</w:t>
      </w:r>
      <w:r w:rsidRPr="00AD5B82">
        <w:rPr>
          <w:rFonts w:eastAsia="Calibri" w:hint="cs"/>
          <w:b/>
          <w:bCs/>
          <w:i/>
          <w:iCs/>
          <w:kern w:val="28"/>
          <w:sz w:val="20"/>
          <w:szCs w:val="20"/>
          <w:rtl/>
        </w:rPr>
        <w:t xml:space="preserve"> 1.7.13.</w:t>
      </w:r>
    </w:p>
    <w:p w:rsidR="00607C09" w:rsidRDefault="00607C09" w:rsidP="00607C09">
      <w:pPr>
        <w:numPr>
          <w:ilvl w:val="2"/>
          <w:numId w:val="1"/>
        </w:numPr>
        <w:tabs>
          <w:tab w:val="clear" w:pos="567"/>
          <w:tab w:val="clear" w:pos="1134"/>
          <w:tab w:val="clear" w:pos="1814"/>
          <w:tab w:val="clear" w:pos="2665"/>
        </w:tabs>
        <w:ind w:left="587" w:hanging="450"/>
        <w:outlineLvl w:val="1"/>
        <w:rPr>
          <w:rFonts w:hint="cs"/>
        </w:rPr>
      </w:pPr>
      <w:r w:rsidRPr="00937020">
        <w:rPr>
          <w:rFonts w:hint="cs"/>
          <w:u w:val="single"/>
          <w:rtl/>
        </w:rPr>
        <w:lastRenderedPageBreak/>
        <w:t>חיזוק תהליכי זיהוי וסיווג חובות בעיתיים והפרשות להפסדי אשראי</w:t>
      </w:r>
      <w:r w:rsidRPr="00692ADE">
        <w:rPr>
          <w:rFonts w:hint="cs"/>
          <w:rtl/>
        </w:rPr>
        <w:t xml:space="preserve"> - באמצעות התאמת מתכונת העבודה והדיווח לכללים </w:t>
      </w:r>
      <w:r>
        <w:rPr>
          <w:rFonts w:hint="cs"/>
          <w:rtl/>
        </w:rPr>
        <w:t xml:space="preserve">המחמירים </w:t>
      </w:r>
      <w:r w:rsidRPr="00692ADE">
        <w:rPr>
          <w:rFonts w:hint="cs"/>
          <w:rtl/>
        </w:rPr>
        <w:t xml:space="preserve">הנהוגים בבנקים מובילים בארה"ב. </w:t>
      </w:r>
      <w:r>
        <w:rPr>
          <w:rFonts w:hint="cs"/>
          <w:rtl/>
        </w:rPr>
        <w:t>מהלך זה הוביל לשיפור תהליכי הסיווג וההפרשה להפסדי אשראי, להצפה מהירה יותר של הפסדים ולהקדמת הטיפול בחובות בעיתיים.</w:t>
      </w:r>
    </w:p>
    <w:p w:rsidR="00607C09" w:rsidRPr="003600E5" w:rsidRDefault="00607C09" w:rsidP="008E7DC1">
      <w:pPr>
        <w:tabs>
          <w:tab w:val="clear" w:pos="567"/>
          <w:tab w:val="clear" w:pos="1134"/>
          <w:tab w:val="clear" w:pos="1814"/>
          <w:tab w:val="clear" w:pos="2665"/>
        </w:tabs>
        <w:spacing w:after="160" w:line="240" w:lineRule="auto"/>
        <w:ind w:left="590"/>
        <w:outlineLvl w:val="1"/>
        <w:rPr>
          <w:rFonts w:eastAsia="Calibri" w:hint="cs"/>
          <w:b/>
          <w:bCs/>
          <w:i/>
          <w:iCs/>
          <w:kern w:val="28"/>
          <w:sz w:val="20"/>
          <w:szCs w:val="20"/>
        </w:rPr>
      </w:pPr>
      <w:r w:rsidRPr="003600E5">
        <w:rPr>
          <w:rFonts w:eastAsia="Calibri" w:hint="cs"/>
          <w:b/>
          <w:bCs/>
          <w:i/>
          <w:iCs/>
          <w:kern w:val="28"/>
          <w:sz w:val="20"/>
          <w:szCs w:val="20"/>
          <w:rtl/>
        </w:rPr>
        <w:t>הורא</w:t>
      </w:r>
      <w:r>
        <w:rPr>
          <w:rFonts w:eastAsia="Calibri" w:hint="cs"/>
          <w:b/>
          <w:bCs/>
          <w:i/>
          <w:iCs/>
          <w:kern w:val="28"/>
          <w:sz w:val="20"/>
          <w:szCs w:val="20"/>
          <w:rtl/>
        </w:rPr>
        <w:t>ת דיווח לציבור</w:t>
      </w:r>
      <w:r w:rsidRPr="003600E5">
        <w:rPr>
          <w:rFonts w:eastAsia="Calibri" w:hint="cs"/>
          <w:b/>
          <w:bCs/>
          <w:i/>
          <w:iCs/>
          <w:kern w:val="28"/>
          <w:sz w:val="20"/>
          <w:szCs w:val="20"/>
          <w:rtl/>
        </w:rPr>
        <w:t xml:space="preserve"> בדבר "מדידה וגילוי של חובות פגומים, סיכון אשראי והפרשה להפסדי אשראי" </w:t>
      </w:r>
      <w:r>
        <w:rPr>
          <w:rFonts w:eastAsia="Calibri" w:hint="cs"/>
          <w:b/>
          <w:bCs/>
          <w:i/>
          <w:iCs/>
          <w:kern w:val="28"/>
          <w:sz w:val="20"/>
          <w:szCs w:val="20"/>
          <w:rtl/>
        </w:rPr>
        <w:t xml:space="preserve">- </w:t>
      </w:r>
      <w:r w:rsidRPr="00CA6F3C">
        <w:rPr>
          <w:rFonts w:eastAsia="Calibri" w:hint="cs"/>
          <w:b/>
          <w:bCs/>
          <w:i/>
          <w:iCs/>
          <w:kern w:val="28"/>
          <w:sz w:val="20"/>
          <w:szCs w:val="20"/>
          <w:rtl/>
        </w:rPr>
        <w:t>הופ</w:t>
      </w:r>
      <w:r>
        <w:rPr>
          <w:rFonts w:eastAsia="Calibri" w:hint="cs"/>
          <w:b/>
          <w:bCs/>
          <w:i/>
          <w:iCs/>
          <w:kern w:val="28"/>
          <w:sz w:val="20"/>
          <w:szCs w:val="20"/>
          <w:rtl/>
        </w:rPr>
        <w:t xml:space="preserve">צה </w:t>
      </w:r>
      <w:r w:rsidRPr="003600E5">
        <w:rPr>
          <w:rFonts w:eastAsia="Calibri" w:hint="cs"/>
          <w:b/>
          <w:bCs/>
          <w:i/>
          <w:iCs/>
          <w:kern w:val="28"/>
          <w:sz w:val="20"/>
          <w:szCs w:val="20"/>
          <w:rtl/>
        </w:rPr>
        <w:t>ב</w:t>
      </w:r>
      <w:r>
        <w:rPr>
          <w:rFonts w:eastAsia="Calibri" w:hint="cs"/>
          <w:b/>
          <w:bCs/>
          <w:i/>
          <w:iCs/>
          <w:kern w:val="28"/>
          <w:sz w:val="20"/>
          <w:szCs w:val="20"/>
          <w:rtl/>
        </w:rPr>
        <w:t xml:space="preserve"> </w:t>
      </w:r>
      <w:r w:rsidRPr="003600E5">
        <w:rPr>
          <w:rFonts w:eastAsia="Calibri"/>
          <w:b/>
          <w:bCs/>
          <w:i/>
          <w:iCs/>
          <w:kern w:val="28"/>
          <w:sz w:val="20"/>
          <w:szCs w:val="20"/>
          <w:rtl/>
        </w:rPr>
        <w:t>–</w:t>
      </w:r>
      <w:r w:rsidRPr="003600E5">
        <w:rPr>
          <w:rFonts w:eastAsia="Calibri" w:hint="cs"/>
          <w:b/>
          <w:bCs/>
          <w:i/>
          <w:iCs/>
          <w:kern w:val="28"/>
          <w:sz w:val="20"/>
          <w:szCs w:val="20"/>
          <w:rtl/>
        </w:rPr>
        <w:t xml:space="preserve"> 1.12.2007 </w:t>
      </w:r>
      <w:r>
        <w:rPr>
          <w:rFonts w:eastAsia="Calibri" w:hint="cs"/>
          <w:b/>
          <w:bCs/>
          <w:i/>
          <w:iCs/>
          <w:kern w:val="28"/>
          <w:sz w:val="20"/>
          <w:szCs w:val="20"/>
          <w:rtl/>
        </w:rPr>
        <w:t>ל</w:t>
      </w:r>
      <w:r w:rsidRPr="003600E5">
        <w:rPr>
          <w:rFonts w:eastAsia="Calibri" w:hint="cs"/>
          <w:b/>
          <w:bCs/>
          <w:i/>
          <w:iCs/>
          <w:kern w:val="28"/>
          <w:sz w:val="20"/>
          <w:szCs w:val="20"/>
          <w:rtl/>
        </w:rPr>
        <w:t xml:space="preserve">יישום ב </w:t>
      </w:r>
      <w:r w:rsidRPr="003600E5">
        <w:rPr>
          <w:rFonts w:eastAsia="Calibri"/>
          <w:b/>
          <w:bCs/>
          <w:i/>
          <w:iCs/>
          <w:kern w:val="28"/>
          <w:sz w:val="20"/>
          <w:szCs w:val="20"/>
          <w:rtl/>
        </w:rPr>
        <w:t>–</w:t>
      </w:r>
      <w:r w:rsidRPr="003600E5">
        <w:rPr>
          <w:rFonts w:eastAsia="Calibri" w:hint="cs"/>
          <w:b/>
          <w:bCs/>
          <w:i/>
          <w:iCs/>
          <w:kern w:val="28"/>
          <w:sz w:val="20"/>
          <w:szCs w:val="20"/>
          <w:rtl/>
        </w:rPr>
        <w:t xml:space="preserve"> 1.1.11</w:t>
      </w:r>
      <w:r>
        <w:rPr>
          <w:rFonts w:eastAsia="Calibri" w:hint="cs"/>
          <w:b/>
          <w:bCs/>
          <w:i/>
          <w:iCs/>
          <w:kern w:val="28"/>
          <w:sz w:val="20"/>
          <w:szCs w:val="20"/>
          <w:rtl/>
        </w:rPr>
        <w:t>.</w:t>
      </w:r>
    </w:p>
    <w:p w:rsidR="00607C09" w:rsidRDefault="00607C09" w:rsidP="00607C09">
      <w:pPr>
        <w:numPr>
          <w:ilvl w:val="2"/>
          <w:numId w:val="1"/>
        </w:numPr>
        <w:tabs>
          <w:tab w:val="clear" w:pos="567"/>
          <w:tab w:val="clear" w:pos="1134"/>
          <w:tab w:val="clear" w:pos="1814"/>
          <w:tab w:val="clear" w:pos="2665"/>
        </w:tabs>
        <w:ind w:left="587" w:hanging="450"/>
        <w:outlineLvl w:val="1"/>
        <w:rPr>
          <w:rFonts w:hint="cs"/>
        </w:rPr>
      </w:pPr>
      <w:r w:rsidRPr="00937020">
        <w:rPr>
          <w:rFonts w:hint="cs"/>
          <w:u w:val="single"/>
          <w:rtl/>
        </w:rPr>
        <w:t>הקמת פונקציי</w:t>
      </w:r>
      <w:r w:rsidRPr="00937020">
        <w:rPr>
          <w:rFonts w:hint="eastAsia"/>
          <w:u w:val="single"/>
          <w:rtl/>
        </w:rPr>
        <w:t>ת</w:t>
      </w:r>
      <w:r w:rsidRPr="00937020">
        <w:rPr>
          <w:rFonts w:hint="cs"/>
          <w:u w:val="single"/>
          <w:rtl/>
        </w:rPr>
        <w:t xml:space="preserve"> ניהול סיכונים </w:t>
      </w:r>
      <w:r>
        <w:rPr>
          <w:rFonts w:hint="cs"/>
          <w:u w:val="single"/>
          <w:rtl/>
        </w:rPr>
        <w:t>בכל בנק, שאיננה</w:t>
      </w:r>
      <w:r w:rsidRPr="00937020">
        <w:rPr>
          <w:rFonts w:hint="cs"/>
          <w:u w:val="single"/>
          <w:rtl/>
        </w:rPr>
        <w:t xml:space="preserve"> </w:t>
      </w:r>
      <w:r w:rsidRPr="008A0CB4">
        <w:rPr>
          <w:rFonts w:hint="cs"/>
          <w:u w:val="single"/>
          <w:rtl/>
        </w:rPr>
        <w:t>תלויה ב</w:t>
      </w:r>
      <w:r w:rsidRPr="00766845">
        <w:rPr>
          <w:rFonts w:hint="cs"/>
          <w:u w:val="single"/>
          <w:rtl/>
        </w:rPr>
        <w:t>צד העסקי</w:t>
      </w:r>
      <w:r w:rsidRPr="00692ADE">
        <w:rPr>
          <w:rFonts w:hint="cs"/>
          <w:b/>
          <w:bCs/>
          <w:rtl/>
        </w:rPr>
        <w:t xml:space="preserve"> - </w:t>
      </w:r>
      <w:r w:rsidRPr="00CD4396">
        <w:rPr>
          <w:rFonts w:hint="cs"/>
          <w:rtl/>
        </w:rPr>
        <w:t>פונקציה זו אחראית לאתגר באופן מקצועי את החלטות הגורמים העסקיים</w:t>
      </w:r>
      <w:r>
        <w:rPr>
          <w:rFonts w:hint="cs"/>
          <w:rtl/>
        </w:rPr>
        <w:t>, גם טרם העמדת האשראי</w:t>
      </w:r>
      <w:r w:rsidRPr="00CD4396">
        <w:rPr>
          <w:rFonts w:hint="cs"/>
          <w:rtl/>
        </w:rPr>
        <w:t>. מהלך זה הוביל</w:t>
      </w:r>
      <w:r w:rsidRPr="00692ADE">
        <w:rPr>
          <w:rFonts w:hint="cs"/>
          <w:b/>
          <w:bCs/>
          <w:rtl/>
        </w:rPr>
        <w:t xml:space="preserve"> </w:t>
      </w:r>
      <w:r w:rsidRPr="00CD4396">
        <w:rPr>
          <w:rFonts w:hint="cs"/>
          <w:rtl/>
        </w:rPr>
        <w:t>לכך שההערכות האופטימיות של הגורמים העסקיים מתוקפות כיום ע</w:t>
      </w:r>
      <w:r>
        <w:rPr>
          <w:rFonts w:hint="cs"/>
          <w:rtl/>
        </w:rPr>
        <w:t>ל-ידי</w:t>
      </w:r>
      <w:r w:rsidRPr="00CD4396">
        <w:rPr>
          <w:rFonts w:hint="cs"/>
          <w:rtl/>
        </w:rPr>
        <w:t xml:space="preserve"> גורם בקרה בלתי תלוי.</w:t>
      </w:r>
    </w:p>
    <w:p w:rsidR="00607C09" w:rsidRPr="003600E5" w:rsidRDefault="00AD5B82" w:rsidP="008E7DC1">
      <w:pPr>
        <w:tabs>
          <w:tab w:val="clear" w:pos="567"/>
          <w:tab w:val="clear" w:pos="1134"/>
          <w:tab w:val="clear" w:pos="1814"/>
          <w:tab w:val="clear" w:pos="2665"/>
        </w:tabs>
        <w:spacing w:after="160" w:line="240" w:lineRule="auto"/>
        <w:ind w:left="590"/>
        <w:outlineLvl w:val="1"/>
        <w:rPr>
          <w:rFonts w:eastAsia="Calibri" w:hint="cs"/>
          <w:b/>
          <w:bCs/>
          <w:i/>
          <w:iCs/>
          <w:kern w:val="28"/>
          <w:sz w:val="20"/>
          <w:szCs w:val="20"/>
        </w:rPr>
      </w:pPr>
      <w:r>
        <w:rPr>
          <w:rFonts w:eastAsia="Calibri" w:hint="cs"/>
          <w:b/>
          <w:bCs/>
          <w:i/>
          <w:iCs/>
          <w:kern w:val="28"/>
          <w:sz w:val="20"/>
          <w:szCs w:val="20"/>
          <w:rtl/>
        </w:rPr>
        <w:t xml:space="preserve">מכתב </w:t>
      </w:r>
      <w:r w:rsidR="00814C4D">
        <w:rPr>
          <w:rFonts w:eastAsia="Calibri" w:hint="cs"/>
          <w:b/>
          <w:bCs/>
          <w:i/>
          <w:iCs/>
          <w:kern w:val="28"/>
          <w:sz w:val="20"/>
          <w:szCs w:val="20"/>
          <w:rtl/>
        </w:rPr>
        <w:t xml:space="preserve">פיקוחי </w:t>
      </w:r>
      <w:r>
        <w:rPr>
          <w:rFonts w:eastAsia="Calibri" w:hint="cs"/>
          <w:b/>
          <w:bCs/>
          <w:i/>
          <w:iCs/>
          <w:kern w:val="28"/>
          <w:sz w:val="20"/>
          <w:szCs w:val="20"/>
          <w:rtl/>
        </w:rPr>
        <w:t xml:space="preserve">בנושא הופץ למערכת ב </w:t>
      </w:r>
      <w:r>
        <w:rPr>
          <w:rFonts w:eastAsia="Calibri"/>
          <w:b/>
          <w:bCs/>
          <w:i/>
          <w:iCs/>
          <w:kern w:val="28"/>
          <w:sz w:val="20"/>
          <w:szCs w:val="20"/>
          <w:rtl/>
        </w:rPr>
        <w:t>–</w:t>
      </w:r>
      <w:r>
        <w:rPr>
          <w:rFonts w:eastAsia="Calibri" w:hint="cs"/>
          <w:b/>
          <w:bCs/>
          <w:i/>
          <w:iCs/>
          <w:kern w:val="28"/>
          <w:sz w:val="20"/>
          <w:szCs w:val="20"/>
          <w:rtl/>
        </w:rPr>
        <w:t xml:space="preserve"> 22.12.2009;</w:t>
      </w:r>
      <w:r>
        <w:rPr>
          <w:rFonts w:eastAsia="Calibri"/>
          <w:b/>
          <w:bCs/>
          <w:i/>
          <w:iCs/>
          <w:kern w:val="28"/>
          <w:sz w:val="20"/>
          <w:szCs w:val="20"/>
        </w:rPr>
        <w:t xml:space="preserve"> </w:t>
      </w:r>
      <w:r w:rsidR="00607C09" w:rsidRPr="003600E5">
        <w:rPr>
          <w:rFonts w:eastAsia="Calibri" w:hint="cs"/>
          <w:b/>
          <w:bCs/>
          <w:i/>
          <w:iCs/>
          <w:kern w:val="28"/>
          <w:sz w:val="20"/>
          <w:szCs w:val="20"/>
          <w:rtl/>
        </w:rPr>
        <w:t xml:space="preserve">הוראת ניהול בנקאי תקין מס' 310 </w:t>
      </w:r>
      <w:r w:rsidR="00607C09" w:rsidRPr="003600E5">
        <w:rPr>
          <w:rFonts w:eastAsia="Calibri"/>
          <w:b/>
          <w:bCs/>
          <w:i/>
          <w:iCs/>
          <w:kern w:val="28"/>
          <w:sz w:val="20"/>
          <w:szCs w:val="20"/>
          <w:rtl/>
        </w:rPr>
        <w:t>–</w:t>
      </w:r>
      <w:r w:rsidR="00607C09" w:rsidRPr="003600E5">
        <w:rPr>
          <w:rFonts w:eastAsia="Calibri" w:hint="cs"/>
          <w:b/>
          <w:bCs/>
          <w:i/>
          <w:iCs/>
          <w:kern w:val="28"/>
          <w:sz w:val="20"/>
          <w:szCs w:val="20"/>
          <w:rtl/>
        </w:rPr>
        <w:t xml:space="preserve"> הוראת אב בנושא "ניהול הסיכונים" - הופצה ב </w:t>
      </w:r>
      <w:r w:rsidR="00607C09" w:rsidRPr="003600E5">
        <w:rPr>
          <w:rFonts w:eastAsia="Calibri"/>
          <w:b/>
          <w:bCs/>
          <w:i/>
          <w:iCs/>
          <w:kern w:val="28"/>
          <w:sz w:val="20"/>
          <w:szCs w:val="20"/>
          <w:rtl/>
        </w:rPr>
        <w:t>–</w:t>
      </w:r>
      <w:r w:rsidR="00607C09" w:rsidRPr="003600E5">
        <w:rPr>
          <w:rFonts w:eastAsia="Calibri" w:hint="cs"/>
          <w:b/>
          <w:bCs/>
          <w:i/>
          <w:iCs/>
          <w:kern w:val="28"/>
          <w:sz w:val="20"/>
          <w:szCs w:val="20"/>
          <w:rtl/>
        </w:rPr>
        <w:t xml:space="preserve"> 27.12.12 ונכנסה לתוקף ביום 1.1.2014; הוראת ניהול בנקאי תקין מס' 311 </w:t>
      </w:r>
      <w:r w:rsidR="00607C09" w:rsidRPr="003600E5">
        <w:rPr>
          <w:rFonts w:eastAsia="Calibri"/>
          <w:b/>
          <w:bCs/>
          <w:i/>
          <w:iCs/>
          <w:kern w:val="28"/>
          <w:sz w:val="20"/>
          <w:szCs w:val="20"/>
          <w:rtl/>
        </w:rPr>
        <w:t>–</w:t>
      </w:r>
      <w:r w:rsidR="00607C09" w:rsidRPr="003600E5">
        <w:rPr>
          <w:rFonts w:eastAsia="Calibri" w:hint="cs"/>
          <w:b/>
          <w:bCs/>
          <w:i/>
          <w:iCs/>
          <w:kern w:val="28"/>
          <w:sz w:val="20"/>
          <w:szCs w:val="20"/>
          <w:rtl/>
        </w:rPr>
        <w:t xml:space="preserve"> הוראה בנושא "ניהול סיכוני אשראי" </w:t>
      </w:r>
      <w:r w:rsidR="00607C09" w:rsidRPr="003600E5">
        <w:rPr>
          <w:rFonts w:eastAsia="Calibri"/>
          <w:b/>
          <w:bCs/>
          <w:i/>
          <w:iCs/>
          <w:kern w:val="28"/>
          <w:sz w:val="20"/>
          <w:szCs w:val="20"/>
          <w:rtl/>
        </w:rPr>
        <w:t>–</w:t>
      </w:r>
      <w:r w:rsidR="00607C09" w:rsidRPr="003600E5">
        <w:rPr>
          <w:rFonts w:eastAsia="Calibri" w:hint="cs"/>
          <w:b/>
          <w:bCs/>
          <w:i/>
          <w:iCs/>
          <w:kern w:val="28"/>
          <w:sz w:val="20"/>
          <w:szCs w:val="20"/>
          <w:rtl/>
        </w:rPr>
        <w:t xml:space="preserve"> הופצה ב-  27.12.12 ונכנ</w:t>
      </w:r>
      <w:r w:rsidR="00607C09">
        <w:rPr>
          <w:rFonts w:eastAsia="Calibri" w:hint="cs"/>
          <w:b/>
          <w:bCs/>
          <w:i/>
          <w:iCs/>
          <w:kern w:val="28"/>
          <w:sz w:val="20"/>
          <w:szCs w:val="20"/>
          <w:rtl/>
        </w:rPr>
        <w:t>ס</w:t>
      </w:r>
      <w:r w:rsidR="00607C09" w:rsidRPr="003600E5">
        <w:rPr>
          <w:rFonts w:eastAsia="Calibri" w:hint="cs"/>
          <w:b/>
          <w:bCs/>
          <w:i/>
          <w:iCs/>
          <w:kern w:val="28"/>
          <w:sz w:val="20"/>
          <w:szCs w:val="20"/>
          <w:rtl/>
        </w:rPr>
        <w:t>ה  לתוקף בהדרגה עד 1.1.15.</w:t>
      </w:r>
    </w:p>
    <w:p w:rsidR="00607C09" w:rsidRDefault="00607C09" w:rsidP="00607C09">
      <w:pPr>
        <w:numPr>
          <w:ilvl w:val="2"/>
          <w:numId w:val="1"/>
        </w:numPr>
        <w:tabs>
          <w:tab w:val="clear" w:pos="567"/>
          <w:tab w:val="clear" w:pos="1134"/>
          <w:tab w:val="clear" w:pos="1814"/>
          <w:tab w:val="clear" w:pos="2665"/>
        </w:tabs>
        <w:ind w:left="587" w:hanging="450"/>
        <w:outlineLvl w:val="1"/>
        <w:rPr>
          <w:rFonts w:hint="cs"/>
        </w:rPr>
      </w:pPr>
      <w:r w:rsidRPr="00937020">
        <w:rPr>
          <w:rFonts w:hint="cs"/>
          <w:u w:val="single"/>
          <w:rtl/>
        </w:rPr>
        <w:t>מיקוד תפקידה של "פונקצי</w:t>
      </w:r>
      <w:r>
        <w:rPr>
          <w:rFonts w:hint="cs"/>
          <w:u w:val="single"/>
          <w:rtl/>
        </w:rPr>
        <w:t>י</w:t>
      </w:r>
      <w:r w:rsidRPr="00937020">
        <w:rPr>
          <w:rFonts w:hint="cs"/>
          <w:u w:val="single"/>
          <w:rtl/>
        </w:rPr>
        <w:t>ת בקרת האשראי"</w:t>
      </w:r>
      <w:r w:rsidRPr="00863726">
        <w:rPr>
          <w:rFonts w:hint="cs"/>
          <w:b/>
          <w:bCs/>
          <w:u w:val="single"/>
          <w:rtl/>
        </w:rPr>
        <w:t xml:space="preserve"> </w:t>
      </w:r>
      <w:r w:rsidRPr="00863726">
        <w:rPr>
          <w:rFonts w:hint="cs"/>
          <w:u w:val="single"/>
          <w:rtl/>
        </w:rPr>
        <w:t>בבנקים</w:t>
      </w:r>
      <w:r w:rsidRPr="00CD4396">
        <w:rPr>
          <w:rFonts w:hint="cs"/>
          <w:b/>
          <w:bCs/>
          <w:rtl/>
        </w:rPr>
        <w:t xml:space="preserve">  </w:t>
      </w:r>
      <w:r w:rsidRPr="005D04DE">
        <w:rPr>
          <w:rFonts w:hint="cs"/>
          <w:rtl/>
        </w:rPr>
        <w:t>- מ</w:t>
      </w:r>
      <w:r>
        <w:rPr>
          <w:rFonts w:hint="cs"/>
          <w:rtl/>
        </w:rPr>
        <w:t>הלך זה הוביל לכך ש</w:t>
      </w:r>
      <w:r w:rsidRPr="00CD4396">
        <w:rPr>
          <w:rFonts w:hint="cs"/>
          <w:rtl/>
        </w:rPr>
        <w:t xml:space="preserve">הפונקציה </w:t>
      </w:r>
      <w:r>
        <w:rPr>
          <w:rFonts w:hint="cs"/>
          <w:rtl/>
        </w:rPr>
        <w:t xml:space="preserve">מתמקדת כיום בבדיקות </w:t>
      </w:r>
      <w:r w:rsidRPr="00CD4396">
        <w:rPr>
          <w:rFonts w:hint="cs"/>
          <w:rtl/>
        </w:rPr>
        <w:t xml:space="preserve">בדיעבד </w:t>
      </w:r>
      <w:r>
        <w:rPr>
          <w:rFonts w:hint="cs"/>
          <w:rtl/>
        </w:rPr>
        <w:t>של</w:t>
      </w:r>
      <w:r w:rsidRPr="00CD4396">
        <w:rPr>
          <w:rFonts w:hint="cs"/>
          <w:rtl/>
        </w:rPr>
        <w:t xml:space="preserve"> ניהול סיכון האשראי על כל שלביו לרבות שיקול הדעת של הגורמים המקצועיים, </w:t>
      </w:r>
      <w:r>
        <w:rPr>
          <w:rFonts w:hint="cs"/>
          <w:rtl/>
        </w:rPr>
        <w:t>וב</w:t>
      </w:r>
      <w:r w:rsidRPr="00CD4396">
        <w:rPr>
          <w:rFonts w:hint="cs"/>
          <w:rtl/>
        </w:rPr>
        <w:t xml:space="preserve">הערכה </w:t>
      </w:r>
      <w:r>
        <w:rPr>
          <w:rFonts w:hint="cs"/>
          <w:rtl/>
        </w:rPr>
        <w:t xml:space="preserve">של </w:t>
      </w:r>
      <w:r w:rsidRPr="00CD4396">
        <w:rPr>
          <w:rFonts w:hint="cs"/>
          <w:rtl/>
        </w:rPr>
        <w:t>איכות האשראי.</w:t>
      </w:r>
    </w:p>
    <w:p w:rsidR="00607C09" w:rsidRPr="00CD4396" w:rsidRDefault="00607C09" w:rsidP="008E7DC1">
      <w:pPr>
        <w:tabs>
          <w:tab w:val="clear" w:pos="567"/>
          <w:tab w:val="clear" w:pos="1134"/>
          <w:tab w:val="clear" w:pos="1814"/>
          <w:tab w:val="clear" w:pos="2665"/>
        </w:tabs>
        <w:spacing w:after="160" w:line="240" w:lineRule="auto"/>
        <w:ind w:left="590"/>
        <w:outlineLvl w:val="1"/>
        <w:rPr>
          <w:rFonts w:hint="cs"/>
        </w:rPr>
      </w:pPr>
      <w:r>
        <w:rPr>
          <w:rFonts w:eastAsia="Calibri" w:hint="cs"/>
          <w:b/>
          <w:bCs/>
          <w:i/>
          <w:iCs/>
          <w:kern w:val="28"/>
          <w:sz w:val="20"/>
          <w:szCs w:val="20"/>
          <w:rtl/>
        </w:rPr>
        <w:t xml:space="preserve">עדכון להוראת ניהול בנקאי תקין מס' 311 בנושא "ניהול סיכוני אשראי" - </w:t>
      </w:r>
      <w:r w:rsidRPr="009D3599">
        <w:rPr>
          <w:rFonts w:eastAsia="Calibri" w:hint="cs"/>
          <w:b/>
          <w:bCs/>
          <w:i/>
          <w:iCs/>
          <w:kern w:val="28"/>
          <w:sz w:val="20"/>
          <w:szCs w:val="20"/>
          <w:rtl/>
        </w:rPr>
        <w:t xml:space="preserve">העדכון הופץ ב </w:t>
      </w:r>
      <w:r w:rsidRPr="009D3599">
        <w:rPr>
          <w:rFonts w:eastAsia="Calibri"/>
          <w:b/>
          <w:bCs/>
          <w:i/>
          <w:iCs/>
          <w:kern w:val="28"/>
          <w:sz w:val="20"/>
          <w:szCs w:val="20"/>
          <w:rtl/>
        </w:rPr>
        <w:t>–</w:t>
      </w:r>
      <w:r w:rsidRPr="009D3599">
        <w:rPr>
          <w:rFonts w:eastAsia="Calibri" w:hint="cs"/>
          <w:b/>
          <w:bCs/>
          <w:i/>
          <w:iCs/>
          <w:kern w:val="28"/>
          <w:sz w:val="20"/>
          <w:szCs w:val="20"/>
          <w:rtl/>
        </w:rPr>
        <w:t xml:space="preserve"> 23.11.14 ו</w:t>
      </w:r>
      <w:r w:rsidRPr="009D3599">
        <w:rPr>
          <w:rFonts w:hint="cs"/>
          <w:b/>
          <w:bCs/>
          <w:i/>
          <w:iCs/>
          <w:kern w:val="28"/>
          <w:sz w:val="20"/>
          <w:szCs w:val="20"/>
          <w:rtl/>
        </w:rPr>
        <w:t>נכנס לתוקף ב - 1.4.2015</w:t>
      </w:r>
      <w:r>
        <w:rPr>
          <w:rFonts w:hint="cs"/>
          <w:rtl/>
        </w:rPr>
        <w:t>.</w:t>
      </w:r>
    </w:p>
    <w:p w:rsidR="00607C09" w:rsidRDefault="00607C09" w:rsidP="00607C09">
      <w:pPr>
        <w:numPr>
          <w:ilvl w:val="2"/>
          <w:numId w:val="1"/>
        </w:numPr>
        <w:tabs>
          <w:tab w:val="clear" w:pos="567"/>
          <w:tab w:val="clear" w:pos="1134"/>
          <w:tab w:val="clear" w:pos="1814"/>
          <w:tab w:val="clear" w:pos="2665"/>
        </w:tabs>
        <w:ind w:left="587" w:hanging="450"/>
        <w:outlineLvl w:val="1"/>
        <w:rPr>
          <w:rFonts w:hint="cs"/>
        </w:rPr>
      </w:pPr>
      <w:r w:rsidRPr="00937020">
        <w:rPr>
          <w:rFonts w:hint="cs"/>
          <w:u w:val="single"/>
          <w:rtl/>
        </w:rPr>
        <w:t>דרישה לצמצום הריכוזיות והתיאבון לסיכון בגין לווים גדולים</w:t>
      </w:r>
      <w:r>
        <w:rPr>
          <w:rFonts w:hint="cs"/>
          <w:b/>
          <w:bCs/>
          <w:rtl/>
        </w:rPr>
        <w:t xml:space="preserve"> - </w:t>
      </w:r>
      <w:r w:rsidRPr="00CD4396">
        <w:rPr>
          <w:rFonts w:hint="cs"/>
          <w:rtl/>
        </w:rPr>
        <w:t xml:space="preserve">באותם בנקים בהם התיאבון לסיכון נתפס כגבוה מדי. </w:t>
      </w:r>
    </w:p>
    <w:p w:rsidR="00607C09" w:rsidRPr="003600E5" w:rsidRDefault="00607C09" w:rsidP="008E7DC1">
      <w:pPr>
        <w:tabs>
          <w:tab w:val="clear" w:pos="567"/>
          <w:tab w:val="clear" w:pos="1134"/>
          <w:tab w:val="clear" w:pos="1814"/>
          <w:tab w:val="clear" w:pos="2665"/>
        </w:tabs>
        <w:spacing w:after="160" w:line="240" w:lineRule="auto"/>
        <w:ind w:left="590"/>
        <w:outlineLvl w:val="1"/>
        <w:rPr>
          <w:rFonts w:eastAsia="Calibri"/>
          <w:b/>
          <w:bCs/>
          <w:i/>
          <w:iCs/>
          <w:kern w:val="28"/>
          <w:sz w:val="20"/>
          <w:szCs w:val="20"/>
          <w:rtl/>
        </w:rPr>
      </w:pPr>
      <w:r w:rsidRPr="003600E5">
        <w:rPr>
          <w:rFonts w:eastAsia="Calibri" w:hint="cs"/>
          <w:b/>
          <w:bCs/>
          <w:i/>
          <w:iCs/>
          <w:kern w:val="28"/>
          <w:sz w:val="20"/>
          <w:szCs w:val="20"/>
          <w:rtl/>
        </w:rPr>
        <w:t>הופץ כדרישות פרטניות לבנקים הרלבנטיים.</w:t>
      </w:r>
    </w:p>
    <w:p w:rsidR="00607C09" w:rsidRDefault="00607C09" w:rsidP="008E7DC1">
      <w:pPr>
        <w:numPr>
          <w:ilvl w:val="2"/>
          <w:numId w:val="1"/>
        </w:numPr>
        <w:tabs>
          <w:tab w:val="clear" w:pos="567"/>
          <w:tab w:val="clear" w:pos="1134"/>
          <w:tab w:val="clear" w:pos="1814"/>
          <w:tab w:val="clear" w:pos="2665"/>
        </w:tabs>
        <w:spacing w:after="160"/>
        <w:ind w:left="584" w:hanging="448"/>
        <w:outlineLvl w:val="0"/>
        <w:rPr>
          <w:rFonts w:hint="cs"/>
          <w:b/>
          <w:bCs/>
          <w:kern w:val="28"/>
          <w:sz w:val="22"/>
        </w:rPr>
      </w:pPr>
      <w:r w:rsidRPr="00937020">
        <w:rPr>
          <w:rFonts w:hint="cs"/>
          <w:u w:val="single"/>
          <w:rtl/>
        </w:rPr>
        <w:t>ביצוע מבחני קיצון</w:t>
      </w:r>
      <w:r w:rsidRPr="00783434">
        <w:rPr>
          <w:rFonts w:hint="cs"/>
          <w:b/>
          <w:bCs/>
          <w:rtl/>
        </w:rPr>
        <w:t xml:space="preserve"> - </w:t>
      </w:r>
      <w:r w:rsidRPr="00CD4396">
        <w:rPr>
          <w:rFonts w:hint="cs"/>
          <w:rtl/>
        </w:rPr>
        <w:t>הבנקים נדרשו לשלב בניהול הסיכונים שלהם מבחני קיצון על מנת לבחון את עמידות ההון והרווחיות שלהם בהתקיים תרחישים שליליים</w:t>
      </w:r>
      <w:r w:rsidR="00ED7A7D">
        <w:rPr>
          <w:rFonts w:hint="cs"/>
          <w:rtl/>
        </w:rPr>
        <w:t xml:space="preserve"> חמורים</w:t>
      </w:r>
      <w:r>
        <w:rPr>
          <w:rFonts w:hint="cs"/>
          <w:rtl/>
        </w:rPr>
        <w:t>, לרבות תרחישים של כשל אשראי בקבוצות לווים גדולות</w:t>
      </w:r>
      <w:r w:rsidRPr="00CD4396">
        <w:rPr>
          <w:rFonts w:hint="cs"/>
          <w:rtl/>
        </w:rPr>
        <w:t xml:space="preserve">. </w:t>
      </w:r>
    </w:p>
    <w:p w:rsidR="00607C09" w:rsidRDefault="00607C09" w:rsidP="008A0B8D">
      <w:pPr>
        <w:tabs>
          <w:tab w:val="clear" w:pos="567"/>
          <w:tab w:val="clear" w:pos="1134"/>
          <w:tab w:val="num" w:pos="562"/>
        </w:tabs>
        <w:outlineLvl w:val="0"/>
        <w:rPr>
          <w:rFonts w:hint="cs"/>
          <w:rtl/>
        </w:rPr>
      </w:pPr>
      <w:r>
        <w:rPr>
          <w:rFonts w:hint="cs"/>
          <w:rtl/>
        </w:rPr>
        <w:t xml:space="preserve">צעדים אלו היו בהמשך לצעדים רבים אחרים שביצע הפיקוח לאורך השנים, לרבות  צעדים שבוצעו טרום המשבר הגלובלי. נדגיש כי מדובר ברשימה חלקית ומתומצתת בלבד. </w:t>
      </w:r>
      <w:r w:rsidR="008A0B8D">
        <w:rPr>
          <w:rFonts w:hint="cs"/>
          <w:rtl/>
        </w:rPr>
        <w:t xml:space="preserve">למעט המכתבים הפרטניים, </w:t>
      </w:r>
      <w:r w:rsidRPr="00ED01D2">
        <w:rPr>
          <w:rFonts w:hint="cs"/>
          <w:rtl/>
        </w:rPr>
        <w:t xml:space="preserve">כל ההוראות </w:t>
      </w:r>
      <w:r w:rsidR="008A0B8D">
        <w:rPr>
          <w:rFonts w:hint="cs"/>
          <w:rtl/>
        </w:rPr>
        <w:t xml:space="preserve">שהופצו </w:t>
      </w:r>
      <w:r w:rsidRPr="00ED01D2">
        <w:rPr>
          <w:rFonts w:hint="cs"/>
          <w:rtl/>
        </w:rPr>
        <w:t xml:space="preserve">לאורך השנים </w:t>
      </w:r>
      <w:r>
        <w:rPr>
          <w:rFonts w:hint="cs"/>
          <w:rtl/>
        </w:rPr>
        <w:t>מפורסמות</w:t>
      </w:r>
      <w:r w:rsidRPr="00ED01D2">
        <w:rPr>
          <w:rFonts w:hint="cs"/>
          <w:rtl/>
        </w:rPr>
        <w:t xml:space="preserve"> גם באתר האינטרנט של בנק ישראל.</w:t>
      </w:r>
    </w:p>
    <w:p w:rsidR="006161A3" w:rsidRPr="008E7DC1" w:rsidRDefault="006161A3" w:rsidP="008E7DC1">
      <w:pPr>
        <w:tabs>
          <w:tab w:val="clear" w:pos="567"/>
          <w:tab w:val="clear" w:pos="1134"/>
          <w:tab w:val="num" w:pos="562"/>
        </w:tabs>
        <w:outlineLvl w:val="0"/>
        <w:rPr>
          <w:rFonts w:hint="cs"/>
          <w:sz w:val="16"/>
          <w:szCs w:val="16"/>
          <w:rtl/>
        </w:rPr>
      </w:pPr>
    </w:p>
    <w:p w:rsidR="00697CE5" w:rsidRPr="00863726" w:rsidRDefault="00811445" w:rsidP="00AD5B82">
      <w:pPr>
        <w:tabs>
          <w:tab w:val="clear" w:pos="567"/>
          <w:tab w:val="clear" w:pos="1134"/>
        </w:tabs>
        <w:outlineLvl w:val="0"/>
        <w:rPr>
          <w:rFonts w:hint="cs"/>
          <w:b/>
          <w:bCs/>
          <w:color w:val="00B0F0"/>
          <w:kern w:val="28"/>
          <w:sz w:val="22"/>
          <w:rtl/>
        </w:rPr>
      </w:pPr>
      <w:r>
        <w:rPr>
          <w:rFonts w:hint="cs"/>
          <w:b/>
          <w:bCs/>
          <w:color w:val="00B0F0"/>
          <w:kern w:val="28"/>
          <w:sz w:val="22"/>
          <w:rtl/>
        </w:rPr>
        <w:t xml:space="preserve">מה היו </w:t>
      </w:r>
      <w:r w:rsidR="00AD5B82">
        <w:rPr>
          <w:rFonts w:hint="cs"/>
          <w:b/>
          <w:bCs/>
          <w:color w:val="00B0F0"/>
          <w:kern w:val="28"/>
          <w:sz w:val="22"/>
          <w:rtl/>
        </w:rPr>
        <w:t>ה</w:t>
      </w:r>
      <w:r>
        <w:rPr>
          <w:rFonts w:hint="cs"/>
          <w:b/>
          <w:bCs/>
          <w:color w:val="00B0F0"/>
          <w:kern w:val="28"/>
          <w:sz w:val="22"/>
          <w:rtl/>
        </w:rPr>
        <w:t>דרישות בביקורת שבוצעו בבנקים בתחום הלווים הגדולים</w:t>
      </w:r>
      <w:r w:rsidR="00AD5B82">
        <w:rPr>
          <w:rFonts w:hint="cs"/>
          <w:b/>
          <w:bCs/>
          <w:color w:val="00B0F0"/>
          <w:kern w:val="28"/>
          <w:sz w:val="22"/>
          <w:rtl/>
        </w:rPr>
        <w:t xml:space="preserve"> וכיצד הן השפיעו על הסיכון</w:t>
      </w:r>
      <w:r w:rsidR="00697CE5" w:rsidRPr="00863726">
        <w:rPr>
          <w:rFonts w:hint="cs"/>
          <w:b/>
          <w:bCs/>
          <w:color w:val="00B0F0"/>
          <w:kern w:val="28"/>
          <w:sz w:val="22"/>
          <w:rtl/>
        </w:rPr>
        <w:t>?</w:t>
      </w:r>
    </w:p>
    <w:p w:rsidR="00E44FD9" w:rsidRPr="00863726" w:rsidRDefault="00E44FD9" w:rsidP="00A17C0D">
      <w:pPr>
        <w:tabs>
          <w:tab w:val="clear" w:pos="567"/>
          <w:tab w:val="clear" w:pos="1134"/>
        </w:tabs>
        <w:outlineLvl w:val="0"/>
        <w:rPr>
          <w:rFonts w:hint="cs"/>
          <w:b/>
          <w:bCs/>
          <w:kern w:val="28"/>
          <w:rtl/>
        </w:rPr>
      </w:pPr>
      <w:r w:rsidRPr="00863726">
        <w:rPr>
          <w:rFonts w:hint="cs"/>
          <w:b/>
          <w:bCs/>
          <w:kern w:val="28"/>
          <w:rtl/>
        </w:rPr>
        <w:t>לדרישות הביקורת יש השפעה על צמצום החשיפה ללווה הספציפי</w:t>
      </w:r>
      <w:r w:rsidR="00417D7A">
        <w:rPr>
          <w:rFonts w:hint="cs"/>
          <w:b/>
          <w:bCs/>
          <w:kern w:val="28"/>
          <w:rtl/>
        </w:rPr>
        <w:t xml:space="preserve"> תוך השפע</w:t>
      </w:r>
      <w:r w:rsidR="00A17C0D">
        <w:rPr>
          <w:rFonts w:hint="cs"/>
          <w:b/>
          <w:bCs/>
          <w:kern w:val="28"/>
          <w:rtl/>
        </w:rPr>
        <w:t>ה</w:t>
      </w:r>
      <w:r w:rsidR="00417D7A">
        <w:rPr>
          <w:rFonts w:hint="cs"/>
          <w:b/>
          <w:bCs/>
          <w:kern w:val="28"/>
          <w:rtl/>
        </w:rPr>
        <w:t xml:space="preserve"> על התנהלות הבנק כלפי אותו לווה</w:t>
      </w:r>
      <w:r w:rsidR="000B18DE">
        <w:rPr>
          <w:rFonts w:hint="cs"/>
          <w:b/>
          <w:bCs/>
          <w:kern w:val="28"/>
          <w:rtl/>
        </w:rPr>
        <w:t xml:space="preserve"> וצמצום ההפסדים הפוטנציאליים לבנק</w:t>
      </w:r>
      <w:r w:rsidR="00417D7A">
        <w:rPr>
          <w:rFonts w:hint="cs"/>
          <w:b/>
          <w:bCs/>
          <w:kern w:val="28"/>
          <w:rtl/>
        </w:rPr>
        <w:t xml:space="preserve">. בנוסף, לדרישות הביקורת השפעה </w:t>
      </w:r>
      <w:r w:rsidRPr="00863726">
        <w:rPr>
          <w:rFonts w:hint="cs"/>
          <w:b/>
          <w:bCs/>
          <w:kern w:val="28"/>
          <w:rtl/>
        </w:rPr>
        <w:t>על התנהלות הבנק בעסקאות דומות בעתיד</w:t>
      </w:r>
      <w:r w:rsidR="00CD4396" w:rsidRPr="00863726">
        <w:rPr>
          <w:b/>
          <w:bCs/>
          <w:kern w:val="28"/>
          <w:rtl/>
        </w:rPr>
        <w:t xml:space="preserve">. </w:t>
      </w:r>
    </w:p>
    <w:p w:rsidR="00CD4396" w:rsidRPr="00E44FD9" w:rsidRDefault="00CF353A" w:rsidP="008E7DC1">
      <w:pPr>
        <w:tabs>
          <w:tab w:val="clear" w:pos="567"/>
          <w:tab w:val="clear" w:pos="1134"/>
        </w:tabs>
        <w:outlineLvl w:val="0"/>
        <w:rPr>
          <w:rFonts w:hint="cs"/>
          <w:kern w:val="28"/>
          <w:rtl/>
        </w:rPr>
      </w:pPr>
      <w:r>
        <w:rPr>
          <w:rFonts w:hint="cs"/>
          <w:kern w:val="28"/>
          <w:rtl/>
        </w:rPr>
        <w:t>להלן דוגמאות לצעדים קונקרטיים שנדרשו במסגרת הליכי ביקורת בנוגע ללווים גדולים</w:t>
      </w:r>
      <w:r w:rsidR="008A0B8D">
        <w:rPr>
          <w:rFonts w:hint="cs"/>
          <w:kern w:val="28"/>
          <w:rtl/>
        </w:rPr>
        <w:t>,</w:t>
      </w:r>
      <w:r>
        <w:rPr>
          <w:rFonts w:hint="cs"/>
          <w:kern w:val="28"/>
          <w:rtl/>
        </w:rPr>
        <w:t xml:space="preserve"> והובילו ב</w:t>
      </w:r>
      <w:r w:rsidR="00CD4396" w:rsidRPr="00E44FD9">
        <w:rPr>
          <w:rFonts w:hint="cs"/>
          <w:kern w:val="28"/>
          <w:rtl/>
        </w:rPr>
        <w:t>סופו של דבר להקטנת החשיפות ולצמצום הסיכון לבנקים:</w:t>
      </w:r>
    </w:p>
    <w:p w:rsidR="00CD4396" w:rsidRPr="00E44FD9" w:rsidRDefault="00CD4396" w:rsidP="008A0B8D">
      <w:pPr>
        <w:numPr>
          <w:ilvl w:val="2"/>
          <w:numId w:val="1"/>
        </w:numPr>
        <w:tabs>
          <w:tab w:val="clear" w:pos="567"/>
          <w:tab w:val="clear" w:pos="1134"/>
          <w:tab w:val="clear" w:pos="1814"/>
          <w:tab w:val="clear" w:pos="2665"/>
        </w:tabs>
        <w:spacing w:after="240"/>
        <w:ind w:left="587" w:hanging="450"/>
        <w:outlineLvl w:val="1"/>
        <w:rPr>
          <w:rFonts w:hint="cs"/>
        </w:rPr>
      </w:pPr>
      <w:r w:rsidRPr="00E524C4">
        <w:rPr>
          <w:u w:val="single"/>
          <w:rtl/>
        </w:rPr>
        <w:t>ה</w:t>
      </w:r>
      <w:r w:rsidR="00814C4D">
        <w:rPr>
          <w:rFonts w:hint="cs"/>
          <w:u w:val="single"/>
          <w:rtl/>
        </w:rPr>
        <w:t>פיקוח</w:t>
      </w:r>
      <w:r w:rsidRPr="00E524C4">
        <w:rPr>
          <w:u w:val="single"/>
          <w:rtl/>
        </w:rPr>
        <w:t xml:space="preserve"> דרש מבעוד מועד לסווג חובות של לווים בעייתיים</w:t>
      </w:r>
      <w:r w:rsidR="00494EE6">
        <w:rPr>
          <w:rFonts w:hint="cs"/>
          <w:rtl/>
        </w:rPr>
        <w:t xml:space="preserve"> </w:t>
      </w:r>
      <w:r w:rsidR="00494EE6">
        <w:rPr>
          <w:rtl/>
        </w:rPr>
        <w:t>–</w:t>
      </w:r>
      <w:r w:rsidR="00494EE6">
        <w:rPr>
          <w:rFonts w:hint="cs"/>
          <w:rtl/>
        </w:rPr>
        <w:t xml:space="preserve"> לווים אלו נחשבו </w:t>
      </w:r>
      <w:r w:rsidRPr="00E44FD9">
        <w:rPr>
          <w:rtl/>
        </w:rPr>
        <w:t xml:space="preserve">עד אז </w:t>
      </w:r>
      <w:r w:rsidRPr="00E44FD9">
        <w:rPr>
          <w:rFonts w:hint="cs"/>
          <w:rtl/>
        </w:rPr>
        <w:t xml:space="preserve">ע"י </w:t>
      </w:r>
      <w:r w:rsidR="00ED7A7D">
        <w:rPr>
          <w:rFonts w:hint="cs"/>
          <w:rtl/>
        </w:rPr>
        <w:t>חלק מ</w:t>
      </w:r>
      <w:r w:rsidRPr="00E44FD9">
        <w:rPr>
          <w:rFonts w:hint="cs"/>
          <w:rtl/>
        </w:rPr>
        <w:t>הבנק</w:t>
      </w:r>
      <w:r w:rsidR="00ED7A7D">
        <w:rPr>
          <w:rFonts w:hint="cs"/>
          <w:rtl/>
        </w:rPr>
        <w:t>ים</w:t>
      </w:r>
      <w:r w:rsidRPr="00E44FD9">
        <w:rPr>
          <w:rFonts w:hint="cs"/>
          <w:rtl/>
        </w:rPr>
        <w:t xml:space="preserve"> </w:t>
      </w:r>
      <w:r w:rsidRPr="00E44FD9">
        <w:rPr>
          <w:rtl/>
        </w:rPr>
        <w:t>כלווים טובים ותקינים אשר עובדים איתם כרגיל</w:t>
      </w:r>
      <w:r w:rsidRPr="00E44FD9">
        <w:rPr>
          <w:rFonts w:hint="cs"/>
          <w:rtl/>
        </w:rPr>
        <w:t>.</w:t>
      </w:r>
      <w:r w:rsidRPr="00E44FD9">
        <w:rPr>
          <w:rtl/>
        </w:rPr>
        <w:t xml:space="preserve"> דרישה זו בדרך כלל </w:t>
      </w:r>
      <w:r w:rsidRPr="00E44FD9">
        <w:rPr>
          <w:rFonts w:hint="cs"/>
          <w:rtl/>
        </w:rPr>
        <w:t>ה</w:t>
      </w:r>
      <w:r w:rsidRPr="00E44FD9">
        <w:rPr>
          <w:rtl/>
        </w:rPr>
        <w:t xml:space="preserve">ובילה את הבנק להתנהלות </w:t>
      </w:r>
      <w:r w:rsidR="00C745E7">
        <w:rPr>
          <w:rFonts w:hint="cs"/>
          <w:rtl/>
        </w:rPr>
        <w:t>מחמירה יותר</w:t>
      </w:r>
      <w:r w:rsidRPr="00E44FD9">
        <w:rPr>
          <w:rtl/>
        </w:rPr>
        <w:t xml:space="preserve"> מול הלווה, לרבות הימנעות מהגדלת חשיפות אשראי והפעלת אמצעי לחץ לגביית החובות.</w:t>
      </w:r>
    </w:p>
    <w:p w:rsidR="00CD4396" w:rsidRPr="00E44FD9" w:rsidRDefault="00CD4396" w:rsidP="008E7DC1">
      <w:pPr>
        <w:numPr>
          <w:ilvl w:val="2"/>
          <w:numId w:val="1"/>
        </w:numPr>
        <w:tabs>
          <w:tab w:val="clear" w:pos="567"/>
          <w:tab w:val="clear" w:pos="1134"/>
          <w:tab w:val="clear" w:pos="1814"/>
          <w:tab w:val="clear" w:pos="2665"/>
        </w:tabs>
        <w:spacing w:after="160"/>
        <w:ind w:left="584" w:hanging="448"/>
        <w:outlineLvl w:val="1"/>
        <w:rPr>
          <w:rFonts w:hint="cs"/>
          <w:rtl/>
        </w:rPr>
      </w:pPr>
      <w:r w:rsidRPr="00E524C4">
        <w:rPr>
          <w:rFonts w:hint="cs"/>
          <w:u w:val="single"/>
          <w:rtl/>
        </w:rPr>
        <w:t>ה</w:t>
      </w:r>
      <w:r w:rsidR="00814C4D">
        <w:rPr>
          <w:rFonts w:hint="cs"/>
          <w:u w:val="single"/>
          <w:rtl/>
        </w:rPr>
        <w:t>פיקוח</w:t>
      </w:r>
      <w:r w:rsidRPr="00E524C4">
        <w:rPr>
          <w:u w:val="single"/>
          <w:rtl/>
        </w:rPr>
        <w:t xml:space="preserve"> קבע מנגנוני מחיקות חשבונאיות שתלויים בשווי שוק של הביטחונות</w:t>
      </w:r>
      <w:r w:rsidRPr="00E44FD9">
        <w:rPr>
          <w:rtl/>
        </w:rPr>
        <w:t xml:space="preserve"> - האמור דחף את הבנקים להפעיל לחץ לגביית כספים מהלווה ולקבלת ביטחונות נוספים, וזאת כדי להימנע ממחיקות עתידיות והכרה בהפסדים בעתיד כתוצאה מירידת שווי הבטוחות.</w:t>
      </w:r>
    </w:p>
    <w:p w:rsidR="00CD4396" w:rsidRPr="00E44FD9" w:rsidRDefault="00CD4396" w:rsidP="00982CE2">
      <w:pPr>
        <w:numPr>
          <w:ilvl w:val="2"/>
          <w:numId w:val="1"/>
        </w:numPr>
        <w:tabs>
          <w:tab w:val="clear" w:pos="567"/>
          <w:tab w:val="clear" w:pos="1134"/>
          <w:tab w:val="clear" w:pos="1814"/>
          <w:tab w:val="clear" w:pos="2665"/>
        </w:tabs>
        <w:spacing w:after="160"/>
        <w:ind w:left="584" w:hanging="448"/>
        <w:outlineLvl w:val="1"/>
        <w:rPr>
          <w:rFonts w:hint="cs"/>
          <w:rtl/>
        </w:rPr>
      </w:pPr>
      <w:r w:rsidRPr="00E524C4">
        <w:rPr>
          <w:u w:val="single"/>
          <w:rtl/>
        </w:rPr>
        <w:lastRenderedPageBreak/>
        <w:t>ה</w:t>
      </w:r>
      <w:r w:rsidR="00814C4D">
        <w:rPr>
          <w:rFonts w:hint="cs"/>
          <w:u w:val="single"/>
          <w:rtl/>
        </w:rPr>
        <w:t>פיקוח</w:t>
      </w:r>
      <w:r w:rsidRPr="00E524C4">
        <w:rPr>
          <w:u w:val="single"/>
          <w:rtl/>
        </w:rPr>
        <w:t xml:space="preserve"> לא </w:t>
      </w:r>
      <w:r w:rsidR="006161A3" w:rsidRPr="00E524C4">
        <w:rPr>
          <w:rFonts w:hint="cs"/>
          <w:u w:val="single"/>
          <w:rtl/>
        </w:rPr>
        <w:t>אפשר</w:t>
      </w:r>
      <w:r w:rsidRPr="00E524C4">
        <w:rPr>
          <w:u w:val="single"/>
          <w:rtl/>
        </w:rPr>
        <w:t xml:space="preserve"> להכיר בערבויות אישיות מסוימות כלל ו</w:t>
      </w:r>
      <w:r w:rsidR="008C0973" w:rsidRPr="00E524C4">
        <w:rPr>
          <w:rFonts w:hint="cs"/>
          <w:u w:val="single"/>
          <w:rtl/>
        </w:rPr>
        <w:t xml:space="preserve">דרש </w:t>
      </w:r>
      <w:r w:rsidRPr="00E524C4">
        <w:rPr>
          <w:u w:val="single"/>
          <w:rtl/>
        </w:rPr>
        <w:t>להביאן בחשבון בשווי אפס לצורך מדידת הפסדי האשראי</w:t>
      </w:r>
      <w:r w:rsidR="008C0973" w:rsidRPr="00863726">
        <w:rPr>
          <w:rFonts w:hint="cs"/>
          <w:b/>
          <w:bCs/>
          <w:rtl/>
        </w:rPr>
        <w:t xml:space="preserve"> -</w:t>
      </w:r>
      <w:r w:rsidRPr="00E44FD9">
        <w:rPr>
          <w:rtl/>
        </w:rPr>
        <w:t xml:space="preserve"> ערבויות אלו לא גובו בנכסים מוחשיים נזילים או מקורות החזר מזוהים. לעיתים הערבויות כלל לא אומתו או נבדקו על ידי גורם חיצוני. האמור הוביל לדרישת ביטחונות ממשיים נוספים מהלווים כדי להימנע מרישום הפסדים. </w:t>
      </w:r>
    </w:p>
    <w:p w:rsidR="00CD4396" w:rsidRPr="00E44FD9" w:rsidRDefault="00CD4396" w:rsidP="00B308A4">
      <w:pPr>
        <w:numPr>
          <w:ilvl w:val="2"/>
          <w:numId w:val="1"/>
        </w:numPr>
        <w:tabs>
          <w:tab w:val="clear" w:pos="567"/>
          <w:tab w:val="clear" w:pos="1134"/>
          <w:tab w:val="clear" w:pos="1814"/>
          <w:tab w:val="clear" w:pos="2665"/>
        </w:tabs>
        <w:spacing w:after="160"/>
        <w:ind w:left="584" w:hanging="448"/>
        <w:outlineLvl w:val="1"/>
        <w:rPr>
          <w:rFonts w:hint="cs"/>
          <w:rtl/>
        </w:rPr>
      </w:pPr>
      <w:r w:rsidRPr="00E524C4">
        <w:rPr>
          <w:u w:val="single"/>
          <w:rtl/>
        </w:rPr>
        <w:t>ה</w:t>
      </w:r>
      <w:r w:rsidR="00814C4D">
        <w:rPr>
          <w:rFonts w:hint="cs"/>
          <w:u w:val="single"/>
          <w:rtl/>
        </w:rPr>
        <w:t>פיקוח</w:t>
      </w:r>
      <w:r w:rsidRPr="00E524C4">
        <w:rPr>
          <w:u w:val="single"/>
          <w:rtl/>
        </w:rPr>
        <w:t xml:space="preserve"> לא הכיר בביטחונות מסוימים שסיפקו הלווים משום שלבנק לא היתה זיקה משפטית נאותה אליהם</w:t>
      </w:r>
      <w:r w:rsidRPr="00E44FD9">
        <w:rPr>
          <w:rtl/>
        </w:rPr>
        <w:t xml:space="preserve"> (כגון: נכסים במדינות מסוימות) – האמור הוביל את הבנקים ללחוץ על הלוו</w:t>
      </w:r>
      <w:r w:rsidR="008A0B8D">
        <w:rPr>
          <w:rFonts w:hint="cs"/>
          <w:rtl/>
        </w:rPr>
        <w:t>ים</w:t>
      </w:r>
      <w:r w:rsidRPr="00E44FD9">
        <w:rPr>
          <w:rtl/>
        </w:rPr>
        <w:t xml:space="preserve"> למימוש ביטחונות אלה</w:t>
      </w:r>
      <w:r w:rsidR="008C0973">
        <w:rPr>
          <w:rFonts w:hint="cs"/>
          <w:rtl/>
        </w:rPr>
        <w:t>,</w:t>
      </w:r>
      <w:r w:rsidRPr="00E44FD9">
        <w:rPr>
          <w:rtl/>
        </w:rPr>
        <w:t xml:space="preserve"> או לספק ביטחונות אחרים מטריאליים, באופן שהוביל לצמצום הפסדי אשראי</w:t>
      </w:r>
      <w:r w:rsidRPr="00E44FD9">
        <w:rPr>
          <w:rFonts w:hint="cs"/>
          <w:rtl/>
        </w:rPr>
        <w:t xml:space="preserve"> </w:t>
      </w:r>
      <w:r w:rsidR="00B308A4">
        <w:rPr>
          <w:rFonts w:hint="cs"/>
          <w:rtl/>
        </w:rPr>
        <w:t>בסכומים משמעותיים</w:t>
      </w:r>
      <w:r w:rsidRPr="00E44FD9">
        <w:rPr>
          <w:rtl/>
        </w:rPr>
        <w:t xml:space="preserve">. </w:t>
      </w:r>
    </w:p>
    <w:p w:rsidR="00CD4396" w:rsidRPr="00E44FD9" w:rsidRDefault="00CD4396" w:rsidP="008A0B8D">
      <w:pPr>
        <w:numPr>
          <w:ilvl w:val="2"/>
          <w:numId w:val="1"/>
        </w:numPr>
        <w:tabs>
          <w:tab w:val="clear" w:pos="567"/>
          <w:tab w:val="clear" w:pos="1134"/>
          <w:tab w:val="clear" w:pos="1814"/>
          <w:tab w:val="clear" w:pos="2665"/>
        </w:tabs>
        <w:spacing w:after="160"/>
        <w:ind w:left="584" w:hanging="448"/>
        <w:outlineLvl w:val="1"/>
        <w:rPr>
          <w:rFonts w:hint="cs"/>
          <w:rtl/>
        </w:rPr>
      </w:pPr>
      <w:r w:rsidRPr="00E524C4">
        <w:rPr>
          <w:u w:val="single"/>
          <w:rtl/>
        </w:rPr>
        <w:t>ה</w:t>
      </w:r>
      <w:r w:rsidR="00814C4D">
        <w:rPr>
          <w:rFonts w:hint="cs"/>
          <w:u w:val="single"/>
          <w:rtl/>
        </w:rPr>
        <w:t>פיקוח</w:t>
      </w:r>
      <w:r w:rsidRPr="00E524C4">
        <w:rPr>
          <w:u w:val="single"/>
          <w:rtl/>
        </w:rPr>
        <w:t xml:space="preserve"> קבע</w:t>
      </w:r>
      <w:r w:rsidRPr="00E524C4">
        <w:rPr>
          <w:rFonts w:hint="cs"/>
          <w:u w:val="single"/>
          <w:rtl/>
        </w:rPr>
        <w:t xml:space="preserve"> כי </w:t>
      </w:r>
      <w:r w:rsidRPr="00E524C4">
        <w:rPr>
          <w:u w:val="single"/>
          <w:rtl/>
        </w:rPr>
        <w:t>דחי</w:t>
      </w:r>
      <w:r w:rsidR="008A0B8D">
        <w:rPr>
          <w:rFonts w:hint="cs"/>
          <w:u w:val="single"/>
          <w:rtl/>
        </w:rPr>
        <w:t>ות</w:t>
      </w:r>
      <w:r w:rsidRPr="00E524C4">
        <w:rPr>
          <w:u w:val="single"/>
          <w:rtl/>
        </w:rPr>
        <w:t xml:space="preserve"> חוזר</w:t>
      </w:r>
      <w:r w:rsidR="008A0B8D">
        <w:rPr>
          <w:rFonts w:hint="cs"/>
          <w:u w:val="single"/>
          <w:rtl/>
        </w:rPr>
        <w:t>ו</w:t>
      </w:r>
      <w:r w:rsidRPr="00E524C4">
        <w:rPr>
          <w:u w:val="single"/>
          <w:rtl/>
        </w:rPr>
        <w:t>ת ונשנ</w:t>
      </w:r>
      <w:r w:rsidR="008A0B8D">
        <w:rPr>
          <w:rFonts w:hint="cs"/>
          <w:u w:val="single"/>
          <w:rtl/>
        </w:rPr>
        <w:t>ו</w:t>
      </w:r>
      <w:r w:rsidRPr="00E524C4">
        <w:rPr>
          <w:u w:val="single"/>
          <w:rtl/>
        </w:rPr>
        <w:t xml:space="preserve">ת של מועדי פירעון האשראי ("גלגולים") למעשה </w:t>
      </w:r>
      <w:r w:rsidRPr="00E524C4">
        <w:rPr>
          <w:rFonts w:hint="cs"/>
          <w:u w:val="single"/>
          <w:rtl/>
        </w:rPr>
        <w:t xml:space="preserve">מסתירים קשיים אצל הלווים </w:t>
      </w:r>
      <w:r w:rsidRPr="00E524C4">
        <w:rPr>
          <w:u w:val="single"/>
          <w:rtl/>
        </w:rPr>
        <w:t xml:space="preserve">ודרש סיווגם </w:t>
      </w:r>
      <w:r w:rsidRPr="00E524C4">
        <w:rPr>
          <w:rFonts w:hint="cs"/>
          <w:u w:val="single"/>
          <w:rtl/>
        </w:rPr>
        <w:t>כ</w:t>
      </w:r>
      <w:r w:rsidRPr="00E524C4">
        <w:rPr>
          <w:u w:val="single"/>
          <w:rtl/>
        </w:rPr>
        <w:t>חובות כבעייתיים</w:t>
      </w:r>
      <w:r w:rsidRPr="00E44FD9">
        <w:rPr>
          <w:rFonts w:hint="cs"/>
          <w:rtl/>
        </w:rPr>
        <w:t xml:space="preserve"> </w:t>
      </w:r>
      <w:r w:rsidR="008C0973">
        <w:rPr>
          <w:rFonts w:hint="cs"/>
          <w:rtl/>
        </w:rPr>
        <w:t xml:space="preserve">- </w:t>
      </w:r>
      <w:r w:rsidRPr="00E44FD9">
        <w:rPr>
          <w:rFonts w:hint="cs"/>
          <w:rtl/>
        </w:rPr>
        <w:t>כאמור דרישה לסיווג מובילה להימנעות ממתן אשראי חדש ולאמצעי לחץ לגביית חובות</w:t>
      </w:r>
      <w:r w:rsidRPr="00E44FD9">
        <w:rPr>
          <w:rtl/>
        </w:rPr>
        <w:t>.</w:t>
      </w:r>
    </w:p>
    <w:p w:rsidR="00CD4396" w:rsidRPr="00E44FD9" w:rsidRDefault="00CD4396" w:rsidP="008E7DC1">
      <w:pPr>
        <w:numPr>
          <w:ilvl w:val="2"/>
          <w:numId w:val="1"/>
        </w:numPr>
        <w:tabs>
          <w:tab w:val="clear" w:pos="567"/>
          <w:tab w:val="clear" w:pos="1134"/>
          <w:tab w:val="clear" w:pos="1814"/>
          <w:tab w:val="clear" w:pos="2665"/>
        </w:tabs>
        <w:spacing w:after="160"/>
        <w:ind w:left="584" w:hanging="448"/>
        <w:outlineLvl w:val="1"/>
        <w:rPr>
          <w:rFonts w:hint="cs"/>
          <w:rtl/>
        </w:rPr>
      </w:pPr>
      <w:r w:rsidRPr="00E524C4">
        <w:rPr>
          <w:rFonts w:hint="cs"/>
          <w:u w:val="single"/>
          <w:rtl/>
        </w:rPr>
        <w:t>ה</w:t>
      </w:r>
      <w:r w:rsidR="00814C4D">
        <w:rPr>
          <w:rFonts w:hint="cs"/>
          <w:u w:val="single"/>
          <w:rtl/>
        </w:rPr>
        <w:t>פיקוח</w:t>
      </w:r>
      <w:r w:rsidRPr="00E524C4">
        <w:rPr>
          <w:rFonts w:hint="cs"/>
          <w:u w:val="single"/>
          <w:rtl/>
        </w:rPr>
        <w:t xml:space="preserve"> דרש במקרים מסוימים </w:t>
      </w:r>
      <w:r w:rsidRPr="00E524C4">
        <w:rPr>
          <w:u w:val="single"/>
          <w:rtl/>
        </w:rPr>
        <w:t xml:space="preserve">לבחון חלופות </w:t>
      </w:r>
      <w:r w:rsidRPr="00E524C4">
        <w:rPr>
          <w:rFonts w:hint="cs"/>
          <w:u w:val="single"/>
          <w:rtl/>
        </w:rPr>
        <w:t xml:space="preserve">מכומתות </w:t>
      </w:r>
      <w:r w:rsidRPr="00E524C4">
        <w:rPr>
          <w:u w:val="single"/>
          <w:rtl/>
        </w:rPr>
        <w:t>לגביי</w:t>
      </w:r>
      <w:r w:rsidRPr="00E524C4">
        <w:rPr>
          <w:rFonts w:hint="cs"/>
          <w:u w:val="single"/>
          <w:rtl/>
        </w:rPr>
        <w:t>ת החוב</w:t>
      </w:r>
      <w:r w:rsidRPr="00E44FD9">
        <w:rPr>
          <w:rFonts w:hint="cs"/>
          <w:rtl/>
        </w:rPr>
        <w:t xml:space="preserve"> </w:t>
      </w:r>
      <w:r w:rsidRPr="00E44FD9">
        <w:rPr>
          <w:rtl/>
        </w:rPr>
        <w:t>–</w:t>
      </w:r>
      <w:r w:rsidRPr="00E44FD9">
        <w:rPr>
          <w:rFonts w:hint="cs"/>
          <w:rtl/>
        </w:rPr>
        <w:t xml:space="preserve"> דרישה זו באה במקרים בהם </w:t>
      </w:r>
      <w:r w:rsidRPr="00E44FD9">
        <w:rPr>
          <w:rtl/>
        </w:rPr>
        <w:t>לווים היו בקשיים לאורך זמן והבנקים לא נקטו צעדי גבייה אגרסיביים כנגדם</w:t>
      </w:r>
      <w:r w:rsidRPr="00E44FD9">
        <w:rPr>
          <w:rFonts w:hint="cs"/>
          <w:rtl/>
        </w:rPr>
        <w:t xml:space="preserve">. הדרישה היתה לבחון את המשך ההתנהלות מול הלווה אל מול </w:t>
      </w:r>
      <w:r w:rsidRPr="00E44FD9">
        <w:rPr>
          <w:rtl/>
        </w:rPr>
        <w:t xml:space="preserve">חלופה </w:t>
      </w:r>
      <w:r w:rsidRPr="00E44FD9">
        <w:rPr>
          <w:rFonts w:hint="cs"/>
          <w:rtl/>
        </w:rPr>
        <w:t>של פירעון מידי של החוב</w:t>
      </w:r>
      <w:r w:rsidRPr="00E44FD9">
        <w:rPr>
          <w:rtl/>
        </w:rPr>
        <w:t xml:space="preserve">, על סמך תחזיות תזרימי מזומנים עתידיים מבוססות, להביאן לדיון בדירקטוריון ולקבל החלטה מתאימה. </w:t>
      </w:r>
      <w:r w:rsidRPr="00E44FD9">
        <w:rPr>
          <w:rFonts w:hint="cs"/>
          <w:rtl/>
        </w:rPr>
        <w:t xml:space="preserve">יודגש כי </w:t>
      </w:r>
      <w:r w:rsidRPr="00E44FD9">
        <w:rPr>
          <w:rtl/>
        </w:rPr>
        <w:t xml:space="preserve">אין זה </w:t>
      </w:r>
      <w:r w:rsidRPr="00E44FD9">
        <w:rPr>
          <w:rFonts w:hint="cs"/>
          <w:rtl/>
        </w:rPr>
        <w:t>בסמכותו</w:t>
      </w:r>
      <w:r w:rsidRPr="00E44FD9">
        <w:rPr>
          <w:rtl/>
        </w:rPr>
        <w:t xml:space="preserve"> של הפיקוח על הבנקים להורות באופן ישיר לבנק לממש ביטחונות של לווה בכשל. </w:t>
      </w:r>
    </w:p>
    <w:p w:rsidR="00CD4396" w:rsidRDefault="00DC172A" w:rsidP="008E7DC1">
      <w:pPr>
        <w:tabs>
          <w:tab w:val="clear" w:pos="567"/>
          <w:tab w:val="clear" w:pos="1134"/>
          <w:tab w:val="num" w:pos="562"/>
        </w:tabs>
        <w:outlineLvl w:val="0"/>
        <w:rPr>
          <w:rFonts w:hint="cs"/>
          <w:kern w:val="28"/>
          <w:rtl/>
        </w:rPr>
      </w:pPr>
      <w:r>
        <w:rPr>
          <w:rFonts w:hint="cs"/>
          <w:kern w:val="28"/>
          <w:rtl/>
        </w:rPr>
        <w:t>גם כאשר האשראי כבר הועמד הפיקוח על הבנקים דרש</w:t>
      </w:r>
      <w:r w:rsidR="00814C4D">
        <w:rPr>
          <w:rFonts w:hint="cs"/>
          <w:kern w:val="28"/>
          <w:rtl/>
        </w:rPr>
        <w:t xml:space="preserve"> מהבנקים</w:t>
      </w:r>
      <w:r w:rsidRPr="00DC172A">
        <w:rPr>
          <w:rFonts w:hint="cs"/>
          <w:kern w:val="28"/>
          <w:rtl/>
        </w:rPr>
        <w:t xml:space="preserve"> </w:t>
      </w:r>
      <w:r w:rsidRPr="00E44FD9">
        <w:rPr>
          <w:rFonts w:hint="cs"/>
          <w:kern w:val="28"/>
          <w:rtl/>
        </w:rPr>
        <w:t xml:space="preserve">לשקף באופן מלא בדוחותיהם הכספיים את ההפסדים שנגרמו להם, </w:t>
      </w:r>
      <w:r>
        <w:rPr>
          <w:rFonts w:hint="cs"/>
          <w:kern w:val="28"/>
          <w:rtl/>
        </w:rPr>
        <w:t>ו</w:t>
      </w:r>
      <w:r w:rsidRPr="00E44FD9">
        <w:rPr>
          <w:rFonts w:hint="cs"/>
          <w:kern w:val="28"/>
          <w:rtl/>
        </w:rPr>
        <w:t xml:space="preserve">לחזק במידת האפשר את מבנה האשראי </w:t>
      </w:r>
      <w:r>
        <w:rPr>
          <w:rFonts w:hint="cs"/>
          <w:kern w:val="28"/>
          <w:rtl/>
        </w:rPr>
        <w:t>בצמתי החלטה ככל שניתן</w:t>
      </w:r>
      <w:r>
        <w:rPr>
          <w:rFonts w:hint="cs"/>
          <w:b/>
          <w:bCs/>
          <w:rtl/>
        </w:rPr>
        <w:t>.</w:t>
      </w:r>
      <w:r w:rsidR="006161A3">
        <w:rPr>
          <w:rFonts w:hint="cs"/>
          <w:b/>
          <w:bCs/>
          <w:rtl/>
        </w:rPr>
        <w:t xml:space="preserve"> </w:t>
      </w:r>
      <w:r w:rsidR="00CD4396" w:rsidRPr="00863726">
        <w:rPr>
          <w:rFonts w:hint="cs"/>
          <w:b/>
          <w:bCs/>
          <w:kern w:val="28"/>
          <w:rtl/>
        </w:rPr>
        <w:t>בנוסף, הבנקים נדרש</w:t>
      </w:r>
      <w:r w:rsidR="0045000D">
        <w:rPr>
          <w:rFonts w:hint="cs"/>
          <w:b/>
          <w:bCs/>
          <w:kern w:val="28"/>
          <w:rtl/>
        </w:rPr>
        <w:t>ו</w:t>
      </w:r>
      <w:r w:rsidR="00CF353A" w:rsidRPr="00863726">
        <w:rPr>
          <w:rFonts w:hint="cs"/>
          <w:b/>
          <w:bCs/>
          <w:kern w:val="28"/>
          <w:rtl/>
        </w:rPr>
        <w:t xml:space="preserve"> לבצע תיקונים גם במבט צופה פני עתיד ו</w:t>
      </w:r>
      <w:r w:rsidR="00CF353A">
        <w:rPr>
          <w:rFonts w:hint="cs"/>
          <w:kern w:val="28"/>
          <w:rtl/>
        </w:rPr>
        <w:t>בכלל זה:</w:t>
      </w:r>
      <w:r w:rsidR="00CD4396" w:rsidRPr="00E44FD9">
        <w:rPr>
          <w:rFonts w:hint="cs"/>
          <w:kern w:val="28"/>
          <w:rtl/>
        </w:rPr>
        <w:t xml:space="preserve"> לתקן את מדיניות האשראי והתיאבון לסיכון, לתקן את המתודולוגיה בהערכת סיכונים ובהעמדת אשראי, לחזק את הליכי הבקרה והמעקב אחר האשראי ועוד.</w:t>
      </w:r>
    </w:p>
    <w:p w:rsidR="00E659F9" w:rsidRPr="008E7DC1" w:rsidRDefault="00E659F9" w:rsidP="00DC172A">
      <w:pPr>
        <w:tabs>
          <w:tab w:val="clear" w:pos="567"/>
          <w:tab w:val="clear" w:pos="1134"/>
        </w:tabs>
        <w:outlineLvl w:val="0"/>
        <w:rPr>
          <w:rFonts w:hint="cs"/>
          <w:kern w:val="28"/>
          <w:sz w:val="16"/>
          <w:szCs w:val="16"/>
          <w:rtl/>
        </w:rPr>
      </w:pPr>
    </w:p>
    <w:p w:rsidR="00005ADB" w:rsidRPr="00863726" w:rsidRDefault="00005ADB" w:rsidP="001B2CEC">
      <w:pPr>
        <w:tabs>
          <w:tab w:val="clear" w:pos="567"/>
          <w:tab w:val="clear" w:pos="1134"/>
          <w:tab w:val="num" w:pos="562"/>
        </w:tabs>
        <w:outlineLvl w:val="0"/>
        <w:rPr>
          <w:rFonts w:hint="cs"/>
          <w:b/>
          <w:bCs/>
          <w:color w:val="00B0F0"/>
          <w:rtl/>
        </w:rPr>
      </w:pPr>
      <w:r w:rsidRPr="00863726">
        <w:rPr>
          <w:rFonts w:hint="cs"/>
          <w:b/>
          <w:bCs/>
          <w:color w:val="00B0F0"/>
          <w:rtl/>
        </w:rPr>
        <w:t>היכן בכל זאת הפיקוח סבור שלא עשה די</w:t>
      </w:r>
      <w:r w:rsidR="00C06BB0" w:rsidRPr="00863726">
        <w:rPr>
          <w:rFonts w:hint="cs"/>
          <w:b/>
          <w:bCs/>
          <w:color w:val="00B0F0"/>
          <w:rtl/>
        </w:rPr>
        <w:t>,</w:t>
      </w:r>
      <w:r w:rsidRPr="00863726">
        <w:rPr>
          <w:rFonts w:hint="cs"/>
          <w:b/>
          <w:bCs/>
          <w:color w:val="00B0F0"/>
          <w:rtl/>
        </w:rPr>
        <w:t xml:space="preserve"> ושנותר עוד להפיק לקחים?</w:t>
      </w:r>
    </w:p>
    <w:p w:rsidR="00C478EA" w:rsidRDefault="00C06BB0" w:rsidP="00982CE2">
      <w:pPr>
        <w:tabs>
          <w:tab w:val="clear" w:pos="567"/>
          <w:tab w:val="clear" w:pos="1134"/>
          <w:tab w:val="num" w:pos="562"/>
        </w:tabs>
        <w:outlineLvl w:val="0"/>
        <w:rPr>
          <w:rFonts w:hint="cs"/>
          <w:color w:val="000000"/>
          <w:kern w:val="28"/>
          <w:sz w:val="22"/>
          <w:rtl/>
        </w:rPr>
      </w:pPr>
      <w:r>
        <w:rPr>
          <w:rFonts w:hint="cs"/>
          <w:color w:val="000000"/>
          <w:kern w:val="28"/>
          <w:sz w:val="22"/>
          <w:rtl/>
        </w:rPr>
        <w:t xml:space="preserve">הפיקוח על הבנקים ביצע </w:t>
      </w:r>
      <w:r w:rsidR="00ED7A7D">
        <w:rPr>
          <w:rFonts w:hint="cs"/>
          <w:color w:val="000000"/>
          <w:kern w:val="28"/>
          <w:sz w:val="22"/>
          <w:rtl/>
        </w:rPr>
        <w:t xml:space="preserve">בשנה האחרונה </w:t>
      </w:r>
      <w:r>
        <w:rPr>
          <w:rFonts w:hint="cs"/>
          <w:color w:val="000000"/>
          <w:kern w:val="28"/>
          <w:sz w:val="22"/>
          <w:rtl/>
        </w:rPr>
        <w:t>תהלי</w:t>
      </w:r>
      <w:r w:rsidR="00AE48B6">
        <w:rPr>
          <w:rFonts w:hint="cs"/>
          <w:color w:val="000000"/>
          <w:kern w:val="28"/>
          <w:sz w:val="22"/>
          <w:rtl/>
        </w:rPr>
        <w:t>ך</w:t>
      </w:r>
      <w:r>
        <w:rPr>
          <w:rFonts w:hint="cs"/>
          <w:color w:val="000000"/>
          <w:kern w:val="28"/>
          <w:sz w:val="22"/>
          <w:rtl/>
        </w:rPr>
        <w:t xml:space="preserve"> הפקת לקחים מהכשלים שאירעו</w:t>
      </w:r>
      <w:r w:rsidR="00C478EA">
        <w:rPr>
          <w:rFonts w:hint="cs"/>
          <w:color w:val="000000"/>
          <w:kern w:val="28"/>
          <w:sz w:val="22"/>
          <w:rtl/>
        </w:rPr>
        <w:t xml:space="preserve"> במטרה לבחון האם עליו לנקוט בצעדים נוספים מול המערכת הבנקאית</w:t>
      </w:r>
      <w:r>
        <w:rPr>
          <w:rFonts w:hint="cs"/>
          <w:color w:val="000000"/>
          <w:kern w:val="28"/>
          <w:sz w:val="22"/>
          <w:rtl/>
        </w:rPr>
        <w:t>.</w:t>
      </w:r>
    </w:p>
    <w:p w:rsidR="00C06BB0" w:rsidRDefault="006A7B7E" w:rsidP="00E379FD">
      <w:pPr>
        <w:tabs>
          <w:tab w:val="clear" w:pos="567"/>
          <w:tab w:val="clear" w:pos="1134"/>
          <w:tab w:val="num" w:pos="562"/>
        </w:tabs>
        <w:outlineLvl w:val="0"/>
        <w:rPr>
          <w:rFonts w:hint="cs"/>
          <w:rtl/>
        </w:rPr>
      </w:pPr>
      <w:r>
        <w:rPr>
          <w:rFonts w:hint="cs"/>
          <w:b/>
          <w:bCs/>
          <w:color w:val="000000"/>
          <w:kern w:val="28"/>
          <w:sz w:val="22"/>
          <w:rtl/>
        </w:rPr>
        <w:t>ה</w:t>
      </w:r>
      <w:r w:rsidR="00C478EA" w:rsidRPr="00863726">
        <w:rPr>
          <w:rFonts w:hint="cs"/>
          <w:b/>
          <w:bCs/>
          <w:color w:val="000000"/>
          <w:kern w:val="28"/>
          <w:sz w:val="22"/>
          <w:rtl/>
        </w:rPr>
        <w:t>תהלי</w:t>
      </w:r>
      <w:r>
        <w:rPr>
          <w:rFonts w:hint="cs"/>
          <w:b/>
          <w:bCs/>
          <w:color w:val="000000"/>
          <w:kern w:val="28"/>
          <w:sz w:val="22"/>
          <w:rtl/>
        </w:rPr>
        <w:t>כים</w:t>
      </w:r>
      <w:r w:rsidR="00517923">
        <w:rPr>
          <w:rFonts w:hint="cs"/>
          <w:b/>
          <w:bCs/>
          <w:color w:val="000000"/>
          <w:kern w:val="28"/>
          <w:sz w:val="22"/>
          <w:rtl/>
        </w:rPr>
        <w:t xml:space="preserve"> </w:t>
      </w:r>
      <w:r w:rsidR="00C478EA" w:rsidRPr="00863726">
        <w:rPr>
          <w:rFonts w:hint="cs"/>
          <w:b/>
          <w:bCs/>
          <w:color w:val="000000"/>
          <w:kern w:val="28"/>
          <w:sz w:val="22"/>
          <w:rtl/>
        </w:rPr>
        <w:t>העל</w:t>
      </w:r>
      <w:r>
        <w:rPr>
          <w:rFonts w:hint="cs"/>
          <w:b/>
          <w:bCs/>
          <w:color w:val="000000"/>
          <w:kern w:val="28"/>
          <w:sz w:val="22"/>
          <w:rtl/>
        </w:rPr>
        <w:t>ו</w:t>
      </w:r>
      <w:r w:rsidR="00C478EA" w:rsidRPr="00863726">
        <w:rPr>
          <w:rFonts w:hint="cs"/>
          <w:b/>
          <w:bCs/>
          <w:color w:val="000000"/>
          <w:kern w:val="28"/>
          <w:sz w:val="22"/>
          <w:rtl/>
        </w:rPr>
        <w:t xml:space="preserve"> ש</w:t>
      </w:r>
      <w:r w:rsidR="00C06BB0" w:rsidRPr="00863726">
        <w:rPr>
          <w:rFonts w:hint="cs"/>
          <w:b/>
          <w:bCs/>
          <w:color w:val="000000"/>
          <w:kern w:val="28"/>
          <w:sz w:val="22"/>
          <w:rtl/>
        </w:rPr>
        <w:t xml:space="preserve">בעוד נושא </w:t>
      </w:r>
      <w:r w:rsidR="00072593">
        <w:rPr>
          <w:rFonts w:hint="cs"/>
          <w:b/>
          <w:bCs/>
          <w:color w:val="000000"/>
          <w:kern w:val="28"/>
          <w:sz w:val="22"/>
          <w:rtl/>
        </w:rPr>
        <w:t xml:space="preserve">מתן אשראי ללווים גדולים והערכת הסיכונים </w:t>
      </w:r>
      <w:r w:rsidR="004009AD">
        <w:rPr>
          <w:rFonts w:hint="cs"/>
          <w:b/>
          <w:bCs/>
          <w:color w:val="000000"/>
          <w:kern w:val="28"/>
          <w:sz w:val="22"/>
          <w:rtl/>
        </w:rPr>
        <w:t>שלו</w:t>
      </w:r>
      <w:r w:rsidR="00AE48B6">
        <w:rPr>
          <w:rFonts w:hint="cs"/>
          <w:b/>
          <w:bCs/>
          <w:color w:val="000000"/>
          <w:kern w:val="28"/>
          <w:sz w:val="22"/>
          <w:rtl/>
        </w:rPr>
        <w:t xml:space="preserve"> </w:t>
      </w:r>
      <w:r w:rsidR="00C06BB0" w:rsidRPr="00863726">
        <w:rPr>
          <w:rFonts w:hint="cs"/>
          <w:b/>
          <w:bCs/>
          <w:color w:val="000000"/>
          <w:kern w:val="28"/>
          <w:sz w:val="22"/>
          <w:rtl/>
        </w:rPr>
        <w:t>טו</w:t>
      </w:r>
      <w:r w:rsidR="006B608B" w:rsidRPr="00863726">
        <w:rPr>
          <w:rFonts w:hint="cs"/>
          <w:b/>
          <w:bCs/>
          <w:color w:val="000000"/>
          <w:kern w:val="28"/>
          <w:sz w:val="22"/>
          <w:rtl/>
        </w:rPr>
        <w:t xml:space="preserve">פל בשנים האחרונות, </w:t>
      </w:r>
      <w:r w:rsidR="00533D0C" w:rsidRPr="00863726">
        <w:rPr>
          <w:rFonts w:hint="cs"/>
          <w:b/>
          <w:bCs/>
          <w:color w:val="000000"/>
          <w:kern w:val="28"/>
          <w:sz w:val="22"/>
          <w:rtl/>
        </w:rPr>
        <w:t xml:space="preserve">חשוב לחדד את </w:t>
      </w:r>
      <w:r w:rsidR="00C478EA" w:rsidRPr="00863726">
        <w:rPr>
          <w:rFonts w:hint="cs"/>
          <w:b/>
          <w:bCs/>
          <w:color w:val="000000"/>
          <w:kern w:val="28"/>
          <w:sz w:val="22"/>
          <w:rtl/>
        </w:rPr>
        <w:t>הדרישות הפיק</w:t>
      </w:r>
      <w:r w:rsidR="00012674" w:rsidRPr="00863726">
        <w:rPr>
          <w:rFonts w:hint="cs"/>
          <w:b/>
          <w:bCs/>
          <w:color w:val="000000"/>
          <w:kern w:val="28"/>
          <w:sz w:val="22"/>
          <w:rtl/>
        </w:rPr>
        <w:t>ו</w:t>
      </w:r>
      <w:r w:rsidR="00C478EA" w:rsidRPr="00863726">
        <w:rPr>
          <w:rFonts w:hint="cs"/>
          <w:b/>
          <w:bCs/>
          <w:color w:val="000000"/>
          <w:kern w:val="28"/>
          <w:sz w:val="22"/>
          <w:rtl/>
        </w:rPr>
        <w:t>חיות</w:t>
      </w:r>
      <w:r w:rsidR="00012674" w:rsidRPr="00863726">
        <w:rPr>
          <w:rFonts w:hint="cs"/>
          <w:b/>
          <w:bCs/>
          <w:color w:val="000000"/>
          <w:kern w:val="28"/>
          <w:sz w:val="22"/>
          <w:rtl/>
        </w:rPr>
        <w:t xml:space="preserve"> בנוגע ל</w:t>
      </w:r>
      <w:r w:rsidR="00517923">
        <w:rPr>
          <w:rFonts w:hint="cs"/>
          <w:b/>
          <w:bCs/>
          <w:color w:val="000000"/>
          <w:kern w:val="28"/>
          <w:sz w:val="22"/>
          <w:rtl/>
        </w:rPr>
        <w:t>מאמצי הגביה ול</w:t>
      </w:r>
      <w:r w:rsidR="00012674" w:rsidRPr="00863726">
        <w:rPr>
          <w:rFonts w:hint="cs"/>
          <w:b/>
          <w:bCs/>
          <w:color w:val="000000"/>
          <w:kern w:val="28"/>
          <w:sz w:val="22"/>
          <w:rtl/>
        </w:rPr>
        <w:t>הסדרי חוב ללווים גדולים</w:t>
      </w:r>
      <w:r w:rsidR="00012674">
        <w:rPr>
          <w:rFonts w:hint="cs"/>
          <w:color w:val="000000"/>
          <w:kern w:val="28"/>
          <w:sz w:val="22"/>
          <w:rtl/>
        </w:rPr>
        <w:t xml:space="preserve">. </w:t>
      </w:r>
      <w:r w:rsidR="00533D0C">
        <w:rPr>
          <w:rFonts w:hint="cs"/>
          <w:color w:val="000000"/>
          <w:kern w:val="28"/>
          <w:sz w:val="22"/>
          <w:rtl/>
        </w:rPr>
        <w:t>לפיכך, בכוונת</w:t>
      </w:r>
      <w:r>
        <w:rPr>
          <w:rFonts w:hint="cs"/>
          <w:color w:val="000000"/>
          <w:kern w:val="28"/>
          <w:sz w:val="22"/>
          <w:rtl/>
        </w:rPr>
        <w:t xml:space="preserve"> הפיקוח</w:t>
      </w:r>
      <w:r w:rsidR="00533D0C">
        <w:rPr>
          <w:rFonts w:hint="cs"/>
          <w:color w:val="000000"/>
          <w:kern w:val="28"/>
          <w:sz w:val="22"/>
          <w:rtl/>
        </w:rPr>
        <w:t xml:space="preserve"> להסדיר </w:t>
      </w:r>
      <w:r w:rsidR="00012674">
        <w:rPr>
          <w:rFonts w:hint="cs"/>
          <w:color w:val="000000"/>
          <w:kern w:val="28"/>
          <w:sz w:val="22"/>
          <w:rtl/>
        </w:rPr>
        <w:t>נושא זה</w:t>
      </w:r>
      <w:r w:rsidR="00C06BB0" w:rsidRPr="00C06BB0">
        <w:rPr>
          <w:rFonts w:hint="cs"/>
          <w:color w:val="000000"/>
          <w:kern w:val="28"/>
          <w:sz w:val="22"/>
          <w:rtl/>
        </w:rPr>
        <w:t xml:space="preserve"> </w:t>
      </w:r>
      <w:r w:rsidR="00072593">
        <w:rPr>
          <w:rFonts w:hint="cs"/>
          <w:color w:val="000000"/>
          <w:kern w:val="28"/>
          <w:sz w:val="22"/>
          <w:rtl/>
        </w:rPr>
        <w:t xml:space="preserve">בהוראות </w:t>
      </w:r>
      <w:r w:rsidR="00C06BB0" w:rsidRPr="00C06BB0">
        <w:rPr>
          <w:rFonts w:hint="cs"/>
          <w:color w:val="000000"/>
          <w:kern w:val="28"/>
          <w:sz w:val="22"/>
          <w:rtl/>
        </w:rPr>
        <w:t xml:space="preserve">על מנת לוודא כי קבלת ההחלטות מתבצעת באופן מושכל </w:t>
      </w:r>
      <w:r w:rsidR="00092DDE">
        <w:rPr>
          <w:rFonts w:hint="cs"/>
          <w:color w:val="000000"/>
          <w:kern w:val="28"/>
          <w:sz w:val="22"/>
          <w:rtl/>
        </w:rPr>
        <w:t>ומיטבי</w:t>
      </w:r>
      <w:r w:rsidR="00C06BB0" w:rsidRPr="00C06BB0">
        <w:rPr>
          <w:rFonts w:hint="cs"/>
          <w:color w:val="000000"/>
          <w:kern w:val="28"/>
          <w:sz w:val="22"/>
          <w:rtl/>
        </w:rPr>
        <w:t>.</w:t>
      </w:r>
      <w:r w:rsidR="00533D0C">
        <w:rPr>
          <w:rFonts w:hint="cs"/>
          <w:color w:val="000000"/>
          <w:kern w:val="28"/>
          <w:sz w:val="22"/>
          <w:rtl/>
        </w:rPr>
        <w:t xml:space="preserve"> </w:t>
      </w:r>
    </w:p>
    <w:p w:rsidR="00012674" w:rsidRPr="00863726" w:rsidRDefault="00012674" w:rsidP="006A7B7E">
      <w:pPr>
        <w:tabs>
          <w:tab w:val="clear" w:pos="567"/>
          <w:tab w:val="clear" w:pos="1134"/>
          <w:tab w:val="num" w:pos="562"/>
        </w:tabs>
        <w:outlineLvl w:val="0"/>
        <w:rPr>
          <w:rFonts w:hint="cs"/>
          <w:b/>
          <w:bCs/>
          <w:rtl/>
        </w:rPr>
      </w:pPr>
      <w:r w:rsidRPr="00C345AD">
        <w:rPr>
          <w:rFonts w:hint="cs"/>
          <w:rtl/>
        </w:rPr>
        <w:t xml:space="preserve">לקח נוסף מצביע על הצורך לצמצם את הארביטרג' הרגולטורי בתהליכי הערכת סיכון, חיתום וסיווג של הלוואות ממונפות על מנת למנוע מצב בו המגבלות בבנקים גורמות </w:t>
      </w:r>
      <w:r w:rsidR="00EB7B1C">
        <w:rPr>
          <w:rFonts w:hint="cs"/>
          <w:rtl/>
        </w:rPr>
        <w:t>להסטת ה</w:t>
      </w:r>
      <w:r w:rsidRPr="00C345AD">
        <w:rPr>
          <w:rFonts w:hint="cs"/>
          <w:rtl/>
        </w:rPr>
        <w:t xml:space="preserve">סיכונים </w:t>
      </w:r>
      <w:r w:rsidR="006A7B7E">
        <w:rPr>
          <w:rFonts w:hint="cs"/>
          <w:rtl/>
        </w:rPr>
        <w:t>אל המשקיעים המוסדיים</w:t>
      </w:r>
      <w:r w:rsidRPr="00C345AD">
        <w:rPr>
          <w:rFonts w:hint="cs"/>
          <w:rtl/>
        </w:rPr>
        <w:t xml:space="preserve">. לצורך כך </w:t>
      </w:r>
      <w:r w:rsidRPr="00863726">
        <w:rPr>
          <w:rFonts w:hint="cs"/>
          <w:b/>
          <w:bCs/>
          <w:rtl/>
        </w:rPr>
        <w:t xml:space="preserve">פועלים בממשלה ובבנק ישראל להקמת הועדה ליציבות פיננסית שאמורה </w:t>
      </w:r>
      <w:r w:rsidR="006A7B7E">
        <w:rPr>
          <w:rFonts w:hint="cs"/>
          <w:b/>
          <w:bCs/>
          <w:rtl/>
        </w:rPr>
        <w:t>לתאם בין הרגולטורים ולמנוע התפתחות סיכונים מערכתיים</w:t>
      </w:r>
      <w:r w:rsidRPr="00863726">
        <w:rPr>
          <w:rFonts w:hint="cs"/>
          <w:b/>
          <w:bCs/>
          <w:rtl/>
        </w:rPr>
        <w:t>.</w:t>
      </w:r>
    </w:p>
    <w:p w:rsidR="0045000D" w:rsidRDefault="00AD5B82" w:rsidP="00982CE2">
      <w:pPr>
        <w:tabs>
          <w:tab w:val="clear" w:pos="567"/>
          <w:tab w:val="clear" w:pos="1134"/>
          <w:tab w:val="num" w:pos="562"/>
        </w:tabs>
        <w:outlineLvl w:val="0"/>
        <w:rPr>
          <w:rFonts w:hint="cs"/>
          <w:color w:val="000000"/>
          <w:kern w:val="28"/>
          <w:sz w:val="22"/>
          <w:rtl/>
        </w:rPr>
      </w:pPr>
      <w:r w:rsidRPr="005E1299">
        <w:rPr>
          <w:rFonts w:hint="cs"/>
          <w:color w:val="000000"/>
          <w:kern w:val="28"/>
          <w:sz w:val="22"/>
          <w:rtl/>
        </w:rPr>
        <w:t xml:space="preserve">לקח נוסיף הוביל את הפיקוח </w:t>
      </w:r>
      <w:r w:rsidRPr="005E1299">
        <w:rPr>
          <w:rFonts w:hint="cs"/>
          <w:b/>
          <w:bCs/>
          <w:color w:val="000000"/>
          <w:kern w:val="28"/>
          <w:sz w:val="22"/>
          <w:rtl/>
        </w:rPr>
        <w:t xml:space="preserve">לבחון דרכים להגדיל </w:t>
      </w:r>
      <w:r w:rsidR="0098308A">
        <w:rPr>
          <w:rFonts w:hint="cs"/>
          <w:b/>
          <w:bCs/>
          <w:color w:val="000000"/>
          <w:kern w:val="28"/>
          <w:sz w:val="22"/>
          <w:rtl/>
        </w:rPr>
        <w:t xml:space="preserve">את הפתיחות כלפי הציבור לגבי פעולות הפיקוח על הבנקים, </w:t>
      </w:r>
      <w:r w:rsidR="0098308A">
        <w:rPr>
          <w:rFonts w:hint="cs"/>
          <w:color w:val="000000"/>
          <w:kern w:val="28"/>
          <w:sz w:val="22"/>
          <w:rtl/>
        </w:rPr>
        <w:t xml:space="preserve">כדי להגביר את </w:t>
      </w:r>
      <w:r w:rsidR="00072593">
        <w:rPr>
          <w:rFonts w:hint="cs"/>
          <w:color w:val="000000"/>
          <w:kern w:val="28"/>
          <w:sz w:val="22"/>
          <w:rtl/>
        </w:rPr>
        <w:t xml:space="preserve">ההבנה </w:t>
      </w:r>
      <w:r w:rsidR="0098308A">
        <w:rPr>
          <w:rFonts w:hint="cs"/>
          <w:color w:val="000000"/>
          <w:kern w:val="28"/>
          <w:sz w:val="22"/>
          <w:rtl/>
        </w:rPr>
        <w:t>לגבי</w:t>
      </w:r>
      <w:r w:rsidRPr="005E1299">
        <w:rPr>
          <w:rFonts w:hint="cs"/>
          <w:color w:val="000000"/>
          <w:kern w:val="28"/>
          <w:sz w:val="22"/>
          <w:rtl/>
        </w:rPr>
        <w:t xml:space="preserve"> פעילו</w:t>
      </w:r>
      <w:r w:rsidR="00072593">
        <w:rPr>
          <w:rFonts w:hint="cs"/>
          <w:color w:val="000000"/>
          <w:kern w:val="28"/>
          <w:sz w:val="22"/>
          <w:rtl/>
        </w:rPr>
        <w:t>יו</w:t>
      </w:r>
      <w:r w:rsidRPr="005E1299">
        <w:rPr>
          <w:rFonts w:hint="cs"/>
          <w:color w:val="000000"/>
          <w:kern w:val="28"/>
          <w:sz w:val="22"/>
          <w:rtl/>
        </w:rPr>
        <w:t xml:space="preserve">תיו. </w:t>
      </w:r>
    </w:p>
    <w:p w:rsidR="00A72E0B" w:rsidRDefault="00A72E0B" w:rsidP="00AD5B82">
      <w:pPr>
        <w:tabs>
          <w:tab w:val="clear" w:pos="567"/>
          <w:tab w:val="clear" w:pos="1134"/>
          <w:tab w:val="num" w:pos="562"/>
        </w:tabs>
        <w:outlineLvl w:val="0"/>
        <w:rPr>
          <w:rFonts w:hint="cs"/>
          <w:color w:val="000000"/>
          <w:kern w:val="28"/>
          <w:sz w:val="22"/>
          <w:rtl/>
        </w:rPr>
      </w:pPr>
    </w:p>
    <w:p w:rsidR="00252F40" w:rsidRDefault="00252F40" w:rsidP="00AD5B82">
      <w:pPr>
        <w:tabs>
          <w:tab w:val="clear" w:pos="567"/>
          <w:tab w:val="clear" w:pos="1134"/>
          <w:tab w:val="num" w:pos="562"/>
        </w:tabs>
        <w:outlineLvl w:val="0"/>
        <w:rPr>
          <w:rFonts w:hint="cs"/>
          <w:color w:val="000000"/>
          <w:kern w:val="28"/>
          <w:sz w:val="22"/>
          <w:rtl/>
        </w:rPr>
      </w:pPr>
    </w:p>
    <w:p w:rsidR="00252F40" w:rsidRDefault="00252F40" w:rsidP="00AD5B82">
      <w:pPr>
        <w:tabs>
          <w:tab w:val="clear" w:pos="567"/>
          <w:tab w:val="clear" w:pos="1134"/>
          <w:tab w:val="num" w:pos="562"/>
        </w:tabs>
        <w:outlineLvl w:val="0"/>
        <w:rPr>
          <w:rFonts w:hint="cs"/>
          <w:color w:val="000000"/>
          <w:kern w:val="28"/>
          <w:sz w:val="22"/>
          <w:rtl/>
        </w:rPr>
      </w:pPr>
    </w:p>
    <w:p w:rsidR="00252F40" w:rsidRDefault="00252F40" w:rsidP="00AD5B82">
      <w:pPr>
        <w:tabs>
          <w:tab w:val="clear" w:pos="567"/>
          <w:tab w:val="clear" w:pos="1134"/>
          <w:tab w:val="num" w:pos="562"/>
        </w:tabs>
        <w:outlineLvl w:val="0"/>
        <w:rPr>
          <w:rFonts w:hint="cs"/>
          <w:color w:val="000000"/>
          <w:kern w:val="28"/>
          <w:sz w:val="22"/>
          <w:rtl/>
        </w:rPr>
      </w:pPr>
    </w:p>
    <w:p w:rsidR="000215DA" w:rsidRPr="00863726" w:rsidRDefault="0062509D" w:rsidP="000215DA">
      <w:pPr>
        <w:tabs>
          <w:tab w:val="clear" w:pos="567"/>
          <w:tab w:val="clear" w:pos="1134"/>
          <w:tab w:val="num" w:pos="562"/>
        </w:tabs>
        <w:outlineLvl w:val="0"/>
        <w:rPr>
          <w:rFonts w:hint="cs"/>
          <w:b/>
          <w:bCs/>
          <w:color w:val="00B0F0"/>
          <w:rtl/>
        </w:rPr>
      </w:pPr>
      <w:r w:rsidRPr="00863726">
        <w:rPr>
          <w:rFonts w:hint="cs"/>
          <w:b/>
          <w:bCs/>
          <w:color w:val="00B0F0"/>
          <w:rtl/>
        </w:rPr>
        <w:lastRenderedPageBreak/>
        <w:t>מילות סיכום במבט לעתיד?</w:t>
      </w:r>
    </w:p>
    <w:p w:rsidR="00533D0C" w:rsidRPr="00533D0C" w:rsidRDefault="00533D0C" w:rsidP="00E524C4">
      <w:pPr>
        <w:tabs>
          <w:tab w:val="clear" w:pos="567"/>
          <w:tab w:val="clear" w:pos="1134"/>
          <w:tab w:val="num" w:pos="562"/>
        </w:tabs>
        <w:spacing w:after="240"/>
        <w:outlineLvl w:val="0"/>
        <w:rPr>
          <w:color w:val="000000"/>
          <w:kern w:val="28"/>
          <w:sz w:val="22"/>
          <w:rtl/>
        </w:rPr>
      </w:pPr>
      <w:r w:rsidRPr="00533D0C">
        <w:rPr>
          <w:rFonts w:hint="cs"/>
          <w:color w:val="000000"/>
          <w:kern w:val="28"/>
          <w:sz w:val="22"/>
          <w:rtl/>
        </w:rPr>
        <w:t xml:space="preserve">הפיקוח על הבנקים ממשיך באופן שוטף לעקוב אחר חשיפות הבנקים לסיכונים, לחזק את תהליכי ניהול האשראי שהם מקיימים, לבצע ביקורות בבנקים, ולהפיק לקחים מהכשלים שאירעו. זאת, במטרה להבטיח את היציבות וההוגנות של המערכת הבנקאית. ככל שיימצא הצורך לנקוט בצעדים נוספים, הפיקוח לא יהסס לעשות כן. </w:t>
      </w:r>
    </w:p>
    <w:p w:rsidR="006B65DF" w:rsidRDefault="00533D0C" w:rsidP="00E524C4">
      <w:pPr>
        <w:tabs>
          <w:tab w:val="clear" w:pos="567"/>
          <w:tab w:val="clear" w:pos="1134"/>
          <w:tab w:val="num" w:pos="562"/>
        </w:tabs>
        <w:outlineLvl w:val="0"/>
        <w:rPr>
          <w:rFonts w:hint="cs"/>
          <w:b/>
          <w:bCs/>
          <w:rtl/>
        </w:rPr>
      </w:pPr>
      <w:r w:rsidRPr="005D7D5F">
        <w:rPr>
          <w:rFonts w:hint="cs"/>
          <w:color w:val="000000"/>
          <w:kern w:val="28"/>
          <w:sz w:val="22"/>
          <w:rtl/>
        </w:rPr>
        <w:t>לצד זה,</w:t>
      </w:r>
      <w:r w:rsidRPr="00863726">
        <w:rPr>
          <w:rFonts w:hint="cs"/>
          <w:b/>
          <w:bCs/>
          <w:color w:val="000000"/>
          <w:kern w:val="28"/>
          <w:sz w:val="22"/>
          <w:rtl/>
        </w:rPr>
        <w:t xml:space="preserve"> הפיקוח על הבנקים רואה את תפקידו גם בלאפשר ולעודד את הבנקים להעמיד אשראים לחברות עסקיות במשק, שכן </w:t>
      </w:r>
      <w:r w:rsidR="00FC4313">
        <w:rPr>
          <w:rFonts w:hint="cs"/>
          <w:b/>
          <w:bCs/>
          <w:color w:val="000000"/>
          <w:kern w:val="28"/>
          <w:sz w:val="22"/>
          <w:rtl/>
        </w:rPr>
        <w:t xml:space="preserve">לאלה </w:t>
      </w:r>
      <w:r w:rsidR="00AC5EE8">
        <w:rPr>
          <w:rFonts w:hint="cs"/>
          <w:b/>
          <w:bCs/>
          <w:color w:val="000000"/>
          <w:kern w:val="28"/>
          <w:sz w:val="22"/>
          <w:rtl/>
        </w:rPr>
        <w:t xml:space="preserve">תפקיד </w:t>
      </w:r>
      <w:r w:rsidR="00FC4313">
        <w:rPr>
          <w:rFonts w:hint="cs"/>
          <w:b/>
          <w:bCs/>
          <w:color w:val="000000"/>
          <w:kern w:val="28"/>
          <w:sz w:val="22"/>
          <w:rtl/>
        </w:rPr>
        <w:t xml:space="preserve">חשוב ביצירת </w:t>
      </w:r>
      <w:r w:rsidRPr="00863726">
        <w:rPr>
          <w:rFonts w:hint="cs"/>
          <w:b/>
          <w:bCs/>
          <w:color w:val="000000"/>
          <w:kern w:val="28"/>
          <w:sz w:val="22"/>
          <w:rtl/>
        </w:rPr>
        <w:t>הצמיחה הכלכלית ומקומות העבודה.</w:t>
      </w:r>
      <w:r w:rsidRPr="00533D0C">
        <w:rPr>
          <w:rFonts w:hint="cs"/>
          <w:color w:val="000000"/>
          <w:kern w:val="28"/>
          <w:sz w:val="22"/>
          <w:rtl/>
        </w:rPr>
        <w:t xml:space="preserve"> הניסיון מלמד שחלק מהחברות שנוטלות אשראי גם היום יגיעו לכשל, ועימ</w:t>
      </w:r>
      <w:r w:rsidR="00FC4313">
        <w:rPr>
          <w:rFonts w:hint="cs"/>
          <w:color w:val="000000"/>
          <w:kern w:val="28"/>
          <w:sz w:val="22"/>
          <w:rtl/>
        </w:rPr>
        <w:t>ן</w:t>
      </w:r>
      <w:r w:rsidRPr="00533D0C">
        <w:rPr>
          <w:rFonts w:hint="cs"/>
          <w:color w:val="000000"/>
          <w:kern w:val="28"/>
          <w:sz w:val="22"/>
          <w:rtl/>
        </w:rPr>
        <w:t xml:space="preserve"> יהיו לבנקים הפסדי אשראי. </w:t>
      </w:r>
      <w:r w:rsidR="00FC4313">
        <w:rPr>
          <w:rFonts w:hint="cs"/>
          <w:color w:val="000000"/>
          <w:kern w:val="28"/>
          <w:sz w:val="22"/>
          <w:rtl/>
        </w:rPr>
        <w:t xml:space="preserve">הפיקוח ימשיך לפעול כדי להבטיח </w:t>
      </w:r>
      <w:r w:rsidRPr="00533D0C">
        <w:rPr>
          <w:rFonts w:hint="cs"/>
          <w:color w:val="000000"/>
          <w:kern w:val="28"/>
          <w:sz w:val="22"/>
          <w:rtl/>
        </w:rPr>
        <w:t>שהפסדים שיתממשו בעתיד יהיו בהיקף שלא יסכן את היציבות של הבנקים.</w:t>
      </w:r>
    </w:p>
    <w:p w:rsidR="005B785B" w:rsidRDefault="005B785B" w:rsidP="00E96B7A">
      <w:pPr>
        <w:tabs>
          <w:tab w:val="clear" w:pos="567"/>
          <w:tab w:val="clear" w:pos="1134"/>
          <w:tab w:val="num" w:pos="562"/>
        </w:tabs>
        <w:outlineLvl w:val="0"/>
        <w:rPr>
          <w:rFonts w:hint="cs"/>
          <w:kern w:val="28"/>
          <w:sz w:val="22"/>
          <w:rtl/>
        </w:rPr>
      </w:pPr>
    </w:p>
    <w:sectPr w:rsidR="005B785B" w:rsidSect="00CD01C9">
      <w:headerReference w:type="even" r:id="rId20"/>
      <w:headerReference w:type="default" r:id="rId21"/>
      <w:footerReference w:type="even" r:id="rId22"/>
      <w:headerReference w:type="first" r:id="rId23"/>
      <w:footerReference w:type="first" r:id="rId24"/>
      <w:endnotePr>
        <w:numFmt w:val="lowerLetter"/>
      </w:endnotePr>
      <w:pgSz w:w="11906" w:h="16838" w:code="9"/>
      <w:pgMar w:top="284" w:right="1588" w:bottom="284" w:left="1361" w:header="1077" w:footer="561" w:gutter="0"/>
      <w:pgBorders w:offsetFrom="page">
        <w:top w:val="single" w:sz="4" w:space="24" w:color="auto"/>
        <w:left w:val="single" w:sz="4" w:space="24" w:color="auto"/>
        <w:bottom w:val="single" w:sz="4" w:space="24" w:color="auto"/>
        <w:right w:val="single" w:sz="4" w:space="24" w:color="auto"/>
      </w:pgBorders>
      <w:cols w:space="720"/>
      <w:titlePg/>
      <w:bidi/>
      <w:docGrid w:linePitch="272"/>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D72" w:rsidRDefault="00DD2D72">
      <w:r>
        <w:separator/>
      </w:r>
    </w:p>
  </w:endnote>
  <w:endnote w:type="continuationSeparator" w:id="0">
    <w:p w:rsidR="00DD2D72" w:rsidRDefault="00DD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09" w:rsidRDefault="00607C09" w:rsidP="0064358E">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end"/>
    </w:r>
  </w:p>
  <w:p w:rsidR="00607C09" w:rsidRDefault="00607C0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09" w:rsidRPr="00D340F3" w:rsidRDefault="00607C09" w:rsidP="00EF237D">
    <w:pPr>
      <w:jc w:val="center"/>
      <w:rPr>
        <w:rFonts w:hint="cs"/>
        <w:color w:val="FFFFFF"/>
        <w:sz w:val="2"/>
        <w:szCs w:val="2"/>
        <w:rtl/>
      </w:rPr>
    </w:pPr>
    <w:bookmarkStart w:id="11" w:name="DocOpen"/>
    <w:bookmarkEnd w:id="1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D72" w:rsidRDefault="00DD2D72">
      <w:r>
        <w:separator/>
      </w:r>
    </w:p>
  </w:footnote>
  <w:footnote w:type="continuationSeparator" w:id="0">
    <w:p w:rsidR="00DD2D72" w:rsidRDefault="00DD2D72">
      <w:r>
        <w:continuationSeparator/>
      </w:r>
    </w:p>
  </w:footnote>
  <w:footnote w:id="1">
    <w:p w:rsidR="00772603" w:rsidRDefault="00772603" w:rsidP="00772603">
      <w:pPr>
        <w:pStyle w:val="a7"/>
        <w:rPr>
          <w:rFonts w:hint="cs"/>
        </w:rPr>
      </w:pPr>
      <w:r>
        <w:rPr>
          <w:rStyle w:val="a8"/>
        </w:rPr>
        <w:footnoteRef/>
      </w:r>
      <w:r>
        <w:rPr>
          <w:rtl/>
        </w:rPr>
        <w:t xml:space="preserve"> </w:t>
      </w:r>
      <w:r>
        <w:rPr>
          <w:rFonts w:hint="cs"/>
          <w:rtl/>
        </w:rPr>
        <w:t xml:space="preserve">הפרשות שליליות באשראי העסקי ב- 2016 נובעות מגביות גדולות של הפסדים שנרשמו בעבר ולא התממשו במלואם או בחלקם.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09" w:rsidRDefault="00607C09" w:rsidP="0028590F">
    <w:pPr>
      <w:pStyle w:val="a5"/>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rsidR="00607C09" w:rsidRDefault="00607C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09" w:rsidRDefault="00607C09" w:rsidP="0028590F">
    <w:pPr>
      <w:pStyle w:val="a5"/>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separate"/>
    </w:r>
    <w:r w:rsidR="00506868">
      <w:rPr>
        <w:rStyle w:val="a4"/>
        <w:noProof/>
        <w:rtl/>
      </w:rPr>
      <w:t>2</w:t>
    </w:r>
    <w:r>
      <w:rPr>
        <w:rStyle w:val="a4"/>
        <w:rtl/>
      </w:rPr>
      <w:fldChar w:fldCharType="end"/>
    </w:r>
  </w:p>
  <w:p w:rsidR="00607C09" w:rsidRDefault="00607C0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09" w:rsidRPr="00E61A44" w:rsidRDefault="00607C09" w:rsidP="008C7188">
    <w:pPr>
      <w:tabs>
        <w:tab w:val="clear" w:pos="567"/>
        <w:tab w:val="clear" w:pos="1134"/>
        <w:tab w:val="clear" w:pos="1814"/>
        <w:tab w:val="clear" w:pos="2665"/>
        <w:tab w:val="left" w:pos="3528"/>
        <w:tab w:val="left" w:pos="5508"/>
      </w:tabs>
      <w:jc w:val="left"/>
      <w:rPr>
        <w:rFonts w:hint="cs"/>
        <w:b/>
        <w:bCs/>
        <w:sz w:val="20"/>
        <w:szCs w:val="20"/>
        <w:rtl/>
      </w:rPr>
    </w:pPr>
  </w:p>
  <w:tbl>
    <w:tblPr>
      <w:tblW w:w="9039" w:type="dxa"/>
      <w:tblLayout w:type="fixed"/>
      <w:tblLook w:val="0000" w:firstRow="0" w:lastRow="0" w:firstColumn="0" w:lastColumn="0" w:noHBand="0" w:noVBand="0"/>
    </w:tblPr>
    <w:tblGrid>
      <w:gridCol w:w="3528"/>
      <w:gridCol w:w="1980"/>
      <w:gridCol w:w="3531"/>
    </w:tblGrid>
    <w:tr w:rsidR="00607C09" w:rsidTr="008B556B">
      <w:tblPrEx>
        <w:tblCellMar>
          <w:top w:w="0" w:type="dxa"/>
          <w:bottom w:w="0" w:type="dxa"/>
        </w:tblCellMar>
      </w:tblPrEx>
      <w:trPr>
        <w:trHeight w:val="1135"/>
      </w:trPr>
      <w:tc>
        <w:tcPr>
          <w:tcW w:w="3528" w:type="dxa"/>
        </w:tcPr>
        <w:p w:rsidR="00607C09" w:rsidRPr="00102044" w:rsidRDefault="00607C09" w:rsidP="008C7188">
          <w:pPr>
            <w:bidi w:val="0"/>
            <w:jc w:val="left"/>
            <w:rPr>
              <w:b/>
              <w:bCs/>
            </w:rPr>
          </w:pPr>
          <w:bookmarkStart w:id="7" w:name="T004"/>
          <w:bookmarkEnd w:id="7"/>
          <w:r w:rsidRPr="00102044">
            <w:rPr>
              <w:b/>
              <w:bCs/>
            </w:rPr>
            <w:t xml:space="preserve"> </w:t>
          </w:r>
        </w:p>
        <w:p w:rsidR="00607C09" w:rsidRPr="00102044" w:rsidRDefault="00607C09" w:rsidP="008C7188">
          <w:pPr>
            <w:bidi w:val="0"/>
            <w:ind w:right="-108"/>
            <w:jc w:val="left"/>
          </w:pPr>
          <w:bookmarkStart w:id="8" w:name="T005"/>
          <w:bookmarkEnd w:id="8"/>
          <w:r w:rsidRPr="00102044">
            <w:t xml:space="preserve"> </w:t>
          </w:r>
        </w:p>
      </w:tc>
      <w:tc>
        <w:tcPr>
          <w:tcW w:w="1980" w:type="dxa"/>
        </w:tcPr>
        <w:p w:rsidR="00607C09" w:rsidRPr="003B43FE" w:rsidRDefault="00607C09" w:rsidP="008C7188">
          <w:pPr>
            <w:jc w:val="center"/>
            <w:rPr>
              <w:rFonts w:hint="cs"/>
              <w:sz w:val="4"/>
              <w:szCs w:val="4"/>
              <w:rtl/>
            </w:rPr>
          </w:pPr>
        </w:p>
        <w:p w:rsidR="00607C09" w:rsidRPr="002B5A3C" w:rsidRDefault="00506868" w:rsidP="008C7188">
          <w:pPr>
            <w:jc w:val="center"/>
            <w:rPr>
              <w:rFonts w:hint="cs"/>
              <w:rtl/>
              <w:lang w:val="en-GB"/>
            </w:rPr>
          </w:pPr>
          <w:r>
            <w:rPr>
              <w:noProof/>
              <w:rtl/>
            </w:rPr>
            <w:drawing>
              <wp:inline distT="0" distB="0" distL="0" distR="0">
                <wp:extent cx="596265" cy="596265"/>
                <wp:effectExtent l="0" t="0" r="0" b="0"/>
                <wp:docPr id="2" name="תמונה 2" descr="סמל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בנק ישרא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inline>
            </w:drawing>
          </w:r>
        </w:p>
      </w:tc>
      <w:tc>
        <w:tcPr>
          <w:tcW w:w="3531" w:type="dxa"/>
        </w:tcPr>
        <w:p w:rsidR="00607C09" w:rsidRPr="00153CF0" w:rsidRDefault="00607C09" w:rsidP="008C7188">
          <w:pPr>
            <w:jc w:val="left"/>
            <w:rPr>
              <w:rFonts w:hint="cs"/>
              <w:b/>
              <w:bCs/>
              <w:sz w:val="28"/>
              <w:szCs w:val="28"/>
              <w:rtl/>
            </w:rPr>
          </w:pPr>
          <w:bookmarkStart w:id="9" w:name="T001"/>
          <w:r>
            <w:rPr>
              <w:b/>
              <w:bCs/>
              <w:sz w:val="28"/>
              <w:szCs w:val="28"/>
              <w:rtl/>
            </w:rPr>
            <w:t>הפיקוח על הבנקים</w:t>
          </w:r>
          <w:bookmarkEnd w:id="9"/>
        </w:p>
        <w:p w:rsidR="00607C09" w:rsidRPr="00987EEF" w:rsidRDefault="00607C09" w:rsidP="008C7188">
          <w:pPr>
            <w:jc w:val="left"/>
            <w:rPr>
              <w:rFonts w:hint="cs"/>
              <w:rtl/>
            </w:rPr>
          </w:pPr>
        </w:p>
      </w:tc>
    </w:tr>
  </w:tbl>
  <w:p w:rsidR="00607C09" w:rsidRPr="00CF2125" w:rsidRDefault="00607C09" w:rsidP="003B43FE">
    <w:pPr>
      <w:pStyle w:val="a5"/>
      <w:rPr>
        <w:rFonts w:hint="cs"/>
        <w:sz w:val="2"/>
        <w:szCs w:val="2"/>
      </w:rPr>
    </w:pPr>
    <w:bookmarkStart w:id="10" w:name="Flag"/>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76D"/>
    <w:multiLevelType w:val="hybridMultilevel"/>
    <w:tmpl w:val="FAD8E3AC"/>
    <w:lvl w:ilvl="0" w:tplc="04090001">
      <w:start w:val="1"/>
      <w:numFmt w:val="bullet"/>
      <w:lvlText w:val=""/>
      <w:lvlJc w:val="left"/>
      <w:pPr>
        <w:tabs>
          <w:tab w:val="num" w:pos="360"/>
        </w:tabs>
        <w:ind w:left="360" w:hanging="360"/>
      </w:pPr>
      <w:rPr>
        <w:rFonts w:ascii="Symbol" w:hAnsi="Symbol" w:hint="default"/>
      </w:rPr>
    </w:lvl>
    <w:lvl w:ilvl="1" w:tplc="D1785FC4">
      <w:start w:val="1"/>
      <w:numFmt w:val="bullet"/>
      <w:lvlText w:val="­"/>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85A26B5"/>
    <w:multiLevelType w:val="multilevel"/>
    <w:tmpl w:val="36DADB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BA075F"/>
    <w:multiLevelType w:val="hybridMultilevel"/>
    <w:tmpl w:val="BF9AFC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0C925CC5"/>
    <w:multiLevelType w:val="multilevel"/>
    <w:tmpl w:val="649AEE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562E5B"/>
    <w:multiLevelType w:val="multilevel"/>
    <w:tmpl w:val="549EB23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0874D47"/>
    <w:multiLevelType w:val="hybridMultilevel"/>
    <w:tmpl w:val="A5E8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D71F5"/>
    <w:multiLevelType w:val="hybridMultilevel"/>
    <w:tmpl w:val="1928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960AE"/>
    <w:multiLevelType w:val="multilevel"/>
    <w:tmpl w:val="81AC26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475B0E"/>
    <w:multiLevelType w:val="hybridMultilevel"/>
    <w:tmpl w:val="EE92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133C7"/>
    <w:multiLevelType w:val="multilevel"/>
    <w:tmpl w:val="20E8B71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16B1738"/>
    <w:multiLevelType w:val="hybridMultilevel"/>
    <w:tmpl w:val="F77E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E824F8"/>
    <w:multiLevelType w:val="hybridMultilevel"/>
    <w:tmpl w:val="064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755780"/>
    <w:multiLevelType w:val="hybridMultilevel"/>
    <w:tmpl w:val="B53A06C2"/>
    <w:lvl w:ilvl="0" w:tplc="1272DB40">
      <w:numFmt w:val="bullet"/>
      <w:lvlText w:val="•"/>
      <w:lvlJc w:val="left"/>
      <w:pPr>
        <w:ind w:left="1080" w:hanging="72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536ECD"/>
    <w:multiLevelType w:val="hybridMultilevel"/>
    <w:tmpl w:val="0F0E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BA3823"/>
    <w:multiLevelType w:val="hybridMultilevel"/>
    <w:tmpl w:val="9D08C7DA"/>
    <w:lvl w:ilvl="0" w:tplc="7F1CEA6A">
      <w:start w:val="1"/>
      <w:numFmt w:val="bullet"/>
      <w:lvlText w:val=""/>
      <w:lvlJc w:val="left"/>
      <w:pPr>
        <w:ind w:left="510" w:hanging="15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F50672"/>
    <w:multiLevelType w:val="hybridMultilevel"/>
    <w:tmpl w:val="C5E6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0F6652"/>
    <w:multiLevelType w:val="hybridMultilevel"/>
    <w:tmpl w:val="525E38F4"/>
    <w:lvl w:ilvl="0" w:tplc="1272DB40">
      <w:numFmt w:val="bullet"/>
      <w:lvlText w:val="•"/>
      <w:lvlJc w:val="left"/>
      <w:pPr>
        <w:ind w:left="1080" w:hanging="72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C07851"/>
    <w:multiLevelType w:val="multilevel"/>
    <w:tmpl w:val="71809AF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Symbol" w:hAnsi="Symbo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4C64C52"/>
    <w:multiLevelType w:val="multilevel"/>
    <w:tmpl w:val="67F0BFD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80C6921"/>
    <w:multiLevelType w:val="hybridMultilevel"/>
    <w:tmpl w:val="F1FC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C110D08"/>
    <w:multiLevelType w:val="hybridMultilevel"/>
    <w:tmpl w:val="09D69F24"/>
    <w:lvl w:ilvl="0" w:tplc="1272DB40">
      <w:numFmt w:val="bullet"/>
      <w:lvlText w:val="•"/>
      <w:lvlJc w:val="left"/>
      <w:pPr>
        <w:ind w:left="1080" w:hanging="72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8E0893"/>
    <w:multiLevelType w:val="multilevel"/>
    <w:tmpl w:val="5E543B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818043D"/>
    <w:multiLevelType w:val="multilevel"/>
    <w:tmpl w:val="974829F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B2216D8"/>
    <w:multiLevelType w:val="hybridMultilevel"/>
    <w:tmpl w:val="14DA2DA6"/>
    <w:lvl w:ilvl="0" w:tplc="4CACB368">
      <w:start w:val="1"/>
      <w:numFmt w:val="bullet"/>
      <w:suff w:val="space"/>
      <w:lvlText w:val=""/>
      <w:lvlJc w:val="left"/>
      <w:pPr>
        <w:ind w:left="510" w:hanging="15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3"/>
  </w:num>
  <w:num w:numId="6">
    <w:abstractNumId w:val="12"/>
  </w:num>
  <w:num w:numId="7">
    <w:abstractNumId w:val="16"/>
  </w:num>
  <w:num w:numId="8">
    <w:abstractNumId w:val="20"/>
  </w:num>
  <w:num w:numId="9">
    <w:abstractNumId w:val="5"/>
  </w:num>
  <w:num w:numId="10">
    <w:abstractNumId w:val="14"/>
  </w:num>
  <w:num w:numId="11">
    <w:abstractNumId w:val="2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2"/>
    <w:lvlOverride w:ilvl="0"/>
    <w:lvlOverride w:ilvl="1"/>
    <w:lvlOverride w:ilvl="2"/>
    <w:lvlOverride w:ilvl="3"/>
    <w:lvlOverride w:ilvl="4"/>
    <w:lvlOverride w:ilvl="5"/>
    <w:lvlOverride w:ilvl="6"/>
    <w:lvlOverride w:ilvl="7"/>
    <w:lvlOverride w:ilvl="8"/>
  </w:num>
  <w:num w:numId="22">
    <w:abstractNumId w:val="0"/>
    <w:lvlOverride w:ilvl="0"/>
    <w:lvlOverride w:ilvl="1"/>
    <w:lvlOverride w:ilvl="2"/>
    <w:lvlOverride w:ilvl="3"/>
    <w:lvlOverride w:ilvl="4"/>
    <w:lvlOverride w:ilvl="5"/>
    <w:lvlOverride w:ilvl="6"/>
    <w:lvlOverride w:ilvl="7"/>
    <w:lvlOverride w:ilvl="8"/>
  </w:num>
  <w:num w:numId="23">
    <w:abstractNumId w:val="0"/>
  </w:num>
  <w:num w:numId="24">
    <w:abstractNumId w:val="11"/>
  </w:num>
  <w:num w:numId="25">
    <w:abstractNumId w:val="10"/>
  </w:num>
  <w:num w:numId="26">
    <w:abstractNumId w:val="8"/>
  </w:num>
  <w:num w:numId="2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64"/>
    <w:rsid w:val="000009F1"/>
    <w:rsid w:val="000012BF"/>
    <w:rsid w:val="00002E28"/>
    <w:rsid w:val="00002E80"/>
    <w:rsid w:val="00005ADB"/>
    <w:rsid w:val="00007B3A"/>
    <w:rsid w:val="00007C4B"/>
    <w:rsid w:val="00010334"/>
    <w:rsid w:val="0001164B"/>
    <w:rsid w:val="00012674"/>
    <w:rsid w:val="00012DC2"/>
    <w:rsid w:val="00013569"/>
    <w:rsid w:val="000138B6"/>
    <w:rsid w:val="00013C79"/>
    <w:rsid w:val="00013E47"/>
    <w:rsid w:val="00013F48"/>
    <w:rsid w:val="000141C0"/>
    <w:rsid w:val="000169AD"/>
    <w:rsid w:val="00016A54"/>
    <w:rsid w:val="000215DA"/>
    <w:rsid w:val="00022E50"/>
    <w:rsid w:val="00024486"/>
    <w:rsid w:val="000260BF"/>
    <w:rsid w:val="00026C0E"/>
    <w:rsid w:val="00030823"/>
    <w:rsid w:val="000350F4"/>
    <w:rsid w:val="00035EBB"/>
    <w:rsid w:val="00035F57"/>
    <w:rsid w:val="000361E2"/>
    <w:rsid w:val="0004137B"/>
    <w:rsid w:val="00041900"/>
    <w:rsid w:val="0004427B"/>
    <w:rsid w:val="0004453D"/>
    <w:rsid w:val="000454F4"/>
    <w:rsid w:val="000458B3"/>
    <w:rsid w:val="00045FE5"/>
    <w:rsid w:val="0005087E"/>
    <w:rsid w:val="0005118E"/>
    <w:rsid w:val="0005120D"/>
    <w:rsid w:val="00054ECE"/>
    <w:rsid w:val="000561CD"/>
    <w:rsid w:val="00057218"/>
    <w:rsid w:val="00061B2A"/>
    <w:rsid w:val="0006325B"/>
    <w:rsid w:val="00065057"/>
    <w:rsid w:val="000668F1"/>
    <w:rsid w:val="000712C8"/>
    <w:rsid w:val="00071F5C"/>
    <w:rsid w:val="00072593"/>
    <w:rsid w:val="00073855"/>
    <w:rsid w:val="00074D82"/>
    <w:rsid w:val="0007611F"/>
    <w:rsid w:val="00076B69"/>
    <w:rsid w:val="00080F31"/>
    <w:rsid w:val="00081137"/>
    <w:rsid w:val="00081739"/>
    <w:rsid w:val="000817AA"/>
    <w:rsid w:val="000821B2"/>
    <w:rsid w:val="00082998"/>
    <w:rsid w:val="00083776"/>
    <w:rsid w:val="000845B5"/>
    <w:rsid w:val="00084E9A"/>
    <w:rsid w:val="000861D4"/>
    <w:rsid w:val="00086CA6"/>
    <w:rsid w:val="0008722A"/>
    <w:rsid w:val="00087C8A"/>
    <w:rsid w:val="00087DD5"/>
    <w:rsid w:val="0009045C"/>
    <w:rsid w:val="00092DDE"/>
    <w:rsid w:val="00094BA3"/>
    <w:rsid w:val="00095E0A"/>
    <w:rsid w:val="00096D9E"/>
    <w:rsid w:val="000976BD"/>
    <w:rsid w:val="000A17AA"/>
    <w:rsid w:val="000A2739"/>
    <w:rsid w:val="000A2B5A"/>
    <w:rsid w:val="000A2B70"/>
    <w:rsid w:val="000A5714"/>
    <w:rsid w:val="000A7A25"/>
    <w:rsid w:val="000A7D1A"/>
    <w:rsid w:val="000A7DB7"/>
    <w:rsid w:val="000B18DE"/>
    <w:rsid w:val="000B22CE"/>
    <w:rsid w:val="000B3B6B"/>
    <w:rsid w:val="000B4065"/>
    <w:rsid w:val="000B46DD"/>
    <w:rsid w:val="000B47D0"/>
    <w:rsid w:val="000B5816"/>
    <w:rsid w:val="000B5DA2"/>
    <w:rsid w:val="000C3299"/>
    <w:rsid w:val="000C491E"/>
    <w:rsid w:val="000C5146"/>
    <w:rsid w:val="000C67F7"/>
    <w:rsid w:val="000C70E8"/>
    <w:rsid w:val="000C7D73"/>
    <w:rsid w:val="000D0E49"/>
    <w:rsid w:val="000D1047"/>
    <w:rsid w:val="000D197F"/>
    <w:rsid w:val="000D68C4"/>
    <w:rsid w:val="000D68DF"/>
    <w:rsid w:val="000E0F2C"/>
    <w:rsid w:val="000E4353"/>
    <w:rsid w:val="000E655A"/>
    <w:rsid w:val="000E655C"/>
    <w:rsid w:val="000F4049"/>
    <w:rsid w:val="000F4ABC"/>
    <w:rsid w:val="000F5F62"/>
    <w:rsid w:val="000F6C4F"/>
    <w:rsid w:val="000F6FB6"/>
    <w:rsid w:val="000F785B"/>
    <w:rsid w:val="00100AC3"/>
    <w:rsid w:val="00101288"/>
    <w:rsid w:val="00102044"/>
    <w:rsid w:val="00103060"/>
    <w:rsid w:val="001038A9"/>
    <w:rsid w:val="00105385"/>
    <w:rsid w:val="00105D15"/>
    <w:rsid w:val="00106804"/>
    <w:rsid w:val="00110CC5"/>
    <w:rsid w:val="00111567"/>
    <w:rsid w:val="00113229"/>
    <w:rsid w:val="00114069"/>
    <w:rsid w:val="00115537"/>
    <w:rsid w:val="001166B3"/>
    <w:rsid w:val="001171D2"/>
    <w:rsid w:val="00117576"/>
    <w:rsid w:val="001211C1"/>
    <w:rsid w:val="0012372B"/>
    <w:rsid w:val="00125CF6"/>
    <w:rsid w:val="00126797"/>
    <w:rsid w:val="001272AD"/>
    <w:rsid w:val="0012761F"/>
    <w:rsid w:val="00127926"/>
    <w:rsid w:val="001303C1"/>
    <w:rsid w:val="00130B12"/>
    <w:rsid w:val="00131E41"/>
    <w:rsid w:val="00131FFE"/>
    <w:rsid w:val="00132BB7"/>
    <w:rsid w:val="00132EBF"/>
    <w:rsid w:val="00133D36"/>
    <w:rsid w:val="0013554E"/>
    <w:rsid w:val="00135649"/>
    <w:rsid w:val="001363E8"/>
    <w:rsid w:val="00137774"/>
    <w:rsid w:val="00137E47"/>
    <w:rsid w:val="00137FE4"/>
    <w:rsid w:val="00140874"/>
    <w:rsid w:val="00140C61"/>
    <w:rsid w:val="001414A4"/>
    <w:rsid w:val="00142AF8"/>
    <w:rsid w:val="00143589"/>
    <w:rsid w:val="00146716"/>
    <w:rsid w:val="00146D0A"/>
    <w:rsid w:val="00147470"/>
    <w:rsid w:val="0015033E"/>
    <w:rsid w:val="0015092D"/>
    <w:rsid w:val="00153CF0"/>
    <w:rsid w:val="00155830"/>
    <w:rsid w:val="00155A8A"/>
    <w:rsid w:val="00155DBB"/>
    <w:rsid w:val="00156C1B"/>
    <w:rsid w:val="00156EA2"/>
    <w:rsid w:val="0016209F"/>
    <w:rsid w:val="00162224"/>
    <w:rsid w:val="00163AF9"/>
    <w:rsid w:val="001657B6"/>
    <w:rsid w:val="00165A0C"/>
    <w:rsid w:val="001674B9"/>
    <w:rsid w:val="00167A84"/>
    <w:rsid w:val="00170266"/>
    <w:rsid w:val="001704C2"/>
    <w:rsid w:val="00176003"/>
    <w:rsid w:val="001776D6"/>
    <w:rsid w:val="001807F5"/>
    <w:rsid w:val="00183317"/>
    <w:rsid w:val="00184124"/>
    <w:rsid w:val="00184A03"/>
    <w:rsid w:val="00184D7A"/>
    <w:rsid w:val="00186466"/>
    <w:rsid w:val="001906A9"/>
    <w:rsid w:val="0019202E"/>
    <w:rsid w:val="001921F6"/>
    <w:rsid w:val="00194486"/>
    <w:rsid w:val="001945A5"/>
    <w:rsid w:val="00194701"/>
    <w:rsid w:val="0019495D"/>
    <w:rsid w:val="00194AD9"/>
    <w:rsid w:val="00194B92"/>
    <w:rsid w:val="00194FBC"/>
    <w:rsid w:val="001A01E9"/>
    <w:rsid w:val="001A243E"/>
    <w:rsid w:val="001A3521"/>
    <w:rsid w:val="001A405F"/>
    <w:rsid w:val="001A4876"/>
    <w:rsid w:val="001B0BC5"/>
    <w:rsid w:val="001B10EB"/>
    <w:rsid w:val="001B2CEC"/>
    <w:rsid w:val="001B372B"/>
    <w:rsid w:val="001B38A1"/>
    <w:rsid w:val="001B59F6"/>
    <w:rsid w:val="001B7871"/>
    <w:rsid w:val="001C122A"/>
    <w:rsid w:val="001C295C"/>
    <w:rsid w:val="001C4E1A"/>
    <w:rsid w:val="001C59F2"/>
    <w:rsid w:val="001C6957"/>
    <w:rsid w:val="001C6A20"/>
    <w:rsid w:val="001C7CC5"/>
    <w:rsid w:val="001D1534"/>
    <w:rsid w:val="001D3FED"/>
    <w:rsid w:val="001D43B7"/>
    <w:rsid w:val="001D47AA"/>
    <w:rsid w:val="001D6939"/>
    <w:rsid w:val="001D787D"/>
    <w:rsid w:val="001E1307"/>
    <w:rsid w:val="001E1390"/>
    <w:rsid w:val="001E2306"/>
    <w:rsid w:val="001E58B7"/>
    <w:rsid w:val="001E5C08"/>
    <w:rsid w:val="001E656F"/>
    <w:rsid w:val="001E7C4C"/>
    <w:rsid w:val="001E7F2D"/>
    <w:rsid w:val="001F044E"/>
    <w:rsid w:val="001F05D4"/>
    <w:rsid w:val="001F4677"/>
    <w:rsid w:val="001F4A0B"/>
    <w:rsid w:val="001F59E8"/>
    <w:rsid w:val="001F7CE8"/>
    <w:rsid w:val="002002F9"/>
    <w:rsid w:val="002007C5"/>
    <w:rsid w:val="002026A9"/>
    <w:rsid w:val="00203ED1"/>
    <w:rsid w:val="00205AF3"/>
    <w:rsid w:val="00210656"/>
    <w:rsid w:val="00212D83"/>
    <w:rsid w:val="00213AC8"/>
    <w:rsid w:val="0021431E"/>
    <w:rsid w:val="002150F7"/>
    <w:rsid w:val="00217A9D"/>
    <w:rsid w:val="00217C44"/>
    <w:rsid w:val="00221338"/>
    <w:rsid w:val="00221541"/>
    <w:rsid w:val="0022198F"/>
    <w:rsid w:val="00221F62"/>
    <w:rsid w:val="00223658"/>
    <w:rsid w:val="002238C8"/>
    <w:rsid w:val="00224280"/>
    <w:rsid w:val="002246EF"/>
    <w:rsid w:val="00225C2F"/>
    <w:rsid w:val="00225D41"/>
    <w:rsid w:val="00225F5D"/>
    <w:rsid w:val="00227159"/>
    <w:rsid w:val="00227F34"/>
    <w:rsid w:val="002316B8"/>
    <w:rsid w:val="00232400"/>
    <w:rsid w:val="00232464"/>
    <w:rsid w:val="00233BA4"/>
    <w:rsid w:val="00234766"/>
    <w:rsid w:val="0023546C"/>
    <w:rsid w:val="00241CCC"/>
    <w:rsid w:val="00243271"/>
    <w:rsid w:val="002435F5"/>
    <w:rsid w:val="002437D9"/>
    <w:rsid w:val="00244D5E"/>
    <w:rsid w:val="00246763"/>
    <w:rsid w:val="00246937"/>
    <w:rsid w:val="00247BBC"/>
    <w:rsid w:val="00251BA5"/>
    <w:rsid w:val="00252F40"/>
    <w:rsid w:val="0025451F"/>
    <w:rsid w:val="00254AF8"/>
    <w:rsid w:val="00254E88"/>
    <w:rsid w:val="00255A65"/>
    <w:rsid w:val="002561C0"/>
    <w:rsid w:val="0026251D"/>
    <w:rsid w:val="0026291A"/>
    <w:rsid w:val="00263F71"/>
    <w:rsid w:val="00264231"/>
    <w:rsid w:val="00270428"/>
    <w:rsid w:val="0027196A"/>
    <w:rsid w:val="00271D0B"/>
    <w:rsid w:val="0027211B"/>
    <w:rsid w:val="002722D2"/>
    <w:rsid w:val="002724DF"/>
    <w:rsid w:val="00273FE8"/>
    <w:rsid w:val="002755BE"/>
    <w:rsid w:val="00275D49"/>
    <w:rsid w:val="0028009B"/>
    <w:rsid w:val="00280677"/>
    <w:rsid w:val="00280A4A"/>
    <w:rsid w:val="002814DF"/>
    <w:rsid w:val="00281822"/>
    <w:rsid w:val="00282DF6"/>
    <w:rsid w:val="00283092"/>
    <w:rsid w:val="002835CC"/>
    <w:rsid w:val="00284751"/>
    <w:rsid w:val="0028590F"/>
    <w:rsid w:val="0028697E"/>
    <w:rsid w:val="00286CE7"/>
    <w:rsid w:val="0028765A"/>
    <w:rsid w:val="00287C35"/>
    <w:rsid w:val="00290412"/>
    <w:rsid w:val="002908F2"/>
    <w:rsid w:val="002931D6"/>
    <w:rsid w:val="0029435A"/>
    <w:rsid w:val="00294F93"/>
    <w:rsid w:val="00296CB4"/>
    <w:rsid w:val="002A05C1"/>
    <w:rsid w:val="002A27A9"/>
    <w:rsid w:val="002A2ACB"/>
    <w:rsid w:val="002A2CC8"/>
    <w:rsid w:val="002A5EE1"/>
    <w:rsid w:val="002A6333"/>
    <w:rsid w:val="002A6731"/>
    <w:rsid w:val="002A6CA2"/>
    <w:rsid w:val="002B02BE"/>
    <w:rsid w:val="002B14AD"/>
    <w:rsid w:val="002B1891"/>
    <w:rsid w:val="002B1970"/>
    <w:rsid w:val="002B1CCE"/>
    <w:rsid w:val="002B2743"/>
    <w:rsid w:val="002B4577"/>
    <w:rsid w:val="002B5941"/>
    <w:rsid w:val="002B5A3C"/>
    <w:rsid w:val="002B65BC"/>
    <w:rsid w:val="002B6FAF"/>
    <w:rsid w:val="002B70BA"/>
    <w:rsid w:val="002B7502"/>
    <w:rsid w:val="002B7766"/>
    <w:rsid w:val="002B7C92"/>
    <w:rsid w:val="002B7DA2"/>
    <w:rsid w:val="002C0546"/>
    <w:rsid w:val="002C0C4B"/>
    <w:rsid w:val="002C130F"/>
    <w:rsid w:val="002C2D34"/>
    <w:rsid w:val="002C697D"/>
    <w:rsid w:val="002C70F9"/>
    <w:rsid w:val="002C72C8"/>
    <w:rsid w:val="002C7A75"/>
    <w:rsid w:val="002D2E71"/>
    <w:rsid w:val="002D31A3"/>
    <w:rsid w:val="002D3A89"/>
    <w:rsid w:val="002D3AAD"/>
    <w:rsid w:val="002D3C78"/>
    <w:rsid w:val="002D3F47"/>
    <w:rsid w:val="002D4F2D"/>
    <w:rsid w:val="002E1502"/>
    <w:rsid w:val="002E24FD"/>
    <w:rsid w:val="002E4247"/>
    <w:rsid w:val="002E7C34"/>
    <w:rsid w:val="002E7DBA"/>
    <w:rsid w:val="002F0F0F"/>
    <w:rsid w:val="002F0FD9"/>
    <w:rsid w:val="002F1077"/>
    <w:rsid w:val="002F12D8"/>
    <w:rsid w:val="002F28BA"/>
    <w:rsid w:val="002F3553"/>
    <w:rsid w:val="002F43A0"/>
    <w:rsid w:val="002F5247"/>
    <w:rsid w:val="002F5ACE"/>
    <w:rsid w:val="002F7A8C"/>
    <w:rsid w:val="003000B6"/>
    <w:rsid w:val="00300F86"/>
    <w:rsid w:val="00300FF0"/>
    <w:rsid w:val="00301B09"/>
    <w:rsid w:val="00303455"/>
    <w:rsid w:val="00303734"/>
    <w:rsid w:val="003051CB"/>
    <w:rsid w:val="00305C9F"/>
    <w:rsid w:val="00306D35"/>
    <w:rsid w:val="00306EDD"/>
    <w:rsid w:val="00310700"/>
    <w:rsid w:val="0031140D"/>
    <w:rsid w:val="00313BA7"/>
    <w:rsid w:val="00314401"/>
    <w:rsid w:val="003200F7"/>
    <w:rsid w:val="00321096"/>
    <w:rsid w:val="00321406"/>
    <w:rsid w:val="00323943"/>
    <w:rsid w:val="003254C8"/>
    <w:rsid w:val="003255EB"/>
    <w:rsid w:val="00327833"/>
    <w:rsid w:val="00327890"/>
    <w:rsid w:val="00327B85"/>
    <w:rsid w:val="00333153"/>
    <w:rsid w:val="003332A3"/>
    <w:rsid w:val="00333506"/>
    <w:rsid w:val="00334486"/>
    <w:rsid w:val="003350AB"/>
    <w:rsid w:val="00335AA8"/>
    <w:rsid w:val="00336128"/>
    <w:rsid w:val="00336213"/>
    <w:rsid w:val="00337B6B"/>
    <w:rsid w:val="0034037E"/>
    <w:rsid w:val="00341600"/>
    <w:rsid w:val="0034424B"/>
    <w:rsid w:val="003455DD"/>
    <w:rsid w:val="00345A0C"/>
    <w:rsid w:val="00346469"/>
    <w:rsid w:val="00347CE0"/>
    <w:rsid w:val="00352FFA"/>
    <w:rsid w:val="00353B74"/>
    <w:rsid w:val="00355E0B"/>
    <w:rsid w:val="003564D2"/>
    <w:rsid w:val="003600E5"/>
    <w:rsid w:val="0036162B"/>
    <w:rsid w:val="003622AC"/>
    <w:rsid w:val="00362C64"/>
    <w:rsid w:val="00363249"/>
    <w:rsid w:val="00364923"/>
    <w:rsid w:val="00365066"/>
    <w:rsid w:val="003652B5"/>
    <w:rsid w:val="00366485"/>
    <w:rsid w:val="00366697"/>
    <w:rsid w:val="00366AEF"/>
    <w:rsid w:val="003713AF"/>
    <w:rsid w:val="00372AD5"/>
    <w:rsid w:val="00372F64"/>
    <w:rsid w:val="00373802"/>
    <w:rsid w:val="003759F0"/>
    <w:rsid w:val="0037602E"/>
    <w:rsid w:val="00376440"/>
    <w:rsid w:val="00376C1E"/>
    <w:rsid w:val="00377BCC"/>
    <w:rsid w:val="00381042"/>
    <w:rsid w:val="003823E8"/>
    <w:rsid w:val="00382BA3"/>
    <w:rsid w:val="00383897"/>
    <w:rsid w:val="003859CF"/>
    <w:rsid w:val="00390FDD"/>
    <w:rsid w:val="00391905"/>
    <w:rsid w:val="00391E19"/>
    <w:rsid w:val="00392352"/>
    <w:rsid w:val="00392580"/>
    <w:rsid w:val="00392C29"/>
    <w:rsid w:val="00392CE9"/>
    <w:rsid w:val="0039381A"/>
    <w:rsid w:val="00393BC2"/>
    <w:rsid w:val="00393D99"/>
    <w:rsid w:val="003948CB"/>
    <w:rsid w:val="00395D98"/>
    <w:rsid w:val="003960D3"/>
    <w:rsid w:val="00397ABD"/>
    <w:rsid w:val="003A1AC9"/>
    <w:rsid w:val="003A3260"/>
    <w:rsid w:val="003A58D7"/>
    <w:rsid w:val="003B0802"/>
    <w:rsid w:val="003B1566"/>
    <w:rsid w:val="003B1712"/>
    <w:rsid w:val="003B1DC0"/>
    <w:rsid w:val="003B2C7B"/>
    <w:rsid w:val="003B386A"/>
    <w:rsid w:val="003B4241"/>
    <w:rsid w:val="003B43FE"/>
    <w:rsid w:val="003B503A"/>
    <w:rsid w:val="003B538C"/>
    <w:rsid w:val="003B7003"/>
    <w:rsid w:val="003B7C31"/>
    <w:rsid w:val="003C0D14"/>
    <w:rsid w:val="003C1DAB"/>
    <w:rsid w:val="003C28AF"/>
    <w:rsid w:val="003C3E61"/>
    <w:rsid w:val="003C4F4D"/>
    <w:rsid w:val="003C54C5"/>
    <w:rsid w:val="003C6A0E"/>
    <w:rsid w:val="003C7F8F"/>
    <w:rsid w:val="003D05B0"/>
    <w:rsid w:val="003D236D"/>
    <w:rsid w:val="003D2B1F"/>
    <w:rsid w:val="003D3D30"/>
    <w:rsid w:val="003D4189"/>
    <w:rsid w:val="003D4D48"/>
    <w:rsid w:val="003D609B"/>
    <w:rsid w:val="003D6B17"/>
    <w:rsid w:val="003D6F9F"/>
    <w:rsid w:val="003D7F6A"/>
    <w:rsid w:val="003E1421"/>
    <w:rsid w:val="003E1FD6"/>
    <w:rsid w:val="003E3D97"/>
    <w:rsid w:val="003E4314"/>
    <w:rsid w:val="003E740C"/>
    <w:rsid w:val="003E7430"/>
    <w:rsid w:val="003F30A2"/>
    <w:rsid w:val="003F51CD"/>
    <w:rsid w:val="003F53CD"/>
    <w:rsid w:val="003F6967"/>
    <w:rsid w:val="00400454"/>
    <w:rsid w:val="004009AD"/>
    <w:rsid w:val="0040287B"/>
    <w:rsid w:val="0040432E"/>
    <w:rsid w:val="004047E2"/>
    <w:rsid w:val="0040551F"/>
    <w:rsid w:val="004079BA"/>
    <w:rsid w:val="00414AF3"/>
    <w:rsid w:val="00415587"/>
    <w:rsid w:val="00416064"/>
    <w:rsid w:val="004164F7"/>
    <w:rsid w:val="00416C27"/>
    <w:rsid w:val="00416E49"/>
    <w:rsid w:val="004172CC"/>
    <w:rsid w:val="00417422"/>
    <w:rsid w:val="004174D5"/>
    <w:rsid w:val="00417685"/>
    <w:rsid w:val="00417729"/>
    <w:rsid w:val="00417D7A"/>
    <w:rsid w:val="00421591"/>
    <w:rsid w:val="00424030"/>
    <w:rsid w:val="004262CB"/>
    <w:rsid w:val="00430662"/>
    <w:rsid w:val="00431F95"/>
    <w:rsid w:val="00431FC4"/>
    <w:rsid w:val="00436361"/>
    <w:rsid w:val="0043715E"/>
    <w:rsid w:val="00437343"/>
    <w:rsid w:val="0043742A"/>
    <w:rsid w:val="00441212"/>
    <w:rsid w:val="00441B3D"/>
    <w:rsid w:val="00441D73"/>
    <w:rsid w:val="00442D09"/>
    <w:rsid w:val="00443976"/>
    <w:rsid w:val="004450AF"/>
    <w:rsid w:val="004451A2"/>
    <w:rsid w:val="004467D4"/>
    <w:rsid w:val="00447019"/>
    <w:rsid w:val="004476D8"/>
    <w:rsid w:val="0045000D"/>
    <w:rsid w:val="0045002A"/>
    <w:rsid w:val="00451A67"/>
    <w:rsid w:val="00451DBC"/>
    <w:rsid w:val="004527A7"/>
    <w:rsid w:val="00454CCF"/>
    <w:rsid w:val="00455FB0"/>
    <w:rsid w:val="00456C51"/>
    <w:rsid w:val="00460785"/>
    <w:rsid w:val="0046113D"/>
    <w:rsid w:val="00464929"/>
    <w:rsid w:val="00464C4D"/>
    <w:rsid w:val="00470E3A"/>
    <w:rsid w:val="004724E4"/>
    <w:rsid w:val="00473017"/>
    <w:rsid w:val="0047440E"/>
    <w:rsid w:val="00474701"/>
    <w:rsid w:val="00475AC7"/>
    <w:rsid w:val="00475D9E"/>
    <w:rsid w:val="00481FE7"/>
    <w:rsid w:val="0048355D"/>
    <w:rsid w:val="004836EE"/>
    <w:rsid w:val="00483947"/>
    <w:rsid w:val="00484C6E"/>
    <w:rsid w:val="004852C8"/>
    <w:rsid w:val="00485CE3"/>
    <w:rsid w:val="00487119"/>
    <w:rsid w:val="00487EF6"/>
    <w:rsid w:val="00490C9A"/>
    <w:rsid w:val="00491820"/>
    <w:rsid w:val="00493529"/>
    <w:rsid w:val="00494EE6"/>
    <w:rsid w:val="00495F98"/>
    <w:rsid w:val="004963B2"/>
    <w:rsid w:val="00496648"/>
    <w:rsid w:val="004A0C15"/>
    <w:rsid w:val="004A62B0"/>
    <w:rsid w:val="004A6E16"/>
    <w:rsid w:val="004B0FE6"/>
    <w:rsid w:val="004B15A5"/>
    <w:rsid w:val="004B24C5"/>
    <w:rsid w:val="004B275C"/>
    <w:rsid w:val="004B45D3"/>
    <w:rsid w:val="004B4C66"/>
    <w:rsid w:val="004B6EF3"/>
    <w:rsid w:val="004C10C8"/>
    <w:rsid w:val="004C27C9"/>
    <w:rsid w:val="004C431D"/>
    <w:rsid w:val="004C4667"/>
    <w:rsid w:val="004C6803"/>
    <w:rsid w:val="004C6CBC"/>
    <w:rsid w:val="004C7223"/>
    <w:rsid w:val="004C7CF7"/>
    <w:rsid w:val="004D054E"/>
    <w:rsid w:val="004D0830"/>
    <w:rsid w:val="004D18DC"/>
    <w:rsid w:val="004D2DAC"/>
    <w:rsid w:val="004D3716"/>
    <w:rsid w:val="004D4CA9"/>
    <w:rsid w:val="004D4F93"/>
    <w:rsid w:val="004D55F0"/>
    <w:rsid w:val="004D6CBF"/>
    <w:rsid w:val="004D6EF4"/>
    <w:rsid w:val="004D766C"/>
    <w:rsid w:val="004E0649"/>
    <w:rsid w:val="004E0AA5"/>
    <w:rsid w:val="004E0B60"/>
    <w:rsid w:val="004E2239"/>
    <w:rsid w:val="004E28A1"/>
    <w:rsid w:val="004E2F78"/>
    <w:rsid w:val="004E3EBC"/>
    <w:rsid w:val="004E70CB"/>
    <w:rsid w:val="004E7822"/>
    <w:rsid w:val="004F09BB"/>
    <w:rsid w:val="004F4805"/>
    <w:rsid w:val="004F6163"/>
    <w:rsid w:val="004F6FDC"/>
    <w:rsid w:val="005015CD"/>
    <w:rsid w:val="00502B7A"/>
    <w:rsid w:val="00504CBC"/>
    <w:rsid w:val="00505A86"/>
    <w:rsid w:val="00505E59"/>
    <w:rsid w:val="005064AF"/>
    <w:rsid w:val="00506868"/>
    <w:rsid w:val="005071A0"/>
    <w:rsid w:val="005071D7"/>
    <w:rsid w:val="00510D91"/>
    <w:rsid w:val="00510ECE"/>
    <w:rsid w:val="0051158F"/>
    <w:rsid w:val="005123AB"/>
    <w:rsid w:val="00512B48"/>
    <w:rsid w:val="005146F0"/>
    <w:rsid w:val="00516F0F"/>
    <w:rsid w:val="00517923"/>
    <w:rsid w:val="00521F7B"/>
    <w:rsid w:val="005249B7"/>
    <w:rsid w:val="00524AB4"/>
    <w:rsid w:val="00524C34"/>
    <w:rsid w:val="00527006"/>
    <w:rsid w:val="00530042"/>
    <w:rsid w:val="005324C5"/>
    <w:rsid w:val="0053292B"/>
    <w:rsid w:val="005332FB"/>
    <w:rsid w:val="00533D0C"/>
    <w:rsid w:val="0053479A"/>
    <w:rsid w:val="0053654E"/>
    <w:rsid w:val="00536569"/>
    <w:rsid w:val="005372A4"/>
    <w:rsid w:val="00537327"/>
    <w:rsid w:val="00540D23"/>
    <w:rsid w:val="00541A6E"/>
    <w:rsid w:val="00541B1C"/>
    <w:rsid w:val="00542763"/>
    <w:rsid w:val="00545599"/>
    <w:rsid w:val="00547DB2"/>
    <w:rsid w:val="00553733"/>
    <w:rsid w:val="00553AB3"/>
    <w:rsid w:val="00555BC1"/>
    <w:rsid w:val="00555FD4"/>
    <w:rsid w:val="00556DCF"/>
    <w:rsid w:val="00557D52"/>
    <w:rsid w:val="005620A8"/>
    <w:rsid w:val="00562A54"/>
    <w:rsid w:val="0056307E"/>
    <w:rsid w:val="00565159"/>
    <w:rsid w:val="005732C3"/>
    <w:rsid w:val="00573FB2"/>
    <w:rsid w:val="005743E9"/>
    <w:rsid w:val="0057449E"/>
    <w:rsid w:val="00574963"/>
    <w:rsid w:val="005752A2"/>
    <w:rsid w:val="00575B13"/>
    <w:rsid w:val="00575F6C"/>
    <w:rsid w:val="00575FBA"/>
    <w:rsid w:val="00580A0A"/>
    <w:rsid w:val="00581242"/>
    <w:rsid w:val="005816F7"/>
    <w:rsid w:val="00583858"/>
    <w:rsid w:val="005850AC"/>
    <w:rsid w:val="00586A2E"/>
    <w:rsid w:val="0059177E"/>
    <w:rsid w:val="0059190A"/>
    <w:rsid w:val="00591AB8"/>
    <w:rsid w:val="00593E91"/>
    <w:rsid w:val="00594AFD"/>
    <w:rsid w:val="0059532C"/>
    <w:rsid w:val="005958DE"/>
    <w:rsid w:val="00595AF8"/>
    <w:rsid w:val="00596C8D"/>
    <w:rsid w:val="00597DF3"/>
    <w:rsid w:val="005A27CD"/>
    <w:rsid w:val="005A2FAD"/>
    <w:rsid w:val="005A3B39"/>
    <w:rsid w:val="005A3F75"/>
    <w:rsid w:val="005A5579"/>
    <w:rsid w:val="005B2A49"/>
    <w:rsid w:val="005B363E"/>
    <w:rsid w:val="005B785B"/>
    <w:rsid w:val="005C1A13"/>
    <w:rsid w:val="005C227B"/>
    <w:rsid w:val="005C2EC2"/>
    <w:rsid w:val="005C32C3"/>
    <w:rsid w:val="005C562F"/>
    <w:rsid w:val="005D04DE"/>
    <w:rsid w:val="005D2C76"/>
    <w:rsid w:val="005D3455"/>
    <w:rsid w:val="005D50DF"/>
    <w:rsid w:val="005D6B69"/>
    <w:rsid w:val="005D74EF"/>
    <w:rsid w:val="005D7589"/>
    <w:rsid w:val="005D7D5F"/>
    <w:rsid w:val="005E0EEC"/>
    <w:rsid w:val="005E1299"/>
    <w:rsid w:val="005E348D"/>
    <w:rsid w:val="005E3FD4"/>
    <w:rsid w:val="005E4FA5"/>
    <w:rsid w:val="005E57AF"/>
    <w:rsid w:val="005E7525"/>
    <w:rsid w:val="005E7640"/>
    <w:rsid w:val="005F0115"/>
    <w:rsid w:val="005F1725"/>
    <w:rsid w:val="005F20A3"/>
    <w:rsid w:val="005F3525"/>
    <w:rsid w:val="005F37A4"/>
    <w:rsid w:val="005F50D6"/>
    <w:rsid w:val="005F61AC"/>
    <w:rsid w:val="005F651E"/>
    <w:rsid w:val="005F759E"/>
    <w:rsid w:val="005F79F0"/>
    <w:rsid w:val="00603100"/>
    <w:rsid w:val="0060360B"/>
    <w:rsid w:val="00603E83"/>
    <w:rsid w:val="006078E8"/>
    <w:rsid w:val="00607C09"/>
    <w:rsid w:val="00607D06"/>
    <w:rsid w:val="00610F16"/>
    <w:rsid w:val="0061304B"/>
    <w:rsid w:val="00614C47"/>
    <w:rsid w:val="00615BDB"/>
    <w:rsid w:val="006161A3"/>
    <w:rsid w:val="006166ED"/>
    <w:rsid w:val="006212D4"/>
    <w:rsid w:val="0062169B"/>
    <w:rsid w:val="006225EF"/>
    <w:rsid w:val="0062509D"/>
    <w:rsid w:val="006259E8"/>
    <w:rsid w:val="006260B0"/>
    <w:rsid w:val="006268C4"/>
    <w:rsid w:val="00631874"/>
    <w:rsid w:val="006325A8"/>
    <w:rsid w:val="00635DBF"/>
    <w:rsid w:val="006362D8"/>
    <w:rsid w:val="0064019E"/>
    <w:rsid w:val="00642A63"/>
    <w:rsid w:val="006430B5"/>
    <w:rsid w:val="0064330A"/>
    <w:rsid w:val="0064358E"/>
    <w:rsid w:val="0064359B"/>
    <w:rsid w:val="00644131"/>
    <w:rsid w:val="006444C0"/>
    <w:rsid w:val="00644609"/>
    <w:rsid w:val="00651165"/>
    <w:rsid w:val="0065252E"/>
    <w:rsid w:val="00653F69"/>
    <w:rsid w:val="0065445F"/>
    <w:rsid w:val="006569B3"/>
    <w:rsid w:val="00657975"/>
    <w:rsid w:val="00662237"/>
    <w:rsid w:val="00666399"/>
    <w:rsid w:val="006669F8"/>
    <w:rsid w:val="00672861"/>
    <w:rsid w:val="00674501"/>
    <w:rsid w:val="006746F6"/>
    <w:rsid w:val="00675725"/>
    <w:rsid w:val="00675C20"/>
    <w:rsid w:val="00677067"/>
    <w:rsid w:val="00677183"/>
    <w:rsid w:val="0067743E"/>
    <w:rsid w:val="00677D9F"/>
    <w:rsid w:val="00680C43"/>
    <w:rsid w:val="006813AF"/>
    <w:rsid w:val="006819D1"/>
    <w:rsid w:val="00681A15"/>
    <w:rsid w:val="00681E54"/>
    <w:rsid w:val="00685349"/>
    <w:rsid w:val="00687BC2"/>
    <w:rsid w:val="006911BB"/>
    <w:rsid w:val="00692303"/>
    <w:rsid w:val="006923A4"/>
    <w:rsid w:val="00692ADE"/>
    <w:rsid w:val="00692B49"/>
    <w:rsid w:val="006930D5"/>
    <w:rsid w:val="006938AA"/>
    <w:rsid w:val="00693F31"/>
    <w:rsid w:val="006943D4"/>
    <w:rsid w:val="006955E5"/>
    <w:rsid w:val="00696BFD"/>
    <w:rsid w:val="0069771E"/>
    <w:rsid w:val="00697CE5"/>
    <w:rsid w:val="006A1709"/>
    <w:rsid w:val="006A2100"/>
    <w:rsid w:val="006A6257"/>
    <w:rsid w:val="006A6B36"/>
    <w:rsid w:val="006A6D0C"/>
    <w:rsid w:val="006A6DFA"/>
    <w:rsid w:val="006A7B7E"/>
    <w:rsid w:val="006B312E"/>
    <w:rsid w:val="006B3762"/>
    <w:rsid w:val="006B608B"/>
    <w:rsid w:val="006B65DF"/>
    <w:rsid w:val="006B6B4D"/>
    <w:rsid w:val="006B6FA5"/>
    <w:rsid w:val="006C0701"/>
    <w:rsid w:val="006C1640"/>
    <w:rsid w:val="006C1AAC"/>
    <w:rsid w:val="006C223B"/>
    <w:rsid w:val="006C432E"/>
    <w:rsid w:val="006C508E"/>
    <w:rsid w:val="006C52F4"/>
    <w:rsid w:val="006C53FF"/>
    <w:rsid w:val="006C66E8"/>
    <w:rsid w:val="006C6955"/>
    <w:rsid w:val="006D0E45"/>
    <w:rsid w:val="006D12B3"/>
    <w:rsid w:val="006D1B14"/>
    <w:rsid w:val="006D46E2"/>
    <w:rsid w:val="006D4A4D"/>
    <w:rsid w:val="006D567B"/>
    <w:rsid w:val="006D5AD5"/>
    <w:rsid w:val="006D7CE2"/>
    <w:rsid w:val="006E023B"/>
    <w:rsid w:val="006E15D6"/>
    <w:rsid w:val="006E3046"/>
    <w:rsid w:val="006E38D8"/>
    <w:rsid w:val="006E68E2"/>
    <w:rsid w:val="006F0C81"/>
    <w:rsid w:val="006F161C"/>
    <w:rsid w:val="006F2135"/>
    <w:rsid w:val="006F438A"/>
    <w:rsid w:val="006F4428"/>
    <w:rsid w:val="006F55CB"/>
    <w:rsid w:val="006F561E"/>
    <w:rsid w:val="006F5D45"/>
    <w:rsid w:val="006F6DA8"/>
    <w:rsid w:val="006F738C"/>
    <w:rsid w:val="00700746"/>
    <w:rsid w:val="00701394"/>
    <w:rsid w:val="0070180D"/>
    <w:rsid w:val="007055DB"/>
    <w:rsid w:val="00707799"/>
    <w:rsid w:val="00710E90"/>
    <w:rsid w:val="00711358"/>
    <w:rsid w:val="00712183"/>
    <w:rsid w:val="00714974"/>
    <w:rsid w:val="00715F7B"/>
    <w:rsid w:val="007171CB"/>
    <w:rsid w:val="00720100"/>
    <w:rsid w:val="007209E3"/>
    <w:rsid w:val="00721D26"/>
    <w:rsid w:val="0072391C"/>
    <w:rsid w:val="0072534F"/>
    <w:rsid w:val="00732BDE"/>
    <w:rsid w:val="007334C5"/>
    <w:rsid w:val="00734841"/>
    <w:rsid w:val="00735407"/>
    <w:rsid w:val="0073544A"/>
    <w:rsid w:val="007376C4"/>
    <w:rsid w:val="007402AA"/>
    <w:rsid w:val="007404E8"/>
    <w:rsid w:val="0074079C"/>
    <w:rsid w:val="00740A90"/>
    <w:rsid w:val="007416B9"/>
    <w:rsid w:val="00742FD7"/>
    <w:rsid w:val="00743BBB"/>
    <w:rsid w:val="00743FA7"/>
    <w:rsid w:val="007445E1"/>
    <w:rsid w:val="00745DD9"/>
    <w:rsid w:val="007506FE"/>
    <w:rsid w:val="007533F6"/>
    <w:rsid w:val="007535B9"/>
    <w:rsid w:val="007537E9"/>
    <w:rsid w:val="00753E77"/>
    <w:rsid w:val="00754D00"/>
    <w:rsid w:val="0075652E"/>
    <w:rsid w:val="00757D28"/>
    <w:rsid w:val="0076022E"/>
    <w:rsid w:val="00765929"/>
    <w:rsid w:val="00766845"/>
    <w:rsid w:val="00766EB9"/>
    <w:rsid w:val="007670E4"/>
    <w:rsid w:val="007674E4"/>
    <w:rsid w:val="00767E71"/>
    <w:rsid w:val="007708AF"/>
    <w:rsid w:val="00770C3C"/>
    <w:rsid w:val="00771438"/>
    <w:rsid w:val="00772603"/>
    <w:rsid w:val="007734BC"/>
    <w:rsid w:val="00775A73"/>
    <w:rsid w:val="00776AFD"/>
    <w:rsid w:val="00776D63"/>
    <w:rsid w:val="00777645"/>
    <w:rsid w:val="0078147B"/>
    <w:rsid w:val="00781A0F"/>
    <w:rsid w:val="00782E72"/>
    <w:rsid w:val="00783434"/>
    <w:rsid w:val="00785F0F"/>
    <w:rsid w:val="007901E0"/>
    <w:rsid w:val="0079309C"/>
    <w:rsid w:val="00793D29"/>
    <w:rsid w:val="00793E2A"/>
    <w:rsid w:val="007951B7"/>
    <w:rsid w:val="00795F90"/>
    <w:rsid w:val="00796C23"/>
    <w:rsid w:val="00797F76"/>
    <w:rsid w:val="007A0795"/>
    <w:rsid w:val="007A1078"/>
    <w:rsid w:val="007A231F"/>
    <w:rsid w:val="007A3BCB"/>
    <w:rsid w:val="007A3C4C"/>
    <w:rsid w:val="007A573E"/>
    <w:rsid w:val="007A590A"/>
    <w:rsid w:val="007A62D8"/>
    <w:rsid w:val="007B0598"/>
    <w:rsid w:val="007B0A56"/>
    <w:rsid w:val="007B0C36"/>
    <w:rsid w:val="007B2784"/>
    <w:rsid w:val="007B2DFC"/>
    <w:rsid w:val="007B452E"/>
    <w:rsid w:val="007B504A"/>
    <w:rsid w:val="007B77ED"/>
    <w:rsid w:val="007C180C"/>
    <w:rsid w:val="007C184E"/>
    <w:rsid w:val="007C1C6C"/>
    <w:rsid w:val="007C2661"/>
    <w:rsid w:val="007C3215"/>
    <w:rsid w:val="007C3391"/>
    <w:rsid w:val="007C3C41"/>
    <w:rsid w:val="007C5A26"/>
    <w:rsid w:val="007C5B99"/>
    <w:rsid w:val="007D3952"/>
    <w:rsid w:val="007D3A50"/>
    <w:rsid w:val="007D6692"/>
    <w:rsid w:val="007D6ADF"/>
    <w:rsid w:val="007E1239"/>
    <w:rsid w:val="007E1D89"/>
    <w:rsid w:val="007E2E37"/>
    <w:rsid w:val="007E2E8A"/>
    <w:rsid w:val="007E7899"/>
    <w:rsid w:val="007F0368"/>
    <w:rsid w:val="007F0765"/>
    <w:rsid w:val="007F159B"/>
    <w:rsid w:val="007F42F7"/>
    <w:rsid w:val="007F5532"/>
    <w:rsid w:val="008005BC"/>
    <w:rsid w:val="00802FA2"/>
    <w:rsid w:val="008031C7"/>
    <w:rsid w:val="00810F57"/>
    <w:rsid w:val="00811445"/>
    <w:rsid w:val="00811994"/>
    <w:rsid w:val="00811F9E"/>
    <w:rsid w:val="00811FFA"/>
    <w:rsid w:val="00814C4D"/>
    <w:rsid w:val="00815EE7"/>
    <w:rsid w:val="00817112"/>
    <w:rsid w:val="008216A0"/>
    <w:rsid w:val="00822542"/>
    <w:rsid w:val="00822EE3"/>
    <w:rsid w:val="00824638"/>
    <w:rsid w:val="00825642"/>
    <w:rsid w:val="0082637F"/>
    <w:rsid w:val="0082652C"/>
    <w:rsid w:val="0082706B"/>
    <w:rsid w:val="0082794B"/>
    <w:rsid w:val="0083202F"/>
    <w:rsid w:val="00833C56"/>
    <w:rsid w:val="0083453D"/>
    <w:rsid w:val="008353F4"/>
    <w:rsid w:val="00840225"/>
    <w:rsid w:val="00841212"/>
    <w:rsid w:val="0084187B"/>
    <w:rsid w:val="00842EF9"/>
    <w:rsid w:val="00842F2F"/>
    <w:rsid w:val="0084456F"/>
    <w:rsid w:val="0084559B"/>
    <w:rsid w:val="00845606"/>
    <w:rsid w:val="008479A0"/>
    <w:rsid w:val="00847F59"/>
    <w:rsid w:val="008503B8"/>
    <w:rsid w:val="00850754"/>
    <w:rsid w:val="008518ED"/>
    <w:rsid w:val="00851B8D"/>
    <w:rsid w:val="00854BC8"/>
    <w:rsid w:val="00854C63"/>
    <w:rsid w:val="00855985"/>
    <w:rsid w:val="00857A58"/>
    <w:rsid w:val="00857AE9"/>
    <w:rsid w:val="00860D61"/>
    <w:rsid w:val="00863087"/>
    <w:rsid w:val="00863726"/>
    <w:rsid w:val="00864251"/>
    <w:rsid w:val="0086541E"/>
    <w:rsid w:val="008654BC"/>
    <w:rsid w:val="008655F0"/>
    <w:rsid w:val="008662A8"/>
    <w:rsid w:val="0087028C"/>
    <w:rsid w:val="00871007"/>
    <w:rsid w:val="00873C7A"/>
    <w:rsid w:val="008746E5"/>
    <w:rsid w:val="00875FCC"/>
    <w:rsid w:val="00876554"/>
    <w:rsid w:val="00881C4A"/>
    <w:rsid w:val="00883F14"/>
    <w:rsid w:val="00884162"/>
    <w:rsid w:val="00884AC5"/>
    <w:rsid w:val="00886064"/>
    <w:rsid w:val="0088765A"/>
    <w:rsid w:val="0088792E"/>
    <w:rsid w:val="00890627"/>
    <w:rsid w:val="008931A8"/>
    <w:rsid w:val="00894838"/>
    <w:rsid w:val="00895D00"/>
    <w:rsid w:val="00897746"/>
    <w:rsid w:val="008A0B8D"/>
    <w:rsid w:val="008A0CB4"/>
    <w:rsid w:val="008A12C6"/>
    <w:rsid w:val="008A25F2"/>
    <w:rsid w:val="008A3020"/>
    <w:rsid w:val="008A3BBA"/>
    <w:rsid w:val="008A5120"/>
    <w:rsid w:val="008A6EA8"/>
    <w:rsid w:val="008B0EB0"/>
    <w:rsid w:val="008B3C78"/>
    <w:rsid w:val="008B556B"/>
    <w:rsid w:val="008B57E3"/>
    <w:rsid w:val="008B5A8D"/>
    <w:rsid w:val="008B6781"/>
    <w:rsid w:val="008C0733"/>
    <w:rsid w:val="008C0973"/>
    <w:rsid w:val="008C0CB1"/>
    <w:rsid w:val="008C11E7"/>
    <w:rsid w:val="008C201B"/>
    <w:rsid w:val="008C29F5"/>
    <w:rsid w:val="008C7188"/>
    <w:rsid w:val="008D0326"/>
    <w:rsid w:val="008D1814"/>
    <w:rsid w:val="008D217E"/>
    <w:rsid w:val="008D2828"/>
    <w:rsid w:val="008D509E"/>
    <w:rsid w:val="008D7332"/>
    <w:rsid w:val="008D7536"/>
    <w:rsid w:val="008D7A7B"/>
    <w:rsid w:val="008E0A22"/>
    <w:rsid w:val="008E2688"/>
    <w:rsid w:val="008E35B9"/>
    <w:rsid w:val="008E4238"/>
    <w:rsid w:val="008E7DC1"/>
    <w:rsid w:val="008E7E49"/>
    <w:rsid w:val="008F119B"/>
    <w:rsid w:val="008F5DFE"/>
    <w:rsid w:val="008F6778"/>
    <w:rsid w:val="00900DD2"/>
    <w:rsid w:val="00902C05"/>
    <w:rsid w:val="009042BC"/>
    <w:rsid w:val="009049D7"/>
    <w:rsid w:val="009050F7"/>
    <w:rsid w:val="00905480"/>
    <w:rsid w:val="0090711A"/>
    <w:rsid w:val="0090753B"/>
    <w:rsid w:val="00907828"/>
    <w:rsid w:val="00907C0B"/>
    <w:rsid w:val="00910DD7"/>
    <w:rsid w:val="00911303"/>
    <w:rsid w:val="00912A07"/>
    <w:rsid w:val="00912D93"/>
    <w:rsid w:val="0091565D"/>
    <w:rsid w:val="00915ADD"/>
    <w:rsid w:val="00916D9E"/>
    <w:rsid w:val="009207C1"/>
    <w:rsid w:val="00921FC9"/>
    <w:rsid w:val="00923158"/>
    <w:rsid w:val="00926E67"/>
    <w:rsid w:val="00931110"/>
    <w:rsid w:val="009324ED"/>
    <w:rsid w:val="00932BC9"/>
    <w:rsid w:val="00933B0E"/>
    <w:rsid w:val="00934589"/>
    <w:rsid w:val="00934691"/>
    <w:rsid w:val="00935137"/>
    <w:rsid w:val="00936153"/>
    <w:rsid w:val="00937020"/>
    <w:rsid w:val="009377E4"/>
    <w:rsid w:val="009403E2"/>
    <w:rsid w:val="00940E35"/>
    <w:rsid w:val="0094172F"/>
    <w:rsid w:val="0094215E"/>
    <w:rsid w:val="009425BD"/>
    <w:rsid w:val="009425F5"/>
    <w:rsid w:val="009429F6"/>
    <w:rsid w:val="0094387D"/>
    <w:rsid w:val="00943C6E"/>
    <w:rsid w:val="00943E0D"/>
    <w:rsid w:val="009458DC"/>
    <w:rsid w:val="00946015"/>
    <w:rsid w:val="009514E4"/>
    <w:rsid w:val="00951F3B"/>
    <w:rsid w:val="00952B86"/>
    <w:rsid w:val="0095343F"/>
    <w:rsid w:val="00955B8B"/>
    <w:rsid w:val="009610F7"/>
    <w:rsid w:val="00963C15"/>
    <w:rsid w:val="0096543B"/>
    <w:rsid w:val="00965D34"/>
    <w:rsid w:val="00965DA4"/>
    <w:rsid w:val="00965DDB"/>
    <w:rsid w:val="0096699B"/>
    <w:rsid w:val="00970DF3"/>
    <w:rsid w:val="00970EF3"/>
    <w:rsid w:val="009718EA"/>
    <w:rsid w:val="00973D7F"/>
    <w:rsid w:val="00974207"/>
    <w:rsid w:val="009748B4"/>
    <w:rsid w:val="009748D9"/>
    <w:rsid w:val="00974D4E"/>
    <w:rsid w:val="009757FE"/>
    <w:rsid w:val="00976132"/>
    <w:rsid w:val="009777FC"/>
    <w:rsid w:val="00977D03"/>
    <w:rsid w:val="00980C3E"/>
    <w:rsid w:val="0098238F"/>
    <w:rsid w:val="00982CE2"/>
    <w:rsid w:val="0098308A"/>
    <w:rsid w:val="00983900"/>
    <w:rsid w:val="009849C9"/>
    <w:rsid w:val="0098699D"/>
    <w:rsid w:val="0098701B"/>
    <w:rsid w:val="00987E1F"/>
    <w:rsid w:val="00987EEF"/>
    <w:rsid w:val="00990065"/>
    <w:rsid w:val="00990305"/>
    <w:rsid w:val="009917D4"/>
    <w:rsid w:val="009917DE"/>
    <w:rsid w:val="00994751"/>
    <w:rsid w:val="00994FF2"/>
    <w:rsid w:val="00996413"/>
    <w:rsid w:val="00996ADE"/>
    <w:rsid w:val="009A0E31"/>
    <w:rsid w:val="009A4528"/>
    <w:rsid w:val="009A4A27"/>
    <w:rsid w:val="009A5282"/>
    <w:rsid w:val="009A575F"/>
    <w:rsid w:val="009A6950"/>
    <w:rsid w:val="009A7B36"/>
    <w:rsid w:val="009B1FF2"/>
    <w:rsid w:val="009B2115"/>
    <w:rsid w:val="009B23F0"/>
    <w:rsid w:val="009B3606"/>
    <w:rsid w:val="009B36F1"/>
    <w:rsid w:val="009B5649"/>
    <w:rsid w:val="009B56CA"/>
    <w:rsid w:val="009B65AD"/>
    <w:rsid w:val="009B7E29"/>
    <w:rsid w:val="009C1582"/>
    <w:rsid w:val="009C66CB"/>
    <w:rsid w:val="009D3599"/>
    <w:rsid w:val="009D7A09"/>
    <w:rsid w:val="009E122B"/>
    <w:rsid w:val="009E1427"/>
    <w:rsid w:val="009E1F9F"/>
    <w:rsid w:val="009E215C"/>
    <w:rsid w:val="009E3185"/>
    <w:rsid w:val="009E3250"/>
    <w:rsid w:val="009E3C25"/>
    <w:rsid w:val="009E44A6"/>
    <w:rsid w:val="009E6234"/>
    <w:rsid w:val="009F018D"/>
    <w:rsid w:val="009F052A"/>
    <w:rsid w:val="009F161C"/>
    <w:rsid w:val="009F64E3"/>
    <w:rsid w:val="009F6520"/>
    <w:rsid w:val="009F690A"/>
    <w:rsid w:val="009F6FF2"/>
    <w:rsid w:val="009F7FC2"/>
    <w:rsid w:val="00A0005E"/>
    <w:rsid w:val="00A011D1"/>
    <w:rsid w:val="00A01BC3"/>
    <w:rsid w:val="00A01DEA"/>
    <w:rsid w:val="00A022AB"/>
    <w:rsid w:val="00A03D0E"/>
    <w:rsid w:val="00A05D20"/>
    <w:rsid w:val="00A06BA5"/>
    <w:rsid w:val="00A070BC"/>
    <w:rsid w:val="00A11D98"/>
    <w:rsid w:val="00A11EBC"/>
    <w:rsid w:val="00A157E7"/>
    <w:rsid w:val="00A15B99"/>
    <w:rsid w:val="00A171DD"/>
    <w:rsid w:val="00A17C0D"/>
    <w:rsid w:val="00A17DED"/>
    <w:rsid w:val="00A2083B"/>
    <w:rsid w:val="00A21F54"/>
    <w:rsid w:val="00A22973"/>
    <w:rsid w:val="00A26942"/>
    <w:rsid w:val="00A27017"/>
    <w:rsid w:val="00A3091D"/>
    <w:rsid w:val="00A31131"/>
    <w:rsid w:val="00A3136A"/>
    <w:rsid w:val="00A315D5"/>
    <w:rsid w:val="00A31A1C"/>
    <w:rsid w:val="00A35F7C"/>
    <w:rsid w:val="00A36F45"/>
    <w:rsid w:val="00A36FD8"/>
    <w:rsid w:val="00A37979"/>
    <w:rsid w:val="00A37F4E"/>
    <w:rsid w:val="00A418B6"/>
    <w:rsid w:val="00A43654"/>
    <w:rsid w:val="00A4387D"/>
    <w:rsid w:val="00A449B8"/>
    <w:rsid w:val="00A453CA"/>
    <w:rsid w:val="00A45A92"/>
    <w:rsid w:val="00A46434"/>
    <w:rsid w:val="00A4668B"/>
    <w:rsid w:val="00A51601"/>
    <w:rsid w:val="00A517CE"/>
    <w:rsid w:val="00A56A26"/>
    <w:rsid w:val="00A56B9C"/>
    <w:rsid w:val="00A5721C"/>
    <w:rsid w:val="00A6276C"/>
    <w:rsid w:val="00A63655"/>
    <w:rsid w:val="00A64BD7"/>
    <w:rsid w:val="00A66452"/>
    <w:rsid w:val="00A72989"/>
    <w:rsid w:val="00A72E0B"/>
    <w:rsid w:val="00A76344"/>
    <w:rsid w:val="00A7641F"/>
    <w:rsid w:val="00A809CE"/>
    <w:rsid w:val="00A81604"/>
    <w:rsid w:val="00A81B14"/>
    <w:rsid w:val="00A83B7A"/>
    <w:rsid w:val="00A8776F"/>
    <w:rsid w:val="00A91B4C"/>
    <w:rsid w:val="00A94A69"/>
    <w:rsid w:val="00A972E4"/>
    <w:rsid w:val="00AA1425"/>
    <w:rsid w:val="00AA22CE"/>
    <w:rsid w:val="00AA2811"/>
    <w:rsid w:val="00AA5059"/>
    <w:rsid w:val="00AA63F5"/>
    <w:rsid w:val="00AB08AA"/>
    <w:rsid w:val="00AB170A"/>
    <w:rsid w:val="00AB209C"/>
    <w:rsid w:val="00AB287A"/>
    <w:rsid w:val="00AB6D80"/>
    <w:rsid w:val="00AB6DD5"/>
    <w:rsid w:val="00AB7881"/>
    <w:rsid w:val="00AB7DD8"/>
    <w:rsid w:val="00AC244B"/>
    <w:rsid w:val="00AC2C6E"/>
    <w:rsid w:val="00AC3AD1"/>
    <w:rsid w:val="00AC3ADA"/>
    <w:rsid w:val="00AC5EE8"/>
    <w:rsid w:val="00AD0612"/>
    <w:rsid w:val="00AD2086"/>
    <w:rsid w:val="00AD319A"/>
    <w:rsid w:val="00AD58CC"/>
    <w:rsid w:val="00AD5B82"/>
    <w:rsid w:val="00AD6140"/>
    <w:rsid w:val="00AD6286"/>
    <w:rsid w:val="00AD70A4"/>
    <w:rsid w:val="00AE02B3"/>
    <w:rsid w:val="00AE0A5C"/>
    <w:rsid w:val="00AE2056"/>
    <w:rsid w:val="00AE2AE0"/>
    <w:rsid w:val="00AE38F7"/>
    <w:rsid w:val="00AE48B6"/>
    <w:rsid w:val="00AE7224"/>
    <w:rsid w:val="00AE7FBD"/>
    <w:rsid w:val="00AF11B0"/>
    <w:rsid w:val="00AF2A21"/>
    <w:rsid w:val="00AF3248"/>
    <w:rsid w:val="00AF43B1"/>
    <w:rsid w:val="00AF4DFB"/>
    <w:rsid w:val="00AF68C9"/>
    <w:rsid w:val="00AF71A4"/>
    <w:rsid w:val="00B01B9E"/>
    <w:rsid w:val="00B0235B"/>
    <w:rsid w:val="00B02532"/>
    <w:rsid w:val="00B025B0"/>
    <w:rsid w:val="00B04375"/>
    <w:rsid w:val="00B064B1"/>
    <w:rsid w:val="00B10E29"/>
    <w:rsid w:val="00B11229"/>
    <w:rsid w:val="00B11A6D"/>
    <w:rsid w:val="00B12FAC"/>
    <w:rsid w:val="00B13ACB"/>
    <w:rsid w:val="00B149DF"/>
    <w:rsid w:val="00B1643A"/>
    <w:rsid w:val="00B166DA"/>
    <w:rsid w:val="00B17A1F"/>
    <w:rsid w:val="00B17FD0"/>
    <w:rsid w:val="00B2061B"/>
    <w:rsid w:val="00B20991"/>
    <w:rsid w:val="00B218A4"/>
    <w:rsid w:val="00B21E16"/>
    <w:rsid w:val="00B238F7"/>
    <w:rsid w:val="00B24B99"/>
    <w:rsid w:val="00B24F54"/>
    <w:rsid w:val="00B26C00"/>
    <w:rsid w:val="00B26DF8"/>
    <w:rsid w:val="00B27F35"/>
    <w:rsid w:val="00B307DC"/>
    <w:rsid w:val="00B308A4"/>
    <w:rsid w:val="00B32016"/>
    <w:rsid w:val="00B32097"/>
    <w:rsid w:val="00B340F2"/>
    <w:rsid w:val="00B44140"/>
    <w:rsid w:val="00B44243"/>
    <w:rsid w:val="00B4445C"/>
    <w:rsid w:val="00B47531"/>
    <w:rsid w:val="00B51562"/>
    <w:rsid w:val="00B5293C"/>
    <w:rsid w:val="00B55E5E"/>
    <w:rsid w:val="00B56F3D"/>
    <w:rsid w:val="00B5720C"/>
    <w:rsid w:val="00B61358"/>
    <w:rsid w:val="00B6180B"/>
    <w:rsid w:val="00B61998"/>
    <w:rsid w:val="00B651A1"/>
    <w:rsid w:val="00B66175"/>
    <w:rsid w:val="00B672F0"/>
    <w:rsid w:val="00B67731"/>
    <w:rsid w:val="00B73672"/>
    <w:rsid w:val="00B73DE9"/>
    <w:rsid w:val="00B744DA"/>
    <w:rsid w:val="00B7470C"/>
    <w:rsid w:val="00B76301"/>
    <w:rsid w:val="00B769AE"/>
    <w:rsid w:val="00B77BC7"/>
    <w:rsid w:val="00B77FF8"/>
    <w:rsid w:val="00B81B74"/>
    <w:rsid w:val="00B81B7D"/>
    <w:rsid w:val="00B81D2E"/>
    <w:rsid w:val="00B85658"/>
    <w:rsid w:val="00B86964"/>
    <w:rsid w:val="00B872B9"/>
    <w:rsid w:val="00B903DC"/>
    <w:rsid w:val="00B906DB"/>
    <w:rsid w:val="00B90F6D"/>
    <w:rsid w:val="00B93309"/>
    <w:rsid w:val="00B93393"/>
    <w:rsid w:val="00B95F91"/>
    <w:rsid w:val="00B96832"/>
    <w:rsid w:val="00B96FE2"/>
    <w:rsid w:val="00B97C25"/>
    <w:rsid w:val="00BA0A2B"/>
    <w:rsid w:val="00BA0AC6"/>
    <w:rsid w:val="00BA0C6A"/>
    <w:rsid w:val="00BA237D"/>
    <w:rsid w:val="00BA2F94"/>
    <w:rsid w:val="00BA48CF"/>
    <w:rsid w:val="00BA708E"/>
    <w:rsid w:val="00BA70AE"/>
    <w:rsid w:val="00BA7E99"/>
    <w:rsid w:val="00BB049B"/>
    <w:rsid w:val="00BB2915"/>
    <w:rsid w:val="00BB3F32"/>
    <w:rsid w:val="00BB566F"/>
    <w:rsid w:val="00BB5D63"/>
    <w:rsid w:val="00BC0355"/>
    <w:rsid w:val="00BC055E"/>
    <w:rsid w:val="00BC1519"/>
    <w:rsid w:val="00BC1FC3"/>
    <w:rsid w:val="00BC21A5"/>
    <w:rsid w:val="00BC24EA"/>
    <w:rsid w:val="00BC2533"/>
    <w:rsid w:val="00BC2994"/>
    <w:rsid w:val="00BC2C44"/>
    <w:rsid w:val="00BC55BB"/>
    <w:rsid w:val="00BC6ED3"/>
    <w:rsid w:val="00BC72B8"/>
    <w:rsid w:val="00BD33F2"/>
    <w:rsid w:val="00BD5609"/>
    <w:rsid w:val="00BD7F73"/>
    <w:rsid w:val="00BE0CB2"/>
    <w:rsid w:val="00BE31E8"/>
    <w:rsid w:val="00BF13A1"/>
    <w:rsid w:val="00BF1897"/>
    <w:rsid w:val="00BF1C2A"/>
    <w:rsid w:val="00BF58A5"/>
    <w:rsid w:val="00BF5CEA"/>
    <w:rsid w:val="00BF66CD"/>
    <w:rsid w:val="00BF720B"/>
    <w:rsid w:val="00BF76A9"/>
    <w:rsid w:val="00BF7EBA"/>
    <w:rsid w:val="00C01C86"/>
    <w:rsid w:val="00C03F82"/>
    <w:rsid w:val="00C040C1"/>
    <w:rsid w:val="00C0504F"/>
    <w:rsid w:val="00C05280"/>
    <w:rsid w:val="00C0541F"/>
    <w:rsid w:val="00C06BB0"/>
    <w:rsid w:val="00C06FED"/>
    <w:rsid w:val="00C0797A"/>
    <w:rsid w:val="00C10134"/>
    <w:rsid w:val="00C110B6"/>
    <w:rsid w:val="00C1133E"/>
    <w:rsid w:val="00C1181A"/>
    <w:rsid w:val="00C118B2"/>
    <w:rsid w:val="00C1292D"/>
    <w:rsid w:val="00C16F2C"/>
    <w:rsid w:val="00C17CC4"/>
    <w:rsid w:val="00C201C8"/>
    <w:rsid w:val="00C205B7"/>
    <w:rsid w:val="00C21362"/>
    <w:rsid w:val="00C21705"/>
    <w:rsid w:val="00C21E11"/>
    <w:rsid w:val="00C22D38"/>
    <w:rsid w:val="00C22F6C"/>
    <w:rsid w:val="00C244FF"/>
    <w:rsid w:val="00C24E8A"/>
    <w:rsid w:val="00C307E9"/>
    <w:rsid w:val="00C3138B"/>
    <w:rsid w:val="00C33ADE"/>
    <w:rsid w:val="00C345AD"/>
    <w:rsid w:val="00C34839"/>
    <w:rsid w:val="00C36221"/>
    <w:rsid w:val="00C36407"/>
    <w:rsid w:val="00C36CFB"/>
    <w:rsid w:val="00C411F8"/>
    <w:rsid w:val="00C415CC"/>
    <w:rsid w:val="00C41B7C"/>
    <w:rsid w:val="00C41DE0"/>
    <w:rsid w:val="00C437CE"/>
    <w:rsid w:val="00C438FF"/>
    <w:rsid w:val="00C45AA6"/>
    <w:rsid w:val="00C45F18"/>
    <w:rsid w:val="00C478EA"/>
    <w:rsid w:val="00C52EDF"/>
    <w:rsid w:val="00C57E49"/>
    <w:rsid w:val="00C6007B"/>
    <w:rsid w:val="00C61BA8"/>
    <w:rsid w:val="00C61E40"/>
    <w:rsid w:val="00C63FEF"/>
    <w:rsid w:val="00C6569B"/>
    <w:rsid w:val="00C658AB"/>
    <w:rsid w:val="00C66221"/>
    <w:rsid w:val="00C66DD3"/>
    <w:rsid w:val="00C672B5"/>
    <w:rsid w:val="00C67A9C"/>
    <w:rsid w:val="00C70013"/>
    <w:rsid w:val="00C70852"/>
    <w:rsid w:val="00C71A94"/>
    <w:rsid w:val="00C745E7"/>
    <w:rsid w:val="00C748EA"/>
    <w:rsid w:val="00C750A6"/>
    <w:rsid w:val="00C750AD"/>
    <w:rsid w:val="00C7628A"/>
    <w:rsid w:val="00C803FD"/>
    <w:rsid w:val="00C804EA"/>
    <w:rsid w:val="00C823A2"/>
    <w:rsid w:val="00C835B6"/>
    <w:rsid w:val="00C84C2C"/>
    <w:rsid w:val="00C85290"/>
    <w:rsid w:val="00C86996"/>
    <w:rsid w:val="00C90471"/>
    <w:rsid w:val="00C908CD"/>
    <w:rsid w:val="00C90BE9"/>
    <w:rsid w:val="00C912EE"/>
    <w:rsid w:val="00C92681"/>
    <w:rsid w:val="00C93834"/>
    <w:rsid w:val="00C94044"/>
    <w:rsid w:val="00CA0438"/>
    <w:rsid w:val="00CA04F4"/>
    <w:rsid w:val="00CA1B26"/>
    <w:rsid w:val="00CA1B4E"/>
    <w:rsid w:val="00CA275C"/>
    <w:rsid w:val="00CA43D0"/>
    <w:rsid w:val="00CA6A00"/>
    <w:rsid w:val="00CA6ADE"/>
    <w:rsid w:val="00CA6F3C"/>
    <w:rsid w:val="00CB1A9D"/>
    <w:rsid w:val="00CC09BD"/>
    <w:rsid w:val="00CC0B3F"/>
    <w:rsid w:val="00CC0BE3"/>
    <w:rsid w:val="00CC1EBE"/>
    <w:rsid w:val="00CC291F"/>
    <w:rsid w:val="00CC3569"/>
    <w:rsid w:val="00CC417A"/>
    <w:rsid w:val="00CC5D77"/>
    <w:rsid w:val="00CC66C4"/>
    <w:rsid w:val="00CD01C9"/>
    <w:rsid w:val="00CD022F"/>
    <w:rsid w:val="00CD0BF9"/>
    <w:rsid w:val="00CD0EE8"/>
    <w:rsid w:val="00CD34B3"/>
    <w:rsid w:val="00CD4396"/>
    <w:rsid w:val="00CD4969"/>
    <w:rsid w:val="00CD72D5"/>
    <w:rsid w:val="00CD7E1D"/>
    <w:rsid w:val="00CE440A"/>
    <w:rsid w:val="00CE54EE"/>
    <w:rsid w:val="00CE6324"/>
    <w:rsid w:val="00CE6905"/>
    <w:rsid w:val="00CE7210"/>
    <w:rsid w:val="00CE72FF"/>
    <w:rsid w:val="00CF0101"/>
    <w:rsid w:val="00CF0B27"/>
    <w:rsid w:val="00CF1C77"/>
    <w:rsid w:val="00CF2125"/>
    <w:rsid w:val="00CF2F5F"/>
    <w:rsid w:val="00CF353A"/>
    <w:rsid w:val="00CF3BE1"/>
    <w:rsid w:val="00CF5CE2"/>
    <w:rsid w:val="00CF66EB"/>
    <w:rsid w:val="00CF68D4"/>
    <w:rsid w:val="00CF7973"/>
    <w:rsid w:val="00D00071"/>
    <w:rsid w:val="00D017B8"/>
    <w:rsid w:val="00D03D22"/>
    <w:rsid w:val="00D0432F"/>
    <w:rsid w:val="00D044A1"/>
    <w:rsid w:val="00D05204"/>
    <w:rsid w:val="00D13A8A"/>
    <w:rsid w:val="00D16D9C"/>
    <w:rsid w:val="00D177E9"/>
    <w:rsid w:val="00D202AC"/>
    <w:rsid w:val="00D23FA3"/>
    <w:rsid w:val="00D2425D"/>
    <w:rsid w:val="00D25F7E"/>
    <w:rsid w:val="00D27972"/>
    <w:rsid w:val="00D30516"/>
    <w:rsid w:val="00D340F3"/>
    <w:rsid w:val="00D34DF6"/>
    <w:rsid w:val="00D35CE2"/>
    <w:rsid w:val="00D35E0E"/>
    <w:rsid w:val="00D41605"/>
    <w:rsid w:val="00D4184A"/>
    <w:rsid w:val="00D4588A"/>
    <w:rsid w:val="00D4648D"/>
    <w:rsid w:val="00D4672D"/>
    <w:rsid w:val="00D47335"/>
    <w:rsid w:val="00D50138"/>
    <w:rsid w:val="00D51B6D"/>
    <w:rsid w:val="00D537ED"/>
    <w:rsid w:val="00D53A49"/>
    <w:rsid w:val="00D53E6E"/>
    <w:rsid w:val="00D56601"/>
    <w:rsid w:val="00D567A1"/>
    <w:rsid w:val="00D567A4"/>
    <w:rsid w:val="00D57F2F"/>
    <w:rsid w:val="00D6390F"/>
    <w:rsid w:val="00D63B0A"/>
    <w:rsid w:val="00D644F0"/>
    <w:rsid w:val="00D6535B"/>
    <w:rsid w:val="00D66AB4"/>
    <w:rsid w:val="00D67CC8"/>
    <w:rsid w:val="00D7005D"/>
    <w:rsid w:val="00D70076"/>
    <w:rsid w:val="00D75503"/>
    <w:rsid w:val="00D76179"/>
    <w:rsid w:val="00D80060"/>
    <w:rsid w:val="00D81113"/>
    <w:rsid w:val="00D81B25"/>
    <w:rsid w:val="00D81B7C"/>
    <w:rsid w:val="00D81B80"/>
    <w:rsid w:val="00D828F4"/>
    <w:rsid w:val="00D839AD"/>
    <w:rsid w:val="00D84B5C"/>
    <w:rsid w:val="00D86959"/>
    <w:rsid w:val="00D9143C"/>
    <w:rsid w:val="00D91774"/>
    <w:rsid w:val="00D93AAB"/>
    <w:rsid w:val="00D94CA9"/>
    <w:rsid w:val="00D963E9"/>
    <w:rsid w:val="00DA0F51"/>
    <w:rsid w:val="00DA241B"/>
    <w:rsid w:val="00DA37DA"/>
    <w:rsid w:val="00DA55DF"/>
    <w:rsid w:val="00DA6593"/>
    <w:rsid w:val="00DA680E"/>
    <w:rsid w:val="00DB13E3"/>
    <w:rsid w:val="00DB1EA7"/>
    <w:rsid w:val="00DB3B4C"/>
    <w:rsid w:val="00DB6511"/>
    <w:rsid w:val="00DB7727"/>
    <w:rsid w:val="00DC00C6"/>
    <w:rsid w:val="00DC172A"/>
    <w:rsid w:val="00DC4721"/>
    <w:rsid w:val="00DC5C64"/>
    <w:rsid w:val="00DC600B"/>
    <w:rsid w:val="00DC6684"/>
    <w:rsid w:val="00DC7A2F"/>
    <w:rsid w:val="00DD04C2"/>
    <w:rsid w:val="00DD06BF"/>
    <w:rsid w:val="00DD1A66"/>
    <w:rsid w:val="00DD1B04"/>
    <w:rsid w:val="00DD2D72"/>
    <w:rsid w:val="00DD4313"/>
    <w:rsid w:val="00DD590F"/>
    <w:rsid w:val="00DD71F9"/>
    <w:rsid w:val="00DE030E"/>
    <w:rsid w:val="00DE14CF"/>
    <w:rsid w:val="00DE1C4C"/>
    <w:rsid w:val="00DE3D05"/>
    <w:rsid w:val="00DE40AF"/>
    <w:rsid w:val="00DE567C"/>
    <w:rsid w:val="00DE5CF1"/>
    <w:rsid w:val="00DF2A50"/>
    <w:rsid w:val="00DF2B74"/>
    <w:rsid w:val="00DF325E"/>
    <w:rsid w:val="00DF3D2F"/>
    <w:rsid w:val="00DF44B1"/>
    <w:rsid w:val="00DF4BF2"/>
    <w:rsid w:val="00DF5099"/>
    <w:rsid w:val="00DF5FE7"/>
    <w:rsid w:val="00E001E5"/>
    <w:rsid w:val="00E0146D"/>
    <w:rsid w:val="00E02747"/>
    <w:rsid w:val="00E029DC"/>
    <w:rsid w:val="00E033B9"/>
    <w:rsid w:val="00E03FC0"/>
    <w:rsid w:val="00E048F9"/>
    <w:rsid w:val="00E04BBE"/>
    <w:rsid w:val="00E050E4"/>
    <w:rsid w:val="00E106F8"/>
    <w:rsid w:val="00E11A9A"/>
    <w:rsid w:val="00E13192"/>
    <w:rsid w:val="00E13833"/>
    <w:rsid w:val="00E14774"/>
    <w:rsid w:val="00E147D9"/>
    <w:rsid w:val="00E14BF5"/>
    <w:rsid w:val="00E173CA"/>
    <w:rsid w:val="00E17589"/>
    <w:rsid w:val="00E2004B"/>
    <w:rsid w:val="00E2064E"/>
    <w:rsid w:val="00E21E77"/>
    <w:rsid w:val="00E22E70"/>
    <w:rsid w:val="00E23204"/>
    <w:rsid w:val="00E23495"/>
    <w:rsid w:val="00E24BD1"/>
    <w:rsid w:val="00E30D44"/>
    <w:rsid w:val="00E3220C"/>
    <w:rsid w:val="00E3230B"/>
    <w:rsid w:val="00E32D2B"/>
    <w:rsid w:val="00E32F72"/>
    <w:rsid w:val="00E33649"/>
    <w:rsid w:val="00E3479F"/>
    <w:rsid w:val="00E379FD"/>
    <w:rsid w:val="00E405B1"/>
    <w:rsid w:val="00E429CC"/>
    <w:rsid w:val="00E43B80"/>
    <w:rsid w:val="00E44653"/>
    <w:rsid w:val="00E44F7B"/>
    <w:rsid w:val="00E44FD9"/>
    <w:rsid w:val="00E45484"/>
    <w:rsid w:val="00E4563D"/>
    <w:rsid w:val="00E45D09"/>
    <w:rsid w:val="00E46408"/>
    <w:rsid w:val="00E50D0D"/>
    <w:rsid w:val="00E51718"/>
    <w:rsid w:val="00E5190B"/>
    <w:rsid w:val="00E524C4"/>
    <w:rsid w:val="00E53069"/>
    <w:rsid w:val="00E537D0"/>
    <w:rsid w:val="00E53D7D"/>
    <w:rsid w:val="00E574DA"/>
    <w:rsid w:val="00E608B6"/>
    <w:rsid w:val="00E61A44"/>
    <w:rsid w:val="00E6223D"/>
    <w:rsid w:val="00E627AB"/>
    <w:rsid w:val="00E64BD5"/>
    <w:rsid w:val="00E6549E"/>
    <w:rsid w:val="00E659F9"/>
    <w:rsid w:val="00E67BCD"/>
    <w:rsid w:val="00E71778"/>
    <w:rsid w:val="00E71E31"/>
    <w:rsid w:val="00E721E5"/>
    <w:rsid w:val="00E72979"/>
    <w:rsid w:val="00E73B96"/>
    <w:rsid w:val="00E73F45"/>
    <w:rsid w:val="00E7695B"/>
    <w:rsid w:val="00E775D6"/>
    <w:rsid w:val="00E77B6D"/>
    <w:rsid w:val="00E80356"/>
    <w:rsid w:val="00E80737"/>
    <w:rsid w:val="00E8073D"/>
    <w:rsid w:val="00E807B7"/>
    <w:rsid w:val="00E80D4B"/>
    <w:rsid w:val="00E8106F"/>
    <w:rsid w:val="00E81FE3"/>
    <w:rsid w:val="00E8301C"/>
    <w:rsid w:val="00E8369E"/>
    <w:rsid w:val="00E83FB6"/>
    <w:rsid w:val="00E8555D"/>
    <w:rsid w:val="00E85589"/>
    <w:rsid w:val="00E87984"/>
    <w:rsid w:val="00E87F35"/>
    <w:rsid w:val="00E90371"/>
    <w:rsid w:val="00E91400"/>
    <w:rsid w:val="00E91B3C"/>
    <w:rsid w:val="00E922FA"/>
    <w:rsid w:val="00E93A7E"/>
    <w:rsid w:val="00E94E99"/>
    <w:rsid w:val="00E95442"/>
    <w:rsid w:val="00E9550A"/>
    <w:rsid w:val="00E956D1"/>
    <w:rsid w:val="00E96B7A"/>
    <w:rsid w:val="00EA04D6"/>
    <w:rsid w:val="00EA0C32"/>
    <w:rsid w:val="00EA143E"/>
    <w:rsid w:val="00EA1F6F"/>
    <w:rsid w:val="00EA3342"/>
    <w:rsid w:val="00EA37D9"/>
    <w:rsid w:val="00EA3D8A"/>
    <w:rsid w:val="00EA6237"/>
    <w:rsid w:val="00EB1228"/>
    <w:rsid w:val="00EB2537"/>
    <w:rsid w:val="00EB2C72"/>
    <w:rsid w:val="00EB5BC5"/>
    <w:rsid w:val="00EB7418"/>
    <w:rsid w:val="00EB7739"/>
    <w:rsid w:val="00EB7B1C"/>
    <w:rsid w:val="00EC211F"/>
    <w:rsid w:val="00EC28A5"/>
    <w:rsid w:val="00EC2BE2"/>
    <w:rsid w:val="00EC3361"/>
    <w:rsid w:val="00EC38FA"/>
    <w:rsid w:val="00EC496B"/>
    <w:rsid w:val="00EC53B0"/>
    <w:rsid w:val="00EC5E60"/>
    <w:rsid w:val="00EC6103"/>
    <w:rsid w:val="00EC65B4"/>
    <w:rsid w:val="00EC753D"/>
    <w:rsid w:val="00ED01D2"/>
    <w:rsid w:val="00ED1CD4"/>
    <w:rsid w:val="00ED3144"/>
    <w:rsid w:val="00ED3345"/>
    <w:rsid w:val="00ED5FA7"/>
    <w:rsid w:val="00ED7189"/>
    <w:rsid w:val="00ED7A7D"/>
    <w:rsid w:val="00EE0BE2"/>
    <w:rsid w:val="00EE2CAD"/>
    <w:rsid w:val="00EE4E1A"/>
    <w:rsid w:val="00EE66C4"/>
    <w:rsid w:val="00EE6FA6"/>
    <w:rsid w:val="00EE7FF2"/>
    <w:rsid w:val="00EF09A5"/>
    <w:rsid w:val="00EF237D"/>
    <w:rsid w:val="00EF4479"/>
    <w:rsid w:val="00EF5AAA"/>
    <w:rsid w:val="00EF6015"/>
    <w:rsid w:val="00EF705A"/>
    <w:rsid w:val="00F00D18"/>
    <w:rsid w:val="00F00E16"/>
    <w:rsid w:val="00F019B7"/>
    <w:rsid w:val="00F02EBF"/>
    <w:rsid w:val="00F03971"/>
    <w:rsid w:val="00F03F92"/>
    <w:rsid w:val="00F046FE"/>
    <w:rsid w:val="00F063F7"/>
    <w:rsid w:val="00F06F1D"/>
    <w:rsid w:val="00F075F4"/>
    <w:rsid w:val="00F07EFD"/>
    <w:rsid w:val="00F10650"/>
    <w:rsid w:val="00F1516D"/>
    <w:rsid w:val="00F1565F"/>
    <w:rsid w:val="00F15947"/>
    <w:rsid w:val="00F15D28"/>
    <w:rsid w:val="00F15F2A"/>
    <w:rsid w:val="00F16AB3"/>
    <w:rsid w:val="00F2028A"/>
    <w:rsid w:val="00F24BB1"/>
    <w:rsid w:val="00F25AA6"/>
    <w:rsid w:val="00F262BF"/>
    <w:rsid w:val="00F304B3"/>
    <w:rsid w:val="00F31487"/>
    <w:rsid w:val="00F322A9"/>
    <w:rsid w:val="00F33BE1"/>
    <w:rsid w:val="00F36AEC"/>
    <w:rsid w:val="00F40314"/>
    <w:rsid w:val="00F4069F"/>
    <w:rsid w:val="00F40BB2"/>
    <w:rsid w:val="00F40E0B"/>
    <w:rsid w:val="00F40EE1"/>
    <w:rsid w:val="00F417F0"/>
    <w:rsid w:val="00F41CF0"/>
    <w:rsid w:val="00F42856"/>
    <w:rsid w:val="00F432D5"/>
    <w:rsid w:val="00F43720"/>
    <w:rsid w:val="00F43FD7"/>
    <w:rsid w:val="00F447D0"/>
    <w:rsid w:val="00F4515D"/>
    <w:rsid w:val="00F454C3"/>
    <w:rsid w:val="00F45DC3"/>
    <w:rsid w:val="00F46651"/>
    <w:rsid w:val="00F47381"/>
    <w:rsid w:val="00F476B1"/>
    <w:rsid w:val="00F51E1B"/>
    <w:rsid w:val="00F53FBD"/>
    <w:rsid w:val="00F54295"/>
    <w:rsid w:val="00F579A5"/>
    <w:rsid w:val="00F6084C"/>
    <w:rsid w:val="00F60C31"/>
    <w:rsid w:val="00F62548"/>
    <w:rsid w:val="00F63AC7"/>
    <w:rsid w:val="00F63E38"/>
    <w:rsid w:val="00F6561C"/>
    <w:rsid w:val="00F670B4"/>
    <w:rsid w:val="00F67823"/>
    <w:rsid w:val="00F70D80"/>
    <w:rsid w:val="00F726D3"/>
    <w:rsid w:val="00F76603"/>
    <w:rsid w:val="00F767C6"/>
    <w:rsid w:val="00F767EF"/>
    <w:rsid w:val="00F77C49"/>
    <w:rsid w:val="00F8188A"/>
    <w:rsid w:val="00F8387E"/>
    <w:rsid w:val="00F83985"/>
    <w:rsid w:val="00F83EF6"/>
    <w:rsid w:val="00F8432C"/>
    <w:rsid w:val="00F877A3"/>
    <w:rsid w:val="00F8794B"/>
    <w:rsid w:val="00F912DA"/>
    <w:rsid w:val="00F92EBA"/>
    <w:rsid w:val="00F93D01"/>
    <w:rsid w:val="00FA0674"/>
    <w:rsid w:val="00FA1997"/>
    <w:rsid w:val="00FA3B70"/>
    <w:rsid w:val="00FA5237"/>
    <w:rsid w:val="00FA5EAD"/>
    <w:rsid w:val="00FA62A6"/>
    <w:rsid w:val="00FB0F72"/>
    <w:rsid w:val="00FB179D"/>
    <w:rsid w:val="00FB29D3"/>
    <w:rsid w:val="00FB2C39"/>
    <w:rsid w:val="00FB6189"/>
    <w:rsid w:val="00FB7165"/>
    <w:rsid w:val="00FC08F8"/>
    <w:rsid w:val="00FC0A7C"/>
    <w:rsid w:val="00FC0C21"/>
    <w:rsid w:val="00FC19B6"/>
    <w:rsid w:val="00FC30CC"/>
    <w:rsid w:val="00FC4313"/>
    <w:rsid w:val="00FC4CE3"/>
    <w:rsid w:val="00FC5315"/>
    <w:rsid w:val="00FC5986"/>
    <w:rsid w:val="00FD1563"/>
    <w:rsid w:val="00FD2DEB"/>
    <w:rsid w:val="00FD5BD0"/>
    <w:rsid w:val="00FD5ECB"/>
    <w:rsid w:val="00FD76B6"/>
    <w:rsid w:val="00FE0366"/>
    <w:rsid w:val="00FE1712"/>
    <w:rsid w:val="00FE2025"/>
    <w:rsid w:val="00FE2397"/>
    <w:rsid w:val="00FE2A5A"/>
    <w:rsid w:val="00FE31C1"/>
    <w:rsid w:val="00FE76B4"/>
    <w:rsid w:val="00FE7A51"/>
    <w:rsid w:val="00FF0193"/>
    <w:rsid w:val="00FF0295"/>
    <w:rsid w:val="00FF40F3"/>
    <w:rsid w:val="00FF4A38"/>
    <w:rsid w:val="00FF5D26"/>
    <w:rsid w:val="00FF6F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basedOn w:val="a"/>
    <w:link w:val="10"/>
    <w:qFormat/>
    <w:rsid w:val="00F767C6"/>
    <w:pPr>
      <w:tabs>
        <w:tab w:val="clear" w:pos="567"/>
        <w:tab w:val="clear" w:pos="1134"/>
      </w:tabs>
      <w:outlineLvl w:val="0"/>
    </w:pPr>
    <w:rPr>
      <w:rFonts w:cs="Times New Roman"/>
      <w:kern w:val="28"/>
      <w:sz w:val="22"/>
      <w:lang w:val="x-none" w:eastAsia="x-none"/>
    </w:rPr>
  </w:style>
  <w:style w:type="paragraph" w:styleId="2">
    <w:name w:val="heading 2"/>
    <w:basedOn w:val="1"/>
    <w:uiPriority w:val="9"/>
    <w:qFormat/>
    <w:rsid w:val="00F767C6"/>
    <w:pPr>
      <w:tabs>
        <w:tab w:val="clear" w:pos="1814"/>
        <w:tab w:val="clear" w:pos="2665"/>
      </w:tabs>
      <w:outlineLvl w:val="1"/>
    </w:pPr>
  </w:style>
  <w:style w:type="paragraph" w:styleId="3">
    <w:name w:val="heading 3"/>
    <w:basedOn w:val="2"/>
    <w:uiPriority w:val="9"/>
    <w:qFormat/>
    <w:rsid w:val="00F767C6"/>
    <w:pPr>
      <w:outlineLvl w:val="2"/>
    </w:pPr>
  </w:style>
  <w:style w:type="paragraph" w:styleId="4">
    <w:name w:val="heading 4"/>
    <w:basedOn w:val="3"/>
    <w:uiPriority w:val="9"/>
    <w:qFormat/>
    <w:rsid w:val="00F767C6"/>
    <w:p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semiHidden/>
    <w:rsid w:val="00D4184A"/>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4358E"/>
    <w:pPr>
      <w:tabs>
        <w:tab w:val="center" w:pos="4153"/>
        <w:tab w:val="right" w:pos="8306"/>
      </w:tabs>
    </w:pPr>
    <w:rPr>
      <w:sz w:val="20"/>
      <w:lang w:eastAsia="he-IL"/>
    </w:rPr>
  </w:style>
  <w:style w:type="character" w:styleId="a4">
    <w:name w:val="page number"/>
    <w:basedOn w:val="a0"/>
    <w:rsid w:val="0064358E"/>
  </w:style>
  <w:style w:type="character" w:customStyle="1" w:styleId="10">
    <w:name w:val="כותרת 1 תו"/>
    <w:link w:val="1"/>
    <w:rsid w:val="00C912EE"/>
    <w:rPr>
      <w:rFonts w:cs="David"/>
      <w:kern w:val="28"/>
      <w:sz w:val="22"/>
      <w:szCs w:val="24"/>
    </w:rPr>
  </w:style>
  <w:style w:type="paragraph" w:styleId="a5">
    <w:name w:val="header"/>
    <w:basedOn w:val="a"/>
    <w:rsid w:val="009207C1"/>
    <w:pPr>
      <w:tabs>
        <w:tab w:val="center" w:pos="4153"/>
        <w:tab w:val="right" w:pos="8306"/>
      </w:tabs>
    </w:pPr>
  </w:style>
  <w:style w:type="character" w:customStyle="1" w:styleId="a6">
    <w:name w:val="טקסט הערת שוליים תו"/>
    <w:aliases w:val="טקסט הערות שוליים תו2 תו,טקסט הערות שוליים תו1 תו תו,טקסט הערות שוליים תו תו תו תו,טקסט הערות שוליים תו תו1 תו,תו תו תו1 תו,Footnote Text תו תו,תו תו תו תו תו"/>
    <w:link w:val="a7"/>
    <w:locked/>
    <w:rsid w:val="00392C29"/>
  </w:style>
  <w:style w:type="paragraph" w:styleId="a7">
    <w:name w:val="footnote text"/>
    <w:aliases w:val="טקסט הערות שוליים תו2,טקסט הערות שוליים תו1 תו,טקסט הערות שוליים תו תו תו,טקסט הערות שוליים תו תו1,תו תו תו1,Footnote Text תו,תו תו תו תו"/>
    <w:basedOn w:val="a"/>
    <w:link w:val="a6"/>
    <w:unhideWhenUsed/>
    <w:rsid w:val="00392C29"/>
    <w:pPr>
      <w:tabs>
        <w:tab w:val="clear" w:pos="567"/>
        <w:tab w:val="clear" w:pos="1134"/>
        <w:tab w:val="clear" w:pos="1814"/>
        <w:tab w:val="clear" w:pos="2665"/>
      </w:tabs>
      <w:spacing w:line="240" w:lineRule="auto"/>
    </w:pPr>
    <w:rPr>
      <w:rFonts w:cs="Times New Roman"/>
      <w:sz w:val="20"/>
      <w:szCs w:val="20"/>
    </w:rPr>
  </w:style>
  <w:style w:type="character" w:customStyle="1" w:styleId="11">
    <w:name w:val="טקסט הערת שוליים תו1"/>
    <w:rsid w:val="00392C29"/>
    <w:rPr>
      <w:rFonts w:cs="David"/>
    </w:rPr>
  </w:style>
  <w:style w:type="character" w:styleId="a8">
    <w:name w:val="footnote reference"/>
    <w:aliases w:val="Footnote Reference Superscript,Footnote symbol,Footnote Reference Number"/>
    <w:uiPriority w:val="99"/>
    <w:unhideWhenUsed/>
    <w:rsid w:val="00392C29"/>
    <w:rPr>
      <w:vertAlign w:val="superscript"/>
    </w:rPr>
  </w:style>
  <w:style w:type="paragraph" w:styleId="a9">
    <w:name w:val="List Paragraph"/>
    <w:basedOn w:val="a"/>
    <w:uiPriority w:val="34"/>
    <w:qFormat/>
    <w:rsid w:val="00FC19B6"/>
    <w:pPr>
      <w:tabs>
        <w:tab w:val="clear" w:pos="567"/>
        <w:tab w:val="clear" w:pos="1134"/>
        <w:tab w:val="clear" w:pos="1814"/>
        <w:tab w:val="clear" w:pos="2665"/>
      </w:tabs>
      <w:spacing w:after="200" w:line="276" w:lineRule="auto"/>
      <w:ind w:left="720"/>
      <w:contextualSpacing/>
      <w:jc w:val="left"/>
    </w:pPr>
    <w:rPr>
      <w:rFonts w:ascii="Calibri" w:eastAsia="Calibri" w:hAnsi="Calibri" w:cs="Arial"/>
      <w:sz w:val="22"/>
      <w:szCs w:val="22"/>
    </w:rPr>
  </w:style>
  <w:style w:type="character" w:styleId="Hyperlink">
    <w:name w:val="Hyperlink"/>
    <w:rsid w:val="00D9143C"/>
    <w:rPr>
      <w:color w:val="0000FF"/>
      <w:u w:val="single"/>
    </w:rPr>
  </w:style>
  <w:style w:type="paragraph" w:styleId="aa">
    <w:name w:val="Balloon Text"/>
    <w:basedOn w:val="a"/>
    <w:link w:val="ab"/>
    <w:rsid w:val="00CD022F"/>
    <w:pPr>
      <w:spacing w:line="240" w:lineRule="auto"/>
    </w:pPr>
    <w:rPr>
      <w:rFonts w:ascii="Tahoma" w:hAnsi="Tahoma" w:cs="Times New Roman"/>
      <w:sz w:val="16"/>
      <w:szCs w:val="16"/>
      <w:lang w:val="x-none" w:eastAsia="x-none"/>
    </w:rPr>
  </w:style>
  <w:style w:type="character" w:customStyle="1" w:styleId="ab">
    <w:name w:val="טקסט בלונים תו"/>
    <w:link w:val="aa"/>
    <w:rsid w:val="00CD022F"/>
    <w:rPr>
      <w:rFonts w:ascii="Tahoma" w:hAnsi="Tahoma" w:cs="Tahoma"/>
      <w:sz w:val="16"/>
      <w:szCs w:val="16"/>
    </w:rPr>
  </w:style>
  <w:style w:type="paragraph" w:styleId="NormalWeb">
    <w:name w:val="Normal (Web)"/>
    <w:basedOn w:val="a"/>
    <w:uiPriority w:val="99"/>
    <w:unhideWhenUsed/>
    <w:rsid w:val="00A3091D"/>
    <w:pPr>
      <w:tabs>
        <w:tab w:val="clear" w:pos="567"/>
        <w:tab w:val="clear" w:pos="1134"/>
        <w:tab w:val="clear" w:pos="1814"/>
        <w:tab w:val="clear" w:pos="2665"/>
      </w:tabs>
      <w:bidi w:val="0"/>
      <w:spacing w:before="100" w:beforeAutospacing="1" w:after="100" w:afterAutospacing="1" w:line="240" w:lineRule="auto"/>
      <w:jc w:val="left"/>
    </w:pPr>
    <w:rPr>
      <w:rFonts w:cs="Times New Roman"/>
    </w:rPr>
  </w:style>
  <w:style w:type="character" w:styleId="ac">
    <w:name w:val="annotation reference"/>
    <w:rsid w:val="00677D9F"/>
    <w:rPr>
      <w:sz w:val="16"/>
      <w:szCs w:val="16"/>
    </w:rPr>
  </w:style>
  <w:style w:type="paragraph" w:styleId="ad">
    <w:name w:val="annotation text"/>
    <w:basedOn w:val="a"/>
    <w:link w:val="ae"/>
    <w:rsid w:val="00677D9F"/>
    <w:rPr>
      <w:rFonts w:cs="Times New Roman"/>
      <w:sz w:val="20"/>
      <w:szCs w:val="20"/>
      <w:lang w:val="x-none" w:eastAsia="x-none"/>
    </w:rPr>
  </w:style>
  <w:style w:type="character" w:customStyle="1" w:styleId="ae">
    <w:name w:val="טקסט הערה תו"/>
    <w:link w:val="ad"/>
    <w:rsid w:val="00677D9F"/>
    <w:rPr>
      <w:rFonts w:cs="David"/>
    </w:rPr>
  </w:style>
  <w:style w:type="paragraph" w:styleId="af">
    <w:name w:val="annotation subject"/>
    <w:basedOn w:val="ad"/>
    <w:next w:val="ad"/>
    <w:link w:val="af0"/>
    <w:rsid w:val="00677D9F"/>
    <w:rPr>
      <w:b/>
      <w:bCs/>
    </w:rPr>
  </w:style>
  <w:style w:type="character" w:customStyle="1" w:styleId="af0">
    <w:name w:val="נושא הערה תו"/>
    <w:link w:val="af"/>
    <w:rsid w:val="00677D9F"/>
    <w:rPr>
      <w:rFonts w:cs="Davi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basedOn w:val="a"/>
    <w:link w:val="10"/>
    <w:qFormat/>
    <w:rsid w:val="00F767C6"/>
    <w:pPr>
      <w:tabs>
        <w:tab w:val="clear" w:pos="567"/>
        <w:tab w:val="clear" w:pos="1134"/>
      </w:tabs>
      <w:outlineLvl w:val="0"/>
    </w:pPr>
    <w:rPr>
      <w:rFonts w:cs="Times New Roman"/>
      <w:kern w:val="28"/>
      <w:sz w:val="22"/>
      <w:lang w:val="x-none" w:eastAsia="x-none"/>
    </w:rPr>
  </w:style>
  <w:style w:type="paragraph" w:styleId="2">
    <w:name w:val="heading 2"/>
    <w:basedOn w:val="1"/>
    <w:uiPriority w:val="9"/>
    <w:qFormat/>
    <w:rsid w:val="00F767C6"/>
    <w:pPr>
      <w:tabs>
        <w:tab w:val="clear" w:pos="1814"/>
        <w:tab w:val="clear" w:pos="2665"/>
      </w:tabs>
      <w:outlineLvl w:val="1"/>
    </w:pPr>
  </w:style>
  <w:style w:type="paragraph" w:styleId="3">
    <w:name w:val="heading 3"/>
    <w:basedOn w:val="2"/>
    <w:uiPriority w:val="9"/>
    <w:qFormat/>
    <w:rsid w:val="00F767C6"/>
    <w:pPr>
      <w:outlineLvl w:val="2"/>
    </w:pPr>
  </w:style>
  <w:style w:type="paragraph" w:styleId="4">
    <w:name w:val="heading 4"/>
    <w:basedOn w:val="3"/>
    <w:uiPriority w:val="9"/>
    <w:qFormat/>
    <w:rsid w:val="00F767C6"/>
    <w:p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semiHidden/>
    <w:rsid w:val="00D4184A"/>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4358E"/>
    <w:pPr>
      <w:tabs>
        <w:tab w:val="center" w:pos="4153"/>
        <w:tab w:val="right" w:pos="8306"/>
      </w:tabs>
    </w:pPr>
    <w:rPr>
      <w:sz w:val="20"/>
      <w:lang w:eastAsia="he-IL"/>
    </w:rPr>
  </w:style>
  <w:style w:type="character" w:styleId="a4">
    <w:name w:val="page number"/>
    <w:basedOn w:val="a0"/>
    <w:rsid w:val="0064358E"/>
  </w:style>
  <w:style w:type="character" w:customStyle="1" w:styleId="10">
    <w:name w:val="כותרת 1 תו"/>
    <w:link w:val="1"/>
    <w:rsid w:val="00C912EE"/>
    <w:rPr>
      <w:rFonts w:cs="David"/>
      <w:kern w:val="28"/>
      <w:sz w:val="22"/>
      <w:szCs w:val="24"/>
    </w:rPr>
  </w:style>
  <w:style w:type="paragraph" w:styleId="a5">
    <w:name w:val="header"/>
    <w:basedOn w:val="a"/>
    <w:rsid w:val="009207C1"/>
    <w:pPr>
      <w:tabs>
        <w:tab w:val="center" w:pos="4153"/>
        <w:tab w:val="right" w:pos="8306"/>
      </w:tabs>
    </w:pPr>
  </w:style>
  <w:style w:type="character" w:customStyle="1" w:styleId="a6">
    <w:name w:val="טקסט הערת שוליים תו"/>
    <w:aliases w:val="טקסט הערות שוליים תו2 תו,טקסט הערות שוליים תו1 תו תו,טקסט הערות שוליים תו תו תו תו,טקסט הערות שוליים תו תו1 תו,תו תו תו1 תו,Footnote Text תו תו,תו תו תו תו תו"/>
    <w:link w:val="a7"/>
    <w:locked/>
    <w:rsid w:val="00392C29"/>
  </w:style>
  <w:style w:type="paragraph" w:styleId="a7">
    <w:name w:val="footnote text"/>
    <w:aliases w:val="טקסט הערות שוליים תו2,טקסט הערות שוליים תו1 תו,טקסט הערות שוליים תו תו תו,טקסט הערות שוליים תו תו1,תו תו תו1,Footnote Text תו,תו תו תו תו"/>
    <w:basedOn w:val="a"/>
    <w:link w:val="a6"/>
    <w:unhideWhenUsed/>
    <w:rsid w:val="00392C29"/>
    <w:pPr>
      <w:tabs>
        <w:tab w:val="clear" w:pos="567"/>
        <w:tab w:val="clear" w:pos="1134"/>
        <w:tab w:val="clear" w:pos="1814"/>
        <w:tab w:val="clear" w:pos="2665"/>
      </w:tabs>
      <w:spacing w:line="240" w:lineRule="auto"/>
    </w:pPr>
    <w:rPr>
      <w:rFonts w:cs="Times New Roman"/>
      <w:sz w:val="20"/>
      <w:szCs w:val="20"/>
    </w:rPr>
  </w:style>
  <w:style w:type="character" w:customStyle="1" w:styleId="11">
    <w:name w:val="טקסט הערת שוליים תו1"/>
    <w:rsid w:val="00392C29"/>
    <w:rPr>
      <w:rFonts w:cs="David"/>
    </w:rPr>
  </w:style>
  <w:style w:type="character" w:styleId="a8">
    <w:name w:val="footnote reference"/>
    <w:aliases w:val="Footnote Reference Superscript,Footnote symbol,Footnote Reference Number"/>
    <w:uiPriority w:val="99"/>
    <w:unhideWhenUsed/>
    <w:rsid w:val="00392C29"/>
    <w:rPr>
      <w:vertAlign w:val="superscript"/>
    </w:rPr>
  </w:style>
  <w:style w:type="paragraph" w:styleId="a9">
    <w:name w:val="List Paragraph"/>
    <w:basedOn w:val="a"/>
    <w:uiPriority w:val="34"/>
    <w:qFormat/>
    <w:rsid w:val="00FC19B6"/>
    <w:pPr>
      <w:tabs>
        <w:tab w:val="clear" w:pos="567"/>
        <w:tab w:val="clear" w:pos="1134"/>
        <w:tab w:val="clear" w:pos="1814"/>
        <w:tab w:val="clear" w:pos="2665"/>
      </w:tabs>
      <w:spacing w:after="200" w:line="276" w:lineRule="auto"/>
      <w:ind w:left="720"/>
      <w:contextualSpacing/>
      <w:jc w:val="left"/>
    </w:pPr>
    <w:rPr>
      <w:rFonts w:ascii="Calibri" w:eastAsia="Calibri" w:hAnsi="Calibri" w:cs="Arial"/>
      <w:sz w:val="22"/>
      <w:szCs w:val="22"/>
    </w:rPr>
  </w:style>
  <w:style w:type="character" w:styleId="Hyperlink">
    <w:name w:val="Hyperlink"/>
    <w:rsid w:val="00D9143C"/>
    <w:rPr>
      <w:color w:val="0000FF"/>
      <w:u w:val="single"/>
    </w:rPr>
  </w:style>
  <w:style w:type="paragraph" w:styleId="aa">
    <w:name w:val="Balloon Text"/>
    <w:basedOn w:val="a"/>
    <w:link w:val="ab"/>
    <w:rsid w:val="00CD022F"/>
    <w:pPr>
      <w:spacing w:line="240" w:lineRule="auto"/>
    </w:pPr>
    <w:rPr>
      <w:rFonts w:ascii="Tahoma" w:hAnsi="Tahoma" w:cs="Times New Roman"/>
      <w:sz w:val="16"/>
      <w:szCs w:val="16"/>
      <w:lang w:val="x-none" w:eastAsia="x-none"/>
    </w:rPr>
  </w:style>
  <w:style w:type="character" w:customStyle="1" w:styleId="ab">
    <w:name w:val="טקסט בלונים תו"/>
    <w:link w:val="aa"/>
    <w:rsid w:val="00CD022F"/>
    <w:rPr>
      <w:rFonts w:ascii="Tahoma" w:hAnsi="Tahoma" w:cs="Tahoma"/>
      <w:sz w:val="16"/>
      <w:szCs w:val="16"/>
    </w:rPr>
  </w:style>
  <w:style w:type="paragraph" w:styleId="NormalWeb">
    <w:name w:val="Normal (Web)"/>
    <w:basedOn w:val="a"/>
    <w:uiPriority w:val="99"/>
    <w:unhideWhenUsed/>
    <w:rsid w:val="00A3091D"/>
    <w:pPr>
      <w:tabs>
        <w:tab w:val="clear" w:pos="567"/>
        <w:tab w:val="clear" w:pos="1134"/>
        <w:tab w:val="clear" w:pos="1814"/>
        <w:tab w:val="clear" w:pos="2665"/>
      </w:tabs>
      <w:bidi w:val="0"/>
      <w:spacing w:before="100" w:beforeAutospacing="1" w:after="100" w:afterAutospacing="1" w:line="240" w:lineRule="auto"/>
      <w:jc w:val="left"/>
    </w:pPr>
    <w:rPr>
      <w:rFonts w:cs="Times New Roman"/>
    </w:rPr>
  </w:style>
  <w:style w:type="character" w:styleId="ac">
    <w:name w:val="annotation reference"/>
    <w:rsid w:val="00677D9F"/>
    <w:rPr>
      <w:sz w:val="16"/>
      <w:szCs w:val="16"/>
    </w:rPr>
  </w:style>
  <w:style w:type="paragraph" w:styleId="ad">
    <w:name w:val="annotation text"/>
    <w:basedOn w:val="a"/>
    <w:link w:val="ae"/>
    <w:rsid w:val="00677D9F"/>
    <w:rPr>
      <w:rFonts w:cs="Times New Roman"/>
      <w:sz w:val="20"/>
      <w:szCs w:val="20"/>
      <w:lang w:val="x-none" w:eastAsia="x-none"/>
    </w:rPr>
  </w:style>
  <w:style w:type="character" w:customStyle="1" w:styleId="ae">
    <w:name w:val="טקסט הערה תו"/>
    <w:link w:val="ad"/>
    <w:rsid w:val="00677D9F"/>
    <w:rPr>
      <w:rFonts w:cs="David"/>
    </w:rPr>
  </w:style>
  <w:style w:type="paragraph" w:styleId="af">
    <w:name w:val="annotation subject"/>
    <w:basedOn w:val="ad"/>
    <w:next w:val="ad"/>
    <w:link w:val="af0"/>
    <w:rsid w:val="00677D9F"/>
    <w:rPr>
      <w:b/>
      <w:bCs/>
    </w:rPr>
  </w:style>
  <w:style w:type="character" w:customStyle="1" w:styleId="af0">
    <w:name w:val="נושא הערה תו"/>
    <w:link w:val="af"/>
    <w:rsid w:val="00677D9F"/>
    <w:rPr>
      <w:rFonts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45745">
      <w:bodyDiv w:val="1"/>
      <w:marLeft w:val="0"/>
      <w:marRight w:val="0"/>
      <w:marTop w:val="0"/>
      <w:marBottom w:val="0"/>
      <w:divBdr>
        <w:top w:val="none" w:sz="0" w:space="0" w:color="auto"/>
        <w:left w:val="none" w:sz="0" w:space="0" w:color="auto"/>
        <w:bottom w:val="none" w:sz="0" w:space="0" w:color="auto"/>
        <w:right w:val="none" w:sz="0" w:space="0" w:color="auto"/>
      </w:divBdr>
    </w:div>
    <w:div w:id="722406233">
      <w:bodyDiv w:val="1"/>
      <w:marLeft w:val="0"/>
      <w:marRight w:val="0"/>
      <w:marTop w:val="0"/>
      <w:marBottom w:val="0"/>
      <w:divBdr>
        <w:top w:val="none" w:sz="0" w:space="0" w:color="auto"/>
        <w:left w:val="none" w:sz="0" w:space="0" w:color="auto"/>
        <w:bottom w:val="none" w:sz="0" w:space="0" w:color="auto"/>
        <w:right w:val="none" w:sz="0" w:space="0" w:color="auto"/>
      </w:divBdr>
    </w:div>
    <w:div w:id="770585397">
      <w:bodyDiv w:val="1"/>
      <w:marLeft w:val="0"/>
      <w:marRight w:val="0"/>
      <w:marTop w:val="0"/>
      <w:marBottom w:val="0"/>
      <w:divBdr>
        <w:top w:val="none" w:sz="0" w:space="0" w:color="auto"/>
        <w:left w:val="none" w:sz="0" w:space="0" w:color="auto"/>
        <w:bottom w:val="none" w:sz="0" w:space="0" w:color="auto"/>
        <w:right w:val="none" w:sz="0" w:space="0" w:color="auto"/>
      </w:divBdr>
    </w:div>
    <w:div w:id="803734690">
      <w:bodyDiv w:val="1"/>
      <w:marLeft w:val="0"/>
      <w:marRight w:val="0"/>
      <w:marTop w:val="0"/>
      <w:marBottom w:val="0"/>
      <w:divBdr>
        <w:top w:val="none" w:sz="0" w:space="0" w:color="auto"/>
        <w:left w:val="none" w:sz="0" w:space="0" w:color="auto"/>
        <w:bottom w:val="none" w:sz="0" w:space="0" w:color="auto"/>
        <w:right w:val="none" w:sz="0" w:space="0" w:color="auto"/>
      </w:divBdr>
    </w:div>
    <w:div w:id="1051077988">
      <w:bodyDiv w:val="1"/>
      <w:marLeft w:val="0"/>
      <w:marRight w:val="0"/>
      <w:marTop w:val="0"/>
      <w:marBottom w:val="0"/>
      <w:divBdr>
        <w:top w:val="none" w:sz="0" w:space="0" w:color="auto"/>
        <w:left w:val="none" w:sz="0" w:space="0" w:color="auto"/>
        <w:bottom w:val="none" w:sz="0" w:space="0" w:color="auto"/>
        <w:right w:val="none" w:sz="0" w:space="0" w:color="auto"/>
      </w:divBdr>
    </w:div>
    <w:div w:id="1228615025">
      <w:bodyDiv w:val="1"/>
      <w:marLeft w:val="0"/>
      <w:marRight w:val="0"/>
      <w:marTop w:val="0"/>
      <w:marBottom w:val="0"/>
      <w:divBdr>
        <w:top w:val="none" w:sz="0" w:space="0" w:color="auto"/>
        <w:left w:val="none" w:sz="0" w:space="0" w:color="auto"/>
        <w:bottom w:val="none" w:sz="0" w:space="0" w:color="auto"/>
        <w:right w:val="none" w:sz="0" w:space="0" w:color="auto"/>
      </w:divBdr>
    </w:div>
    <w:div w:id="1591507449">
      <w:bodyDiv w:val="1"/>
      <w:marLeft w:val="0"/>
      <w:marRight w:val="0"/>
      <w:marTop w:val="0"/>
      <w:marBottom w:val="0"/>
      <w:divBdr>
        <w:top w:val="none" w:sz="0" w:space="0" w:color="auto"/>
        <w:left w:val="none" w:sz="0" w:space="0" w:color="auto"/>
        <w:bottom w:val="none" w:sz="0" w:space="0" w:color="auto"/>
        <w:right w:val="none" w:sz="0" w:space="0" w:color="auto"/>
      </w:divBdr>
    </w:div>
    <w:div w:id="1753351839">
      <w:bodyDiv w:val="1"/>
      <w:marLeft w:val="0"/>
      <w:marRight w:val="0"/>
      <w:marTop w:val="0"/>
      <w:marBottom w:val="0"/>
      <w:divBdr>
        <w:top w:val="none" w:sz="0" w:space="0" w:color="auto"/>
        <w:left w:val="none" w:sz="0" w:space="0" w:color="auto"/>
        <w:bottom w:val="none" w:sz="0" w:space="0" w:color="auto"/>
        <w:right w:val="none" w:sz="0" w:space="0" w:color="auto"/>
      </w:divBdr>
    </w:div>
    <w:div w:id="200470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cid:image001.png@01D2876F.B3C334C0"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image" Target="cid:image002.png@01D28784.C8F7C6C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cid:image001.png@01D28770.B5236B90" TargetMode="External"/><Relationship Id="rId22" Type="http://schemas.openxmlformats.org/officeDocument/2006/relationships/footer" Target="footer1.xml"/><Relationship Id="rId27"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F487ACA-AC46-45E0-8187-BDD33E367ED2}"/>
</file>

<file path=customXml/itemProps2.xml><?xml version="1.0" encoding="utf-8"?>
<ds:datastoreItem xmlns:ds="http://schemas.openxmlformats.org/officeDocument/2006/customXml" ds:itemID="{B7FEA6C8-3AFD-40BE-8CE7-9A6C6953B4AD}"/>
</file>

<file path=customXml/itemProps3.xml><?xml version="1.0" encoding="utf-8"?>
<ds:datastoreItem xmlns:ds="http://schemas.openxmlformats.org/officeDocument/2006/customXml" ds:itemID="{EA58AEB2-D483-4FBC-9162-B2C4F037DB5C}"/>
</file>

<file path=customXml/itemProps4.xml><?xml version="1.0" encoding="utf-8"?>
<ds:datastoreItem xmlns:ds="http://schemas.openxmlformats.org/officeDocument/2006/customXml" ds:itemID="{A99F8CC0-98FE-4A6A-951F-AC99AB8AD10E}"/>
</file>

<file path=docProps/app.xml><?xml version="1.0" encoding="utf-8"?>
<Properties xmlns="http://schemas.openxmlformats.org/officeDocument/2006/extended-properties" xmlns:vt="http://schemas.openxmlformats.org/officeDocument/2006/docPropsVTypes">
  <Template>Normal.dotm</Template>
  <TotalTime>1</TotalTime>
  <Pages>10</Pages>
  <Words>3553</Words>
  <Characters>17768</Characters>
  <Application>Microsoft Office Word</Application>
  <DocSecurity>4</DocSecurity>
  <Lines>148</Lines>
  <Paragraphs>42</Paragraphs>
  <ScaleCrop>false</ScaleCrop>
  <HeadingPairs>
    <vt:vector size="2" baseType="variant">
      <vt:variant>
        <vt:lpstr>שם</vt:lpstr>
      </vt:variant>
      <vt:variant>
        <vt:i4>1</vt:i4>
      </vt:variant>
    </vt:vector>
  </HeadingPairs>
  <TitlesOfParts>
    <vt:vector size="1" baseType="lpstr">
      <vt:lpstr>ירושלים, ‏ל' כסלו תשס"ז</vt:lpstr>
    </vt:vector>
  </TitlesOfParts>
  <Company>Bank Of Israel</Company>
  <LinksUpToDate>false</LinksUpToDate>
  <CharactersWithSpaces>21279</CharactersWithSpaces>
  <SharedDoc>false</SharedDoc>
  <HLinks>
    <vt:vector size="18" baseType="variant">
      <vt:variant>
        <vt:i4>7208961</vt:i4>
      </vt:variant>
      <vt:variant>
        <vt:i4>19192</vt:i4>
      </vt:variant>
      <vt:variant>
        <vt:i4>1027</vt:i4>
      </vt:variant>
      <vt:variant>
        <vt:i4>1</vt:i4>
      </vt:variant>
      <vt:variant>
        <vt:lpwstr>cid:image001.png@01D28770.B5236B90</vt:lpwstr>
      </vt:variant>
      <vt:variant>
        <vt:lpwstr/>
      </vt:variant>
      <vt:variant>
        <vt:i4>4128857</vt:i4>
      </vt:variant>
      <vt:variant>
        <vt:i4>22800</vt:i4>
      </vt:variant>
      <vt:variant>
        <vt:i4>1029</vt:i4>
      </vt:variant>
      <vt:variant>
        <vt:i4>1</vt:i4>
      </vt:variant>
      <vt:variant>
        <vt:lpwstr>cid:image001.png@01D2876F.B3C334C0</vt:lpwstr>
      </vt:variant>
      <vt:variant>
        <vt:lpwstr/>
      </vt:variant>
      <vt:variant>
        <vt:i4>4128863</vt:i4>
      </vt:variant>
      <vt:variant>
        <vt:i4>42624</vt:i4>
      </vt:variant>
      <vt:variant>
        <vt:i4>1030</vt:i4>
      </vt:variant>
      <vt:variant>
        <vt:i4>1</vt:i4>
      </vt:variant>
      <vt:variant>
        <vt:lpwstr>cid:image002.png@01D28784.C8F7C6C0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creator>אור סופר</dc:creator>
  <cp:lastModifiedBy>מיטל רפאלי</cp:lastModifiedBy>
  <cp:revision>2</cp:revision>
  <cp:lastPrinted>2017-02-15T09:01:00Z</cp:lastPrinted>
  <dcterms:created xsi:type="dcterms:W3CDTF">2017-02-19T08:34:00Z</dcterms:created>
  <dcterms:modified xsi:type="dcterms:W3CDTF">2017-02-19T08:34:00Z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164S6129</vt:lpwstr>
  </property>
  <property fmtid="{D5CDD505-2E9C-101B-9397-08002B2CF9AE}" pid="3" name="CDP2">
    <vt:lpwstr>תיבת הסדר חוב</vt:lpwstr>
  </property>
  <property fmtid="{D5CDD505-2E9C-101B-9397-08002B2CF9AE}" pid="4" name="ContentTypeId">
    <vt:lpwstr>0x0101000644CCD52964FE4BBD8AB8E0B060EA47</vt:lpwstr>
  </property>
</Properties>
</file>