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0071CDF2" w:rsidR="007617BD" w:rsidRPr="00821CB5" w:rsidRDefault="0013048D" w:rsidP="0013048D">
      <w:pPr>
        <w:pStyle w:val="regpar"/>
        <w:jc w:val="right"/>
        <w:rPr>
          <w:rFonts w:ascii="Segoe UI" w:hAnsi="Segoe UI" w:cs="Segoe UI"/>
          <w:sz w:val="22"/>
          <w:szCs w:val="22"/>
        </w:rPr>
      </w:pPr>
      <w:r>
        <w:rPr>
          <w:rFonts w:ascii="Segoe UI" w:hAnsi="Segoe UI" w:cs="Segoe UI"/>
          <w:sz w:val="22"/>
          <w:szCs w:val="22"/>
        </w:rPr>
        <w:t>March 2</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7512A559" w:rsidR="00D00CF7" w:rsidRPr="00445F3E" w:rsidRDefault="00821CB5" w:rsidP="0013048D">
      <w:pPr>
        <w:pStyle w:val="regpar"/>
        <w:ind w:firstLine="0"/>
        <w:jc w:val="center"/>
        <w:rPr>
          <w:rFonts w:ascii="Segoe UI" w:hAnsi="Segoe UI" w:cs="Segoe UI"/>
          <w:b/>
          <w:bCs/>
          <w:sz w:val="22"/>
          <w:szCs w:val="22"/>
        </w:rPr>
      </w:pPr>
      <w:r>
        <w:rPr>
          <w:rFonts w:ascii="Segoe UI" w:hAnsi="Segoe UI" w:cs="Segoe UI"/>
          <w:b/>
          <w:bCs/>
          <w:sz w:val="22"/>
          <w:szCs w:val="22"/>
        </w:rPr>
        <w:t xml:space="preserve">The </w:t>
      </w:r>
      <w:r w:rsidR="0013048D">
        <w:rPr>
          <w:rFonts w:ascii="Segoe UI" w:hAnsi="Segoe UI" w:cs="Segoe UI"/>
          <w:b/>
          <w:bCs/>
          <w:sz w:val="22"/>
          <w:szCs w:val="22"/>
        </w:rPr>
        <w:t xml:space="preserve">Bank of Israel has formulated an assistance program that </w:t>
      </w:r>
      <w:proofErr w:type="gramStart"/>
      <w:r w:rsidR="0013048D">
        <w:rPr>
          <w:rFonts w:ascii="Segoe UI" w:hAnsi="Segoe UI" w:cs="Segoe UI"/>
          <w:b/>
          <w:bCs/>
          <w:sz w:val="22"/>
          <w:szCs w:val="22"/>
        </w:rPr>
        <w:t>has been adopted</w:t>
      </w:r>
      <w:proofErr w:type="gramEnd"/>
      <w:r w:rsidR="0013048D">
        <w:rPr>
          <w:rFonts w:ascii="Segoe UI" w:hAnsi="Segoe UI" w:cs="Segoe UI"/>
          <w:b/>
          <w:bCs/>
          <w:sz w:val="22"/>
          <w:szCs w:val="22"/>
        </w:rPr>
        <w:t xml:space="preserve"> by the banks to support customers who have been impacted by Operation “Roaring Lion”</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2DF3ECBA" w14:textId="46A1C899" w:rsidR="0013048D" w:rsidRPr="0013048D" w:rsidRDefault="0013048D" w:rsidP="00156A7D">
      <w:pPr>
        <w:spacing w:before="100" w:beforeAutospacing="1" w:after="100" w:afterAutospacing="1" w:line="240" w:lineRule="auto"/>
        <w:rPr>
          <w:rFonts w:ascii="Segoe UI" w:hAnsi="Segoe UI" w:cs="Segoe UI"/>
          <w:sz w:val="22"/>
          <w:szCs w:val="22"/>
        </w:rPr>
      </w:pPr>
      <w:bookmarkStart w:id="0" w:name="_GoBack"/>
      <w:r>
        <w:rPr>
          <w:rFonts w:ascii="Segoe UI" w:hAnsi="Segoe UI" w:cs="Segoe UI"/>
          <w:sz w:val="22"/>
          <w:szCs w:val="22"/>
        </w:rPr>
        <w:t>Bank of Israel Governor Prof. Amir Yaron: “</w:t>
      </w:r>
      <w:r w:rsidRPr="0013048D">
        <w:rPr>
          <w:rFonts w:ascii="Segoe UI" w:hAnsi="Segoe UI" w:cs="Segoe UI"/>
          <w:sz w:val="22"/>
          <w:szCs w:val="22"/>
        </w:rPr>
        <w:t xml:space="preserve">The mobilization of reserve forces as part of Operation “Roaring Lion,” along with the damage to property and </w:t>
      </w:r>
      <w:r>
        <w:rPr>
          <w:rFonts w:ascii="Segoe UI" w:hAnsi="Segoe UI" w:cs="Segoe UI"/>
          <w:sz w:val="22"/>
          <w:szCs w:val="22"/>
        </w:rPr>
        <w:t>personal injury</w:t>
      </w:r>
      <w:r w:rsidRPr="0013048D">
        <w:rPr>
          <w:rFonts w:ascii="Segoe UI" w:hAnsi="Segoe UI" w:cs="Segoe UI"/>
          <w:sz w:val="22"/>
          <w:szCs w:val="22"/>
        </w:rPr>
        <w:t xml:space="preserve">, has placed a significant financial burden on specific segments of the population. The Bank of Israel is acting to support the </w:t>
      </w:r>
      <w:r>
        <w:rPr>
          <w:rFonts w:ascii="Segoe UI" w:hAnsi="Segoe UI" w:cs="Segoe UI"/>
          <w:sz w:val="22"/>
          <w:szCs w:val="22"/>
        </w:rPr>
        <w:t>proper functioning</w:t>
      </w:r>
      <w:r w:rsidRPr="0013048D">
        <w:rPr>
          <w:rFonts w:ascii="Segoe UI" w:hAnsi="Segoe UI" w:cs="Segoe UI"/>
          <w:sz w:val="22"/>
          <w:szCs w:val="22"/>
        </w:rPr>
        <w:t xml:space="preserve"> of the financial and banking system and to ensure that the economy can resume normal activity as soon as the operation concludes.</w:t>
      </w:r>
      <w:r>
        <w:rPr>
          <w:rFonts w:ascii="Segoe UI" w:hAnsi="Segoe UI" w:cs="Segoe UI"/>
          <w:sz w:val="22"/>
          <w:szCs w:val="22"/>
        </w:rPr>
        <w:t xml:space="preserve">  </w:t>
      </w:r>
      <w:r w:rsidRPr="0013048D">
        <w:rPr>
          <w:rFonts w:ascii="Segoe UI" w:hAnsi="Segoe UI" w:cs="Segoe UI"/>
          <w:sz w:val="22"/>
          <w:szCs w:val="22"/>
        </w:rPr>
        <w:t xml:space="preserve">As part of these efforts, the Bank of Israel, in collaboration with the banking system, has formulated </w:t>
      </w:r>
      <w:r>
        <w:rPr>
          <w:rFonts w:ascii="Segoe UI" w:hAnsi="Segoe UI" w:cs="Segoe UI"/>
          <w:sz w:val="22"/>
          <w:szCs w:val="22"/>
        </w:rPr>
        <w:t>a program</w:t>
      </w:r>
      <w:r w:rsidRPr="0013048D">
        <w:rPr>
          <w:rFonts w:ascii="Segoe UI" w:hAnsi="Segoe UI" w:cs="Segoe UI"/>
          <w:sz w:val="22"/>
          <w:szCs w:val="22"/>
        </w:rPr>
        <w:t xml:space="preserve"> that allows for the deferral of loan payments for populations that </w:t>
      </w:r>
      <w:proofErr w:type="gramStart"/>
      <w:r w:rsidRPr="0013048D">
        <w:rPr>
          <w:rFonts w:ascii="Segoe UI" w:hAnsi="Segoe UI" w:cs="Segoe UI"/>
          <w:sz w:val="22"/>
          <w:szCs w:val="22"/>
        </w:rPr>
        <w:t>have been particularly affected</w:t>
      </w:r>
      <w:proofErr w:type="gramEnd"/>
      <w:r w:rsidRPr="0013048D">
        <w:rPr>
          <w:rFonts w:ascii="Segoe UI" w:hAnsi="Segoe UI" w:cs="Segoe UI"/>
          <w:sz w:val="22"/>
          <w:szCs w:val="22"/>
        </w:rPr>
        <w:t xml:space="preserve">. These include reserve soldiers called to duty under the operation, households evacuated from their homes, and small and micro businesses whose operations </w:t>
      </w:r>
      <w:proofErr w:type="gramStart"/>
      <w:r w:rsidRPr="0013048D">
        <w:rPr>
          <w:rFonts w:ascii="Segoe UI" w:hAnsi="Segoe UI" w:cs="Segoe UI"/>
          <w:sz w:val="22"/>
          <w:szCs w:val="22"/>
        </w:rPr>
        <w:t>have been disrupted</w:t>
      </w:r>
      <w:proofErr w:type="gramEnd"/>
      <w:r w:rsidRPr="0013048D">
        <w:rPr>
          <w:rFonts w:ascii="Segoe UI" w:hAnsi="Segoe UI" w:cs="Segoe UI"/>
          <w:sz w:val="22"/>
          <w:szCs w:val="22"/>
        </w:rPr>
        <w:t>.</w:t>
      </w:r>
      <w:r w:rsidR="00156A7D">
        <w:rPr>
          <w:rFonts w:ascii="Segoe UI" w:hAnsi="Segoe UI" w:cs="Segoe UI"/>
          <w:sz w:val="22"/>
          <w:szCs w:val="22"/>
        </w:rPr>
        <w:t xml:space="preserve">  </w:t>
      </w:r>
      <w:r w:rsidRPr="0013048D">
        <w:rPr>
          <w:rFonts w:ascii="Segoe UI" w:hAnsi="Segoe UI" w:cs="Segoe UI"/>
          <w:sz w:val="22"/>
          <w:szCs w:val="22"/>
        </w:rPr>
        <w:t>The Bank of Israel continues to monitor developments across all areas under its responsibility and will take further action as needed.</w:t>
      </w:r>
      <w:r w:rsidR="00156A7D">
        <w:rPr>
          <w:rFonts w:ascii="Segoe UI" w:hAnsi="Segoe UI" w:cs="Segoe UI"/>
          <w:sz w:val="22"/>
          <w:szCs w:val="22"/>
        </w:rPr>
        <w:t>”</w:t>
      </w:r>
    </w:p>
    <w:p w14:paraId="01CD78A3" w14:textId="77C0FA08" w:rsidR="0013048D" w:rsidRPr="0013048D" w:rsidRDefault="00156A7D" w:rsidP="00156A7D">
      <w:pPr>
        <w:spacing w:before="100" w:beforeAutospacing="1" w:after="100" w:afterAutospacing="1" w:line="240" w:lineRule="auto"/>
        <w:rPr>
          <w:rFonts w:ascii="Segoe UI" w:hAnsi="Segoe UI" w:cs="Segoe UI"/>
          <w:sz w:val="22"/>
          <w:szCs w:val="22"/>
        </w:rPr>
      </w:pPr>
      <w:r>
        <w:rPr>
          <w:rFonts w:ascii="Segoe UI" w:hAnsi="Segoe UI" w:cs="Segoe UI"/>
          <w:sz w:val="22"/>
          <w:szCs w:val="22"/>
        </w:rPr>
        <w:t xml:space="preserve">Supervisor of Banks </w:t>
      </w:r>
      <w:r w:rsidR="0013048D" w:rsidRPr="0013048D">
        <w:rPr>
          <w:rFonts w:ascii="Segoe UI" w:hAnsi="Segoe UI" w:cs="Segoe UI"/>
          <w:sz w:val="22"/>
          <w:szCs w:val="22"/>
        </w:rPr>
        <w:t xml:space="preserve">Daniel </w:t>
      </w:r>
      <w:proofErr w:type="spellStart"/>
      <w:r w:rsidR="0013048D" w:rsidRPr="0013048D">
        <w:rPr>
          <w:rFonts w:ascii="Segoe UI" w:hAnsi="Segoe UI" w:cs="Segoe UI"/>
          <w:sz w:val="22"/>
          <w:szCs w:val="22"/>
        </w:rPr>
        <w:t>Hahiashvili</w:t>
      </w:r>
      <w:proofErr w:type="spellEnd"/>
      <w:r w:rsidR="0013048D" w:rsidRPr="0013048D">
        <w:rPr>
          <w:rFonts w:ascii="Segoe UI" w:hAnsi="Segoe UI" w:cs="Segoe UI"/>
          <w:sz w:val="22"/>
          <w:szCs w:val="22"/>
        </w:rPr>
        <w:t>:</w:t>
      </w:r>
      <w:r>
        <w:rPr>
          <w:rFonts w:ascii="Segoe UI" w:hAnsi="Segoe UI" w:cs="Segoe UI"/>
          <w:sz w:val="22"/>
          <w:szCs w:val="22"/>
        </w:rPr>
        <w:t xml:space="preserve">  </w:t>
      </w:r>
      <w:r w:rsidR="0013048D" w:rsidRPr="0013048D">
        <w:rPr>
          <w:rFonts w:ascii="Segoe UI" w:hAnsi="Segoe UI" w:cs="Segoe UI"/>
          <w:sz w:val="22"/>
          <w:szCs w:val="22"/>
        </w:rPr>
        <w:t>“This is the third time in the past two</w:t>
      </w:r>
      <w:r>
        <w:rPr>
          <w:rFonts w:ascii="Segoe UI" w:hAnsi="Segoe UI" w:cs="Segoe UI"/>
          <w:sz w:val="22"/>
          <w:szCs w:val="22"/>
        </w:rPr>
        <w:t>-</w:t>
      </w:r>
      <w:r w:rsidR="0013048D" w:rsidRPr="0013048D">
        <w:rPr>
          <w:rFonts w:ascii="Segoe UI" w:hAnsi="Segoe UI" w:cs="Segoe UI"/>
          <w:sz w:val="22"/>
          <w:szCs w:val="22"/>
        </w:rPr>
        <w:t>and</w:t>
      </w:r>
      <w:r>
        <w:rPr>
          <w:rFonts w:ascii="Segoe UI" w:hAnsi="Segoe UI" w:cs="Segoe UI"/>
          <w:sz w:val="22"/>
          <w:szCs w:val="22"/>
        </w:rPr>
        <w:t>-</w:t>
      </w:r>
      <w:r w:rsidR="0013048D" w:rsidRPr="0013048D">
        <w:rPr>
          <w:rFonts w:ascii="Segoe UI" w:hAnsi="Segoe UI" w:cs="Segoe UI"/>
          <w:sz w:val="22"/>
          <w:szCs w:val="22"/>
        </w:rPr>
        <w:t>a</w:t>
      </w:r>
      <w:r>
        <w:rPr>
          <w:rFonts w:ascii="Segoe UI" w:hAnsi="Segoe UI" w:cs="Segoe UI"/>
          <w:sz w:val="22"/>
          <w:szCs w:val="22"/>
        </w:rPr>
        <w:t>-</w:t>
      </w:r>
      <w:r w:rsidR="0013048D" w:rsidRPr="0013048D">
        <w:rPr>
          <w:rFonts w:ascii="Segoe UI" w:hAnsi="Segoe UI" w:cs="Segoe UI"/>
          <w:sz w:val="22"/>
          <w:szCs w:val="22"/>
        </w:rPr>
        <w:t>half years that the banking system has adopted a relief framework to assist customers affected by security-related events. The framework we developed and that the banks have adopted provides a rapid and immediate response to the liquidity challenges faced by households and small businesses impacted by the situation. The Banking Supervision Department will continue to closely monitor developments and their economic implications and will act as necessary to expand or extend the framework.”</w:t>
      </w:r>
    </w:p>
    <w:p w14:paraId="1BFF0A9E" w14:textId="3F3C66B3" w:rsidR="0013048D" w:rsidRPr="0013048D" w:rsidRDefault="0013048D" w:rsidP="00156A7D">
      <w:pPr>
        <w:spacing w:before="100" w:beforeAutospacing="1" w:after="100" w:afterAutospacing="1" w:line="240" w:lineRule="auto"/>
        <w:rPr>
          <w:rFonts w:ascii="Segoe UI" w:hAnsi="Segoe UI" w:cs="Segoe UI"/>
          <w:sz w:val="22"/>
          <w:szCs w:val="22"/>
        </w:rPr>
      </w:pPr>
      <w:r w:rsidRPr="0013048D">
        <w:rPr>
          <w:rFonts w:ascii="Segoe UI" w:hAnsi="Segoe UI" w:cs="Segoe UI"/>
          <w:sz w:val="22"/>
          <w:szCs w:val="22"/>
        </w:rPr>
        <w:t xml:space="preserve">In </w:t>
      </w:r>
      <w:r w:rsidR="00156A7D">
        <w:rPr>
          <w:rFonts w:ascii="Segoe UI" w:hAnsi="Segoe UI" w:cs="Segoe UI"/>
          <w:sz w:val="22"/>
          <w:szCs w:val="22"/>
        </w:rPr>
        <w:t>view</w:t>
      </w:r>
      <w:r w:rsidRPr="0013048D">
        <w:rPr>
          <w:rFonts w:ascii="Segoe UI" w:hAnsi="Segoe UI" w:cs="Segoe UI"/>
          <w:sz w:val="22"/>
          <w:szCs w:val="22"/>
        </w:rPr>
        <w:t xml:space="preserve"> of Operation “Roaring Lion” and its impact on the economy, and following the shutdown of large areas across the country in accordance with Home Front Command directives, the Banking Supervision Department at the Bank of Israel has established a support framework for populations directly affected by the fighting as of February 28, 2026. The goal is to provide immediate cash-flow relief and help maintain the proper functioning of the economy, alongside additional measures </w:t>
      </w:r>
      <w:proofErr w:type="gramStart"/>
      <w:r w:rsidRPr="0013048D">
        <w:rPr>
          <w:rFonts w:ascii="Segoe UI" w:hAnsi="Segoe UI" w:cs="Segoe UI"/>
          <w:sz w:val="22"/>
          <w:szCs w:val="22"/>
        </w:rPr>
        <w:t>being taken</w:t>
      </w:r>
      <w:proofErr w:type="gramEnd"/>
      <w:r w:rsidRPr="0013048D">
        <w:rPr>
          <w:rFonts w:ascii="Segoe UI" w:hAnsi="Segoe UI" w:cs="Segoe UI"/>
          <w:sz w:val="22"/>
          <w:szCs w:val="22"/>
        </w:rPr>
        <w:t xml:space="preserve"> to ease the situation.</w:t>
      </w:r>
      <w:r w:rsidR="00156A7D">
        <w:rPr>
          <w:rFonts w:ascii="Segoe UI" w:hAnsi="Segoe UI" w:cs="Segoe UI"/>
          <w:sz w:val="22"/>
          <w:szCs w:val="22"/>
        </w:rPr>
        <w:t xml:space="preserve">  </w:t>
      </w:r>
      <w:r w:rsidRPr="0013048D">
        <w:rPr>
          <w:rFonts w:ascii="Segoe UI" w:hAnsi="Segoe UI" w:cs="Segoe UI"/>
          <w:sz w:val="22"/>
          <w:szCs w:val="22"/>
        </w:rPr>
        <w:t>The framework sets out minimum conditions for loan deferrals, and each bank may expand these terms for the benefit of its customers upon request.</w:t>
      </w:r>
    </w:p>
    <w:p w14:paraId="22471E60" w14:textId="20333740" w:rsidR="0013048D" w:rsidRPr="0013048D" w:rsidRDefault="0013048D" w:rsidP="00156A7D">
      <w:pPr>
        <w:spacing w:before="100" w:beforeAutospacing="1" w:after="100" w:afterAutospacing="1" w:line="240" w:lineRule="auto"/>
        <w:rPr>
          <w:rFonts w:ascii="Segoe UI" w:hAnsi="Segoe UI" w:cs="Segoe UI"/>
          <w:sz w:val="22"/>
          <w:szCs w:val="22"/>
        </w:rPr>
      </w:pPr>
      <w:r w:rsidRPr="0013048D">
        <w:rPr>
          <w:rFonts w:ascii="Segoe UI" w:hAnsi="Segoe UI" w:cs="Segoe UI"/>
          <w:sz w:val="22"/>
          <w:szCs w:val="22"/>
        </w:rPr>
        <w:t xml:space="preserve">Participation in the framework will be available between March 16, 2026, and April 16, 2026, and </w:t>
      </w:r>
      <w:r w:rsidR="00156A7D">
        <w:rPr>
          <w:rFonts w:ascii="Segoe UI" w:hAnsi="Segoe UI" w:cs="Segoe UI"/>
          <w:sz w:val="22"/>
          <w:szCs w:val="22"/>
        </w:rPr>
        <w:t xml:space="preserve">the program </w:t>
      </w:r>
      <w:r w:rsidRPr="0013048D">
        <w:rPr>
          <w:rFonts w:ascii="Segoe UI" w:hAnsi="Segoe UI" w:cs="Segoe UI"/>
          <w:sz w:val="22"/>
          <w:szCs w:val="22"/>
        </w:rPr>
        <w:t>may be extended or expanded depending on security developments and emerging needs. Banks wishing to implement the framework earlier or to allow customers to submit requests ahead of time may do so</w:t>
      </w:r>
      <w:r w:rsidR="00156A7D">
        <w:rPr>
          <w:rFonts w:ascii="Segoe UI" w:hAnsi="Segoe UI" w:cs="Segoe UI"/>
          <w:sz w:val="22"/>
          <w:szCs w:val="22"/>
        </w:rPr>
        <w:t>,</w:t>
      </w:r>
      <w:r w:rsidRPr="0013048D">
        <w:rPr>
          <w:rFonts w:ascii="Segoe UI" w:hAnsi="Segoe UI" w:cs="Segoe UI"/>
          <w:sz w:val="22"/>
          <w:szCs w:val="22"/>
        </w:rPr>
        <w:t xml:space="preserve"> and will inform their customers accordingly. Customers may submit requests to join the framework until April 16, 2026.</w:t>
      </w:r>
    </w:p>
    <w:p w14:paraId="48C6FC9F" w14:textId="693FAB13" w:rsidR="0013048D" w:rsidRPr="0013048D" w:rsidRDefault="0013048D" w:rsidP="00156A7D">
      <w:pPr>
        <w:spacing w:before="100" w:beforeAutospacing="1" w:after="100" w:afterAutospacing="1" w:line="240" w:lineRule="auto"/>
        <w:jc w:val="left"/>
        <w:outlineLvl w:val="2"/>
        <w:rPr>
          <w:rFonts w:ascii="Segoe UI" w:hAnsi="Segoe UI" w:cs="Segoe UI"/>
          <w:b/>
          <w:bCs/>
          <w:sz w:val="22"/>
          <w:szCs w:val="22"/>
        </w:rPr>
      </w:pPr>
      <w:r w:rsidRPr="0013048D">
        <w:rPr>
          <w:rFonts w:ascii="Segoe UI" w:hAnsi="Segoe UI" w:cs="Segoe UI"/>
          <w:b/>
          <w:bCs/>
          <w:sz w:val="22"/>
          <w:szCs w:val="22"/>
        </w:rPr>
        <w:lastRenderedPageBreak/>
        <w:t>Population</w:t>
      </w:r>
      <w:r w:rsidR="00156A7D">
        <w:rPr>
          <w:rFonts w:ascii="Segoe UI" w:hAnsi="Segoe UI" w:cs="Segoe UI"/>
          <w:b/>
          <w:bCs/>
          <w:sz w:val="22"/>
          <w:szCs w:val="22"/>
        </w:rPr>
        <w:t xml:space="preserve"> groups eligible for r</w:t>
      </w:r>
      <w:r w:rsidRPr="0013048D">
        <w:rPr>
          <w:rFonts w:ascii="Segoe UI" w:hAnsi="Segoe UI" w:cs="Segoe UI"/>
          <w:b/>
          <w:bCs/>
          <w:sz w:val="22"/>
          <w:szCs w:val="22"/>
        </w:rPr>
        <w:t xml:space="preserve">elief and </w:t>
      </w:r>
      <w:r w:rsidR="00156A7D">
        <w:rPr>
          <w:rFonts w:ascii="Segoe UI" w:hAnsi="Segoe UI" w:cs="Segoe UI"/>
          <w:b/>
          <w:bCs/>
          <w:sz w:val="22"/>
          <w:szCs w:val="22"/>
        </w:rPr>
        <w:t>a</w:t>
      </w:r>
      <w:r w:rsidRPr="0013048D">
        <w:rPr>
          <w:rFonts w:ascii="Segoe UI" w:hAnsi="Segoe UI" w:cs="Segoe UI"/>
          <w:b/>
          <w:bCs/>
          <w:sz w:val="22"/>
          <w:szCs w:val="22"/>
        </w:rPr>
        <w:t xml:space="preserve">pplicable </w:t>
      </w:r>
      <w:r w:rsidR="00156A7D">
        <w:rPr>
          <w:rFonts w:ascii="Segoe UI" w:hAnsi="Segoe UI" w:cs="Segoe UI"/>
          <w:b/>
          <w:bCs/>
          <w:sz w:val="22"/>
          <w:szCs w:val="22"/>
        </w:rPr>
        <w:t>m</w:t>
      </w:r>
      <w:r w:rsidRPr="0013048D">
        <w:rPr>
          <w:rFonts w:ascii="Segoe UI" w:hAnsi="Segoe UI" w:cs="Segoe UI"/>
          <w:b/>
          <w:bCs/>
          <w:sz w:val="22"/>
          <w:szCs w:val="22"/>
        </w:rPr>
        <w:t>easures</w:t>
      </w:r>
    </w:p>
    <w:p w14:paraId="14D64465" w14:textId="430A3B98" w:rsidR="0013048D" w:rsidRPr="00156A7D" w:rsidRDefault="0013048D" w:rsidP="00156A7D">
      <w:pPr>
        <w:pStyle w:val="ListParagraph"/>
        <w:numPr>
          <w:ilvl w:val="0"/>
          <w:numId w:val="22"/>
        </w:numPr>
        <w:spacing w:before="100" w:beforeAutospacing="1" w:after="100" w:afterAutospacing="1" w:line="240" w:lineRule="auto"/>
        <w:ind w:left="426"/>
        <w:jc w:val="left"/>
        <w:rPr>
          <w:rFonts w:ascii="Segoe UI" w:hAnsi="Segoe UI" w:cs="Segoe UI"/>
          <w:sz w:val="22"/>
          <w:szCs w:val="22"/>
        </w:rPr>
      </w:pPr>
      <w:r w:rsidRPr="00156A7D">
        <w:rPr>
          <w:rFonts w:ascii="Segoe UI" w:hAnsi="Segoe UI" w:cs="Segoe UI"/>
          <w:sz w:val="22"/>
          <w:szCs w:val="22"/>
        </w:rPr>
        <w:t>Households whose homes were damaged or who were evacuated as a result of Operation “Roaring Lion,” or households that suffered physical harm:</w:t>
      </w:r>
    </w:p>
    <w:p w14:paraId="7B0A87FE" w14:textId="7E98EFA6" w:rsidR="0013048D" w:rsidRPr="0013048D" w:rsidRDefault="0013048D" w:rsidP="00156A7D">
      <w:pPr>
        <w:numPr>
          <w:ilvl w:val="0"/>
          <w:numId w:val="20"/>
        </w:numPr>
        <w:spacing w:before="100" w:beforeAutospacing="1" w:after="100" w:afterAutospacing="1" w:line="240" w:lineRule="auto"/>
        <w:jc w:val="left"/>
        <w:rPr>
          <w:rFonts w:ascii="Segoe UI" w:hAnsi="Segoe UI" w:cs="Segoe UI"/>
          <w:sz w:val="22"/>
          <w:szCs w:val="22"/>
        </w:rPr>
      </w:pPr>
      <w:r w:rsidRPr="0013048D">
        <w:rPr>
          <w:rFonts w:ascii="Segoe UI" w:hAnsi="Segoe UI" w:cs="Segoe UI"/>
          <w:sz w:val="22"/>
          <w:szCs w:val="22"/>
        </w:rPr>
        <w:t>Deferral of mortgage payments for up to three months, with no limit on the amount, and without interest or fees.</w:t>
      </w:r>
    </w:p>
    <w:p w14:paraId="5E10090B" w14:textId="77777777" w:rsidR="0013048D" w:rsidRPr="0013048D" w:rsidRDefault="0013048D" w:rsidP="0013048D">
      <w:pPr>
        <w:numPr>
          <w:ilvl w:val="0"/>
          <w:numId w:val="20"/>
        </w:numPr>
        <w:spacing w:before="100" w:beforeAutospacing="1" w:after="100" w:afterAutospacing="1" w:line="240" w:lineRule="auto"/>
        <w:jc w:val="left"/>
        <w:rPr>
          <w:rFonts w:ascii="Segoe UI" w:hAnsi="Segoe UI" w:cs="Segoe UI"/>
          <w:sz w:val="22"/>
          <w:szCs w:val="22"/>
        </w:rPr>
      </w:pPr>
      <w:r w:rsidRPr="0013048D">
        <w:rPr>
          <w:rFonts w:ascii="Segoe UI" w:hAnsi="Segoe UI" w:cs="Segoe UI"/>
          <w:sz w:val="22"/>
          <w:szCs w:val="22"/>
        </w:rPr>
        <w:t>Deferral of consumer loan repayments totaling up to NIS 100,000 for three months, without interest or fees.</w:t>
      </w:r>
    </w:p>
    <w:p w14:paraId="7F22506D" w14:textId="1401EB02" w:rsidR="0013048D" w:rsidRDefault="0013048D" w:rsidP="00156A7D">
      <w:pPr>
        <w:pStyle w:val="ListParagraph"/>
        <w:numPr>
          <w:ilvl w:val="0"/>
          <w:numId w:val="22"/>
        </w:numPr>
        <w:spacing w:before="100" w:beforeAutospacing="1" w:after="100" w:afterAutospacing="1" w:line="240" w:lineRule="auto"/>
        <w:ind w:left="426"/>
        <w:jc w:val="left"/>
        <w:rPr>
          <w:rFonts w:ascii="Segoe UI" w:hAnsi="Segoe UI" w:cs="Segoe UI"/>
          <w:sz w:val="22"/>
          <w:szCs w:val="22"/>
        </w:rPr>
      </w:pPr>
      <w:r w:rsidRPr="00156A7D">
        <w:rPr>
          <w:rFonts w:ascii="Segoe UI" w:hAnsi="Segoe UI" w:cs="Segoe UI"/>
          <w:sz w:val="22"/>
          <w:szCs w:val="22"/>
        </w:rPr>
        <w:t>Small and micro businesses</w:t>
      </w:r>
      <w:r w:rsidR="009D006D">
        <w:rPr>
          <w:rStyle w:val="FootnoteReference"/>
          <w:rFonts w:ascii="Segoe UI" w:hAnsi="Segoe UI" w:cs="Segoe UI"/>
        </w:rPr>
        <w:footnoteReference w:id="1"/>
      </w:r>
      <w:r w:rsidRPr="00156A7D">
        <w:rPr>
          <w:rFonts w:ascii="Segoe UI" w:hAnsi="Segoe UI" w:cs="Segoe UI"/>
          <w:sz w:val="22"/>
          <w:szCs w:val="22"/>
        </w:rPr>
        <w:t xml:space="preserve"> that were physically or financially affected by the operation</w:t>
      </w:r>
      <w:r w:rsidR="009D006D">
        <w:rPr>
          <w:rFonts w:ascii="Segoe UI" w:hAnsi="Segoe UI" w:cs="Segoe UI"/>
          <w:sz w:val="22"/>
          <w:szCs w:val="22"/>
        </w:rPr>
        <w:t xml:space="preserve"> (based on criteria detailed below)</w:t>
      </w:r>
      <w:r w:rsidRPr="00156A7D">
        <w:rPr>
          <w:rFonts w:ascii="Segoe UI" w:hAnsi="Segoe UI" w:cs="Segoe UI"/>
          <w:sz w:val="22"/>
          <w:szCs w:val="22"/>
        </w:rPr>
        <w:t>:</w:t>
      </w:r>
    </w:p>
    <w:p w14:paraId="28A15D55" w14:textId="77777777" w:rsidR="009D006D" w:rsidRDefault="009D006D" w:rsidP="009D006D">
      <w:pPr>
        <w:pStyle w:val="ListParagraph"/>
        <w:spacing w:before="100" w:beforeAutospacing="1" w:after="100" w:afterAutospacing="1" w:line="240" w:lineRule="auto"/>
        <w:ind w:left="426"/>
        <w:jc w:val="left"/>
        <w:rPr>
          <w:rFonts w:ascii="Segoe UI" w:hAnsi="Segoe UI" w:cs="Segoe UI"/>
          <w:sz w:val="22"/>
          <w:szCs w:val="22"/>
        </w:rPr>
      </w:pPr>
    </w:p>
    <w:p w14:paraId="5DA8C048" w14:textId="77777777" w:rsidR="009D006D" w:rsidRDefault="009D006D" w:rsidP="00F91F5B">
      <w:pPr>
        <w:pStyle w:val="ListParagraph"/>
        <w:numPr>
          <w:ilvl w:val="0"/>
          <w:numId w:val="21"/>
        </w:numPr>
        <w:spacing w:before="100" w:beforeAutospacing="1" w:after="100" w:afterAutospacing="1" w:line="240" w:lineRule="auto"/>
        <w:jc w:val="left"/>
        <w:rPr>
          <w:rFonts w:ascii="Segoe UI" w:hAnsi="Segoe UI" w:cs="Segoe UI"/>
          <w:sz w:val="22"/>
          <w:szCs w:val="22"/>
        </w:rPr>
      </w:pPr>
      <w:r w:rsidRPr="009D006D">
        <w:rPr>
          <w:rFonts w:ascii="Segoe UI" w:hAnsi="Segoe UI" w:cs="Segoe UI"/>
          <w:sz w:val="22"/>
          <w:szCs w:val="22"/>
        </w:rPr>
        <w:t>Deferral of business loan repayments totaling up to NIS 2 million for two months, without interest or fees.</w:t>
      </w:r>
    </w:p>
    <w:p w14:paraId="62746CFE" w14:textId="3C0C1D05" w:rsidR="0013048D" w:rsidRPr="0013048D" w:rsidRDefault="009D006D" w:rsidP="009D006D">
      <w:pPr>
        <w:pStyle w:val="ListParagraph"/>
        <w:numPr>
          <w:ilvl w:val="0"/>
          <w:numId w:val="21"/>
        </w:numPr>
        <w:spacing w:before="100" w:beforeAutospacing="1" w:after="100" w:afterAutospacing="1" w:line="240" w:lineRule="auto"/>
        <w:jc w:val="left"/>
        <w:rPr>
          <w:rFonts w:ascii="Segoe UI" w:hAnsi="Segoe UI" w:cs="Segoe UI"/>
          <w:sz w:val="22"/>
          <w:szCs w:val="22"/>
        </w:rPr>
      </w:pPr>
      <w:r>
        <w:rPr>
          <w:rFonts w:ascii="Segoe UI" w:hAnsi="Segoe UI" w:cs="Segoe UI"/>
          <w:sz w:val="22"/>
          <w:szCs w:val="22"/>
        </w:rPr>
        <w:t>In addition, f</w:t>
      </w:r>
      <w:r w:rsidR="0013048D" w:rsidRPr="0013048D">
        <w:rPr>
          <w:rFonts w:ascii="Segoe UI" w:hAnsi="Segoe UI" w:cs="Segoe UI"/>
          <w:sz w:val="22"/>
          <w:szCs w:val="22"/>
        </w:rPr>
        <w:t xml:space="preserve">or businesses owned by reserve soldiers, a two-month exemption from interest charges on overdrafts in business accounts (up to NIS 30,000 in overdraft). This benefit </w:t>
      </w:r>
      <w:proofErr w:type="gramStart"/>
      <w:r w:rsidR="0013048D" w:rsidRPr="0013048D">
        <w:rPr>
          <w:rFonts w:ascii="Segoe UI" w:hAnsi="Segoe UI" w:cs="Segoe UI"/>
          <w:sz w:val="22"/>
          <w:szCs w:val="22"/>
        </w:rPr>
        <w:t>will be granted</w:t>
      </w:r>
      <w:proofErr w:type="gramEnd"/>
      <w:r w:rsidR="0013048D" w:rsidRPr="0013048D">
        <w:rPr>
          <w:rFonts w:ascii="Segoe UI" w:hAnsi="Segoe UI" w:cs="Segoe UI"/>
          <w:sz w:val="22"/>
          <w:szCs w:val="22"/>
        </w:rPr>
        <w:t xml:space="preserve"> automatically to business owners identified by the bank as active reservists or those who have notified the bank of their service, and who had a negative balance in their business account as of March 1, 2026 (the day before the framework’s publication).</w:t>
      </w:r>
    </w:p>
    <w:p w14:paraId="27862ECE" w14:textId="77777777" w:rsidR="0013048D" w:rsidRPr="0013048D" w:rsidRDefault="0013048D" w:rsidP="0013048D">
      <w:pPr>
        <w:numPr>
          <w:ilvl w:val="0"/>
          <w:numId w:val="21"/>
        </w:numPr>
        <w:spacing w:before="100" w:beforeAutospacing="1" w:after="100" w:afterAutospacing="1" w:line="240" w:lineRule="auto"/>
        <w:jc w:val="left"/>
        <w:rPr>
          <w:rFonts w:ascii="Segoe UI" w:hAnsi="Segoe UI" w:cs="Segoe UI"/>
          <w:sz w:val="22"/>
          <w:szCs w:val="22"/>
        </w:rPr>
      </w:pPr>
      <w:r w:rsidRPr="0013048D">
        <w:rPr>
          <w:rFonts w:ascii="Segoe UI" w:hAnsi="Segoe UI" w:cs="Segoe UI"/>
          <w:sz w:val="22"/>
          <w:szCs w:val="22"/>
        </w:rPr>
        <w:t>Businesses that do not meet the defined criteria may defer loan repayments totaling up to NIS 2 million for two months, subject to the contractual interest rate.</w:t>
      </w:r>
    </w:p>
    <w:p w14:paraId="60D6DDF5" w14:textId="5173CE4D" w:rsidR="0013048D" w:rsidRDefault="009D006D" w:rsidP="0013048D">
      <w:pPr>
        <w:spacing w:before="100" w:beforeAutospacing="1" w:after="100" w:afterAutospacing="1" w:line="240" w:lineRule="auto"/>
        <w:jc w:val="left"/>
        <w:rPr>
          <w:rFonts w:ascii="Segoe UI" w:hAnsi="Segoe UI" w:cs="Segoe UI"/>
          <w:sz w:val="22"/>
          <w:szCs w:val="22"/>
        </w:rPr>
      </w:pPr>
      <w:r>
        <w:rPr>
          <w:rFonts w:ascii="Segoe UI" w:hAnsi="Segoe UI" w:cs="Segoe UI"/>
          <w:sz w:val="22"/>
          <w:szCs w:val="22"/>
        </w:rPr>
        <w:t>For more information and assistance:</w:t>
      </w:r>
    </w:p>
    <w:p w14:paraId="62BE3DEE" w14:textId="7EEB6EB7" w:rsidR="009D006D" w:rsidRPr="009D006D" w:rsidRDefault="009D006D" w:rsidP="009D006D">
      <w:pPr>
        <w:pStyle w:val="regpar"/>
        <w:numPr>
          <w:ilvl w:val="0"/>
          <w:numId w:val="24"/>
        </w:numPr>
      </w:pPr>
      <w:r>
        <w:rPr>
          <w:rFonts w:ascii="Segoe UI" w:hAnsi="Segoe UI" w:cs="Segoe UI"/>
          <w:sz w:val="22"/>
          <w:szCs w:val="22"/>
        </w:rPr>
        <w:t>Banking Supervision Department Consumer Enquiries and Inspections Unit: 02-655-2680 or *9086.</w:t>
      </w:r>
    </w:p>
    <w:p w14:paraId="29036E13" w14:textId="2DD90946" w:rsidR="009D006D" w:rsidRPr="009D006D" w:rsidRDefault="009D006D" w:rsidP="009D006D">
      <w:pPr>
        <w:pStyle w:val="regpar"/>
        <w:numPr>
          <w:ilvl w:val="0"/>
          <w:numId w:val="24"/>
        </w:numPr>
      </w:pPr>
      <w:r>
        <w:rPr>
          <w:rFonts w:ascii="Segoe UI" w:hAnsi="Segoe UI" w:cs="Segoe UI"/>
          <w:sz w:val="22"/>
          <w:szCs w:val="22"/>
        </w:rPr>
        <w:t>Supervisor of Credit Data Sharing, Bank of Israel: *6194.</w:t>
      </w:r>
    </w:p>
    <w:p w14:paraId="7A458B08" w14:textId="4183FBFC" w:rsidR="009D006D" w:rsidRPr="009D006D" w:rsidRDefault="009D006D" w:rsidP="009D006D">
      <w:pPr>
        <w:pStyle w:val="regpar"/>
        <w:numPr>
          <w:ilvl w:val="0"/>
          <w:numId w:val="24"/>
        </w:numPr>
      </w:pPr>
      <w:r>
        <w:rPr>
          <w:rFonts w:ascii="Segoe UI" w:hAnsi="Segoe UI" w:cs="Segoe UI"/>
          <w:sz w:val="22"/>
          <w:szCs w:val="22"/>
        </w:rPr>
        <w:t xml:space="preserve">Information on banking matters on the </w:t>
      </w:r>
      <w:hyperlink r:id="rId12" w:history="1">
        <w:r w:rsidRPr="001D70BF">
          <w:rPr>
            <w:rStyle w:val="Hyperlink"/>
            <w:rFonts w:ascii="Segoe UI" w:hAnsi="Segoe UI" w:cs="Segoe UI"/>
            <w:sz w:val="22"/>
            <w:szCs w:val="22"/>
          </w:rPr>
          <w:t>Bank of Israel website</w:t>
        </w:r>
      </w:hyperlink>
      <w:r>
        <w:rPr>
          <w:rFonts w:ascii="Segoe UI" w:hAnsi="Segoe UI" w:cs="Segoe UI"/>
          <w:sz w:val="22"/>
          <w:szCs w:val="22"/>
        </w:rPr>
        <w:t>.</w:t>
      </w:r>
    </w:p>
    <w:p w14:paraId="1F24E301" w14:textId="7F66C50A" w:rsidR="001D70BF" w:rsidRDefault="001D70BF">
      <w:pPr>
        <w:spacing w:line="240" w:lineRule="auto"/>
        <w:jc w:val="left"/>
        <w:rPr>
          <w:rFonts w:ascii="Segoe UI" w:hAnsi="Segoe UI" w:cs="Segoe UI"/>
          <w:sz w:val="22"/>
          <w:szCs w:val="22"/>
        </w:rPr>
      </w:pPr>
      <w:r>
        <w:rPr>
          <w:rFonts w:ascii="Segoe UI" w:hAnsi="Segoe UI" w:cs="Segoe UI"/>
          <w:sz w:val="22"/>
          <w:szCs w:val="22"/>
        </w:rPr>
        <w:br w:type="page"/>
      </w:r>
    </w:p>
    <w:p w14:paraId="24A21050" w14:textId="0867759B" w:rsidR="00445F3E" w:rsidRDefault="00445F3E" w:rsidP="00445F3E">
      <w:pPr>
        <w:pStyle w:val="regpar"/>
        <w:ind w:firstLine="0"/>
        <w:rPr>
          <w:rFonts w:ascii="Segoe UI" w:hAnsi="Segoe UI" w:cs="Segoe UI"/>
          <w:sz w:val="22"/>
          <w:szCs w:val="22"/>
        </w:rPr>
      </w:pPr>
    </w:p>
    <w:p w14:paraId="041779A7" w14:textId="13A2B3F1" w:rsidR="001D70BF" w:rsidRDefault="001D70BF" w:rsidP="00445F3E">
      <w:pPr>
        <w:pStyle w:val="regpar"/>
        <w:ind w:firstLine="0"/>
        <w:rPr>
          <w:rFonts w:ascii="Segoe UI" w:hAnsi="Segoe UI" w:cs="Segoe UI"/>
          <w:sz w:val="22"/>
          <w:szCs w:val="22"/>
        </w:rPr>
      </w:pPr>
    </w:p>
    <w:p w14:paraId="63DDE7D6" w14:textId="30C3B0ED" w:rsidR="001D70BF" w:rsidRDefault="001D70BF" w:rsidP="001D70BF">
      <w:pPr>
        <w:pStyle w:val="regpar"/>
        <w:ind w:firstLine="0"/>
        <w:jc w:val="center"/>
        <w:rPr>
          <w:rFonts w:ascii="Segoe UI" w:hAnsi="Segoe UI" w:cs="Segoe UI"/>
          <w:b/>
          <w:bCs/>
          <w:sz w:val="22"/>
          <w:szCs w:val="22"/>
          <w:u w:val="single"/>
        </w:rPr>
      </w:pPr>
      <w:r>
        <w:rPr>
          <w:rFonts w:ascii="Segoe UI" w:hAnsi="Segoe UI" w:cs="Segoe UI"/>
          <w:b/>
          <w:bCs/>
          <w:sz w:val="22"/>
          <w:szCs w:val="22"/>
          <w:u w:val="single"/>
        </w:rPr>
        <w:t>Appendix – Identifying Customers as Being Eligible</w:t>
      </w:r>
    </w:p>
    <w:p w14:paraId="392F3B26" w14:textId="7C44F0CE" w:rsidR="001D70BF" w:rsidRDefault="001D70BF" w:rsidP="001D70BF">
      <w:pPr>
        <w:pStyle w:val="regpar"/>
        <w:ind w:firstLine="0"/>
        <w:rPr>
          <w:rFonts w:ascii="Segoe UI" w:hAnsi="Segoe UI" w:cs="Segoe UI"/>
          <w:sz w:val="22"/>
          <w:szCs w:val="22"/>
        </w:rPr>
      </w:pPr>
    </w:p>
    <w:p w14:paraId="7D0EF79A" w14:textId="0A239C65" w:rsidR="001D70BF" w:rsidRPr="00C7662B" w:rsidRDefault="001D70BF" w:rsidP="00C7662B">
      <w:pPr>
        <w:pStyle w:val="ListParagraph"/>
        <w:numPr>
          <w:ilvl w:val="1"/>
          <w:numId w:val="21"/>
        </w:numPr>
        <w:spacing w:before="100" w:beforeAutospacing="1" w:after="100" w:afterAutospacing="1" w:line="240" w:lineRule="auto"/>
        <w:ind w:left="426"/>
        <w:rPr>
          <w:rFonts w:ascii="Segoe UI" w:hAnsi="Segoe UI" w:cs="Segoe UI"/>
          <w:sz w:val="22"/>
          <w:szCs w:val="22"/>
        </w:rPr>
      </w:pPr>
      <w:r w:rsidRPr="00C7662B">
        <w:rPr>
          <w:rFonts w:ascii="Segoe UI" w:hAnsi="Segoe UI" w:cs="Segoe UI"/>
          <w:b/>
          <w:bCs/>
          <w:sz w:val="22"/>
          <w:szCs w:val="22"/>
        </w:rPr>
        <w:t>Evacuated households or households that suffered physical harm as a result of Operation “Roaring Lion”:</w:t>
      </w:r>
    </w:p>
    <w:p w14:paraId="423DDD3C" w14:textId="514CC206" w:rsidR="001D70BF" w:rsidRPr="001D70BF" w:rsidRDefault="001D70BF" w:rsidP="00C7662B">
      <w:pPr>
        <w:numPr>
          <w:ilvl w:val="0"/>
          <w:numId w:val="25"/>
        </w:numPr>
        <w:spacing w:before="100" w:beforeAutospacing="1" w:after="100" w:afterAutospacing="1" w:line="240" w:lineRule="auto"/>
        <w:rPr>
          <w:rFonts w:ascii="Segoe UI" w:hAnsi="Segoe UI" w:cs="Segoe UI"/>
          <w:sz w:val="22"/>
          <w:szCs w:val="22"/>
        </w:rPr>
      </w:pPr>
      <w:r w:rsidRPr="001D70BF">
        <w:rPr>
          <w:rFonts w:ascii="Segoe UI" w:hAnsi="Segoe UI" w:cs="Segoe UI"/>
          <w:sz w:val="22"/>
          <w:szCs w:val="22"/>
        </w:rPr>
        <w:t>Confirmation from the local authority or another authorized official body attesting to evacuation from the home.</w:t>
      </w:r>
    </w:p>
    <w:p w14:paraId="5A5D1E3D" w14:textId="77777777" w:rsidR="001D70BF" w:rsidRPr="001D70BF" w:rsidRDefault="001D70BF" w:rsidP="00C7662B">
      <w:pPr>
        <w:numPr>
          <w:ilvl w:val="0"/>
          <w:numId w:val="25"/>
        </w:numPr>
        <w:spacing w:before="100" w:beforeAutospacing="1" w:after="100" w:afterAutospacing="1" w:line="240" w:lineRule="auto"/>
        <w:rPr>
          <w:rFonts w:ascii="Segoe UI" w:hAnsi="Segoe UI" w:cs="Segoe UI"/>
          <w:sz w:val="22"/>
          <w:szCs w:val="22"/>
        </w:rPr>
      </w:pPr>
      <w:r w:rsidRPr="001D70BF">
        <w:rPr>
          <w:rFonts w:ascii="Segoe UI" w:hAnsi="Segoe UI" w:cs="Segoe UI"/>
          <w:sz w:val="22"/>
          <w:szCs w:val="22"/>
        </w:rPr>
        <w:t>Confirmation from an authorized body of hospitalization due to injuries sustained during the operation.</w:t>
      </w:r>
    </w:p>
    <w:p w14:paraId="415DE306" w14:textId="7B369185" w:rsidR="001D70BF" w:rsidRPr="00C7662B" w:rsidRDefault="001D70BF" w:rsidP="00C7662B">
      <w:pPr>
        <w:pStyle w:val="ListParagraph"/>
        <w:numPr>
          <w:ilvl w:val="1"/>
          <w:numId w:val="21"/>
        </w:numPr>
        <w:spacing w:before="100" w:beforeAutospacing="1" w:after="100" w:afterAutospacing="1" w:line="240" w:lineRule="auto"/>
        <w:ind w:left="426"/>
        <w:rPr>
          <w:rFonts w:ascii="Segoe UI" w:hAnsi="Segoe UI" w:cs="Segoe UI"/>
          <w:sz w:val="22"/>
          <w:szCs w:val="22"/>
        </w:rPr>
      </w:pPr>
      <w:r w:rsidRPr="00C7662B">
        <w:rPr>
          <w:rFonts w:ascii="Segoe UI" w:hAnsi="Segoe UI" w:cs="Segoe UI"/>
          <w:b/>
          <w:bCs/>
          <w:sz w:val="22"/>
          <w:szCs w:val="22"/>
        </w:rPr>
        <w:t>Business owners whose premises were physically damaged as a result of Operation “Roaring Lion”:</w:t>
      </w:r>
    </w:p>
    <w:p w14:paraId="49DB475A" w14:textId="15628996" w:rsidR="001D70BF" w:rsidRPr="001D70BF" w:rsidRDefault="001D70BF" w:rsidP="00C7662B">
      <w:pPr>
        <w:numPr>
          <w:ilvl w:val="0"/>
          <w:numId w:val="26"/>
        </w:numPr>
        <w:spacing w:before="100" w:beforeAutospacing="1" w:after="100" w:afterAutospacing="1" w:line="240" w:lineRule="auto"/>
        <w:rPr>
          <w:rFonts w:ascii="Segoe UI" w:hAnsi="Segoe UI" w:cs="Segoe UI"/>
          <w:sz w:val="22"/>
          <w:szCs w:val="22"/>
        </w:rPr>
      </w:pPr>
      <w:r w:rsidRPr="001D70BF">
        <w:rPr>
          <w:rFonts w:ascii="Segoe UI" w:hAnsi="Segoe UI" w:cs="Segoe UI"/>
          <w:sz w:val="22"/>
          <w:szCs w:val="22"/>
        </w:rPr>
        <w:t>Confirmation from the local authority or another authorized official body attesting to evacuation from the business premises.</w:t>
      </w:r>
    </w:p>
    <w:p w14:paraId="7C4D304B" w14:textId="1D8CF8AB" w:rsidR="001D70BF" w:rsidRPr="00C7662B" w:rsidRDefault="001D70BF" w:rsidP="00C7662B">
      <w:pPr>
        <w:pStyle w:val="ListParagraph"/>
        <w:numPr>
          <w:ilvl w:val="1"/>
          <w:numId w:val="21"/>
        </w:numPr>
        <w:spacing w:before="100" w:beforeAutospacing="1" w:after="100" w:afterAutospacing="1" w:line="240" w:lineRule="auto"/>
        <w:ind w:left="426"/>
        <w:rPr>
          <w:rFonts w:ascii="Segoe UI" w:hAnsi="Segoe UI" w:cs="Segoe UI"/>
          <w:sz w:val="22"/>
          <w:szCs w:val="22"/>
        </w:rPr>
      </w:pPr>
      <w:r w:rsidRPr="00C7662B">
        <w:rPr>
          <w:rFonts w:ascii="Segoe UI" w:hAnsi="Segoe UI" w:cs="Segoe UI"/>
          <w:b/>
          <w:bCs/>
          <w:sz w:val="22"/>
          <w:szCs w:val="22"/>
        </w:rPr>
        <w:t>Businesses that are not operating during Operation “Roaring Lion”:</w:t>
      </w:r>
    </w:p>
    <w:p w14:paraId="38429CF7" w14:textId="3860B4E2" w:rsidR="001D70BF" w:rsidRPr="001D70BF" w:rsidRDefault="001D70BF" w:rsidP="00C7662B">
      <w:pPr>
        <w:numPr>
          <w:ilvl w:val="0"/>
          <w:numId w:val="27"/>
        </w:numPr>
        <w:spacing w:before="100" w:beforeAutospacing="1" w:after="100" w:afterAutospacing="1" w:line="240" w:lineRule="auto"/>
        <w:rPr>
          <w:rFonts w:ascii="Segoe UI" w:hAnsi="Segoe UI" w:cs="Segoe UI"/>
          <w:sz w:val="22"/>
          <w:szCs w:val="22"/>
        </w:rPr>
      </w:pPr>
      <w:r w:rsidRPr="001D70BF">
        <w:rPr>
          <w:rFonts w:ascii="Segoe UI" w:hAnsi="Segoe UI" w:cs="Segoe UI"/>
          <w:sz w:val="22"/>
          <w:szCs w:val="22"/>
        </w:rPr>
        <w:t>A declaration from a certified public accountant</w:t>
      </w:r>
      <w:r w:rsidR="00C7662B" w:rsidRPr="00C7662B">
        <w:rPr>
          <w:rFonts w:ascii="Segoe UI" w:hAnsi="Segoe UI" w:cs="Segoe UI"/>
          <w:sz w:val="22"/>
          <w:szCs w:val="22"/>
        </w:rPr>
        <w:t xml:space="preserve"> or</w:t>
      </w:r>
      <w:r w:rsidRPr="001D70BF">
        <w:rPr>
          <w:rFonts w:ascii="Segoe UI" w:hAnsi="Segoe UI" w:cs="Segoe UI"/>
          <w:sz w:val="22"/>
          <w:szCs w:val="22"/>
        </w:rPr>
        <w:t xml:space="preserve"> tax advisor, or a notarized affidavit signed by the business’s legal representative, confirming that the business was inactive during part or all of the regular business days affected by Operation “Roaring Lion,” which began on February 28, 2026.</w:t>
      </w:r>
    </w:p>
    <w:p w14:paraId="0C7A76B6" w14:textId="77777777" w:rsidR="00C7662B" w:rsidRDefault="001D70BF" w:rsidP="00C7662B">
      <w:pPr>
        <w:spacing w:before="100" w:beforeAutospacing="1" w:after="100" w:afterAutospacing="1" w:line="240" w:lineRule="auto"/>
        <w:rPr>
          <w:rFonts w:ascii="Segoe UI" w:hAnsi="Segoe UI" w:cs="Segoe UI"/>
          <w:b/>
          <w:bCs/>
          <w:sz w:val="22"/>
          <w:szCs w:val="22"/>
        </w:rPr>
      </w:pPr>
      <w:r w:rsidRPr="00C7662B">
        <w:rPr>
          <w:rFonts w:ascii="Segoe UI" w:hAnsi="Segoe UI" w:cs="Segoe UI"/>
          <w:b/>
          <w:bCs/>
          <w:sz w:val="22"/>
          <w:szCs w:val="22"/>
        </w:rPr>
        <w:t>Identification of reserve soldiers who own businesses:</w:t>
      </w:r>
    </w:p>
    <w:p w14:paraId="6E8C82F9" w14:textId="5128E800" w:rsidR="001D70BF" w:rsidRPr="001D70BF" w:rsidRDefault="001D70BF" w:rsidP="00C7662B">
      <w:pPr>
        <w:spacing w:before="100" w:beforeAutospacing="1" w:after="100" w:afterAutospacing="1" w:line="240" w:lineRule="auto"/>
        <w:rPr>
          <w:rFonts w:ascii="Segoe UI" w:hAnsi="Segoe UI" w:cs="Segoe UI"/>
          <w:sz w:val="22"/>
          <w:szCs w:val="22"/>
        </w:rPr>
      </w:pPr>
      <w:r w:rsidRPr="001D70BF">
        <w:rPr>
          <w:rFonts w:ascii="Segoe UI" w:hAnsi="Segoe UI" w:cs="Segoe UI"/>
          <w:sz w:val="22"/>
          <w:szCs w:val="22"/>
        </w:rPr>
        <w:t>Identification of reservist business owners will be based on a payment or credit recorded in the customer’s account between February 1, 2026, and March 1, 2026, related to reserve service.</w:t>
      </w:r>
      <w:r w:rsidRPr="001D70BF">
        <w:rPr>
          <w:rFonts w:ascii="Segoe UI" w:hAnsi="Segoe UI" w:cs="Segoe UI"/>
          <w:sz w:val="22"/>
          <w:szCs w:val="22"/>
        </w:rPr>
        <w:br/>
        <w:t>If the customer served in the reserves during this period but did not receive such a payment or credit, or if the bank has no way to identify the customer as a reservist, the customer must present documentation to the bank confirming their reserve service in order to receive the benefit.</w:t>
      </w:r>
      <w:r w:rsidRPr="001D70BF">
        <w:rPr>
          <w:rFonts w:ascii="Segoe UI" w:hAnsi="Segoe UI" w:cs="Segoe UI"/>
          <w:sz w:val="22"/>
          <w:szCs w:val="22"/>
        </w:rPr>
        <w:br/>
        <w:t xml:space="preserve">For customers called up for the first time, identification </w:t>
      </w:r>
      <w:proofErr w:type="gramStart"/>
      <w:r w:rsidRPr="001D70BF">
        <w:rPr>
          <w:rFonts w:ascii="Segoe UI" w:hAnsi="Segoe UI" w:cs="Segoe UI"/>
          <w:sz w:val="22"/>
          <w:szCs w:val="22"/>
        </w:rPr>
        <w:t>will be based</w:t>
      </w:r>
      <w:proofErr w:type="gramEnd"/>
      <w:r w:rsidRPr="001D70BF">
        <w:rPr>
          <w:rFonts w:ascii="Segoe UI" w:hAnsi="Segoe UI" w:cs="Segoe UI"/>
          <w:sz w:val="22"/>
          <w:szCs w:val="22"/>
        </w:rPr>
        <w:t xml:space="preserve"> on a payment or credit received during March 2026.</w:t>
      </w:r>
    </w:p>
    <w:bookmarkEnd w:id="0"/>
    <w:p w14:paraId="7BD71C99" w14:textId="77777777" w:rsidR="001D70BF" w:rsidRPr="001D70BF" w:rsidRDefault="001D70BF" w:rsidP="001D70BF">
      <w:pPr>
        <w:pStyle w:val="regpar"/>
        <w:ind w:firstLine="0"/>
        <w:rPr>
          <w:rFonts w:ascii="Segoe UI" w:hAnsi="Segoe UI" w:cs="Segoe UI"/>
          <w:sz w:val="22"/>
          <w:szCs w:val="22"/>
        </w:rPr>
      </w:pPr>
    </w:p>
    <w:sectPr w:rsidR="001D70BF" w:rsidRPr="001D70BF"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F46E" w14:textId="77777777" w:rsidR="004A34B9" w:rsidRDefault="004A34B9">
      <w:pPr>
        <w:spacing w:line="240" w:lineRule="auto"/>
      </w:pPr>
      <w:r>
        <w:separator/>
      </w:r>
    </w:p>
  </w:endnote>
  <w:endnote w:type="continuationSeparator" w:id="0">
    <w:p w14:paraId="6349206B" w14:textId="77777777" w:rsidR="004A34B9" w:rsidRDefault="004A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A66AF" w14:textId="77777777" w:rsidR="004A34B9" w:rsidRDefault="004A34B9">
      <w:pPr>
        <w:spacing w:line="160" w:lineRule="exact"/>
      </w:pPr>
    </w:p>
  </w:footnote>
  <w:footnote w:type="continuationSeparator" w:id="0">
    <w:p w14:paraId="1A2FC4F4" w14:textId="77777777" w:rsidR="004A34B9" w:rsidRDefault="004A34B9">
      <w:pPr>
        <w:pStyle w:val="rule"/>
      </w:pPr>
      <w:r>
        <w:t>–––––––––––––––––––––––––––</w:t>
      </w:r>
    </w:p>
    <w:p w14:paraId="35A381B5" w14:textId="77777777" w:rsidR="004A34B9" w:rsidRDefault="004A34B9">
      <w:pPr>
        <w:pStyle w:val="noteseparator"/>
      </w:pPr>
    </w:p>
  </w:footnote>
  <w:footnote w:id="1">
    <w:p w14:paraId="74EE6716" w14:textId="20FF5D80" w:rsidR="009D006D" w:rsidRPr="009D006D" w:rsidRDefault="009D006D">
      <w:pPr>
        <w:pStyle w:val="FootnoteText"/>
        <w:rPr>
          <w:rFonts w:ascii="Segoe UI" w:hAnsi="Segoe UI" w:cs="Segoe UI"/>
        </w:rPr>
      </w:pPr>
      <w:r w:rsidRPr="009D006D">
        <w:rPr>
          <w:rStyle w:val="FootnoteReference"/>
          <w:rFonts w:ascii="Segoe UI" w:hAnsi="Segoe UI" w:cs="Segoe UI"/>
          <w:sz w:val="20"/>
          <w:szCs w:val="20"/>
        </w:rPr>
        <w:footnoteRef/>
      </w:r>
      <w:r w:rsidRPr="009D006D">
        <w:rPr>
          <w:rFonts w:ascii="Segoe UI" w:hAnsi="Segoe UI" w:cs="Segoe UI"/>
        </w:rPr>
        <w:t xml:space="preserve"> </w:t>
      </w:r>
      <w:r w:rsidRPr="0013048D">
        <w:rPr>
          <w:rFonts w:ascii="Segoe UI" w:hAnsi="Segoe UI" w:cs="Segoe UI"/>
        </w:rPr>
        <w:t xml:space="preserve">Small and micro businesses </w:t>
      </w:r>
      <w:proofErr w:type="gramStart"/>
      <w:r w:rsidRPr="0013048D">
        <w:rPr>
          <w:rFonts w:ascii="Segoe UI" w:hAnsi="Segoe UI" w:cs="Segoe UI"/>
        </w:rPr>
        <w:t>are defined</w:t>
      </w:r>
      <w:proofErr w:type="gramEnd"/>
      <w:r w:rsidRPr="0013048D">
        <w:rPr>
          <w:rFonts w:ascii="Segoe UI" w:hAnsi="Segoe UI" w:cs="Segoe UI"/>
        </w:rPr>
        <w:t xml:space="preserve"> as those with an annual turnover of up to NIS 25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83F3E"/>
    <w:multiLevelType w:val="multilevel"/>
    <w:tmpl w:val="26666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C408E"/>
    <w:multiLevelType w:val="multilevel"/>
    <w:tmpl w:val="7BB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66D27"/>
    <w:multiLevelType w:val="multilevel"/>
    <w:tmpl w:val="728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75A312E"/>
    <w:multiLevelType w:val="hybridMultilevel"/>
    <w:tmpl w:val="F9C6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96D84"/>
    <w:multiLevelType w:val="multilevel"/>
    <w:tmpl w:val="542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643CB"/>
    <w:multiLevelType w:val="hybridMultilevel"/>
    <w:tmpl w:val="1488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43632"/>
    <w:multiLevelType w:val="multilevel"/>
    <w:tmpl w:val="D1CA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C7817"/>
    <w:multiLevelType w:val="hybridMultilevel"/>
    <w:tmpl w:val="FF0AA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8"/>
  </w:num>
  <w:num w:numId="4">
    <w:abstractNumId w:val="19"/>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7"/>
  </w:num>
  <w:num w:numId="10">
    <w:abstractNumId w:val="24"/>
  </w:num>
  <w:num w:numId="11">
    <w:abstractNumId w:val="16"/>
  </w:num>
  <w:num w:numId="12">
    <w:abstractNumId w:val="13"/>
  </w:num>
  <w:num w:numId="13">
    <w:abstractNumId w:val="5"/>
  </w:num>
  <w:num w:numId="14">
    <w:abstractNumId w:val="2"/>
  </w:num>
  <w:num w:numId="15">
    <w:abstractNumId w:val="15"/>
  </w:num>
  <w:num w:numId="16">
    <w:abstractNumId w:val="1"/>
  </w:num>
  <w:num w:numId="17">
    <w:abstractNumId w:val="25"/>
  </w:num>
  <w:num w:numId="18">
    <w:abstractNumId w:val="10"/>
  </w:num>
  <w:num w:numId="19">
    <w:abstractNumId w:val="23"/>
  </w:num>
  <w:num w:numId="20">
    <w:abstractNumId w:val="6"/>
  </w:num>
  <w:num w:numId="21">
    <w:abstractNumId w:val="3"/>
  </w:num>
  <w:num w:numId="22">
    <w:abstractNumId w:val="21"/>
  </w:num>
  <w:num w:numId="23">
    <w:abstractNumId w:val="17"/>
  </w:num>
  <w:num w:numId="24">
    <w:abstractNumId w:val="8"/>
  </w:num>
  <w:num w:numId="25">
    <w:abstractNumId w:val="20"/>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3048D"/>
    <w:rsid w:val="00143F0D"/>
    <w:rsid w:val="0014603A"/>
    <w:rsid w:val="001550A7"/>
    <w:rsid w:val="00156A7D"/>
    <w:rsid w:val="00160123"/>
    <w:rsid w:val="00161743"/>
    <w:rsid w:val="00162F9E"/>
    <w:rsid w:val="0016621D"/>
    <w:rsid w:val="00166ECD"/>
    <w:rsid w:val="0018444C"/>
    <w:rsid w:val="00184B24"/>
    <w:rsid w:val="00187D68"/>
    <w:rsid w:val="00190909"/>
    <w:rsid w:val="00194F7F"/>
    <w:rsid w:val="001A2237"/>
    <w:rsid w:val="001A6127"/>
    <w:rsid w:val="001B0294"/>
    <w:rsid w:val="001C1743"/>
    <w:rsid w:val="001C209A"/>
    <w:rsid w:val="001C502E"/>
    <w:rsid w:val="001C5614"/>
    <w:rsid w:val="001D57CD"/>
    <w:rsid w:val="001D5EBA"/>
    <w:rsid w:val="001D70BF"/>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A34B9"/>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006D"/>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62B"/>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paragraph" w:styleId="Heading3">
    <w:name w:val="heading 3"/>
    <w:basedOn w:val="Normal"/>
    <w:link w:val="Heading3Char"/>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445F3E"/>
    <w:rPr>
      <w:rFonts w:ascii="Times New Roman" w:hAnsi="Times New Roman"/>
      <w:b/>
      <w:bCs/>
      <w:sz w:val="27"/>
      <w:szCs w:val="27"/>
    </w:rPr>
  </w:style>
  <w:style w:type="character" w:styleId="Strong">
    <w:name w:val="Strong"/>
    <w:basedOn w:val="DefaultParagraphFont"/>
    <w:uiPriority w:val="22"/>
    <w:qFormat/>
    <w:rsid w:val="00445F3E"/>
    <w:rPr>
      <w:b/>
      <w:bCs/>
    </w:rPr>
  </w:style>
  <w:style w:type="character" w:styleId="Emphasis">
    <w:name w:val="Emphasis"/>
    <w:basedOn w:val="DefaultParagraphFont"/>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49418175">
      <w:bodyDiv w:val="1"/>
      <w:marLeft w:val="0"/>
      <w:marRight w:val="0"/>
      <w:marTop w:val="0"/>
      <w:marBottom w:val="0"/>
      <w:divBdr>
        <w:top w:val="none" w:sz="0" w:space="0" w:color="auto"/>
        <w:left w:val="none" w:sz="0" w:space="0" w:color="auto"/>
        <w:bottom w:val="none" w:sz="0" w:space="0" w:color="auto"/>
        <w:right w:val="none" w:sz="0" w:space="0" w:color="auto"/>
      </w:divBdr>
    </w:div>
    <w:div w:id="1753508960">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en/bank-of-israel/iron-swords/information-on-the-banking-system-s-activity-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3AA37B15-9D61-4DC1-B21D-8A229908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5229</Characters>
  <Application>Microsoft Office Word</Application>
  <DocSecurity>4</DocSecurity>
  <Lines>186</Lines>
  <Paragraphs>112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2026-03-02T11:22:00Z</dcterms:created>
  <dcterms:modified xsi:type="dcterms:W3CDTF">2026-03-02T11:22:00Z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