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31"/>
        <w:bidiVisual/>
        <w:tblW w:w="8520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E24DC9" w:rsidRPr="00942939" w14:paraId="136BA526" w14:textId="77777777" w:rsidTr="00E24DC9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8C3A8" w14:textId="77777777" w:rsidR="00E24DC9" w:rsidRPr="00942939" w:rsidRDefault="00E24DC9" w:rsidP="00E24DC9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42939">
              <w:rPr>
                <w:rFonts w:cstheme="minorHAnsi"/>
                <w:b/>
                <w:bCs/>
                <w:sz w:val="28"/>
                <w:szCs w:val="28"/>
                <w:rtl/>
              </w:rPr>
              <w:t>בנק ישראל</w:t>
            </w:r>
          </w:p>
          <w:p w14:paraId="6296E716" w14:textId="77777777" w:rsidR="00E24DC9" w:rsidRPr="00942939" w:rsidRDefault="00E24DC9" w:rsidP="00E24DC9">
            <w:pPr>
              <w:bidi/>
              <w:spacing w:line="360" w:lineRule="auto"/>
              <w:ind w:right="-101"/>
              <w:jc w:val="center"/>
              <w:rPr>
                <w:rFonts w:cstheme="minorHAnsi"/>
              </w:rPr>
            </w:pPr>
            <w:r w:rsidRPr="00942939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22C15C7" w14:textId="77777777" w:rsidR="00E24DC9" w:rsidRPr="00942939" w:rsidRDefault="00E24DC9" w:rsidP="00E24DC9">
            <w:pPr>
              <w:bidi/>
              <w:jc w:val="center"/>
              <w:rPr>
                <w:rFonts w:cstheme="minorHAnsi"/>
              </w:rPr>
            </w:pPr>
            <w:r w:rsidRPr="00942939">
              <w:rPr>
                <w:rFonts w:cstheme="minorHAnsi"/>
                <w:noProof/>
              </w:rPr>
              <w:drawing>
                <wp:inline distT="0" distB="0" distL="0" distR="0" wp14:anchorId="23AB5453" wp14:editId="7ECEC136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4485" w14:textId="77777777" w:rsidR="00E24DC9" w:rsidRPr="00942939" w:rsidRDefault="00E24DC9" w:rsidP="00E24DC9">
            <w:pPr>
              <w:bidi/>
              <w:spacing w:line="480" w:lineRule="auto"/>
              <w:jc w:val="right"/>
              <w:rPr>
                <w:rFonts w:cstheme="minorHAnsi"/>
              </w:rPr>
            </w:pPr>
            <w:r w:rsidRPr="00942939">
              <w:rPr>
                <w:rFonts w:cstheme="minorHAnsi"/>
                <w:rtl/>
              </w:rPr>
              <w:t xml:space="preserve">‏ירושלים, </w:t>
            </w:r>
            <w:r>
              <w:rPr>
                <w:rFonts w:cstheme="minorHAnsi" w:hint="cs"/>
                <w:rtl/>
              </w:rPr>
              <w:t>כ'</w:t>
            </w:r>
            <w:r w:rsidRPr="00942939">
              <w:rPr>
                <w:rFonts w:cstheme="minorHAnsi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>ב</w:t>
            </w:r>
            <w:r w:rsidRPr="00942939">
              <w:rPr>
                <w:rFonts w:cstheme="minorHAnsi"/>
                <w:rtl/>
              </w:rPr>
              <w:t>אדר א', התשפ"ד</w:t>
            </w:r>
          </w:p>
          <w:p w14:paraId="08ED51E6" w14:textId="77777777" w:rsidR="00E24DC9" w:rsidRPr="00942939" w:rsidRDefault="00E24DC9" w:rsidP="00E24DC9">
            <w:pPr>
              <w:bidi/>
              <w:spacing w:line="480" w:lineRule="auto"/>
              <w:jc w:val="right"/>
              <w:rPr>
                <w:rFonts w:cstheme="minorHAnsi"/>
              </w:rPr>
            </w:pPr>
            <w:r w:rsidRPr="00942939">
              <w:rPr>
                <w:rFonts w:cstheme="minorHAnsi"/>
                <w:rtl/>
              </w:rPr>
              <w:t>‏‏2</w:t>
            </w:r>
            <w:r>
              <w:rPr>
                <w:rFonts w:cstheme="minorHAnsi" w:hint="cs"/>
                <w:rtl/>
              </w:rPr>
              <w:t>9</w:t>
            </w:r>
            <w:r w:rsidRPr="00942939">
              <w:rPr>
                <w:rFonts w:cstheme="minorHAnsi"/>
                <w:rtl/>
              </w:rPr>
              <w:t xml:space="preserve"> פברואר 2024</w:t>
            </w:r>
          </w:p>
        </w:tc>
      </w:tr>
    </w:tbl>
    <w:p w14:paraId="2C6CAB83" w14:textId="5CD740FE" w:rsidR="00942939" w:rsidRPr="00942939" w:rsidRDefault="00942939" w:rsidP="00942939">
      <w:pPr>
        <w:bidi/>
        <w:spacing w:line="360" w:lineRule="auto"/>
        <w:rPr>
          <w:rFonts w:cstheme="minorHAnsi"/>
          <w:sz w:val="24"/>
          <w:szCs w:val="24"/>
          <w:rtl/>
        </w:rPr>
      </w:pPr>
      <w:bookmarkStart w:id="0" w:name="_GoBack"/>
      <w:bookmarkEnd w:id="0"/>
    </w:p>
    <w:p w14:paraId="6888CDAB" w14:textId="75B14338" w:rsidR="000A5546" w:rsidRPr="00942939" w:rsidRDefault="00A54796" w:rsidP="00942939">
      <w:pPr>
        <w:bidi/>
        <w:spacing w:line="360" w:lineRule="auto"/>
        <w:rPr>
          <w:rFonts w:cstheme="minorHAnsi"/>
          <w:sz w:val="24"/>
          <w:szCs w:val="24"/>
          <w:rtl/>
        </w:rPr>
      </w:pPr>
      <w:r w:rsidRPr="00942939">
        <w:rPr>
          <w:rFonts w:cstheme="minorHAnsi"/>
          <w:sz w:val="24"/>
          <w:szCs w:val="24"/>
          <w:rtl/>
        </w:rPr>
        <w:t>הודעה לעיתונות:</w:t>
      </w:r>
    </w:p>
    <w:p w14:paraId="6346F5A8" w14:textId="519B9299" w:rsidR="00AA488B" w:rsidRPr="00942939" w:rsidRDefault="007A0945" w:rsidP="00A95081">
      <w:pPr>
        <w:bidi/>
        <w:spacing w:line="36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942939">
        <w:rPr>
          <w:rFonts w:cstheme="minorHAnsi"/>
          <w:b/>
          <w:bCs/>
          <w:sz w:val="28"/>
          <w:szCs w:val="28"/>
          <w:rtl/>
        </w:rPr>
        <w:t xml:space="preserve">דברי המפקח על הבנקים </w:t>
      </w:r>
      <w:r w:rsidR="00420574" w:rsidRPr="00942939">
        <w:rPr>
          <w:rFonts w:cstheme="minorHAnsi"/>
          <w:b/>
          <w:bCs/>
          <w:sz w:val="28"/>
          <w:szCs w:val="28"/>
          <w:rtl/>
        </w:rPr>
        <w:t xml:space="preserve">בנושא </w:t>
      </w:r>
      <w:r w:rsidR="00A95081" w:rsidRPr="00942939">
        <w:rPr>
          <w:rFonts w:cstheme="minorHAnsi"/>
          <w:b/>
          <w:bCs/>
          <w:sz w:val="28"/>
          <w:szCs w:val="28"/>
          <w:rtl/>
        </w:rPr>
        <w:t xml:space="preserve">בנקאות בענן בכנס </w:t>
      </w:r>
      <w:r w:rsidRPr="00942939">
        <w:rPr>
          <w:rFonts w:cstheme="minorHAnsi"/>
          <w:b/>
          <w:bCs/>
          <w:sz w:val="28"/>
          <w:szCs w:val="28"/>
          <w:rtl/>
        </w:rPr>
        <w:t>"</w:t>
      </w:r>
      <w:r w:rsidR="00A95081" w:rsidRPr="00942939">
        <w:rPr>
          <w:rFonts w:cstheme="minorHAnsi"/>
          <w:b/>
          <w:bCs/>
          <w:sz w:val="24"/>
          <w:szCs w:val="24"/>
        </w:rPr>
        <w:t>NIMBUSS SUMMIT</w:t>
      </w:r>
      <w:r w:rsidRPr="00942939">
        <w:rPr>
          <w:rFonts w:cstheme="minorHAnsi"/>
          <w:b/>
          <w:bCs/>
          <w:sz w:val="28"/>
          <w:szCs w:val="28"/>
          <w:rtl/>
        </w:rPr>
        <w:t xml:space="preserve">" </w:t>
      </w:r>
      <w:r w:rsidR="009F5236" w:rsidRPr="00942939">
        <w:rPr>
          <w:rFonts w:cstheme="minorHAnsi"/>
          <w:b/>
          <w:bCs/>
          <w:sz w:val="28"/>
          <w:szCs w:val="28"/>
          <w:rtl/>
        </w:rPr>
        <w:t>מטעם "אנשים ומחשבים"</w:t>
      </w:r>
    </w:p>
    <w:p w14:paraId="344B1462" w14:textId="6C967C74" w:rsidR="009F5236" w:rsidRPr="00942939" w:rsidRDefault="007A0945" w:rsidP="00A95081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942939">
        <w:rPr>
          <w:rFonts w:cstheme="minorHAnsi"/>
          <w:sz w:val="24"/>
          <w:szCs w:val="24"/>
          <w:rtl/>
        </w:rPr>
        <w:t xml:space="preserve">בדברים שנשא המפקח על הבנקים, דני חחיאשוילי, בנושא </w:t>
      </w:r>
      <w:r w:rsidR="009F5236" w:rsidRPr="00942939">
        <w:rPr>
          <w:rFonts w:cstheme="minorHAnsi"/>
          <w:sz w:val="24"/>
          <w:szCs w:val="24"/>
          <w:rtl/>
        </w:rPr>
        <w:t xml:space="preserve">בנקאות בענן, הציג המפקח את התמורות בעולם הבנקאות בתחומי השימוש בענן וכן את </w:t>
      </w:r>
      <w:r w:rsidRPr="00942939">
        <w:rPr>
          <w:rFonts w:cstheme="minorHAnsi"/>
          <w:sz w:val="24"/>
          <w:szCs w:val="24"/>
          <w:rtl/>
        </w:rPr>
        <w:t xml:space="preserve">עיקרי האסטרטגיה הפיקוחית של בנק ישראל </w:t>
      </w:r>
      <w:r w:rsidR="009F5236" w:rsidRPr="00942939">
        <w:rPr>
          <w:rFonts w:cstheme="minorHAnsi"/>
          <w:sz w:val="24"/>
          <w:szCs w:val="24"/>
          <w:rtl/>
        </w:rPr>
        <w:t>בתחום זה.</w:t>
      </w:r>
    </w:p>
    <w:p w14:paraId="3F59D216" w14:textId="77777777" w:rsidR="007A0945" w:rsidRPr="00942939" w:rsidRDefault="009F5236" w:rsidP="009F5236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942939">
        <w:rPr>
          <w:rFonts w:cstheme="minorHAnsi"/>
          <w:sz w:val="24"/>
          <w:szCs w:val="24"/>
          <w:rtl/>
        </w:rPr>
        <w:t>להלן הנקודות העיקריות אליהם התייחס המפקח בדבריו:</w:t>
      </w:r>
    </w:p>
    <w:p w14:paraId="73DD71B4" w14:textId="573219FD" w:rsidR="0039367E" w:rsidRPr="00942939" w:rsidRDefault="009F5236" w:rsidP="00A95081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942939">
        <w:rPr>
          <w:rFonts w:cstheme="minorHAnsi"/>
          <w:sz w:val="24"/>
          <w:szCs w:val="24"/>
          <w:rtl/>
        </w:rPr>
        <w:t xml:space="preserve">בשנתיים האחרונות אנו עדים לזינוק בהיקף השימוש של המערכת הבנקאית בטכנולוגיות ענן. </w:t>
      </w:r>
      <w:r w:rsidR="00E53FDF" w:rsidRPr="00942939">
        <w:rPr>
          <w:rFonts w:cstheme="minorHAnsi"/>
          <w:sz w:val="24"/>
          <w:szCs w:val="24"/>
          <w:rtl/>
        </w:rPr>
        <w:t xml:space="preserve">כך, </w:t>
      </w:r>
      <w:r w:rsidRPr="00942939">
        <w:rPr>
          <w:rFonts w:cstheme="minorHAnsi"/>
          <w:sz w:val="24"/>
          <w:szCs w:val="24"/>
          <w:rtl/>
        </w:rPr>
        <w:t>ה</w:t>
      </w:r>
      <w:r w:rsidR="0039367E" w:rsidRPr="00942939">
        <w:rPr>
          <w:rFonts w:cstheme="minorHAnsi"/>
          <w:sz w:val="24"/>
          <w:szCs w:val="24"/>
          <w:rtl/>
        </w:rPr>
        <w:t xml:space="preserve">שימוש של המערכת הבנקאית במערכות בענן גדל בכ-35% </w:t>
      </w:r>
      <w:r w:rsidR="00E53FDF" w:rsidRPr="00942939">
        <w:rPr>
          <w:rFonts w:cstheme="minorHAnsi"/>
          <w:sz w:val="24"/>
          <w:szCs w:val="24"/>
          <w:rtl/>
        </w:rPr>
        <w:t xml:space="preserve">בשנת 2023 לעומת שנת 2022 </w:t>
      </w:r>
      <w:r w:rsidR="0039367E" w:rsidRPr="00942939">
        <w:rPr>
          <w:rFonts w:cstheme="minorHAnsi"/>
          <w:sz w:val="24"/>
          <w:szCs w:val="24"/>
          <w:rtl/>
        </w:rPr>
        <w:t>וכלל</w:t>
      </w:r>
      <w:r w:rsidR="00F34870" w:rsidRPr="00942939">
        <w:rPr>
          <w:rFonts w:cstheme="minorHAnsi"/>
          <w:sz w:val="24"/>
          <w:szCs w:val="24"/>
          <w:rtl/>
        </w:rPr>
        <w:t>,</w:t>
      </w:r>
      <w:r w:rsidR="0039367E" w:rsidRPr="00942939">
        <w:rPr>
          <w:rFonts w:cstheme="minorHAnsi"/>
          <w:sz w:val="24"/>
          <w:szCs w:val="24"/>
          <w:rtl/>
        </w:rPr>
        <w:t xml:space="preserve"> </w:t>
      </w:r>
      <w:r w:rsidR="00F34870" w:rsidRPr="00942939">
        <w:rPr>
          <w:rFonts w:cstheme="minorHAnsi"/>
          <w:sz w:val="24"/>
          <w:szCs w:val="24"/>
          <w:rtl/>
        </w:rPr>
        <w:t xml:space="preserve">בין היתר, גם </w:t>
      </w:r>
      <w:r w:rsidR="00E53FDF" w:rsidRPr="00942939">
        <w:rPr>
          <w:rFonts w:cstheme="minorHAnsi"/>
          <w:sz w:val="24"/>
          <w:szCs w:val="24"/>
          <w:rtl/>
        </w:rPr>
        <w:t xml:space="preserve">טרנספורמציה למחשוב ענן של </w:t>
      </w:r>
      <w:r w:rsidR="0039367E" w:rsidRPr="00942939">
        <w:rPr>
          <w:rFonts w:cstheme="minorHAnsi"/>
          <w:sz w:val="24"/>
          <w:szCs w:val="24"/>
          <w:rtl/>
        </w:rPr>
        <w:t>מערכות מהותיות, הן בתחומים עסקיים והן במערכות בקרה והגנה.</w:t>
      </w:r>
      <w:r w:rsidR="00E53FDF" w:rsidRPr="00942939">
        <w:rPr>
          <w:rFonts w:cstheme="minorHAnsi"/>
          <w:sz w:val="24"/>
          <w:szCs w:val="24"/>
          <w:rtl/>
        </w:rPr>
        <w:t xml:space="preserve"> המפקח ציין</w:t>
      </w:r>
      <w:r w:rsidR="00DE3CA4" w:rsidRPr="00942939">
        <w:rPr>
          <w:rFonts w:cstheme="minorHAnsi"/>
          <w:sz w:val="24"/>
          <w:szCs w:val="24"/>
          <w:rtl/>
        </w:rPr>
        <w:t>,</w:t>
      </w:r>
      <w:r w:rsidR="00E53FDF" w:rsidRPr="00942939">
        <w:rPr>
          <w:rFonts w:cstheme="minorHAnsi"/>
          <w:sz w:val="24"/>
          <w:szCs w:val="24"/>
          <w:rtl/>
        </w:rPr>
        <w:t xml:space="preserve"> שמגמה זו צפויה להמשיך גם בשנים הקרובות, ו</w:t>
      </w:r>
      <w:r w:rsidR="00A95081" w:rsidRPr="00942939">
        <w:rPr>
          <w:rFonts w:cstheme="minorHAnsi"/>
          <w:sz w:val="24"/>
          <w:szCs w:val="24"/>
          <w:rtl/>
        </w:rPr>
        <w:t>גם ל</w:t>
      </w:r>
      <w:r w:rsidR="00E53FDF" w:rsidRPr="00942939">
        <w:rPr>
          <w:rFonts w:cstheme="minorHAnsi"/>
          <w:sz w:val="24"/>
          <w:szCs w:val="24"/>
          <w:rtl/>
        </w:rPr>
        <w:t xml:space="preserve">פרויקט נימבוס </w:t>
      </w:r>
      <w:r w:rsidR="00A95081" w:rsidRPr="00942939">
        <w:rPr>
          <w:rFonts w:cstheme="minorHAnsi"/>
          <w:sz w:val="24"/>
          <w:szCs w:val="24"/>
          <w:rtl/>
        </w:rPr>
        <w:t xml:space="preserve">צפויה השפעה על </w:t>
      </w:r>
      <w:r w:rsidR="00E53FDF" w:rsidRPr="00942939">
        <w:rPr>
          <w:rFonts w:cstheme="minorHAnsi"/>
          <w:sz w:val="24"/>
          <w:szCs w:val="24"/>
          <w:rtl/>
        </w:rPr>
        <w:t>מגמה זו.</w:t>
      </w:r>
    </w:p>
    <w:p w14:paraId="332BD755" w14:textId="112A673F" w:rsidR="00B315F7" w:rsidRPr="00942939" w:rsidRDefault="0039367E" w:rsidP="00B315F7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942939">
        <w:rPr>
          <w:rFonts w:cstheme="minorHAnsi"/>
          <w:sz w:val="24"/>
          <w:szCs w:val="24"/>
          <w:rtl/>
        </w:rPr>
        <w:t>המדיניות הפיקוחית בנושא הענן עברה תהפוכות בשנים האחרונות</w:t>
      </w:r>
      <w:r w:rsidR="00B315F7" w:rsidRPr="00942939">
        <w:rPr>
          <w:rFonts w:cstheme="minorHAnsi"/>
          <w:sz w:val="24"/>
          <w:szCs w:val="24"/>
          <w:rtl/>
        </w:rPr>
        <w:t>, ו</w:t>
      </w:r>
      <w:r w:rsidR="00481326" w:rsidRPr="00942939">
        <w:rPr>
          <w:rFonts w:cstheme="minorHAnsi"/>
          <w:sz w:val="24"/>
          <w:szCs w:val="24"/>
          <w:rtl/>
        </w:rPr>
        <w:t>זאת, מתוך הבנה שטכנול</w:t>
      </w:r>
      <w:r w:rsidR="00431799" w:rsidRPr="00942939">
        <w:rPr>
          <w:rFonts w:cstheme="minorHAnsi"/>
          <w:sz w:val="24"/>
          <w:szCs w:val="24"/>
          <w:rtl/>
        </w:rPr>
        <w:t>וגיות הענן תורמות ליכולות המיחשוב של התאגידים הבנקאיים לספק שירות איכותי יותר ללקוחותיהם, אגב התייעלות והתקדמות טכנולוגית, וכן לקדם שיתופי פעולה עם גופים חוץ-בנקאיים מעולמות הטכנולוגיה בתחומים שונים.</w:t>
      </w:r>
      <w:r w:rsidR="00481326" w:rsidRPr="00942939">
        <w:rPr>
          <w:rFonts w:cstheme="minorHAnsi"/>
          <w:sz w:val="24"/>
          <w:szCs w:val="24"/>
          <w:rtl/>
        </w:rPr>
        <w:t xml:space="preserve"> </w:t>
      </w:r>
    </w:p>
    <w:p w14:paraId="115FECD2" w14:textId="3A0D9702" w:rsidR="0039367E" w:rsidRPr="00942939" w:rsidRDefault="00B315F7" w:rsidP="00B315F7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942939">
        <w:rPr>
          <w:rFonts w:cstheme="minorHAnsi"/>
          <w:sz w:val="24"/>
          <w:szCs w:val="24"/>
          <w:rtl/>
        </w:rPr>
        <w:t>בהתאם</w:t>
      </w:r>
      <w:r w:rsidR="0039367E" w:rsidRPr="00942939">
        <w:rPr>
          <w:rFonts w:cstheme="minorHAnsi"/>
          <w:sz w:val="24"/>
          <w:szCs w:val="24"/>
          <w:rtl/>
        </w:rPr>
        <w:t xml:space="preserve">, לאחר תהליך לימוד שכלל סקירה מעמיקה של התחום וסקירת הרגולציה הבינלאומית, </w:t>
      </w:r>
      <w:r w:rsidRPr="00942939">
        <w:rPr>
          <w:rFonts w:cstheme="minorHAnsi"/>
          <w:sz w:val="24"/>
          <w:szCs w:val="24"/>
          <w:rtl/>
        </w:rPr>
        <w:t>קבענו רגולציה פיקוחית, שמאפשרת לבנקים לעבור למחשוב ענן, תוך שהיא מטילה את האחריות לניהול הסיכונים על הבנקים</w:t>
      </w:r>
      <w:r w:rsidR="0039367E" w:rsidRPr="00942939">
        <w:rPr>
          <w:rFonts w:cstheme="minorHAnsi"/>
          <w:sz w:val="24"/>
          <w:szCs w:val="24"/>
          <w:rtl/>
        </w:rPr>
        <w:t>.</w:t>
      </w:r>
      <w:r w:rsidR="00481326" w:rsidRPr="00942939">
        <w:rPr>
          <w:rFonts w:cstheme="minorHAnsi"/>
          <w:sz w:val="24"/>
          <w:szCs w:val="24"/>
          <w:rtl/>
        </w:rPr>
        <w:t xml:space="preserve"> </w:t>
      </w:r>
      <w:r w:rsidRPr="00942939">
        <w:rPr>
          <w:rFonts w:cstheme="minorHAnsi"/>
          <w:sz w:val="24"/>
          <w:szCs w:val="24"/>
          <w:rtl/>
        </w:rPr>
        <w:t>הפיקוח על הבנקים מצדו הרחיב את חובות הדיווח והפיקוח השוטף על מנת לוודא שהבנקים מנהלים את הסיכונים הכרוכים במחשוב ענן בהתאם.</w:t>
      </w:r>
    </w:p>
    <w:p w14:paraId="280CF375" w14:textId="155D2938" w:rsidR="00A34D58" w:rsidRPr="00942939" w:rsidRDefault="00B315F7" w:rsidP="00DE3CA4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42939">
        <w:rPr>
          <w:rFonts w:cstheme="minorHAnsi"/>
          <w:sz w:val="24"/>
          <w:szCs w:val="24"/>
          <w:rtl/>
        </w:rPr>
        <w:t xml:space="preserve">בנוסף לרגולציה מאפשרת, המעבר למחשוב ענן מונע מצורך עסקי. </w:t>
      </w:r>
      <w:r w:rsidR="00DE3CA4" w:rsidRPr="00942939">
        <w:rPr>
          <w:rFonts w:cstheme="minorHAnsi"/>
          <w:sz w:val="24"/>
          <w:szCs w:val="24"/>
          <w:rtl/>
        </w:rPr>
        <w:t xml:space="preserve">מחשוב ענן מאפשר שימוש בטכנולוגיות מתקדמות, </w:t>
      </w:r>
      <w:r w:rsidR="00A34D58" w:rsidRPr="00942939">
        <w:rPr>
          <w:rFonts w:cstheme="minorHAnsi"/>
          <w:sz w:val="24"/>
          <w:szCs w:val="24"/>
          <w:rtl/>
        </w:rPr>
        <w:t xml:space="preserve">מערכות רבות פועלות </w:t>
      </w:r>
      <w:r w:rsidR="00DE3CA4" w:rsidRPr="00942939">
        <w:rPr>
          <w:rFonts w:cstheme="minorHAnsi"/>
          <w:sz w:val="24"/>
          <w:szCs w:val="24"/>
          <w:rtl/>
        </w:rPr>
        <w:t xml:space="preserve">על מערכות מחשוב </w:t>
      </w:r>
      <w:r w:rsidR="00A34D58" w:rsidRPr="00942939">
        <w:rPr>
          <w:rFonts w:cstheme="minorHAnsi"/>
          <w:sz w:val="24"/>
          <w:szCs w:val="24"/>
          <w:rtl/>
        </w:rPr>
        <w:t>ענן בלבד</w:t>
      </w:r>
      <w:r w:rsidR="00DE3CA4" w:rsidRPr="00942939">
        <w:rPr>
          <w:rFonts w:cstheme="minorHAnsi"/>
          <w:sz w:val="24"/>
          <w:szCs w:val="24"/>
          <w:rtl/>
        </w:rPr>
        <w:t>, ובשורה התחתונה, ניתן לתת שירותים עסקיים טובים יותר הן לבנק עצמו והן ללקוחותיו</w:t>
      </w:r>
      <w:r w:rsidR="00A34D58" w:rsidRPr="00942939">
        <w:rPr>
          <w:rFonts w:cstheme="minorHAnsi"/>
          <w:sz w:val="24"/>
          <w:szCs w:val="24"/>
          <w:rtl/>
        </w:rPr>
        <w:t>.</w:t>
      </w:r>
    </w:p>
    <w:p w14:paraId="13E487B4" w14:textId="16ABD58F" w:rsidR="0039367E" w:rsidRPr="00942939" w:rsidRDefault="0039367E" w:rsidP="00A95081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942939">
        <w:rPr>
          <w:rFonts w:cstheme="minorHAnsi"/>
          <w:sz w:val="24"/>
          <w:szCs w:val="24"/>
          <w:rtl/>
        </w:rPr>
        <w:t xml:space="preserve">לצד יתרונות </w:t>
      </w:r>
      <w:r w:rsidR="00DE3CA4" w:rsidRPr="00942939">
        <w:rPr>
          <w:rFonts w:cstheme="minorHAnsi"/>
          <w:sz w:val="24"/>
          <w:szCs w:val="24"/>
          <w:rtl/>
        </w:rPr>
        <w:t xml:space="preserve">מחשוב </w:t>
      </w:r>
      <w:r w:rsidRPr="00942939">
        <w:rPr>
          <w:rFonts w:cstheme="minorHAnsi"/>
          <w:sz w:val="24"/>
          <w:szCs w:val="24"/>
          <w:rtl/>
        </w:rPr>
        <w:t>הענן,</w:t>
      </w:r>
      <w:r w:rsidR="00A34D58" w:rsidRPr="00942939">
        <w:rPr>
          <w:rFonts w:cstheme="minorHAnsi"/>
          <w:sz w:val="24"/>
          <w:szCs w:val="24"/>
          <w:rtl/>
        </w:rPr>
        <w:t xml:space="preserve"> קיימים גם אתגרים וסיכונים </w:t>
      </w:r>
      <w:r w:rsidR="00DE3CA4" w:rsidRPr="00942939">
        <w:rPr>
          <w:rFonts w:cstheme="minorHAnsi"/>
          <w:sz w:val="24"/>
          <w:szCs w:val="24"/>
          <w:rtl/>
        </w:rPr>
        <w:t xml:space="preserve">שהבנקים חייבים </w:t>
      </w:r>
      <w:r w:rsidR="00A34D58" w:rsidRPr="00942939">
        <w:rPr>
          <w:rFonts w:cstheme="minorHAnsi"/>
          <w:sz w:val="24"/>
          <w:szCs w:val="24"/>
          <w:rtl/>
        </w:rPr>
        <w:t xml:space="preserve">לתת עליהם את הדעת. בין </w:t>
      </w:r>
      <w:r w:rsidR="00DE3CA4" w:rsidRPr="00942939">
        <w:rPr>
          <w:rFonts w:cstheme="minorHAnsi"/>
          <w:sz w:val="24"/>
          <w:szCs w:val="24"/>
          <w:rtl/>
        </w:rPr>
        <w:t>היתר</w:t>
      </w:r>
      <w:r w:rsidR="00A34D58" w:rsidRPr="00942939">
        <w:rPr>
          <w:rFonts w:cstheme="minorHAnsi"/>
          <w:sz w:val="24"/>
          <w:szCs w:val="24"/>
          <w:rtl/>
        </w:rPr>
        <w:t xml:space="preserve">, </w:t>
      </w:r>
      <w:r w:rsidR="00A95081" w:rsidRPr="00942939">
        <w:rPr>
          <w:rFonts w:cstheme="minorHAnsi"/>
          <w:sz w:val="24"/>
          <w:szCs w:val="24"/>
          <w:rtl/>
        </w:rPr>
        <w:t xml:space="preserve">הבנת מבנה ושיטת הפעילות במחשוב ענן לעומת מערכות פנים ארגוניות, וכן </w:t>
      </w:r>
      <w:r w:rsidR="00A34D58" w:rsidRPr="00942939">
        <w:rPr>
          <w:rFonts w:cstheme="minorHAnsi"/>
          <w:sz w:val="24"/>
          <w:szCs w:val="24"/>
          <w:rtl/>
        </w:rPr>
        <w:t xml:space="preserve">יכולות הפיקוח והבקרה של </w:t>
      </w:r>
      <w:r w:rsidR="00DE3CA4" w:rsidRPr="00942939">
        <w:rPr>
          <w:rFonts w:cstheme="minorHAnsi"/>
          <w:sz w:val="24"/>
          <w:szCs w:val="24"/>
          <w:rtl/>
        </w:rPr>
        <w:t xml:space="preserve">הבנקים </w:t>
      </w:r>
      <w:r w:rsidR="00A34D58" w:rsidRPr="00942939">
        <w:rPr>
          <w:rFonts w:cstheme="minorHAnsi"/>
          <w:sz w:val="24"/>
          <w:szCs w:val="24"/>
          <w:rtl/>
        </w:rPr>
        <w:t xml:space="preserve">על </w:t>
      </w:r>
      <w:r w:rsidR="00DE3CA4" w:rsidRPr="00942939">
        <w:rPr>
          <w:rFonts w:cstheme="minorHAnsi"/>
          <w:sz w:val="24"/>
          <w:szCs w:val="24"/>
          <w:rtl/>
        </w:rPr>
        <w:t xml:space="preserve">ספק מחשוב </w:t>
      </w:r>
      <w:r w:rsidR="00A34D58" w:rsidRPr="00942939">
        <w:rPr>
          <w:rFonts w:cstheme="minorHAnsi"/>
          <w:sz w:val="24"/>
          <w:szCs w:val="24"/>
          <w:rtl/>
        </w:rPr>
        <w:t xml:space="preserve">הענן. </w:t>
      </w:r>
      <w:r w:rsidR="00DE3CA4" w:rsidRPr="00942939">
        <w:rPr>
          <w:rFonts w:cstheme="minorHAnsi"/>
          <w:sz w:val="24"/>
          <w:szCs w:val="24"/>
          <w:rtl/>
        </w:rPr>
        <w:t xml:space="preserve">המפקח ציין, </w:t>
      </w:r>
      <w:r w:rsidR="00A95081" w:rsidRPr="00942939">
        <w:rPr>
          <w:rFonts w:cstheme="minorHAnsi"/>
          <w:sz w:val="24"/>
          <w:szCs w:val="24"/>
          <w:rtl/>
        </w:rPr>
        <w:t xml:space="preserve">שבפורומים בינלאומיים עולה גם שאלת הפיקוח הרגולטורי על ספקי ענן. </w:t>
      </w:r>
    </w:p>
    <w:p w14:paraId="4136C0B5" w14:textId="77777777" w:rsidR="00400402" w:rsidRPr="00942939" w:rsidRDefault="00400402" w:rsidP="0011411F">
      <w:pPr>
        <w:pStyle w:val="a7"/>
        <w:bidi/>
        <w:spacing w:line="360" w:lineRule="auto"/>
        <w:jc w:val="both"/>
        <w:rPr>
          <w:rFonts w:cstheme="minorHAnsi"/>
          <w:sz w:val="24"/>
          <w:szCs w:val="24"/>
          <w:rtl/>
        </w:rPr>
      </w:pPr>
    </w:p>
    <w:p w14:paraId="6C8BC20F" w14:textId="77777777" w:rsidR="0011411F" w:rsidRPr="00942939" w:rsidRDefault="00400402" w:rsidP="00400402">
      <w:pPr>
        <w:pStyle w:val="a7"/>
        <w:bidi/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rtl/>
        </w:rPr>
      </w:pPr>
      <w:r w:rsidRPr="00942939">
        <w:rPr>
          <w:rFonts w:cstheme="minorHAnsi"/>
          <w:sz w:val="24"/>
          <w:szCs w:val="24"/>
          <w:rtl/>
        </w:rPr>
        <w:t>מצ"ב המצגת שהציג המפקח בכנס.</w:t>
      </w:r>
      <w:r w:rsidR="0011411F" w:rsidRPr="00942939">
        <w:rPr>
          <w:rFonts w:eastAsia="Times New Roman" w:cstheme="minorHAnsi"/>
          <w:b/>
          <w:bCs/>
          <w:sz w:val="24"/>
          <w:szCs w:val="24"/>
          <w:rtl/>
        </w:rPr>
        <w:t xml:space="preserve"> </w:t>
      </w:r>
    </w:p>
    <w:sectPr w:rsidR="0011411F" w:rsidRPr="00942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449E" w14:textId="77777777" w:rsidR="00257D6F" w:rsidRDefault="00257D6F" w:rsidP="007A0945">
      <w:pPr>
        <w:spacing w:after="0" w:line="240" w:lineRule="auto"/>
      </w:pPr>
      <w:r>
        <w:separator/>
      </w:r>
    </w:p>
  </w:endnote>
  <w:endnote w:type="continuationSeparator" w:id="0">
    <w:p w14:paraId="54F51D85" w14:textId="77777777" w:rsidR="00257D6F" w:rsidRDefault="00257D6F" w:rsidP="007A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3B35A" w14:textId="77777777" w:rsidR="00257D6F" w:rsidRDefault="00257D6F" w:rsidP="007A0945">
      <w:pPr>
        <w:spacing w:after="0" w:line="240" w:lineRule="auto"/>
      </w:pPr>
      <w:r>
        <w:separator/>
      </w:r>
    </w:p>
  </w:footnote>
  <w:footnote w:type="continuationSeparator" w:id="0">
    <w:p w14:paraId="10FCAE58" w14:textId="77777777" w:rsidR="00257D6F" w:rsidRDefault="00257D6F" w:rsidP="007A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5355"/>
    <w:multiLevelType w:val="hybridMultilevel"/>
    <w:tmpl w:val="0442D7A8"/>
    <w:lvl w:ilvl="0" w:tplc="FC3E58E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45"/>
    <w:rsid w:val="00015FF4"/>
    <w:rsid w:val="00087684"/>
    <w:rsid w:val="000A5546"/>
    <w:rsid w:val="000A642C"/>
    <w:rsid w:val="000D5A2E"/>
    <w:rsid w:val="0011411F"/>
    <w:rsid w:val="00196C88"/>
    <w:rsid w:val="001E74A1"/>
    <w:rsid w:val="001F5646"/>
    <w:rsid w:val="00211891"/>
    <w:rsid w:val="00257D6F"/>
    <w:rsid w:val="002839E3"/>
    <w:rsid w:val="0039367E"/>
    <w:rsid w:val="003D0983"/>
    <w:rsid w:val="00400402"/>
    <w:rsid w:val="004030F8"/>
    <w:rsid w:val="0041303D"/>
    <w:rsid w:val="00420574"/>
    <w:rsid w:val="00431799"/>
    <w:rsid w:val="004744BB"/>
    <w:rsid w:val="00481326"/>
    <w:rsid w:val="00486A80"/>
    <w:rsid w:val="00510C82"/>
    <w:rsid w:val="0061402C"/>
    <w:rsid w:val="00682286"/>
    <w:rsid w:val="006A4253"/>
    <w:rsid w:val="007A0945"/>
    <w:rsid w:val="00803387"/>
    <w:rsid w:val="0082526E"/>
    <w:rsid w:val="008C07A8"/>
    <w:rsid w:val="00903889"/>
    <w:rsid w:val="00942939"/>
    <w:rsid w:val="009939D9"/>
    <w:rsid w:val="009F0E41"/>
    <w:rsid w:val="009F5236"/>
    <w:rsid w:val="00A34D58"/>
    <w:rsid w:val="00A54796"/>
    <w:rsid w:val="00A95081"/>
    <w:rsid w:val="00A9795D"/>
    <w:rsid w:val="00AA488B"/>
    <w:rsid w:val="00B315F7"/>
    <w:rsid w:val="00B53714"/>
    <w:rsid w:val="00B72691"/>
    <w:rsid w:val="00C544E5"/>
    <w:rsid w:val="00C72250"/>
    <w:rsid w:val="00CB557B"/>
    <w:rsid w:val="00CF5A8E"/>
    <w:rsid w:val="00DC6791"/>
    <w:rsid w:val="00DE3CA4"/>
    <w:rsid w:val="00E24DC9"/>
    <w:rsid w:val="00E53FDF"/>
    <w:rsid w:val="00EC5884"/>
    <w:rsid w:val="00ED6337"/>
    <w:rsid w:val="00F161CE"/>
    <w:rsid w:val="00F34870"/>
    <w:rsid w:val="00F51284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3E6"/>
  <w15:chartTrackingRefBased/>
  <w15:docId w15:val="{9C8700A3-3760-4183-AECA-719ED35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A0945"/>
  </w:style>
  <w:style w:type="paragraph" w:styleId="a5">
    <w:name w:val="footer"/>
    <w:basedOn w:val="a"/>
    <w:link w:val="a6"/>
    <w:uiPriority w:val="99"/>
    <w:unhideWhenUsed/>
    <w:rsid w:val="007A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A0945"/>
  </w:style>
  <w:style w:type="paragraph" w:styleId="a7">
    <w:name w:val="List Paragraph"/>
    <w:basedOn w:val="a"/>
    <w:uiPriority w:val="34"/>
    <w:qFormat/>
    <w:rsid w:val="007A0945"/>
    <w:pPr>
      <w:ind w:left="720"/>
      <w:contextualSpacing/>
    </w:pPr>
  </w:style>
  <w:style w:type="paragraph" w:customStyle="1" w:styleId="s13">
    <w:name w:val="s13"/>
    <w:basedOn w:val="a"/>
    <w:rsid w:val="00DC679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7">
    <w:name w:val="s17"/>
    <w:basedOn w:val="a"/>
    <w:rsid w:val="00DC679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DC6791"/>
  </w:style>
  <w:style w:type="character" w:customStyle="1" w:styleId="s14">
    <w:name w:val="s14"/>
    <w:basedOn w:val="a0"/>
    <w:rsid w:val="00DC6791"/>
  </w:style>
  <w:style w:type="character" w:customStyle="1" w:styleId="s18">
    <w:name w:val="s18"/>
    <w:basedOn w:val="a0"/>
    <w:rsid w:val="00DC6791"/>
  </w:style>
  <w:style w:type="paragraph" w:styleId="a8">
    <w:name w:val="Balloon Text"/>
    <w:basedOn w:val="a"/>
    <w:link w:val="a9"/>
    <w:uiPriority w:val="99"/>
    <w:semiHidden/>
    <w:unhideWhenUsed/>
    <w:rsid w:val="0011411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1411F"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22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2250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C722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250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C72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3A1B-A045-4C3C-B051-6423BF22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 shiff</dc:creator>
  <cp:keywords/>
  <dc:description/>
  <cp:lastModifiedBy>לירון בן עמוס</cp:lastModifiedBy>
  <cp:revision>3</cp:revision>
  <cp:lastPrinted>2024-02-04T08:27:00Z</cp:lastPrinted>
  <dcterms:created xsi:type="dcterms:W3CDTF">2024-02-29T06:56:00Z</dcterms:created>
  <dcterms:modified xsi:type="dcterms:W3CDTF">2024-02-29T06:58:00Z</dcterms:modified>
</cp:coreProperties>
</file>