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8CE" w:rsidRDefault="00AB0B34" w:rsidP="00C468CE">
      <w:pPr>
        <w:jc w:val="center"/>
        <w:rPr>
          <w:b/>
          <w:bCs/>
          <w:color w:val="365F91" w:themeColor="accent1" w:themeShade="BF"/>
        </w:rPr>
      </w:pPr>
      <w:r>
        <w:rPr>
          <w:rFonts w:asciiTheme="minorHAnsi" w:hAnsiTheme="minorHAnsi" w:cstheme="minorHAnsi"/>
          <w:noProof/>
        </w:rPr>
        <w:drawing>
          <wp:inline distT="0" distB="0" distL="0" distR="0" wp14:anchorId="73BB0CEC" wp14:editId="69EBAB19">
            <wp:extent cx="914400" cy="914400"/>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p w:rsidR="00C468CE" w:rsidRDefault="00C468CE" w:rsidP="00C468CE">
      <w:pPr>
        <w:rPr>
          <w:b/>
          <w:bCs/>
          <w:color w:val="365F91" w:themeColor="accent1" w:themeShade="BF"/>
        </w:rPr>
      </w:pPr>
    </w:p>
    <w:p w:rsidR="00581612" w:rsidRPr="00581612" w:rsidRDefault="00581612" w:rsidP="00581612">
      <w:pPr>
        <w:spacing w:line="300" w:lineRule="atLeast"/>
        <w:jc w:val="center"/>
        <w:rPr>
          <w:rFonts w:cstheme="majorBidi"/>
          <w:b/>
        </w:rPr>
      </w:pPr>
      <w:r w:rsidRPr="00581612">
        <w:rPr>
          <w:rFonts w:cstheme="majorBidi"/>
          <w:b/>
        </w:rPr>
        <w:t>BANK OF ISRAEL</w:t>
      </w:r>
    </w:p>
    <w:p w:rsidR="00581612" w:rsidRPr="00581612" w:rsidRDefault="00581612" w:rsidP="00581612">
      <w:pPr>
        <w:spacing w:line="300" w:lineRule="atLeast"/>
        <w:jc w:val="center"/>
        <w:rPr>
          <w:rFonts w:cstheme="majorBidi"/>
        </w:rPr>
      </w:pPr>
      <w:r w:rsidRPr="00581612">
        <w:rPr>
          <w:rFonts w:cstheme="majorBidi"/>
        </w:rPr>
        <w:t>Office of the Spokesperson and Economic Information</w:t>
      </w:r>
    </w:p>
    <w:p w:rsidR="00581612" w:rsidRDefault="00581612" w:rsidP="00C468CE">
      <w:pPr>
        <w:rPr>
          <w:b/>
          <w:bCs/>
          <w:color w:val="365F91" w:themeColor="accent1" w:themeShade="BF"/>
        </w:rPr>
      </w:pPr>
    </w:p>
    <w:p w:rsidR="00581612" w:rsidRDefault="00581612" w:rsidP="00C468CE">
      <w:pPr>
        <w:rPr>
          <w:b/>
          <w:bCs/>
          <w:color w:val="365F91" w:themeColor="accent1" w:themeShade="BF"/>
        </w:rPr>
      </w:pPr>
    </w:p>
    <w:p w:rsidR="00C468CE" w:rsidRPr="000B088F" w:rsidRDefault="00C468CE" w:rsidP="00C468CE">
      <w:r w:rsidRPr="000B088F">
        <w:t>January 19, 2026</w:t>
      </w:r>
    </w:p>
    <w:p w:rsidR="00C468CE" w:rsidRPr="000B088F" w:rsidRDefault="00C468CE" w:rsidP="00DA6753">
      <w:pPr>
        <w:jc w:val="center"/>
        <w:rPr>
          <w:b/>
          <w:bCs/>
        </w:rPr>
      </w:pPr>
      <w:r w:rsidRPr="000B088F">
        <w:rPr>
          <w:b/>
          <w:bCs/>
        </w:rPr>
        <w:t>Press release:</w:t>
      </w:r>
    </w:p>
    <w:p w:rsidR="00DA6753" w:rsidRPr="000B088F" w:rsidRDefault="00DA6753" w:rsidP="00DA6753">
      <w:pPr>
        <w:jc w:val="center"/>
        <w:rPr>
          <w:b/>
          <w:bCs/>
          <w:sz w:val="32"/>
          <w:szCs w:val="32"/>
        </w:rPr>
      </w:pPr>
      <w:r w:rsidRPr="000B088F">
        <w:rPr>
          <w:b/>
          <w:bCs/>
          <w:sz w:val="32"/>
          <w:szCs w:val="32"/>
        </w:rPr>
        <w:t>Monetary Policy Report</w:t>
      </w:r>
    </w:p>
    <w:p w:rsidR="00DA6753" w:rsidRPr="000B088F" w:rsidRDefault="00C00145" w:rsidP="00C00145">
      <w:pPr>
        <w:jc w:val="center"/>
        <w:rPr>
          <w:b/>
          <w:bCs/>
          <w:sz w:val="32"/>
          <w:szCs w:val="32"/>
        </w:rPr>
      </w:pPr>
      <w:r w:rsidRPr="000B088F">
        <w:rPr>
          <w:b/>
          <w:bCs/>
          <w:sz w:val="32"/>
          <w:szCs w:val="32"/>
        </w:rPr>
        <w:t xml:space="preserve">Second </w:t>
      </w:r>
      <w:r w:rsidR="00DA6753" w:rsidRPr="000B088F">
        <w:rPr>
          <w:b/>
          <w:bCs/>
          <w:sz w:val="32"/>
          <w:szCs w:val="32"/>
        </w:rPr>
        <w:t>Half of 202</w:t>
      </w:r>
      <w:r w:rsidR="00186C79" w:rsidRPr="000B088F">
        <w:rPr>
          <w:b/>
          <w:bCs/>
          <w:sz w:val="32"/>
          <w:szCs w:val="32"/>
        </w:rPr>
        <w:t>5</w:t>
      </w:r>
    </w:p>
    <w:p w:rsidR="00DA6753" w:rsidRPr="009B0AA6" w:rsidRDefault="00DA6753" w:rsidP="00DA6753">
      <w:pPr>
        <w:rPr>
          <w:color w:val="365F91" w:themeColor="accent1" w:themeShade="BF"/>
        </w:rPr>
      </w:pPr>
    </w:p>
    <w:p w:rsidR="00DA6753" w:rsidRPr="009436DC" w:rsidRDefault="00DA6753" w:rsidP="00DA6753">
      <w:pPr>
        <w:jc w:val="center"/>
        <w:rPr>
          <w:rFonts w:cstheme="majorBidi"/>
          <w:b/>
          <w:bCs/>
          <w:color w:val="365F91" w:themeColor="accent1" w:themeShade="BF"/>
          <w:sz w:val="28"/>
          <w:szCs w:val="28"/>
        </w:rPr>
      </w:pPr>
      <w:bookmarkStart w:id="0" w:name="_GoBack"/>
      <w:r w:rsidRPr="009436DC">
        <w:rPr>
          <w:rFonts w:cstheme="majorBidi"/>
          <w:b/>
          <w:bCs/>
          <w:color w:val="365F91" w:themeColor="accent1" w:themeShade="BF"/>
          <w:sz w:val="28"/>
          <w:szCs w:val="28"/>
        </w:rPr>
        <w:t>Abstract</w:t>
      </w:r>
    </w:p>
    <w:p w:rsidR="00DA6753" w:rsidRPr="009B0AA6" w:rsidRDefault="00DA6753" w:rsidP="00DA6753">
      <w:pPr>
        <w:jc w:val="both"/>
        <w:rPr>
          <w:rFonts w:cstheme="majorBidi"/>
        </w:rPr>
      </w:pPr>
    </w:p>
    <w:p w:rsidR="00D20C97" w:rsidRDefault="00DA6753" w:rsidP="00E40297">
      <w:pPr>
        <w:jc w:val="both"/>
        <w:rPr>
          <w:rFonts w:cstheme="majorBidi"/>
        </w:rPr>
      </w:pPr>
      <w:r w:rsidRPr="00330C92">
        <w:rPr>
          <w:rFonts w:cstheme="majorBidi"/>
          <w:b/>
          <w:bCs/>
          <w:color w:val="365F91" w:themeColor="accent1" w:themeShade="BF"/>
        </w:rPr>
        <w:t>Monetary policy:</w:t>
      </w:r>
      <w:r w:rsidR="005464CA" w:rsidRPr="00D20C97">
        <w:rPr>
          <w:rFonts w:cstheme="majorBidi"/>
        </w:rPr>
        <w:t xml:space="preserve"> The Monetary Committee </w:t>
      </w:r>
      <w:r w:rsidR="00D20C97">
        <w:rPr>
          <w:rFonts w:cstheme="majorBidi"/>
        </w:rPr>
        <w:t>kept the interest rate un</w:t>
      </w:r>
      <w:r w:rsidR="0024433B">
        <w:rPr>
          <w:rFonts w:cstheme="majorBidi"/>
        </w:rPr>
        <w:t xml:space="preserve">changed at 4.5 percent in </w:t>
      </w:r>
      <w:r w:rsidR="0024433B" w:rsidRPr="00106E7C">
        <w:rPr>
          <w:rFonts w:cstheme="majorBidi"/>
        </w:rPr>
        <w:t>its</w:t>
      </w:r>
      <w:r w:rsidR="00D20C97" w:rsidRPr="00106E7C">
        <w:rPr>
          <w:rFonts w:cstheme="majorBidi"/>
        </w:rPr>
        <w:t xml:space="preserve"> </w:t>
      </w:r>
      <w:r w:rsidR="00996042">
        <w:rPr>
          <w:rFonts w:cstheme="majorBidi"/>
        </w:rPr>
        <w:t xml:space="preserve">July, August, and September </w:t>
      </w:r>
      <w:r w:rsidR="00D20C97" w:rsidRPr="00106E7C">
        <w:rPr>
          <w:rFonts w:cstheme="majorBidi"/>
        </w:rPr>
        <w:t>202</w:t>
      </w:r>
      <w:r w:rsidR="00186C79">
        <w:rPr>
          <w:rFonts w:cstheme="majorBidi"/>
        </w:rPr>
        <w:t>5</w:t>
      </w:r>
      <w:r w:rsidR="00E40297">
        <w:rPr>
          <w:rFonts w:cstheme="majorBidi"/>
        </w:rPr>
        <w:t xml:space="preserve"> decisions</w:t>
      </w:r>
      <w:r w:rsidR="00D20C97" w:rsidRPr="00106E7C">
        <w:rPr>
          <w:rFonts w:cstheme="majorBidi"/>
        </w:rPr>
        <w:t xml:space="preserve">. </w:t>
      </w:r>
      <w:r w:rsidR="00783113" w:rsidRPr="00106E7C">
        <w:rPr>
          <w:rFonts w:cstheme="majorBidi"/>
        </w:rPr>
        <w:t xml:space="preserve">In </w:t>
      </w:r>
      <w:r w:rsidR="00996042">
        <w:rPr>
          <w:rFonts w:cstheme="majorBidi"/>
        </w:rPr>
        <w:t>the November 2025 and January 2026 decisions, the Committee reduced the interest rate by 0.25 percentage point</w:t>
      </w:r>
      <w:r w:rsidR="008D33E6">
        <w:rPr>
          <w:rFonts w:cstheme="majorBidi"/>
        </w:rPr>
        <w:t>s</w:t>
      </w:r>
      <w:r w:rsidR="00996042">
        <w:rPr>
          <w:rFonts w:cstheme="majorBidi"/>
        </w:rPr>
        <w:t xml:space="preserve"> in each of the decisions, so that the interest rate </w:t>
      </w:r>
      <w:r w:rsidR="00E40297">
        <w:rPr>
          <w:rFonts w:cstheme="majorBidi"/>
        </w:rPr>
        <w:t xml:space="preserve">ended the reviewed period </w:t>
      </w:r>
      <w:r w:rsidR="00996042">
        <w:rPr>
          <w:rFonts w:cstheme="majorBidi"/>
        </w:rPr>
        <w:t>at 4 percent.</w:t>
      </w:r>
      <w:r w:rsidR="00997D48">
        <w:rPr>
          <w:rFonts w:cstheme="majorBidi"/>
        </w:rPr>
        <w:t xml:space="preserve"> </w:t>
      </w:r>
    </w:p>
    <w:p w:rsidR="001265C5" w:rsidRDefault="001265C5" w:rsidP="00C2791C">
      <w:pPr>
        <w:jc w:val="both"/>
        <w:rPr>
          <w:rFonts w:cstheme="majorBidi"/>
        </w:rPr>
      </w:pPr>
    </w:p>
    <w:p w:rsidR="00996042" w:rsidRDefault="00103F1F" w:rsidP="00FC7551">
      <w:pPr>
        <w:jc w:val="both"/>
      </w:pPr>
      <w:r w:rsidRPr="00103F1F">
        <w:rPr>
          <w:rFonts w:cstheme="majorBidi"/>
          <w:b/>
          <w:bCs/>
          <w:color w:val="365F91" w:themeColor="accent1" w:themeShade="BF"/>
        </w:rPr>
        <w:t>The inflation environment:</w:t>
      </w:r>
      <w:r>
        <w:t xml:space="preserve"> </w:t>
      </w:r>
      <w:r w:rsidR="00996042">
        <w:t xml:space="preserve">In the first part of the period reviewed, the inflation rate was above the target range, one-year inflation expectations from most sources were in the upper portion of the target range, and </w:t>
      </w:r>
      <w:r w:rsidR="00996042" w:rsidRPr="004B6DC6">
        <w:t xml:space="preserve">the economy </w:t>
      </w:r>
      <w:r w:rsidR="00F35123" w:rsidRPr="004B6DC6">
        <w:t xml:space="preserve">was characterized by </w:t>
      </w:r>
      <w:r w:rsidR="00996042" w:rsidRPr="004B6DC6">
        <w:t>supply constraints. In</w:t>
      </w:r>
      <w:r w:rsidR="00996042">
        <w:t xml:space="preserve"> contrast, in the second </w:t>
      </w:r>
      <w:r w:rsidR="0069019E">
        <w:t xml:space="preserve">part </w:t>
      </w:r>
      <w:r w:rsidR="00996042">
        <w:t>of the half</w:t>
      </w:r>
      <w:r w:rsidR="0069019E">
        <w:t xml:space="preserve"> </w:t>
      </w:r>
      <w:r w:rsidR="00996042">
        <w:t>year</w:t>
      </w:r>
      <w:r w:rsidR="0069019E">
        <w:t>,</w:t>
      </w:r>
      <w:r w:rsidR="00996042">
        <w:t xml:space="preserve"> actual inflation entered the target range, one-year </w:t>
      </w:r>
      <w:r w:rsidR="00163FD7">
        <w:t>inflation</w:t>
      </w:r>
      <w:r w:rsidR="00996042">
        <w:t xml:space="preserve"> expectations from all sources were mostly around the midpoint of the target </w:t>
      </w:r>
      <w:r w:rsidR="00163FD7">
        <w:t>range</w:t>
      </w:r>
      <w:r w:rsidR="00996042">
        <w:t xml:space="preserve"> </w:t>
      </w:r>
      <w:r w:rsidR="00163FD7">
        <w:t xml:space="preserve">and the </w:t>
      </w:r>
      <w:r w:rsidR="00996042">
        <w:t xml:space="preserve">shekel </w:t>
      </w:r>
      <w:r w:rsidR="00163FD7">
        <w:t>appreciated</w:t>
      </w:r>
      <w:r w:rsidR="00996042">
        <w:t xml:space="preserve"> markedly. Alongside that, throughout the </w:t>
      </w:r>
      <w:r w:rsidR="0072383C">
        <w:t xml:space="preserve">entire </w:t>
      </w:r>
      <w:r w:rsidR="00996042">
        <w:t xml:space="preserve">half-year, </w:t>
      </w:r>
      <w:r w:rsidR="0072383C">
        <w:t xml:space="preserve">longer term expectations hovered around the midpoint of the </w:t>
      </w:r>
      <w:r w:rsidR="0069019E">
        <w:t xml:space="preserve">inflation </w:t>
      </w:r>
      <w:r w:rsidR="0072383C">
        <w:t xml:space="preserve">target range.  At the </w:t>
      </w:r>
      <w:r w:rsidR="00163FD7">
        <w:t xml:space="preserve">end of the </w:t>
      </w:r>
      <w:r w:rsidR="0072383C">
        <w:t>s</w:t>
      </w:r>
      <w:r w:rsidR="00163FD7">
        <w:t>ec</w:t>
      </w:r>
      <w:r w:rsidR="0072383C">
        <w:t xml:space="preserve">ond </w:t>
      </w:r>
      <w:r w:rsidR="00163FD7">
        <w:t>half</w:t>
      </w:r>
      <w:r w:rsidR="0072383C">
        <w:t xml:space="preserve"> of 2025, </w:t>
      </w:r>
      <w:r w:rsidR="0069019E">
        <w:t xml:space="preserve">the annual </w:t>
      </w:r>
      <w:r w:rsidR="0072383C">
        <w:t xml:space="preserve">inflation rate was 2.4 percent, within the target range (based on the November CPI), compared to the 3.1 percent at the end of the previous half year (on the basis of the May CPI). The Committee assesses that several risks to a renewed </w:t>
      </w:r>
      <w:r w:rsidR="00163FD7">
        <w:t>increase</w:t>
      </w:r>
      <w:r w:rsidR="0072383C">
        <w:t xml:space="preserve"> in the </w:t>
      </w:r>
      <w:r w:rsidR="00163FD7">
        <w:t>inflation</w:t>
      </w:r>
      <w:r w:rsidR="0072383C">
        <w:t xml:space="preserve"> rate</w:t>
      </w:r>
      <w:r w:rsidR="0069019E">
        <w:t xml:space="preserve"> remain</w:t>
      </w:r>
      <w:r w:rsidR="0072383C">
        <w:t xml:space="preserve">: geopolitical developments and </w:t>
      </w:r>
      <w:r w:rsidR="00163FD7">
        <w:t>their</w:t>
      </w:r>
      <w:r w:rsidR="0072383C">
        <w:t xml:space="preserve"> </w:t>
      </w:r>
      <w:r w:rsidR="00163FD7">
        <w:t>impact</w:t>
      </w:r>
      <w:r w:rsidR="0072383C">
        <w:t xml:space="preserve"> on economic </w:t>
      </w:r>
      <w:r w:rsidR="00163FD7">
        <w:t>activity</w:t>
      </w:r>
      <w:r w:rsidR="0072383C">
        <w:t xml:space="preserve">, an </w:t>
      </w:r>
      <w:r w:rsidR="00163FD7">
        <w:t>increase in</w:t>
      </w:r>
      <w:r w:rsidR="0072383C">
        <w:t xml:space="preserve"> demand alongside supply </w:t>
      </w:r>
      <w:r w:rsidR="00163FD7">
        <w:t>constraints,</w:t>
      </w:r>
      <w:r w:rsidR="0072383C">
        <w:t xml:space="preserve"> </w:t>
      </w:r>
      <w:r w:rsidR="00163FD7">
        <w:t>and</w:t>
      </w:r>
      <w:r w:rsidR="0072383C">
        <w:t xml:space="preserve"> fiscal developments.</w:t>
      </w:r>
    </w:p>
    <w:p w:rsidR="00277147" w:rsidRDefault="00277147" w:rsidP="0072383C">
      <w:pPr>
        <w:jc w:val="both"/>
      </w:pPr>
    </w:p>
    <w:p w:rsidR="00277147" w:rsidRDefault="00764EB2" w:rsidP="006E3E3D">
      <w:pPr>
        <w:jc w:val="both"/>
        <w:rPr>
          <w:rFonts w:cstheme="majorBidi"/>
        </w:rPr>
      </w:pPr>
      <w:r>
        <w:rPr>
          <w:rFonts w:cstheme="majorBidi"/>
          <w:b/>
          <w:bCs/>
          <w:color w:val="365F91" w:themeColor="accent1" w:themeShade="BF"/>
        </w:rPr>
        <w:t>R</w:t>
      </w:r>
      <w:r w:rsidR="00186C79" w:rsidRPr="00103F1F">
        <w:rPr>
          <w:rFonts w:cstheme="majorBidi"/>
          <w:b/>
          <w:bCs/>
          <w:color w:val="365F91" w:themeColor="accent1" w:themeShade="BF"/>
        </w:rPr>
        <w:t xml:space="preserve">eal activity </w:t>
      </w:r>
      <w:r>
        <w:rPr>
          <w:rFonts w:cstheme="majorBidi"/>
          <w:b/>
          <w:bCs/>
          <w:color w:val="365F91" w:themeColor="accent1" w:themeShade="BF"/>
        </w:rPr>
        <w:t xml:space="preserve">in Israel </w:t>
      </w:r>
      <w:r w:rsidR="00186C79" w:rsidRPr="00103F1F">
        <w:rPr>
          <w:rFonts w:cstheme="majorBidi"/>
          <w:b/>
          <w:bCs/>
          <w:color w:val="365F91" w:themeColor="accent1" w:themeShade="BF"/>
        </w:rPr>
        <w:t>and the labor market:</w:t>
      </w:r>
      <w:r w:rsidR="00186C79" w:rsidRPr="00190BE5">
        <w:rPr>
          <w:rFonts w:cstheme="majorBidi"/>
        </w:rPr>
        <w:t xml:space="preserve"> </w:t>
      </w:r>
      <w:r>
        <w:rPr>
          <w:rFonts w:cstheme="majorBidi"/>
        </w:rPr>
        <w:t xml:space="preserve">Economic activity recovered </w:t>
      </w:r>
      <w:r w:rsidR="00277147">
        <w:rPr>
          <w:rFonts w:cstheme="majorBidi"/>
        </w:rPr>
        <w:t xml:space="preserve">sharply </w:t>
      </w:r>
      <w:r>
        <w:rPr>
          <w:rFonts w:cstheme="majorBidi"/>
        </w:rPr>
        <w:t xml:space="preserve">during the </w:t>
      </w:r>
      <w:r w:rsidR="00163FD7" w:rsidRPr="00FA611F">
        <w:rPr>
          <w:rFonts w:cstheme="majorBidi"/>
        </w:rPr>
        <w:t>third</w:t>
      </w:r>
      <w:r w:rsidR="00277147" w:rsidRPr="00FA611F">
        <w:rPr>
          <w:rFonts w:cstheme="majorBidi"/>
        </w:rPr>
        <w:t xml:space="preserve"> quarter, after contracting in the second quarter, in view of Operation Rising Lion</w:t>
      </w:r>
      <w:r w:rsidR="00FA611F" w:rsidRPr="00FA611F">
        <w:rPr>
          <w:rFonts w:cstheme="majorBidi"/>
        </w:rPr>
        <w:t xml:space="preserve"> against Iran</w:t>
      </w:r>
      <w:r w:rsidR="00277147">
        <w:rPr>
          <w:rFonts w:cstheme="majorBidi"/>
        </w:rPr>
        <w:t xml:space="preserve">. The </w:t>
      </w:r>
      <w:r w:rsidR="00163FD7">
        <w:rPr>
          <w:rFonts w:cstheme="majorBidi"/>
        </w:rPr>
        <w:t>third</w:t>
      </w:r>
      <w:r w:rsidR="00277147">
        <w:rPr>
          <w:rFonts w:cstheme="majorBidi"/>
        </w:rPr>
        <w:t xml:space="preserve">-quarter </w:t>
      </w:r>
      <w:r w:rsidR="00163FD7">
        <w:rPr>
          <w:rFonts w:cstheme="majorBidi"/>
        </w:rPr>
        <w:t>growth</w:t>
      </w:r>
      <w:r w:rsidR="00277147">
        <w:rPr>
          <w:rFonts w:cstheme="majorBidi"/>
        </w:rPr>
        <w:t xml:space="preserve"> rate for 2025 in annual terms—11 percent—reflects gro</w:t>
      </w:r>
      <w:r w:rsidR="005B4DB0">
        <w:rPr>
          <w:rFonts w:cstheme="majorBidi"/>
        </w:rPr>
        <w:t xml:space="preserve">wth </w:t>
      </w:r>
      <w:r w:rsidR="00277147">
        <w:rPr>
          <w:rFonts w:cstheme="majorBidi"/>
        </w:rPr>
        <w:t xml:space="preserve">in all GDP components, </w:t>
      </w:r>
      <w:r w:rsidR="00163FD7">
        <w:rPr>
          <w:rFonts w:cstheme="majorBidi"/>
        </w:rPr>
        <w:t>following</w:t>
      </w:r>
      <w:r w:rsidR="00277147">
        <w:rPr>
          <w:rFonts w:cstheme="majorBidi"/>
        </w:rPr>
        <w:t xml:space="preserve"> a contraction of 4.8 perce</w:t>
      </w:r>
      <w:r w:rsidR="00C461B9">
        <w:rPr>
          <w:rFonts w:cstheme="majorBidi"/>
        </w:rPr>
        <w:t>n</w:t>
      </w:r>
      <w:r w:rsidR="00277147">
        <w:rPr>
          <w:rFonts w:cstheme="majorBidi"/>
        </w:rPr>
        <w:t xml:space="preserve">t in annual </w:t>
      </w:r>
      <w:r w:rsidR="00163FD7">
        <w:rPr>
          <w:rFonts w:cstheme="majorBidi"/>
        </w:rPr>
        <w:t>terms</w:t>
      </w:r>
      <w:r w:rsidR="00277147">
        <w:rPr>
          <w:rFonts w:cstheme="majorBidi"/>
        </w:rPr>
        <w:t xml:space="preserve"> in the second quarter. In the third quarter there was </w:t>
      </w:r>
      <w:r w:rsidR="00C461B9">
        <w:rPr>
          <w:rFonts w:cstheme="majorBidi"/>
        </w:rPr>
        <w:t xml:space="preserve">an increase in uses, which was met by, among other things, a </w:t>
      </w:r>
      <w:r w:rsidR="00163FD7">
        <w:rPr>
          <w:rFonts w:cstheme="majorBidi"/>
        </w:rPr>
        <w:t>sharp</w:t>
      </w:r>
      <w:r w:rsidR="00C461B9">
        <w:rPr>
          <w:rFonts w:cstheme="majorBidi"/>
        </w:rPr>
        <w:t xml:space="preserve"> </w:t>
      </w:r>
      <w:r w:rsidR="00163FD7">
        <w:rPr>
          <w:rFonts w:cstheme="majorBidi"/>
        </w:rPr>
        <w:t>increase</w:t>
      </w:r>
      <w:r w:rsidR="00C461B9">
        <w:rPr>
          <w:rFonts w:cstheme="majorBidi"/>
        </w:rPr>
        <w:t xml:space="preserve"> in </w:t>
      </w:r>
      <w:r w:rsidR="00163FD7">
        <w:rPr>
          <w:rFonts w:cstheme="majorBidi"/>
        </w:rPr>
        <w:t>imports</w:t>
      </w:r>
      <w:r w:rsidR="00C461B9">
        <w:rPr>
          <w:rFonts w:cstheme="majorBidi"/>
        </w:rPr>
        <w:t xml:space="preserve">—a </w:t>
      </w:r>
      <w:r w:rsidR="00163FD7">
        <w:rPr>
          <w:rFonts w:cstheme="majorBidi"/>
        </w:rPr>
        <w:t>figure</w:t>
      </w:r>
      <w:r w:rsidR="00C461B9">
        <w:rPr>
          <w:rFonts w:cstheme="majorBidi"/>
        </w:rPr>
        <w:t xml:space="preserve"> that </w:t>
      </w:r>
      <w:r w:rsidR="00163FD7">
        <w:rPr>
          <w:rFonts w:cstheme="majorBidi"/>
        </w:rPr>
        <w:t>indicates</w:t>
      </w:r>
      <w:r w:rsidR="00C461B9">
        <w:rPr>
          <w:rFonts w:cstheme="majorBidi"/>
        </w:rPr>
        <w:t xml:space="preserve"> that over the half-</w:t>
      </w:r>
      <w:r w:rsidR="005B4DB0">
        <w:rPr>
          <w:rFonts w:cstheme="majorBidi"/>
        </w:rPr>
        <w:t>ye</w:t>
      </w:r>
      <w:r w:rsidR="00C461B9">
        <w:rPr>
          <w:rFonts w:cstheme="majorBidi"/>
        </w:rPr>
        <w:t>ar</w:t>
      </w:r>
      <w:r w:rsidR="005B4DB0">
        <w:rPr>
          <w:rFonts w:cstheme="majorBidi"/>
        </w:rPr>
        <w:t>,</w:t>
      </w:r>
      <w:r w:rsidR="00C461B9">
        <w:rPr>
          <w:rFonts w:cstheme="majorBidi"/>
        </w:rPr>
        <w:t xml:space="preserve"> supply </w:t>
      </w:r>
      <w:r w:rsidR="00163FD7">
        <w:rPr>
          <w:rFonts w:cstheme="majorBidi"/>
        </w:rPr>
        <w:t>constraints</w:t>
      </w:r>
      <w:r w:rsidR="00C461B9">
        <w:rPr>
          <w:rFonts w:cstheme="majorBidi"/>
        </w:rPr>
        <w:t xml:space="preserve"> in the </w:t>
      </w:r>
      <w:r w:rsidR="00163FD7">
        <w:rPr>
          <w:rFonts w:cstheme="majorBidi"/>
        </w:rPr>
        <w:t>domestic</w:t>
      </w:r>
      <w:r w:rsidR="00C461B9">
        <w:rPr>
          <w:rFonts w:cstheme="majorBidi"/>
        </w:rPr>
        <w:t xml:space="preserve"> </w:t>
      </w:r>
      <w:r w:rsidR="00163FD7">
        <w:rPr>
          <w:rFonts w:cstheme="majorBidi"/>
        </w:rPr>
        <w:t xml:space="preserve">market </w:t>
      </w:r>
      <w:r w:rsidR="00C461B9">
        <w:rPr>
          <w:rFonts w:cstheme="majorBidi"/>
        </w:rPr>
        <w:t>continue</w:t>
      </w:r>
      <w:r w:rsidR="005B4DB0">
        <w:rPr>
          <w:rFonts w:cstheme="majorBidi"/>
        </w:rPr>
        <w:t xml:space="preserve">d </w:t>
      </w:r>
      <w:r w:rsidR="00163FD7">
        <w:rPr>
          <w:rFonts w:cstheme="majorBidi"/>
        </w:rPr>
        <w:t>to</w:t>
      </w:r>
      <w:r w:rsidR="00C461B9">
        <w:rPr>
          <w:rFonts w:cstheme="majorBidi"/>
        </w:rPr>
        <w:t xml:space="preserve"> weigh  on </w:t>
      </w:r>
      <w:r w:rsidR="00163FD7">
        <w:rPr>
          <w:rFonts w:cstheme="majorBidi"/>
        </w:rPr>
        <w:t>the</w:t>
      </w:r>
      <w:r w:rsidR="00C461B9">
        <w:rPr>
          <w:rFonts w:cstheme="majorBidi"/>
        </w:rPr>
        <w:t xml:space="preserve"> </w:t>
      </w:r>
      <w:r w:rsidR="00D05461">
        <w:rPr>
          <w:rFonts w:cstheme="majorBidi"/>
        </w:rPr>
        <w:t xml:space="preserve">activity </w:t>
      </w:r>
      <w:r w:rsidR="00C461B9">
        <w:rPr>
          <w:rFonts w:cstheme="majorBidi"/>
        </w:rPr>
        <w:t xml:space="preserve">level. </w:t>
      </w:r>
      <w:r w:rsidR="00D05461">
        <w:rPr>
          <w:rFonts w:cstheme="majorBidi"/>
        </w:rPr>
        <w:t>T</w:t>
      </w:r>
      <w:r w:rsidR="00C461B9">
        <w:rPr>
          <w:rFonts w:cstheme="majorBidi"/>
        </w:rPr>
        <w:t xml:space="preserve">he gap between the long </w:t>
      </w:r>
      <w:r w:rsidR="00163FD7">
        <w:rPr>
          <w:rFonts w:cstheme="majorBidi"/>
        </w:rPr>
        <w:t>t</w:t>
      </w:r>
      <w:r w:rsidR="00C461B9">
        <w:rPr>
          <w:rFonts w:cstheme="majorBidi"/>
        </w:rPr>
        <w:t xml:space="preserve">erm </w:t>
      </w:r>
      <w:r w:rsidR="00163FD7">
        <w:rPr>
          <w:rFonts w:cstheme="majorBidi"/>
        </w:rPr>
        <w:t>trend</w:t>
      </w:r>
      <w:r w:rsidR="00C461B9">
        <w:rPr>
          <w:rFonts w:cstheme="majorBidi"/>
        </w:rPr>
        <w:t xml:space="preserve"> an</w:t>
      </w:r>
      <w:r w:rsidR="00D05461">
        <w:rPr>
          <w:rFonts w:cstheme="majorBidi"/>
        </w:rPr>
        <w:t>d</w:t>
      </w:r>
      <w:r w:rsidR="00C461B9">
        <w:rPr>
          <w:rFonts w:cstheme="majorBidi"/>
        </w:rPr>
        <w:t xml:space="preserve"> the level of GDP in actuality decreased to 3.3 percent, a decline </w:t>
      </w:r>
      <w:r w:rsidR="00163FD7">
        <w:rPr>
          <w:rFonts w:cstheme="majorBidi"/>
        </w:rPr>
        <w:t xml:space="preserve">compared to the gap in the </w:t>
      </w:r>
      <w:r w:rsidR="00D05461">
        <w:rPr>
          <w:rFonts w:cstheme="majorBidi"/>
        </w:rPr>
        <w:t xml:space="preserve">two </w:t>
      </w:r>
      <w:r w:rsidR="00C461B9">
        <w:rPr>
          <w:rFonts w:cstheme="majorBidi"/>
        </w:rPr>
        <w:t>pre</w:t>
      </w:r>
      <w:r w:rsidR="00163FD7">
        <w:rPr>
          <w:rFonts w:cstheme="majorBidi"/>
        </w:rPr>
        <w:t>vious</w:t>
      </w:r>
      <w:r w:rsidR="00C461B9">
        <w:rPr>
          <w:rFonts w:cstheme="majorBidi"/>
        </w:rPr>
        <w:t xml:space="preserve"> half</w:t>
      </w:r>
      <w:r w:rsidR="00D05461">
        <w:rPr>
          <w:rFonts w:cstheme="majorBidi"/>
        </w:rPr>
        <w:t xml:space="preserve"> </w:t>
      </w:r>
      <w:r w:rsidR="00C461B9">
        <w:rPr>
          <w:rFonts w:cstheme="majorBidi"/>
        </w:rPr>
        <w:t>year</w:t>
      </w:r>
      <w:r w:rsidR="00D05461">
        <w:rPr>
          <w:rFonts w:cstheme="majorBidi"/>
        </w:rPr>
        <w:t>s</w:t>
      </w:r>
      <w:r w:rsidR="00C461B9">
        <w:rPr>
          <w:rFonts w:cstheme="majorBidi"/>
        </w:rPr>
        <w:t xml:space="preserve">, which was 4 </w:t>
      </w:r>
      <w:r w:rsidR="00163FD7">
        <w:rPr>
          <w:rFonts w:cstheme="majorBidi"/>
        </w:rPr>
        <w:t>percent. A consider</w:t>
      </w:r>
      <w:r w:rsidR="00C461B9">
        <w:rPr>
          <w:rFonts w:cstheme="majorBidi"/>
        </w:rPr>
        <w:t>able</w:t>
      </w:r>
      <w:r w:rsidR="00163FD7">
        <w:rPr>
          <w:rFonts w:cstheme="majorBidi"/>
        </w:rPr>
        <w:t xml:space="preserve"> </w:t>
      </w:r>
      <w:r w:rsidR="00C461B9">
        <w:rPr>
          <w:rFonts w:cstheme="majorBidi"/>
        </w:rPr>
        <w:t>pa</w:t>
      </w:r>
      <w:r w:rsidR="00163FD7">
        <w:rPr>
          <w:rFonts w:cstheme="majorBidi"/>
        </w:rPr>
        <w:t>r</w:t>
      </w:r>
      <w:r w:rsidR="00C461B9">
        <w:rPr>
          <w:rFonts w:cstheme="majorBidi"/>
        </w:rPr>
        <w:t xml:space="preserve">t of the GDP gap from </w:t>
      </w:r>
      <w:r w:rsidR="00163FD7">
        <w:rPr>
          <w:rFonts w:cstheme="majorBidi"/>
        </w:rPr>
        <w:t xml:space="preserve">its </w:t>
      </w:r>
      <w:r w:rsidR="00C461B9">
        <w:rPr>
          <w:rFonts w:cstheme="majorBidi"/>
        </w:rPr>
        <w:t>t</w:t>
      </w:r>
      <w:r w:rsidR="00163FD7">
        <w:rPr>
          <w:rFonts w:cstheme="majorBidi"/>
        </w:rPr>
        <w:t>r</w:t>
      </w:r>
      <w:r w:rsidR="00C461B9">
        <w:rPr>
          <w:rFonts w:cstheme="majorBidi"/>
        </w:rPr>
        <w:t>end is explained by su</w:t>
      </w:r>
      <w:r w:rsidR="00163FD7">
        <w:rPr>
          <w:rFonts w:cstheme="majorBidi"/>
        </w:rPr>
        <w:t>p</w:t>
      </w:r>
      <w:r w:rsidR="00C461B9">
        <w:rPr>
          <w:rFonts w:cstheme="majorBidi"/>
        </w:rPr>
        <w:t>ply constra</w:t>
      </w:r>
      <w:r w:rsidR="00163FD7">
        <w:rPr>
          <w:rFonts w:cstheme="majorBidi"/>
        </w:rPr>
        <w:t xml:space="preserve">ints </w:t>
      </w:r>
      <w:r w:rsidR="00D05461">
        <w:rPr>
          <w:rFonts w:cstheme="majorBidi"/>
        </w:rPr>
        <w:t xml:space="preserve">that </w:t>
      </w:r>
      <w:r w:rsidR="00C461B9">
        <w:rPr>
          <w:rFonts w:cstheme="majorBidi"/>
        </w:rPr>
        <w:t>deriv</w:t>
      </w:r>
      <w:r w:rsidR="00D05461">
        <w:rPr>
          <w:rFonts w:cstheme="majorBidi"/>
        </w:rPr>
        <w:t xml:space="preserve">e </w:t>
      </w:r>
      <w:r w:rsidR="00163FD7">
        <w:rPr>
          <w:rFonts w:cstheme="majorBidi"/>
        </w:rPr>
        <w:t>mainly</w:t>
      </w:r>
      <w:r w:rsidR="00C461B9">
        <w:rPr>
          <w:rFonts w:cstheme="majorBidi"/>
        </w:rPr>
        <w:t xml:space="preserve"> from the shortage of workers due to a shortage in non-Israeli workers and the absence of </w:t>
      </w:r>
      <w:r w:rsidR="00D05461">
        <w:rPr>
          <w:rFonts w:cstheme="majorBidi"/>
        </w:rPr>
        <w:t xml:space="preserve">employees </w:t>
      </w:r>
      <w:r w:rsidR="00C461B9">
        <w:rPr>
          <w:rFonts w:cstheme="majorBidi"/>
        </w:rPr>
        <w:t>due to military reserves service.</w:t>
      </w:r>
      <w:r w:rsidR="00D05461">
        <w:rPr>
          <w:rFonts w:cstheme="majorBidi"/>
        </w:rPr>
        <w:t xml:space="preserve"> T</w:t>
      </w:r>
      <w:r w:rsidR="00C461B9">
        <w:rPr>
          <w:rFonts w:cstheme="majorBidi"/>
        </w:rPr>
        <w:t xml:space="preserve">he labor market remained tight </w:t>
      </w:r>
      <w:r w:rsidR="00163FD7">
        <w:rPr>
          <w:rFonts w:cstheme="majorBidi"/>
        </w:rPr>
        <w:t>during</w:t>
      </w:r>
      <w:r w:rsidR="00C461B9">
        <w:rPr>
          <w:rFonts w:cstheme="majorBidi"/>
        </w:rPr>
        <w:t xml:space="preserve"> the half–</w:t>
      </w:r>
      <w:r w:rsidR="00163FD7">
        <w:rPr>
          <w:rFonts w:cstheme="majorBidi"/>
        </w:rPr>
        <w:t>year</w:t>
      </w:r>
      <w:r w:rsidR="00C461B9">
        <w:rPr>
          <w:rFonts w:cstheme="majorBidi"/>
        </w:rPr>
        <w:t xml:space="preserve"> and was c</w:t>
      </w:r>
      <w:r w:rsidR="00163FD7">
        <w:rPr>
          <w:rFonts w:cstheme="majorBidi"/>
        </w:rPr>
        <w:t>h</w:t>
      </w:r>
      <w:r w:rsidR="00C461B9">
        <w:rPr>
          <w:rFonts w:cstheme="majorBidi"/>
        </w:rPr>
        <w:t>aracteri</w:t>
      </w:r>
      <w:r w:rsidR="00163FD7">
        <w:rPr>
          <w:rFonts w:cstheme="majorBidi"/>
        </w:rPr>
        <w:t>z</w:t>
      </w:r>
      <w:r w:rsidR="00C461B9">
        <w:rPr>
          <w:rFonts w:cstheme="majorBidi"/>
        </w:rPr>
        <w:t>ed by a low unemployment rate and a rapid increase in business</w:t>
      </w:r>
      <w:r w:rsidR="00D05461">
        <w:rPr>
          <w:rFonts w:cstheme="majorBidi"/>
        </w:rPr>
        <w:t>-</w:t>
      </w:r>
      <w:r w:rsidR="00C461B9">
        <w:rPr>
          <w:rFonts w:cstheme="majorBidi"/>
        </w:rPr>
        <w:t>sec</w:t>
      </w:r>
      <w:r w:rsidR="00163FD7">
        <w:rPr>
          <w:rFonts w:cstheme="majorBidi"/>
        </w:rPr>
        <w:t>t</w:t>
      </w:r>
      <w:r w:rsidR="00C461B9">
        <w:rPr>
          <w:rFonts w:cstheme="majorBidi"/>
        </w:rPr>
        <w:t>or</w:t>
      </w:r>
      <w:r w:rsidR="00D05461">
        <w:rPr>
          <w:rFonts w:cstheme="majorBidi"/>
        </w:rPr>
        <w:t xml:space="preserve"> wages</w:t>
      </w:r>
      <w:r w:rsidR="002B01D6">
        <w:rPr>
          <w:rFonts w:cstheme="majorBidi"/>
        </w:rPr>
        <w:t xml:space="preserve">. With </w:t>
      </w:r>
      <w:r w:rsidR="00C461B9">
        <w:rPr>
          <w:rFonts w:cstheme="majorBidi"/>
        </w:rPr>
        <w:t>that,</w:t>
      </w:r>
      <w:r w:rsidR="002B01D6">
        <w:rPr>
          <w:rFonts w:cstheme="majorBidi"/>
        </w:rPr>
        <w:t xml:space="preserve"> </w:t>
      </w:r>
      <w:r w:rsidR="00C461B9">
        <w:rPr>
          <w:rFonts w:cstheme="majorBidi"/>
        </w:rPr>
        <w:t>in the most recent</w:t>
      </w:r>
      <w:r w:rsidR="002B01D6">
        <w:rPr>
          <w:rFonts w:cstheme="majorBidi"/>
        </w:rPr>
        <w:t xml:space="preserve"> </w:t>
      </w:r>
      <w:r w:rsidR="00C461B9">
        <w:rPr>
          <w:rFonts w:cstheme="majorBidi"/>
        </w:rPr>
        <w:t xml:space="preserve">data, there was </w:t>
      </w:r>
      <w:r w:rsidR="002B01D6">
        <w:rPr>
          <w:rFonts w:cstheme="majorBidi"/>
        </w:rPr>
        <w:t xml:space="preserve">some </w:t>
      </w:r>
      <w:r w:rsidR="00C461B9">
        <w:rPr>
          <w:rFonts w:cstheme="majorBidi"/>
        </w:rPr>
        <w:t xml:space="preserve">easing in the </w:t>
      </w:r>
      <w:r w:rsidR="002B01D6">
        <w:rPr>
          <w:rFonts w:cstheme="majorBidi"/>
        </w:rPr>
        <w:lastRenderedPageBreak/>
        <w:t>suppl</w:t>
      </w:r>
      <w:r w:rsidR="00C461B9">
        <w:rPr>
          <w:rFonts w:cstheme="majorBidi"/>
        </w:rPr>
        <w:t>y constrain</w:t>
      </w:r>
      <w:r w:rsidR="002B01D6">
        <w:rPr>
          <w:rFonts w:cstheme="majorBidi"/>
        </w:rPr>
        <w:t>t</w:t>
      </w:r>
      <w:r w:rsidR="00C461B9">
        <w:rPr>
          <w:rFonts w:cstheme="majorBidi"/>
        </w:rPr>
        <w:t>s</w:t>
      </w:r>
      <w:r w:rsidR="006E3E3D">
        <w:rPr>
          <w:rFonts w:cstheme="majorBidi"/>
        </w:rPr>
        <w:t>,</w:t>
      </w:r>
      <w:r w:rsidR="00C461B9">
        <w:rPr>
          <w:rFonts w:cstheme="majorBidi"/>
        </w:rPr>
        <w:t xml:space="preserve"> which was reflecte</w:t>
      </w:r>
      <w:r w:rsidR="002B01D6">
        <w:rPr>
          <w:rFonts w:cstheme="majorBidi"/>
        </w:rPr>
        <w:t>d</w:t>
      </w:r>
      <w:r w:rsidR="00C461B9">
        <w:rPr>
          <w:rFonts w:cstheme="majorBidi"/>
        </w:rPr>
        <w:t xml:space="preserve"> in an </w:t>
      </w:r>
      <w:r w:rsidR="002B01D6">
        <w:rPr>
          <w:rFonts w:cstheme="majorBidi"/>
        </w:rPr>
        <w:t>increase</w:t>
      </w:r>
      <w:r w:rsidR="00C461B9">
        <w:rPr>
          <w:rFonts w:cstheme="majorBidi"/>
        </w:rPr>
        <w:t xml:space="preserve"> in the partic</w:t>
      </w:r>
      <w:r w:rsidR="002B01D6">
        <w:rPr>
          <w:rFonts w:cstheme="majorBidi"/>
        </w:rPr>
        <w:t>i</w:t>
      </w:r>
      <w:r w:rsidR="00C461B9">
        <w:rPr>
          <w:rFonts w:cstheme="majorBidi"/>
        </w:rPr>
        <w:t>pation and employmen</w:t>
      </w:r>
      <w:r w:rsidR="002B01D6">
        <w:rPr>
          <w:rFonts w:cstheme="majorBidi"/>
        </w:rPr>
        <w:t>t</w:t>
      </w:r>
      <w:r w:rsidR="00C461B9">
        <w:rPr>
          <w:rFonts w:cstheme="majorBidi"/>
        </w:rPr>
        <w:t xml:space="preserve"> rates, a </w:t>
      </w:r>
      <w:r w:rsidR="002B01D6">
        <w:rPr>
          <w:rFonts w:cstheme="majorBidi"/>
        </w:rPr>
        <w:t xml:space="preserve">decline </w:t>
      </w:r>
      <w:r w:rsidR="00C461B9">
        <w:rPr>
          <w:rFonts w:cstheme="majorBidi"/>
        </w:rPr>
        <w:t>in</w:t>
      </w:r>
      <w:r w:rsidR="002B01D6">
        <w:rPr>
          <w:rFonts w:cstheme="majorBidi"/>
        </w:rPr>
        <w:t xml:space="preserve"> </w:t>
      </w:r>
      <w:r w:rsidR="00C461B9">
        <w:rPr>
          <w:rFonts w:cstheme="majorBidi"/>
        </w:rPr>
        <w:t>the shar</w:t>
      </w:r>
      <w:r w:rsidR="002B01D6">
        <w:rPr>
          <w:rFonts w:cstheme="majorBidi"/>
        </w:rPr>
        <w:t>e</w:t>
      </w:r>
      <w:r w:rsidR="00C461B9">
        <w:rPr>
          <w:rFonts w:cstheme="majorBidi"/>
        </w:rPr>
        <w:t xml:space="preserve"> of </w:t>
      </w:r>
      <w:r w:rsidR="006E3E3D">
        <w:rPr>
          <w:rFonts w:cstheme="majorBidi"/>
        </w:rPr>
        <w:t xml:space="preserve">those </w:t>
      </w:r>
      <w:r w:rsidR="002B01D6">
        <w:rPr>
          <w:rFonts w:cstheme="majorBidi"/>
        </w:rPr>
        <w:t>absen</w:t>
      </w:r>
      <w:r w:rsidR="006E3E3D">
        <w:rPr>
          <w:rFonts w:cstheme="majorBidi"/>
        </w:rPr>
        <w:t xml:space="preserve">t </w:t>
      </w:r>
      <w:r w:rsidR="002B01D6">
        <w:rPr>
          <w:rFonts w:cstheme="majorBidi"/>
        </w:rPr>
        <w:t xml:space="preserve">from </w:t>
      </w:r>
      <w:r w:rsidR="00C461B9">
        <w:rPr>
          <w:rFonts w:cstheme="majorBidi"/>
        </w:rPr>
        <w:t xml:space="preserve">work </w:t>
      </w:r>
      <w:r w:rsidR="002B01D6">
        <w:rPr>
          <w:rFonts w:cstheme="majorBidi"/>
        </w:rPr>
        <w:t>du</w:t>
      </w:r>
      <w:r w:rsidR="00C461B9">
        <w:rPr>
          <w:rFonts w:cstheme="majorBidi"/>
        </w:rPr>
        <w:t>e to military reserves service, and a dec</w:t>
      </w:r>
      <w:r w:rsidR="002B01D6">
        <w:rPr>
          <w:rFonts w:cstheme="majorBidi"/>
        </w:rPr>
        <w:t>l</w:t>
      </w:r>
      <w:r w:rsidR="00C461B9">
        <w:rPr>
          <w:rFonts w:cstheme="majorBidi"/>
        </w:rPr>
        <w:t xml:space="preserve">ine in the growth </w:t>
      </w:r>
      <w:r w:rsidR="0025537B">
        <w:rPr>
          <w:rFonts w:cstheme="majorBidi"/>
        </w:rPr>
        <w:t xml:space="preserve">rate </w:t>
      </w:r>
      <w:r w:rsidR="00C461B9">
        <w:rPr>
          <w:rFonts w:cstheme="majorBidi"/>
        </w:rPr>
        <w:t>of business sect</w:t>
      </w:r>
      <w:r w:rsidR="002B01D6">
        <w:rPr>
          <w:rFonts w:cstheme="majorBidi"/>
        </w:rPr>
        <w:t>o</w:t>
      </w:r>
      <w:r w:rsidR="00C461B9">
        <w:rPr>
          <w:rFonts w:cstheme="majorBidi"/>
        </w:rPr>
        <w:t>r</w:t>
      </w:r>
      <w:r w:rsidR="0025537B">
        <w:rPr>
          <w:rFonts w:cstheme="majorBidi"/>
        </w:rPr>
        <w:t xml:space="preserve"> wages</w:t>
      </w:r>
      <w:r w:rsidR="00C461B9">
        <w:rPr>
          <w:rFonts w:cstheme="majorBidi"/>
        </w:rPr>
        <w:t>.</w:t>
      </w:r>
    </w:p>
    <w:p w:rsidR="00186C79" w:rsidRDefault="00186C79" w:rsidP="00186C79">
      <w:pPr>
        <w:jc w:val="both"/>
        <w:rPr>
          <w:rFonts w:cstheme="majorBidi"/>
        </w:rPr>
      </w:pPr>
    </w:p>
    <w:p w:rsidR="00426D1C" w:rsidRDefault="00FE28C5" w:rsidP="00EC7B50">
      <w:pPr>
        <w:jc w:val="both"/>
      </w:pPr>
      <w:r w:rsidRPr="00A459F5">
        <w:rPr>
          <w:rFonts w:cstheme="majorBidi"/>
          <w:b/>
          <w:bCs/>
          <w:color w:val="365F91" w:themeColor="accent1" w:themeShade="BF"/>
        </w:rPr>
        <w:t>The e</w:t>
      </w:r>
      <w:r w:rsidR="00103F1F" w:rsidRPr="00A459F5">
        <w:rPr>
          <w:rFonts w:cstheme="majorBidi"/>
          <w:b/>
          <w:bCs/>
          <w:color w:val="365F91" w:themeColor="accent1" w:themeShade="BF"/>
        </w:rPr>
        <w:t>xchange rate</w:t>
      </w:r>
      <w:r w:rsidR="00E57811">
        <w:rPr>
          <w:rFonts w:cstheme="majorBidi"/>
          <w:b/>
          <w:bCs/>
          <w:color w:val="365F91" w:themeColor="accent1" w:themeShade="BF"/>
        </w:rPr>
        <w:t>, the risk premium,</w:t>
      </w:r>
      <w:r w:rsidR="00103F1F" w:rsidRPr="00A459F5">
        <w:rPr>
          <w:rFonts w:cstheme="majorBidi"/>
          <w:b/>
          <w:bCs/>
          <w:color w:val="365F91" w:themeColor="accent1" w:themeShade="BF"/>
        </w:rPr>
        <w:t xml:space="preserve"> and </w:t>
      </w:r>
      <w:r w:rsidR="00E57811">
        <w:rPr>
          <w:rFonts w:cstheme="majorBidi"/>
          <w:b/>
          <w:bCs/>
          <w:color w:val="365F91" w:themeColor="accent1" w:themeShade="BF"/>
        </w:rPr>
        <w:t xml:space="preserve">the </w:t>
      </w:r>
      <w:r w:rsidR="00103F1F" w:rsidRPr="00A459F5">
        <w:rPr>
          <w:rFonts w:cstheme="majorBidi"/>
          <w:b/>
          <w:bCs/>
          <w:color w:val="365F91" w:themeColor="accent1" w:themeShade="BF"/>
        </w:rPr>
        <w:t>financial markets:</w:t>
      </w:r>
      <w:r w:rsidR="00103F1F" w:rsidRPr="00A459F5">
        <w:t xml:space="preserve"> During </w:t>
      </w:r>
      <w:r w:rsidR="00426D1C">
        <w:t xml:space="preserve">the half year reviewed, </w:t>
      </w:r>
      <w:r w:rsidR="00103F1F" w:rsidRPr="00A459F5">
        <w:t>financial market</w:t>
      </w:r>
      <w:r w:rsidR="006E3E3D">
        <w:t xml:space="preserve"> trading </w:t>
      </w:r>
      <w:r w:rsidR="00103F1F" w:rsidRPr="00A459F5">
        <w:t>remained volatile, i</w:t>
      </w:r>
      <w:r w:rsidR="0075758B">
        <w:t>nfluenc</w:t>
      </w:r>
      <w:r w:rsidR="00103F1F" w:rsidRPr="00A459F5">
        <w:t>ed</w:t>
      </w:r>
      <w:r w:rsidR="00103F1F">
        <w:t xml:space="preserve"> by </w:t>
      </w:r>
      <w:r w:rsidR="0075758B">
        <w:t xml:space="preserve">global and domestic </w:t>
      </w:r>
      <w:r w:rsidR="00426D1C">
        <w:t>uncertainty</w:t>
      </w:r>
      <w:r w:rsidR="00103F1F">
        <w:t xml:space="preserve">. </w:t>
      </w:r>
      <w:r w:rsidR="00426D1C">
        <w:t xml:space="preserve">The shekel appreciated </w:t>
      </w:r>
      <w:r w:rsidR="00D814FC">
        <w:t xml:space="preserve">by approximately 6 percent against the dollar, following a </w:t>
      </w:r>
      <w:r w:rsidR="00D814FC" w:rsidRPr="00FA611F">
        <w:t xml:space="preserve">similar growth rate in the </w:t>
      </w:r>
      <w:r w:rsidR="006E3E3D" w:rsidRPr="00FA611F">
        <w:t xml:space="preserve">first </w:t>
      </w:r>
      <w:r w:rsidR="00D814FC" w:rsidRPr="00FA611F">
        <w:t>half of 2025</w:t>
      </w:r>
      <w:r w:rsidR="006E3E3D" w:rsidRPr="00FA611F">
        <w:t xml:space="preserve"> as well</w:t>
      </w:r>
      <w:r w:rsidR="00D814FC" w:rsidRPr="00FA611F">
        <w:t>. Israel’</w:t>
      </w:r>
      <w:r w:rsidR="00EA71A6" w:rsidRPr="00FA611F">
        <w:t>s risk premium—as measured by CDSs and dollar government bond spreads—declined</w:t>
      </w:r>
      <w:r w:rsidR="00EA71A6">
        <w:t xml:space="preserve"> markedly after Operation Rising Lion in June, and continued to decline during the period reviewed </w:t>
      </w:r>
      <w:r w:rsidR="00F77F81">
        <w:t xml:space="preserve">mainly after the declaration of a ceasefire in Gaza—at the end of the half-year reviewed </w:t>
      </w:r>
      <w:r w:rsidR="009352AB">
        <w:t xml:space="preserve">the premium </w:t>
      </w:r>
      <w:r w:rsidR="004E39A5">
        <w:t>was</w:t>
      </w:r>
      <w:r w:rsidR="009352AB">
        <w:t xml:space="preserve"> only slightly higher than it</w:t>
      </w:r>
      <w:r w:rsidR="00020CEB">
        <w:t>s</w:t>
      </w:r>
      <w:r w:rsidR="009352AB">
        <w:t xml:space="preserve"> level just before the war. Domestic equity indices were </w:t>
      </w:r>
      <w:r w:rsidR="004E39A5">
        <w:t>notably</w:t>
      </w:r>
      <w:r w:rsidR="009352AB">
        <w:t xml:space="preserve"> good </w:t>
      </w:r>
      <w:r w:rsidR="004E39A5">
        <w:t>compared</w:t>
      </w:r>
      <w:r w:rsidR="009352AB">
        <w:t xml:space="preserve"> to the world overall.</w:t>
      </w:r>
      <w:r w:rsidR="004E39A5">
        <w:t xml:space="preserve"> Credit to the busin</w:t>
      </w:r>
      <w:r w:rsidR="006E3E3D">
        <w:t>ess sector continued to expand i</w:t>
      </w:r>
      <w:r w:rsidR="004E39A5">
        <w:t xml:space="preserve">n the reviewed period </w:t>
      </w:r>
      <w:r w:rsidR="006E3E3D">
        <w:t xml:space="preserve">by </w:t>
      </w:r>
      <w:r w:rsidR="004E39A5">
        <w:t xml:space="preserve">a high </w:t>
      </w:r>
      <w:r w:rsidR="006E3E3D">
        <w:t>rate</w:t>
      </w:r>
      <w:r w:rsidR="004E39A5">
        <w:t xml:space="preserve">. The rates of arrears in all activity segments remained at a low level, the banking system maintained high capital ratios, and the insurance companies </w:t>
      </w:r>
      <w:r w:rsidR="004E39A5" w:rsidRPr="00504CBB">
        <w:t xml:space="preserve">maintained </w:t>
      </w:r>
      <w:r w:rsidR="00347387" w:rsidRPr="00504CBB">
        <w:t xml:space="preserve">high </w:t>
      </w:r>
      <w:r w:rsidR="00EC7B50">
        <w:t xml:space="preserve">economic </w:t>
      </w:r>
      <w:r w:rsidR="00347387" w:rsidRPr="00504CBB">
        <w:t xml:space="preserve">solvency </w:t>
      </w:r>
      <w:r w:rsidR="00EC7B50">
        <w:t>ratios</w:t>
      </w:r>
      <w:r w:rsidR="004E39A5" w:rsidRPr="00504CBB">
        <w:t>.</w:t>
      </w:r>
    </w:p>
    <w:p w:rsidR="00426D1C" w:rsidRDefault="00426D1C" w:rsidP="00426D1C">
      <w:pPr>
        <w:jc w:val="both"/>
      </w:pPr>
    </w:p>
    <w:p w:rsidR="00103F1F" w:rsidRDefault="00103F1F" w:rsidP="00A43687">
      <w:pPr>
        <w:jc w:val="both"/>
      </w:pPr>
      <w:r w:rsidRPr="00103F1F">
        <w:rPr>
          <w:rFonts w:cstheme="majorBidi"/>
          <w:b/>
          <w:bCs/>
          <w:color w:val="365F91" w:themeColor="accent1" w:themeShade="BF"/>
        </w:rPr>
        <w:t>Fiscal policy:</w:t>
      </w:r>
      <w:r>
        <w:t xml:space="preserve"> </w:t>
      </w:r>
      <w:r w:rsidR="0075758B">
        <w:t xml:space="preserve">The cumulative deficit in the state budget over the past 12 months </w:t>
      </w:r>
      <w:r w:rsidR="00E265D3">
        <w:t xml:space="preserve">declined during the reviewed period, </w:t>
      </w:r>
      <w:r w:rsidR="00AF06E5">
        <w:t xml:space="preserve">and </w:t>
      </w:r>
      <w:r w:rsidR="00E265D3">
        <w:t>total</w:t>
      </w:r>
      <w:r w:rsidR="00AF06E5">
        <w:t xml:space="preserve">ed </w:t>
      </w:r>
      <w:r w:rsidR="00E265D3">
        <w:t xml:space="preserve">4.7 </w:t>
      </w:r>
      <w:r w:rsidR="0075758B">
        <w:t xml:space="preserve">percent of GDP in </w:t>
      </w:r>
      <w:r w:rsidR="00E265D3">
        <w:t>December, comp</w:t>
      </w:r>
      <w:r w:rsidR="00553B7A">
        <w:t>a</w:t>
      </w:r>
      <w:r w:rsidR="00E265D3">
        <w:t xml:space="preserve">red to 5 percent of GDP in June. </w:t>
      </w:r>
      <w:r w:rsidR="0075758B">
        <w:t>According to the</w:t>
      </w:r>
      <w:r>
        <w:t xml:space="preserve"> Research Department’s </w:t>
      </w:r>
      <w:r w:rsidR="00E265D3">
        <w:t xml:space="preserve">January 2026 </w:t>
      </w:r>
      <w:r>
        <w:t>forecast</w:t>
      </w:r>
      <w:r w:rsidR="0075758B">
        <w:t xml:space="preserve">, the </w:t>
      </w:r>
      <w:r w:rsidR="00377567">
        <w:t xml:space="preserve">debt to GDP ratio </w:t>
      </w:r>
      <w:r w:rsidR="00E265D3">
        <w:t>increased from 68 percent in 2024 to 68</w:t>
      </w:r>
      <w:r w:rsidR="00553B7A">
        <w:t>.</w:t>
      </w:r>
      <w:r w:rsidR="00E265D3">
        <w:t xml:space="preserve">5 percent in 2025, and is expected to remain at the same level in 2026. </w:t>
      </w:r>
      <w:r w:rsidR="00553B7A">
        <w:t xml:space="preserve">At </w:t>
      </w:r>
      <w:r w:rsidR="00E265D3">
        <w:t xml:space="preserve">the end of the half year, the </w:t>
      </w:r>
      <w:r w:rsidR="00E265D3" w:rsidRPr="0069188F">
        <w:t xml:space="preserve">government approved the </w:t>
      </w:r>
      <w:r w:rsidR="00553B7A" w:rsidRPr="0069188F">
        <w:t xml:space="preserve">2026 </w:t>
      </w:r>
      <w:r w:rsidR="00E265D3" w:rsidRPr="0069188F">
        <w:t xml:space="preserve">budget proposal with a deficit ceiling of 3.9 percent, a level </w:t>
      </w:r>
      <w:r w:rsidR="00553B7A" w:rsidRPr="0069188F">
        <w:t xml:space="preserve">that is </w:t>
      </w:r>
      <w:r w:rsidR="00E265D3" w:rsidRPr="0069188F">
        <w:t xml:space="preserve">higher than the deficit planned previously and </w:t>
      </w:r>
      <w:r w:rsidR="00A43687" w:rsidRPr="0069188F">
        <w:t xml:space="preserve">higher than one </w:t>
      </w:r>
      <w:r w:rsidR="00E265D3" w:rsidRPr="0069188F">
        <w:t xml:space="preserve">in line with </w:t>
      </w:r>
      <w:r w:rsidR="00553B7A" w:rsidRPr="0069188F">
        <w:t xml:space="preserve">a </w:t>
      </w:r>
      <w:r w:rsidR="00E265D3" w:rsidRPr="0069188F">
        <w:t>declining path of the debt to GDP ratio.</w:t>
      </w:r>
      <w:r w:rsidR="00377567">
        <w:t xml:space="preserve"> </w:t>
      </w:r>
    </w:p>
    <w:p w:rsidR="005F6095" w:rsidRDefault="005F6095" w:rsidP="00103F1F">
      <w:pPr>
        <w:jc w:val="both"/>
        <w:rPr>
          <w:rFonts w:cstheme="majorBidi"/>
          <w:b/>
          <w:bCs/>
          <w:color w:val="365F91" w:themeColor="accent1" w:themeShade="BF"/>
        </w:rPr>
      </w:pPr>
    </w:p>
    <w:p w:rsidR="00103F1F" w:rsidRDefault="00FE28C5" w:rsidP="004351FB">
      <w:pPr>
        <w:jc w:val="both"/>
      </w:pPr>
      <w:r w:rsidRPr="00FE0548">
        <w:rPr>
          <w:rFonts w:cstheme="majorBidi"/>
          <w:b/>
          <w:bCs/>
          <w:color w:val="365F91" w:themeColor="accent1" w:themeShade="BF"/>
        </w:rPr>
        <w:t>The h</w:t>
      </w:r>
      <w:r w:rsidR="00103F1F" w:rsidRPr="00FE0548">
        <w:rPr>
          <w:rFonts w:cstheme="majorBidi"/>
          <w:b/>
          <w:bCs/>
          <w:color w:val="365F91" w:themeColor="accent1" w:themeShade="BF"/>
        </w:rPr>
        <w:t>ousing market:</w:t>
      </w:r>
      <w:r w:rsidR="00103F1F" w:rsidRPr="00FE0548">
        <w:t xml:space="preserve"> </w:t>
      </w:r>
      <w:r w:rsidR="00BF1493" w:rsidRPr="00FE0548">
        <w:t>T</w:t>
      </w:r>
      <w:r w:rsidR="00103F1F" w:rsidRPr="00FE0548">
        <w:t>he</w:t>
      </w:r>
      <w:r w:rsidR="00103F1F">
        <w:t xml:space="preserve"> </w:t>
      </w:r>
      <w:r w:rsidR="004351FB">
        <w:t xml:space="preserve">housing market </w:t>
      </w:r>
      <w:r w:rsidR="00377567">
        <w:t xml:space="preserve">slowed </w:t>
      </w:r>
      <w:r w:rsidR="00BF1493">
        <w:t xml:space="preserve">in 2025. This is reflected in the low </w:t>
      </w:r>
      <w:r w:rsidR="006E0D6D">
        <w:t>level</w:t>
      </w:r>
      <w:r w:rsidR="00BF1493">
        <w:t xml:space="preserve"> of transactions compared to </w:t>
      </w:r>
      <w:r w:rsidR="001551AB">
        <w:t>p</w:t>
      </w:r>
      <w:r w:rsidR="00BF1493">
        <w:t>revious y</w:t>
      </w:r>
      <w:r w:rsidR="001551AB">
        <w:t>e</w:t>
      </w:r>
      <w:r w:rsidR="00BF1493">
        <w:t xml:space="preserve">ars </w:t>
      </w:r>
      <w:r w:rsidR="006E0D6D">
        <w:t>and</w:t>
      </w:r>
      <w:r w:rsidR="00BF1493">
        <w:t xml:space="preserve"> a high level of </w:t>
      </w:r>
      <w:r w:rsidR="006E0D6D">
        <w:t>stock</w:t>
      </w:r>
      <w:r w:rsidR="00BF1493">
        <w:t xml:space="preserve"> of unsold homes held </w:t>
      </w:r>
      <w:r w:rsidR="006E0D6D">
        <w:t>by</w:t>
      </w:r>
      <w:r w:rsidR="00BF1493">
        <w:t xml:space="preserve"> developers. This is alongside a decline in home prices in </w:t>
      </w:r>
      <w:r w:rsidR="004351FB">
        <w:t>all</w:t>
      </w:r>
      <w:r w:rsidR="00BF1493">
        <w:t xml:space="preserve"> month</w:t>
      </w:r>
      <w:r w:rsidR="004351FB">
        <w:t xml:space="preserve">s </w:t>
      </w:r>
      <w:r w:rsidR="00BF1493">
        <w:t xml:space="preserve">of the half-year reviewed. The annual growth rate of the owner-occupied housing services component (rents in new and renewing leases) in the CPI moderated to 2.6 percent </w:t>
      </w:r>
      <w:r w:rsidR="004351FB">
        <w:t>by</w:t>
      </w:r>
      <w:r w:rsidR="00BF1493">
        <w:t xml:space="preserve"> the end </w:t>
      </w:r>
      <w:r w:rsidR="001551AB">
        <w:t xml:space="preserve">of the half year (November data), compared to 3.6 percent at the beginning of the period reviewed (May data). Alongside that, the level of activity in the construction industry is high. Over the four quarters ending in the third quarter there was an increase of approximately 31 percent in building starts relative to the preceding four quarters, while building completions increased by 4.3 percent relative to the same period. In addition, </w:t>
      </w:r>
      <w:r w:rsidR="00CA47B2">
        <w:t>property purchases by developers in Israel Land Authority tenders remained at a high level in 2025.</w:t>
      </w:r>
    </w:p>
    <w:p w:rsidR="005F6095" w:rsidRDefault="005F6095" w:rsidP="00103F1F">
      <w:pPr>
        <w:jc w:val="both"/>
        <w:rPr>
          <w:rFonts w:cstheme="majorBidi"/>
          <w:b/>
          <w:bCs/>
          <w:color w:val="365F91" w:themeColor="accent1" w:themeShade="BF"/>
        </w:rPr>
      </w:pPr>
    </w:p>
    <w:p w:rsidR="00CA47B2" w:rsidRDefault="00FE28C5" w:rsidP="00D1777B">
      <w:pPr>
        <w:jc w:val="both"/>
      </w:pPr>
      <w:r>
        <w:rPr>
          <w:rFonts w:cstheme="majorBidi"/>
          <w:b/>
          <w:bCs/>
          <w:color w:val="365F91" w:themeColor="accent1" w:themeShade="BF"/>
        </w:rPr>
        <w:t>The g</w:t>
      </w:r>
      <w:r w:rsidR="00103F1F" w:rsidRPr="00103F1F">
        <w:rPr>
          <w:rFonts w:cstheme="majorBidi"/>
          <w:b/>
          <w:bCs/>
          <w:color w:val="365F91" w:themeColor="accent1" w:themeShade="BF"/>
        </w:rPr>
        <w:t>lobal economy:</w:t>
      </w:r>
      <w:r w:rsidR="00103F1F">
        <w:t xml:space="preserve"> </w:t>
      </w:r>
      <w:r w:rsidR="00377567">
        <w:t>During the reviewed period,</w:t>
      </w:r>
      <w:r w:rsidR="00CA47B2">
        <w:t xml:space="preserve"> economic activity worldwide expanded at a moderate pace. This was similar to the global growth rate in the preceding half year.</w:t>
      </w:r>
      <w:r w:rsidR="005C2D5D">
        <w:t xml:space="preserve"> With that, the </w:t>
      </w:r>
      <w:r w:rsidR="00D1777B">
        <w:t xml:space="preserve">2025 </w:t>
      </w:r>
      <w:r w:rsidR="005C2D5D">
        <w:t xml:space="preserve">global growth rate, which at the end of the </w:t>
      </w:r>
      <w:r w:rsidR="006E0D6D">
        <w:t>previous</w:t>
      </w:r>
      <w:r w:rsidR="005C2D5D">
        <w:t xml:space="preserve"> half year </w:t>
      </w:r>
      <w:r w:rsidR="006E0D6D">
        <w:t>was</w:t>
      </w:r>
      <w:r w:rsidR="005C2D5D">
        <w:t xml:space="preserve"> relatively low at 2.6 percent—in view of US tariff policy and its potential impact on world trade, growth, and inflation—was revised upward to around 3 percent, </w:t>
      </w:r>
      <w:r w:rsidR="00D1777B">
        <w:t xml:space="preserve">a </w:t>
      </w:r>
      <w:r w:rsidR="005C2D5D">
        <w:t xml:space="preserve">level </w:t>
      </w:r>
      <w:r w:rsidR="00D1777B">
        <w:t xml:space="preserve">similar </w:t>
      </w:r>
      <w:r w:rsidR="005C2D5D">
        <w:t xml:space="preserve">to that forecast for 2026 and 2027. In most countries, </w:t>
      </w:r>
      <w:r w:rsidR="00D1777B">
        <w:t xml:space="preserve">the </w:t>
      </w:r>
      <w:r w:rsidR="006E0D6D">
        <w:t>inflation</w:t>
      </w:r>
      <w:r w:rsidR="005C2D5D">
        <w:t xml:space="preserve"> </w:t>
      </w:r>
      <w:r w:rsidR="00D1777B">
        <w:t xml:space="preserve">rate </w:t>
      </w:r>
      <w:r w:rsidR="006E0D6D">
        <w:t>continued</w:t>
      </w:r>
      <w:r w:rsidR="005C2D5D">
        <w:t xml:space="preserve"> to moderate </w:t>
      </w:r>
      <w:r w:rsidR="006E0D6D">
        <w:t xml:space="preserve">slowly </w:t>
      </w:r>
      <w:r w:rsidR="005C2D5D">
        <w:t xml:space="preserve">mainly due to the decline of </w:t>
      </w:r>
      <w:r w:rsidR="006E0D6D">
        <w:t xml:space="preserve">energy </w:t>
      </w:r>
      <w:r w:rsidR="005C2D5D">
        <w:t>prices and the relative calm in the trade war. The US inflation rate (CPI) was 2.7 percent in November, and inflation was 2.1 percent in the eurozone.</w:t>
      </w:r>
      <w:r w:rsidR="003F5E1F">
        <w:t xml:space="preserve"> The Fed </w:t>
      </w:r>
      <w:r w:rsidR="006E0D6D">
        <w:t>reduced</w:t>
      </w:r>
      <w:r w:rsidR="003F5E1F">
        <w:t xml:space="preserve"> its interest rate by 0.75 </w:t>
      </w:r>
      <w:r w:rsidR="006E0D6D">
        <w:t>percentage points during the half</w:t>
      </w:r>
      <w:r w:rsidR="003F5E1F">
        <w:t xml:space="preserve"> year, </w:t>
      </w:r>
      <w:r w:rsidR="00D1777B">
        <w:t xml:space="preserve">while </w:t>
      </w:r>
      <w:r w:rsidR="003F5E1F">
        <w:t xml:space="preserve">the ECB </w:t>
      </w:r>
      <w:r w:rsidR="006E0D6D">
        <w:t>kept</w:t>
      </w:r>
      <w:r w:rsidR="003F5E1F">
        <w:t xml:space="preserve"> the interest </w:t>
      </w:r>
      <w:r w:rsidR="006E0D6D">
        <w:t>rate</w:t>
      </w:r>
      <w:r w:rsidR="003F5E1F">
        <w:t xml:space="preserve"> </w:t>
      </w:r>
      <w:r w:rsidR="006E0D6D">
        <w:t>unchanged</w:t>
      </w:r>
      <w:r w:rsidR="003F5E1F">
        <w:t xml:space="preserve"> in the half </w:t>
      </w:r>
      <w:r w:rsidR="006E0D6D">
        <w:t>year</w:t>
      </w:r>
      <w:r w:rsidR="003F5E1F">
        <w:t xml:space="preserve"> </w:t>
      </w:r>
      <w:r w:rsidR="006E0D6D">
        <w:t>reviewed</w:t>
      </w:r>
      <w:r w:rsidR="003F5E1F">
        <w:t xml:space="preserve">, after the </w:t>
      </w:r>
      <w:r w:rsidR="006E0D6D">
        <w:t>previous</w:t>
      </w:r>
      <w:r w:rsidR="003F5E1F">
        <w:t xml:space="preserve"> </w:t>
      </w:r>
      <w:r w:rsidR="006E0D6D">
        <w:t>half</w:t>
      </w:r>
      <w:r w:rsidR="003F5E1F">
        <w:t xml:space="preserve"> when it </w:t>
      </w:r>
      <w:r w:rsidR="006E0D6D">
        <w:t>reduced</w:t>
      </w:r>
      <w:r w:rsidR="003F5E1F">
        <w:t xml:space="preserve"> the interest rate in each one of </w:t>
      </w:r>
      <w:r w:rsidR="00D1777B">
        <w:t xml:space="preserve">its </w:t>
      </w:r>
      <w:r w:rsidR="006E0D6D">
        <w:t>decisions</w:t>
      </w:r>
      <w:r w:rsidR="003F5E1F">
        <w:t>.</w:t>
      </w:r>
    </w:p>
    <w:p w:rsidR="003F5E1F" w:rsidRDefault="003F5E1F" w:rsidP="003F5E1F">
      <w:pPr>
        <w:jc w:val="both"/>
      </w:pPr>
    </w:p>
    <w:p w:rsidR="003B721F" w:rsidRDefault="00FE28C5" w:rsidP="006277D6">
      <w:pPr>
        <w:jc w:val="both"/>
      </w:pPr>
      <w:r>
        <w:rPr>
          <w:rFonts w:cstheme="majorBidi"/>
          <w:b/>
          <w:bCs/>
          <w:color w:val="365F91" w:themeColor="accent1" w:themeShade="BF"/>
        </w:rPr>
        <w:t xml:space="preserve">The </w:t>
      </w:r>
      <w:r w:rsidR="00103F1F" w:rsidRPr="00103F1F">
        <w:rPr>
          <w:rFonts w:cstheme="majorBidi"/>
          <w:b/>
          <w:bCs/>
          <w:color w:val="365F91" w:themeColor="accent1" w:themeShade="BF"/>
        </w:rPr>
        <w:t>Research Department forecast:</w:t>
      </w:r>
      <w:r w:rsidR="00103F1F">
        <w:t xml:space="preserve"> </w:t>
      </w:r>
      <w:r w:rsidR="00D74078">
        <w:t xml:space="preserve">According to </w:t>
      </w:r>
      <w:r w:rsidR="003B721F">
        <w:t xml:space="preserve">the </w:t>
      </w:r>
      <w:r w:rsidR="00103F1F">
        <w:t xml:space="preserve">Research Department forecast </w:t>
      </w:r>
      <w:r w:rsidR="003B721F">
        <w:t>in January 2026, GDP grew by 2.8 perce</w:t>
      </w:r>
      <w:r w:rsidR="00F52AA0">
        <w:t xml:space="preserve">nt in 2025, compared </w:t>
      </w:r>
      <w:r w:rsidR="00D74078">
        <w:t xml:space="preserve">to </w:t>
      </w:r>
      <w:r w:rsidR="00F52AA0">
        <w:t xml:space="preserve">an assessment of 3.3 percent in the July </w:t>
      </w:r>
      <w:r w:rsidR="00F52AA0">
        <w:lastRenderedPageBreak/>
        <w:t xml:space="preserve">2025 forecast. In the baseline scenario of the January 2026 </w:t>
      </w:r>
      <w:r w:rsidR="00436E3F">
        <w:t>forecast</w:t>
      </w:r>
      <w:r w:rsidR="00F52AA0">
        <w:t xml:space="preserve">, GDP is </w:t>
      </w:r>
      <w:r w:rsidR="00436E3F">
        <w:t>expected</w:t>
      </w:r>
      <w:r w:rsidR="00F52AA0">
        <w:t xml:space="preserve"> to </w:t>
      </w:r>
      <w:r w:rsidR="00436E3F">
        <w:t>grow</w:t>
      </w:r>
      <w:r w:rsidR="00F52AA0">
        <w:t xml:space="preserve"> by 5.2 </w:t>
      </w:r>
      <w:r w:rsidR="00436E3F">
        <w:t>percent</w:t>
      </w:r>
      <w:r w:rsidR="00F52AA0">
        <w:t xml:space="preserve"> in 2026, about half a percentage point higher than the September and July </w:t>
      </w:r>
      <w:r w:rsidR="00436E3F">
        <w:t>forecasts</w:t>
      </w:r>
      <w:r w:rsidR="00F52AA0">
        <w:t xml:space="preserve"> (which were similar).</w:t>
      </w:r>
      <w:r w:rsidR="00D74078">
        <w:t xml:space="preserve"> T</w:t>
      </w:r>
      <w:r w:rsidR="00F52AA0">
        <w:t xml:space="preserve">he Department assessed </w:t>
      </w:r>
      <w:r w:rsidR="00D74078">
        <w:t xml:space="preserve">that in 2027 </w:t>
      </w:r>
      <w:r w:rsidR="00F52AA0">
        <w:t xml:space="preserve">GDP will grow by 4.3 percent, so that at the end </w:t>
      </w:r>
      <w:r w:rsidR="00436E3F">
        <w:t>of</w:t>
      </w:r>
      <w:r w:rsidR="00F52AA0">
        <w:t xml:space="preserve"> the year the GDP gap with the long term trend is expected to contr</w:t>
      </w:r>
      <w:r w:rsidR="00D64B28">
        <w:t>a</w:t>
      </w:r>
      <w:r w:rsidR="00F52AA0">
        <w:t>ct to around 1 percent.</w:t>
      </w:r>
      <w:r w:rsidR="00D64B28">
        <w:t xml:space="preserve"> According to the </w:t>
      </w:r>
      <w:r w:rsidR="00436E3F">
        <w:t>January 2026 forecast</w:t>
      </w:r>
      <w:r w:rsidR="00D64B28">
        <w:t xml:space="preserve">, the </w:t>
      </w:r>
      <w:r w:rsidR="00436E3F">
        <w:t>year</w:t>
      </w:r>
      <w:r w:rsidR="00D64B28">
        <w:t xml:space="preserve"> over year inflation rate at </w:t>
      </w:r>
      <w:r w:rsidR="00436E3F">
        <w:t>the</w:t>
      </w:r>
      <w:r w:rsidR="00D64B28">
        <w:t xml:space="preserve"> end of 2025 will </w:t>
      </w:r>
      <w:r w:rsidR="00436E3F">
        <w:t>be</w:t>
      </w:r>
      <w:r w:rsidR="00D64B28">
        <w:t xml:space="preserve"> 2.5 </w:t>
      </w:r>
      <w:r w:rsidR="00436E3F">
        <w:t>percent</w:t>
      </w:r>
      <w:r w:rsidR="00D64B28">
        <w:t xml:space="preserve">, </w:t>
      </w:r>
      <w:r w:rsidR="00436E3F">
        <w:t>compared</w:t>
      </w:r>
      <w:r w:rsidR="00D64B28">
        <w:t xml:space="preserve"> to 3 </w:t>
      </w:r>
      <w:r w:rsidR="00436E3F">
        <w:t>percent</w:t>
      </w:r>
      <w:r w:rsidR="00D64B28">
        <w:t xml:space="preserve"> in</w:t>
      </w:r>
      <w:r w:rsidR="00436E3F">
        <w:t xml:space="preserve"> the</w:t>
      </w:r>
      <w:r w:rsidR="00D64B28">
        <w:t xml:space="preserve"> </w:t>
      </w:r>
      <w:r w:rsidR="00436E3F">
        <w:t>September</w:t>
      </w:r>
      <w:r w:rsidR="00D64B28">
        <w:t xml:space="preserve"> </w:t>
      </w:r>
      <w:r w:rsidR="00436E3F">
        <w:t>forecast</w:t>
      </w:r>
      <w:r w:rsidR="00D64B28">
        <w:t xml:space="preserve"> and 2.6 per</w:t>
      </w:r>
      <w:r w:rsidR="00436E3F">
        <w:t>cent</w:t>
      </w:r>
      <w:r w:rsidR="00D64B28">
        <w:t xml:space="preserve"> in the July </w:t>
      </w:r>
      <w:r w:rsidR="00436E3F">
        <w:t>forecast</w:t>
      </w:r>
      <w:r w:rsidR="0051208A">
        <w:t xml:space="preserve">. The </w:t>
      </w:r>
      <w:r w:rsidR="00436E3F">
        <w:t>inflation</w:t>
      </w:r>
      <w:r w:rsidR="00D64B28">
        <w:t xml:space="preserve"> rate </w:t>
      </w:r>
      <w:r w:rsidR="0051208A">
        <w:t xml:space="preserve">in 2026 </w:t>
      </w:r>
      <w:r w:rsidR="00D64B28">
        <w:t>is expect</w:t>
      </w:r>
      <w:r w:rsidR="0051208A">
        <w:t xml:space="preserve">ed </w:t>
      </w:r>
      <w:r w:rsidR="00436E3F">
        <w:t xml:space="preserve">to </w:t>
      </w:r>
      <w:r w:rsidR="00D64B28">
        <w:t xml:space="preserve">be 1.7 percent, </w:t>
      </w:r>
      <w:r w:rsidR="00436E3F">
        <w:t>compared</w:t>
      </w:r>
      <w:r w:rsidR="00D64B28">
        <w:t xml:space="preserve"> </w:t>
      </w:r>
      <w:r w:rsidR="0051208A">
        <w:t xml:space="preserve">to </w:t>
      </w:r>
      <w:r w:rsidR="00D64B28">
        <w:t xml:space="preserve">2.2 percent in the </w:t>
      </w:r>
      <w:r w:rsidR="00436E3F">
        <w:t>September</w:t>
      </w:r>
      <w:r w:rsidR="00D64B28">
        <w:t xml:space="preserve"> forecast, and 2 percent </w:t>
      </w:r>
      <w:r w:rsidR="00436E3F">
        <w:t>in</w:t>
      </w:r>
      <w:r w:rsidR="00D64B28">
        <w:t xml:space="preserve"> </w:t>
      </w:r>
      <w:r w:rsidR="00436E3F">
        <w:t>the</w:t>
      </w:r>
      <w:r w:rsidR="00D64B28">
        <w:t xml:space="preserve"> July forec</w:t>
      </w:r>
      <w:r w:rsidR="00436E3F">
        <w:t>a</w:t>
      </w:r>
      <w:r w:rsidR="00D64B28">
        <w:t xml:space="preserve">st. In 2027, </w:t>
      </w:r>
      <w:r w:rsidR="00EE184B">
        <w:t xml:space="preserve">it is expected to be 2 </w:t>
      </w:r>
      <w:r w:rsidR="00436E3F">
        <w:t xml:space="preserve">percent. </w:t>
      </w:r>
      <w:r w:rsidR="00EE184B">
        <w:t>The debt to GDP ratio was e</w:t>
      </w:r>
      <w:r w:rsidR="00436E3F">
        <w:t>s</w:t>
      </w:r>
      <w:r w:rsidR="00EE184B">
        <w:t>timated to be 68.5 percent at the end of 2025, and is expec</w:t>
      </w:r>
      <w:r w:rsidR="00436E3F">
        <w:t xml:space="preserve">ted </w:t>
      </w:r>
      <w:r w:rsidR="00EE184B">
        <w:t xml:space="preserve">to stay at </w:t>
      </w:r>
      <w:r w:rsidR="00436E3F">
        <w:t>a s</w:t>
      </w:r>
      <w:r w:rsidR="00EE184B">
        <w:t>imil</w:t>
      </w:r>
      <w:r w:rsidR="00436E3F">
        <w:t>a</w:t>
      </w:r>
      <w:r w:rsidR="00EE184B">
        <w:t>r level in 2026 and 2027. The Department assessed that at the end of 2026 the inter</w:t>
      </w:r>
      <w:r w:rsidR="00436E3F">
        <w:t>e</w:t>
      </w:r>
      <w:r w:rsidR="00EE184B">
        <w:t>st rate will be 3.5 percent.</w:t>
      </w:r>
      <w:bookmarkEnd w:id="0"/>
    </w:p>
    <w:sectPr w:rsidR="003B721F" w:rsidSect="009C677A">
      <w:type w:val="continuous"/>
      <w:pgSz w:w="11907" w:h="16839" w:code="9"/>
      <w:pgMar w:top="1701" w:right="1134" w:bottom="1304" w:left="1418" w:header="1418"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EC0"/>
    <w:rsid w:val="00000763"/>
    <w:rsid w:val="00002E27"/>
    <w:rsid w:val="00012B10"/>
    <w:rsid w:val="00013396"/>
    <w:rsid w:val="00020CEB"/>
    <w:rsid w:val="000512DD"/>
    <w:rsid w:val="000519B9"/>
    <w:rsid w:val="000567D8"/>
    <w:rsid w:val="000B088F"/>
    <w:rsid w:val="000B77F3"/>
    <w:rsid w:val="000D59FD"/>
    <w:rsid w:val="000E577E"/>
    <w:rsid w:val="000E7C2F"/>
    <w:rsid w:val="000F2365"/>
    <w:rsid w:val="001024B7"/>
    <w:rsid w:val="00103F1F"/>
    <w:rsid w:val="00106E7C"/>
    <w:rsid w:val="001265C5"/>
    <w:rsid w:val="00133333"/>
    <w:rsid w:val="00141DD7"/>
    <w:rsid w:val="001551AB"/>
    <w:rsid w:val="00163FD7"/>
    <w:rsid w:val="001654FB"/>
    <w:rsid w:val="00172F04"/>
    <w:rsid w:val="00186C79"/>
    <w:rsid w:val="00190BE5"/>
    <w:rsid w:val="001B1AC8"/>
    <w:rsid w:val="001B2D5F"/>
    <w:rsid w:val="001C751D"/>
    <w:rsid w:val="001D2B01"/>
    <w:rsid w:val="001D6DE5"/>
    <w:rsid w:val="001E0364"/>
    <w:rsid w:val="001F1511"/>
    <w:rsid w:val="001F3604"/>
    <w:rsid w:val="0020310B"/>
    <w:rsid w:val="002200A8"/>
    <w:rsid w:val="0022352A"/>
    <w:rsid w:val="00227C08"/>
    <w:rsid w:val="00240637"/>
    <w:rsid w:val="002415D7"/>
    <w:rsid w:val="0024433B"/>
    <w:rsid w:val="002478CE"/>
    <w:rsid w:val="0025537B"/>
    <w:rsid w:val="002579C7"/>
    <w:rsid w:val="0026259C"/>
    <w:rsid w:val="00264A09"/>
    <w:rsid w:val="0026597B"/>
    <w:rsid w:val="00275AA7"/>
    <w:rsid w:val="00277147"/>
    <w:rsid w:val="00280057"/>
    <w:rsid w:val="00294BBC"/>
    <w:rsid w:val="002B01D6"/>
    <w:rsid w:val="002B4C17"/>
    <w:rsid w:val="002D28D2"/>
    <w:rsid w:val="002D7F0C"/>
    <w:rsid w:val="002E30FE"/>
    <w:rsid w:val="002F27BD"/>
    <w:rsid w:val="002F52BE"/>
    <w:rsid w:val="003005D7"/>
    <w:rsid w:val="003067F1"/>
    <w:rsid w:val="0031152F"/>
    <w:rsid w:val="00330C92"/>
    <w:rsid w:val="00332521"/>
    <w:rsid w:val="00337210"/>
    <w:rsid w:val="00344EAE"/>
    <w:rsid w:val="00347387"/>
    <w:rsid w:val="00353DE4"/>
    <w:rsid w:val="00354D6B"/>
    <w:rsid w:val="00355748"/>
    <w:rsid w:val="00366990"/>
    <w:rsid w:val="00377567"/>
    <w:rsid w:val="00383058"/>
    <w:rsid w:val="00385245"/>
    <w:rsid w:val="00385E99"/>
    <w:rsid w:val="003A5620"/>
    <w:rsid w:val="003B721F"/>
    <w:rsid w:val="003C371E"/>
    <w:rsid w:val="003C50A1"/>
    <w:rsid w:val="003F5E1F"/>
    <w:rsid w:val="0040799C"/>
    <w:rsid w:val="00413702"/>
    <w:rsid w:val="004160AB"/>
    <w:rsid w:val="00422F3B"/>
    <w:rsid w:val="00426D1C"/>
    <w:rsid w:val="004351FB"/>
    <w:rsid w:val="00436E3F"/>
    <w:rsid w:val="00441E77"/>
    <w:rsid w:val="00481219"/>
    <w:rsid w:val="00492F56"/>
    <w:rsid w:val="004B6DC6"/>
    <w:rsid w:val="004C0EC0"/>
    <w:rsid w:val="004D7918"/>
    <w:rsid w:val="004E194E"/>
    <w:rsid w:val="004E39A5"/>
    <w:rsid w:val="004E4F3D"/>
    <w:rsid w:val="004E63B1"/>
    <w:rsid w:val="004F25D4"/>
    <w:rsid w:val="004F5B81"/>
    <w:rsid w:val="005020B3"/>
    <w:rsid w:val="0050363E"/>
    <w:rsid w:val="00504CBB"/>
    <w:rsid w:val="0051208A"/>
    <w:rsid w:val="00523D1F"/>
    <w:rsid w:val="0054605E"/>
    <w:rsid w:val="005464CA"/>
    <w:rsid w:val="00546D49"/>
    <w:rsid w:val="00553B7A"/>
    <w:rsid w:val="00564DEC"/>
    <w:rsid w:val="00581612"/>
    <w:rsid w:val="00587DC4"/>
    <w:rsid w:val="005916DD"/>
    <w:rsid w:val="00596A26"/>
    <w:rsid w:val="005A2945"/>
    <w:rsid w:val="005B4DB0"/>
    <w:rsid w:val="005C2D5D"/>
    <w:rsid w:val="005D4B58"/>
    <w:rsid w:val="005F6095"/>
    <w:rsid w:val="00602C89"/>
    <w:rsid w:val="0062231D"/>
    <w:rsid w:val="0062493C"/>
    <w:rsid w:val="00625890"/>
    <w:rsid w:val="00625B23"/>
    <w:rsid w:val="006277D6"/>
    <w:rsid w:val="00636181"/>
    <w:rsid w:val="006421DB"/>
    <w:rsid w:val="00644B57"/>
    <w:rsid w:val="00661154"/>
    <w:rsid w:val="006676E1"/>
    <w:rsid w:val="00673CAD"/>
    <w:rsid w:val="00674404"/>
    <w:rsid w:val="0069019E"/>
    <w:rsid w:val="0069188F"/>
    <w:rsid w:val="006A702D"/>
    <w:rsid w:val="006B19A4"/>
    <w:rsid w:val="006C23CE"/>
    <w:rsid w:val="006D4F7B"/>
    <w:rsid w:val="006E0D6D"/>
    <w:rsid w:val="006E3E3D"/>
    <w:rsid w:val="006E509B"/>
    <w:rsid w:val="006E73FE"/>
    <w:rsid w:val="00716AA8"/>
    <w:rsid w:val="0072383C"/>
    <w:rsid w:val="007357B0"/>
    <w:rsid w:val="00746E53"/>
    <w:rsid w:val="0075758B"/>
    <w:rsid w:val="0076006C"/>
    <w:rsid w:val="00764EB2"/>
    <w:rsid w:val="007661F9"/>
    <w:rsid w:val="00766F74"/>
    <w:rsid w:val="00767EC0"/>
    <w:rsid w:val="00780836"/>
    <w:rsid w:val="00780BB0"/>
    <w:rsid w:val="00783113"/>
    <w:rsid w:val="007973B5"/>
    <w:rsid w:val="007A28A9"/>
    <w:rsid w:val="007A3BF4"/>
    <w:rsid w:val="007A3F41"/>
    <w:rsid w:val="007B0E49"/>
    <w:rsid w:val="007C1FA5"/>
    <w:rsid w:val="007E24E5"/>
    <w:rsid w:val="007E70AD"/>
    <w:rsid w:val="00806792"/>
    <w:rsid w:val="0080680A"/>
    <w:rsid w:val="0081092C"/>
    <w:rsid w:val="00811DCD"/>
    <w:rsid w:val="0082492A"/>
    <w:rsid w:val="00825C7B"/>
    <w:rsid w:val="00840AF0"/>
    <w:rsid w:val="00854576"/>
    <w:rsid w:val="008822F8"/>
    <w:rsid w:val="008B25DB"/>
    <w:rsid w:val="008D30D8"/>
    <w:rsid w:val="008D33E6"/>
    <w:rsid w:val="008E3B5A"/>
    <w:rsid w:val="008E4613"/>
    <w:rsid w:val="00902EE2"/>
    <w:rsid w:val="009352AB"/>
    <w:rsid w:val="009354F6"/>
    <w:rsid w:val="009417D9"/>
    <w:rsid w:val="009436DC"/>
    <w:rsid w:val="00947E21"/>
    <w:rsid w:val="009707C2"/>
    <w:rsid w:val="00977739"/>
    <w:rsid w:val="00996042"/>
    <w:rsid w:val="009965A8"/>
    <w:rsid w:val="00997D48"/>
    <w:rsid w:val="009A684F"/>
    <w:rsid w:val="009B318F"/>
    <w:rsid w:val="009C0835"/>
    <w:rsid w:val="009C318B"/>
    <w:rsid w:val="009C500F"/>
    <w:rsid w:val="009C677A"/>
    <w:rsid w:val="009D4C6F"/>
    <w:rsid w:val="00A02E0C"/>
    <w:rsid w:val="00A13716"/>
    <w:rsid w:val="00A205CB"/>
    <w:rsid w:val="00A339D4"/>
    <w:rsid w:val="00A37DE8"/>
    <w:rsid w:val="00A43687"/>
    <w:rsid w:val="00A459F5"/>
    <w:rsid w:val="00A5458B"/>
    <w:rsid w:val="00A80AFD"/>
    <w:rsid w:val="00A85F0E"/>
    <w:rsid w:val="00A9092A"/>
    <w:rsid w:val="00A96C77"/>
    <w:rsid w:val="00A9735B"/>
    <w:rsid w:val="00AA206F"/>
    <w:rsid w:val="00AB0B34"/>
    <w:rsid w:val="00AB6548"/>
    <w:rsid w:val="00AC6B6D"/>
    <w:rsid w:val="00AC6CBE"/>
    <w:rsid w:val="00AD4053"/>
    <w:rsid w:val="00AD4320"/>
    <w:rsid w:val="00AF06E5"/>
    <w:rsid w:val="00AF26A2"/>
    <w:rsid w:val="00AF650C"/>
    <w:rsid w:val="00B00BB5"/>
    <w:rsid w:val="00B13207"/>
    <w:rsid w:val="00B141A0"/>
    <w:rsid w:val="00B243E5"/>
    <w:rsid w:val="00B34312"/>
    <w:rsid w:val="00B90021"/>
    <w:rsid w:val="00B9690F"/>
    <w:rsid w:val="00BA6780"/>
    <w:rsid w:val="00BB3C4A"/>
    <w:rsid w:val="00BB576B"/>
    <w:rsid w:val="00BB73C4"/>
    <w:rsid w:val="00BD54E2"/>
    <w:rsid w:val="00BE5F1A"/>
    <w:rsid w:val="00BF1493"/>
    <w:rsid w:val="00BF2944"/>
    <w:rsid w:val="00C00145"/>
    <w:rsid w:val="00C126BD"/>
    <w:rsid w:val="00C232D1"/>
    <w:rsid w:val="00C23404"/>
    <w:rsid w:val="00C23EB9"/>
    <w:rsid w:val="00C2539B"/>
    <w:rsid w:val="00C2791C"/>
    <w:rsid w:val="00C33001"/>
    <w:rsid w:val="00C461B9"/>
    <w:rsid w:val="00C468CE"/>
    <w:rsid w:val="00C46F33"/>
    <w:rsid w:val="00C55592"/>
    <w:rsid w:val="00C7386D"/>
    <w:rsid w:val="00CA47B2"/>
    <w:rsid w:val="00CD1751"/>
    <w:rsid w:val="00CE4990"/>
    <w:rsid w:val="00D05461"/>
    <w:rsid w:val="00D14710"/>
    <w:rsid w:val="00D171FE"/>
    <w:rsid w:val="00D1777B"/>
    <w:rsid w:val="00D20C97"/>
    <w:rsid w:val="00D2776F"/>
    <w:rsid w:val="00D3348D"/>
    <w:rsid w:val="00D46984"/>
    <w:rsid w:val="00D64B28"/>
    <w:rsid w:val="00D65531"/>
    <w:rsid w:val="00D74078"/>
    <w:rsid w:val="00D814FC"/>
    <w:rsid w:val="00D92129"/>
    <w:rsid w:val="00DA55BB"/>
    <w:rsid w:val="00DA6753"/>
    <w:rsid w:val="00DA781B"/>
    <w:rsid w:val="00DB2B4E"/>
    <w:rsid w:val="00DB5A12"/>
    <w:rsid w:val="00DC493C"/>
    <w:rsid w:val="00DC6888"/>
    <w:rsid w:val="00DD5BB8"/>
    <w:rsid w:val="00DE2D86"/>
    <w:rsid w:val="00DE3709"/>
    <w:rsid w:val="00DF2272"/>
    <w:rsid w:val="00DF6373"/>
    <w:rsid w:val="00E265D3"/>
    <w:rsid w:val="00E40297"/>
    <w:rsid w:val="00E41EF1"/>
    <w:rsid w:val="00E45A38"/>
    <w:rsid w:val="00E53046"/>
    <w:rsid w:val="00E534D2"/>
    <w:rsid w:val="00E57811"/>
    <w:rsid w:val="00E61469"/>
    <w:rsid w:val="00E676E9"/>
    <w:rsid w:val="00E70D53"/>
    <w:rsid w:val="00E74391"/>
    <w:rsid w:val="00E77448"/>
    <w:rsid w:val="00EA71A6"/>
    <w:rsid w:val="00EC3F06"/>
    <w:rsid w:val="00EC7B50"/>
    <w:rsid w:val="00ED79C1"/>
    <w:rsid w:val="00EE184B"/>
    <w:rsid w:val="00EE2BD7"/>
    <w:rsid w:val="00F05E4C"/>
    <w:rsid w:val="00F35123"/>
    <w:rsid w:val="00F4216F"/>
    <w:rsid w:val="00F43683"/>
    <w:rsid w:val="00F502DB"/>
    <w:rsid w:val="00F52AA0"/>
    <w:rsid w:val="00F629FF"/>
    <w:rsid w:val="00F77F81"/>
    <w:rsid w:val="00F83A1C"/>
    <w:rsid w:val="00F914AF"/>
    <w:rsid w:val="00F921F5"/>
    <w:rsid w:val="00F96A39"/>
    <w:rsid w:val="00FA611F"/>
    <w:rsid w:val="00FC1878"/>
    <w:rsid w:val="00FC7551"/>
    <w:rsid w:val="00FD72D0"/>
    <w:rsid w:val="00FE0548"/>
    <w:rsid w:val="00FE28C5"/>
    <w:rsid w:val="00FE2EFF"/>
    <w:rsid w:val="00FE4F19"/>
    <w:rsid w:val="00FF03B2"/>
    <w:rsid w:val="00FF6B5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3B6121-42DA-46A0-9C08-1D43394C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753"/>
    <w:pPr>
      <w:spacing w:after="0" w:line="240" w:lineRule="auto"/>
    </w:pPr>
    <w:rPr>
      <w:rFonts w:asciiTheme="majorBidi" w:hAnsi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head2">
    <w:name w:val="Letterhead 2"/>
    <w:basedOn w:val="Normal"/>
    <w:link w:val="Letterhead2Char"/>
    <w:qFormat/>
    <w:rsid w:val="0082492A"/>
    <w:pPr>
      <w:spacing w:line="300" w:lineRule="atLeast"/>
      <w:jc w:val="center"/>
    </w:pPr>
    <w:rPr>
      <w:rFonts w:ascii="Times New Roman" w:eastAsia="Times New Roman" w:hAnsi="Times New Roman" w:cs="Times New Roman"/>
      <w:sz w:val="26"/>
      <w:szCs w:val="26"/>
    </w:rPr>
  </w:style>
  <w:style w:type="character" w:customStyle="1" w:styleId="Letterhead2Char">
    <w:name w:val="Letterhead 2 Char"/>
    <w:basedOn w:val="DefaultParagraphFont"/>
    <w:link w:val="Letterhead2"/>
    <w:rsid w:val="0082492A"/>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55027-1709-41CD-98C8-919DC4016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1303</Words>
  <Characters>6620</Characters>
  <Application>Microsoft Office Word</Application>
  <DocSecurity>4</DocSecurity>
  <Lines>103</Lines>
  <Paragraphs>26</Paragraphs>
  <ScaleCrop>false</ScaleCrop>
  <HeadingPairs>
    <vt:vector size="2" baseType="variant">
      <vt:variant>
        <vt:lpstr>Title</vt:lpstr>
      </vt:variant>
      <vt:variant>
        <vt:i4>1</vt:i4>
      </vt:variant>
    </vt:vector>
  </HeadingPairs>
  <TitlesOfParts>
    <vt:vector size="1" baseType="lpstr">
      <vt:lpstr/>
    </vt:vector>
  </TitlesOfParts>
  <Company>BOI</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יהודה פאש</dc:creator>
  <cp:keywords/>
  <dc:description/>
  <cp:lastModifiedBy>רוסול דכוור</cp:lastModifiedBy>
  <cp:revision>2</cp:revision>
  <dcterms:created xsi:type="dcterms:W3CDTF">2026-01-19T12:34:00Z</dcterms:created>
  <dcterms:modified xsi:type="dcterms:W3CDTF">2026-01-19T12:34:00Z</dcterms:modified>
</cp:coreProperties>
</file>