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273"/>
        <w:bidiVisual/>
        <w:tblW w:w="8520" w:type="dxa"/>
        <w:tblLayout w:type="fixed"/>
        <w:tblLook w:val="0000" w:firstRow="0" w:lastRow="0" w:firstColumn="0" w:lastColumn="0" w:noHBand="0" w:noVBand="0"/>
        <w:tblCaption w:val="כותרת עליונה"/>
        <w:tblDescription w:val="כותרת עליונה"/>
      </w:tblPr>
      <w:tblGrid>
        <w:gridCol w:w="2840"/>
        <w:gridCol w:w="2596"/>
        <w:gridCol w:w="3084"/>
      </w:tblGrid>
      <w:tr w:rsidR="00EC224D" w:rsidRPr="007E1EC5" w:rsidTr="00A7604D">
        <w:trPr>
          <w:tblHeader/>
        </w:trPr>
        <w:tc>
          <w:tcPr>
            <w:tcW w:w="2840" w:type="dxa"/>
            <w:tcBorders>
              <w:top w:val="nil"/>
              <w:left w:val="nil"/>
              <w:bottom w:val="nil"/>
              <w:right w:val="nil"/>
            </w:tcBorders>
            <w:vAlign w:val="center"/>
          </w:tcPr>
          <w:p w:rsidR="00EC224D" w:rsidRPr="007E1EC5" w:rsidRDefault="00EC224D" w:rsidP="00A7604D">
            <w:pPr>
              <w:tabs>
                <w:tab w:val="left" w:pos="567"/>
                <w:tab w:val="left" w:pos="1134"/>
                <w:tab w:val="left" w:pos="1814"/>
                <w:tab w:val="left" w:pos="2665"/>
              </w:tabs>
              <w:spacing w:after="0" w:line="360" w:lineRule="auto"/>
              <w:jc w:val="center"/>
              <w:rPr>
                <w:rFonts w:eastAsia="Times New Roman" w:cstheme="minorHAnsi"/>
                <w:b/>
                <w:bCs/>
                <w:sz w:val="28"/>
                <w:szCs w:val="28"/>
              </w:rPr>
            </w:pPr>
            <w:r w:rsidRPr="007E1EC5">
              <w:rPr>
                <w:rFonts w:eastAsia="Times New Roman" w:cstheme="minorHAnsi"/>
                <w:b/>
                <w:bCs/>
                <w:sz w:val="28"/>
                <w:szCs w:val="28"/>
                <w:rtl/>
              </w:rPr>
              <w:t>בנק ישראל</w:t>
            </w:r>
          </w:p>
          <w:p w:rsidR="00EC224D" w:rsidRPr="007E1EC5" w:rsidRDefault="00EC224D" w:rsidP="00A7604D">
            <w:pPr>
              <w:tabs>
                <w:tab w:val="left" w:pos="567"/>
                <w:tab w:val="left" w:pos="1134"/>
                <w:tab w:val="left" w:pos="1814"/>
                <w:tab w:val="left" w:pos="2665"/>
              </w:tabs>
              <w:spacing w:after="0" w:line="360" w:lineRule="auto"/>
              <w:ind w:right="-99"/>
              <w:jc w:val="center"/>
              <w:rPr>
                <w:rFonts w:eastAsia="Times New Roman" w:cstheme="minorHAnsi"/>
                <w:sz w:val="24"/>
                <w:szCs w:val="24"/>
              </w:rPr>
            </w:pPr>
            <w:r w:rsidRPr="007E1EC5">
              <w:rPr>
                <w:rFonts w:eastAsia="Times New Roman" w:cstheme="minorHAnsi"/>
                <w:sz w:val="24"/>
                <w:szCs w:val="24"/>
                <w:rtl/>
              </w:rPr>
              <w:t>דוברות והסברה כלכלית</w:t>
            </w:r>
          </w:p>
        </w:tc>
        <w:tc>
          <w:tcPr>
            <w:tcW w:w="2596" w:type="dxa"/>
            <w:tcBorders>
              <w:top w:val="nil"/>
              <w:left w:val="nil"/>
              <w:bottom w:val="nil"/>
              <w:right w:val="nil"/>
            </w:tcBorders>
          </w:tcPr>
          <w:p w:rsidR="00EC224D" w:rsidRPr="007E1EC5" w:rsidRDefault="00EC224D" w:rsidP="00A7604D">
            <w:pPr>
              <w:tabs>
                <w:tab w:val="left" w:pos="567"/>
                <w:tab w:val="left" w:pos="1134"/>
                <w:tab w:val="left" w:pos="1814"/>
                <w:tab w:val="left" w:pos="2665"/>
              </w:tabs>
              <w:spacing w:after="0" w:line="360" w:lineRule="auto"/>
              <w:jc w:val="center"/>
              <w:rPr>
                <w:rFonts w:eastAsia="Times New Roman" w:cstheme="minorHAnsi"/>
                <w:sz w:val="24"/>
                <w:szCs w:val="24"/>
              </w:rPr>
            </w:pPr>
            <w:r w:rsidRPr="007E1EC5">
              <w:rPr>
                <w:rFonts w:eastAsia="Times New Roman" w:cstheme="minorHAnsi"/>
                <w:noProof/>
                <w:sz w:val="24"/>
                <w:szCs w:val="24"/>
              </w:rPr>
              <w:drawing>
                <wp:inline distT="0" distB="0" distL="0" distR="0" wp14:anchorId="144C5694" wp14:editId="4FA22815">
                  <wp:extent cx="914400" cy="914400"/>
                  <wp:effectExtent l="0" t="0" r="0" b="0"/>
                  <wp:docPr id="10"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inline>
              </w:drawing>
            </w:r>
          </w:p>
        </w:tc>
        <w:tc>
          <w:tcPr>
            <w:tcW w:w="3084" w:type="dxa"/>
            <w:tcBorders>
              <w:top w:val="nil"/>
              <w:left w:val="nil"/>
              <w:bottom w:val="nil"/>
              <w:right w:val="nil"/>
            </w:tcBorders>
            <w:vAlign w:val="center"/>
          </w:tcPr>
          <w:p w:rsidR="00EC224D" w:rsidRPr="007E1EC5" w:rsidRDefault="00EC224D" w:rsidP="00EC224D">
            <w:pPr>
              <w:tabs>
                <w:tab w:val="left" w:pos="567"/>
                <w:tab w:val="left" w:pos="1134"/>
                <w:tab w:val="left" w:pos="1814"/>
                <w:tab w:val="left" w:pos="2665"/>
              </w:tabs>
              <w:spacing w:after="0" w:line="480" w:lineRule="auto"/>
              <w:jc w:val="right"/>
              <w:rPr>
                <w:rFonts w:eastAsia="Times New Roman" w:cstheme="minorHAnsi"/>
                <w:sz w:val="24"/>
                <w:szCs w:val="24"/>
              </w:rPr>
            </w:pPr>
            <w:r w:rsidRPr="007E1EC5">
              <w:rPr>
                <w:rFonts w:eastAsia="Times New Roman" w:cstheme="minorHAnsi"/>
                <w:sz w:val="24"/>
                <w:szCs w:val="24"/>
                <w:rtl/>
              </w:rPr>
              <w:t xml:space="preserve">‏ ירושלים, </w:t>
            </w:r>
            <w:r w:rsidRPr="007E1EC5">
              <w:rPr>
                <w:rFonts w:eastAsia="Times New Roman" w:cstheme="minorHAnsi"/>
                <w:sz w:val="24"/>
                <w:szCs w:val="24"/>
                <w:rtl/>
              </w:rPr>
              <w:t>כ"ט</w:t>
            </w:r>
            <w:r w:rsidRPr="007E1EC5">
              <w:rPr>
                <w:rFonts w:eastAsia="Times New Roman" w:cstheme="minorHAnsi"/>
                <w:sz w:val="24"/>
                <w:szCs w:val="24"/>
                <w:rtl/>
              </w:rPr>
              <w:t xml:space="preserve"> בתמוז, תשפ"ו</w:t>
            </w:r>
          </w:p>
          <w:p w:rsidR="00EC224D" w:rsidRPr="007E1EC5" w:rsidRDefault="00EC224D" w:rsidP="00EC224D">
            <w:pPr>
              <w:tabs>
                <w:tab w:val="left" w:pos="567"/>
                <w:tab w:val="left" w:pos="1134"/>
                <w:tab w:val="left" w:pos="1814"/>
                <w:tab w:val="left" w:pos="2665"/>
              </w:tabs>
              <w:spacing w:after="0" w:line="480" w:lineRule="auto"/>
              <w:jc w:val="right"/>
              <w:rPr>
                <w:rFonts w:eastAsia="Times New Roman" w:cstheme="minorHAnsi"/>
                <w:sz w:val="24"/>
                <w:szCs w:val="24"/>
              </w:rPr>
            </w:pPr>
            <w:r w:rsidRPr="007E1EC5">
              <w:rPr>
                <w:rFonts w:eastAsia="Times New Roman" w:cstheme="minorHAnsi"/>
                <w:sz w:val="24"/>
                <w:szCs w:val="24"/>
                <w:rtl/>
              </w:rPr>
              <w:t>‏‏</w:t>
            </w:r>
            <w:r w:rsidRPr="007E1EC5">
              <w:rPr>
                <w:rFonts w:eastAsia="Times New Roman" w:cstheme="minorHAnsi"/>
                <w:sz w:val="24"/>
                <w:szCs w:val="24"/>
                <w:rtl/>
              </w:rPr>
              <w:t>14</w:t>
            </w:r>
            <w:r w:rsidRPr="007E1EC5">
              <w:rPr>
                <w:rFonts w:eastAsia="Times New Roman" w:cstheme="minorHAnsi"/>
                <w:sz w:val="24"/>
                <w:szCs w:val="24"/>
                <w:rtl/>
              </w:rPr>
              <w:t xml:space="preserve"> </w:t>
            </w:r>
            <w:r w:rsidRPr="007E1EC5">
              <w:rPr>
                <w:rFonts w:eastAsia="Times New Roman" w:cstheme="minorHAnsi"/>
                <w:sz w:val="24"/>
                <w:szCs w:val="24"/>
                <w:rtl/>
              </w:rPr>
              <w:t>יולי</w:t>
            </w:r>
            <w:r w:rsidRPr="007E1EC5">
              <w:rPr>
                <w:rFonts w:eastAsia="Times New Roman" w:cstheme="minorHAnsi"/>
                <w:sz w:val="24"/>
                <w:szCs w:val="24"/>
                <w:rtl/>
              </w:rPr>
              <w:t xml:space="preserve"> 2026</w:t>
            </w:r>
          </w:p>
        </w:tc>
      </w:tr>
    </w:tbl>
    <w:p w:rsidR="00EC224D" w:rsidRPr="00161D41" w:rsidRDefault="00161D41" w:rsidP="00161D41">
      <w:pPr>
        <w:spacing w:before="240" w:line="360" w:lineRule="auto"/>
        <w:rPr>
          <w:rFonts w:cstheme="minorHAnsi"/>
          <w:sz w:val="24"/>
          <w:szCs w:val="24"/>
          <w:rtl/>
        </w:rPr>
      </w:pPr>
      <w:bookmarkStart w:id="0" w:name="_GoBack"/>
      <w:r w:rsidRPr="00161D41">
        <w:rPr>
          <w:rFonts w:cstheme="minorHAnsi" w:hint="cs"/>
          <w:sz w:val="24"/>
          <w:szCs w:val="24"/>
          <w:rtl/>
        </w:rPr>
        <w:t>הודעה לעיתונות:</w:t>
      </w:r>
    </w:p>
    <w:bookmarkEnd w:id="0"/>
    <w:p w:rsidR="006C3E39" w:rsidRPr="007E1EC5" w:rsidRDefault="006C3E39" w:rsidP="00B237DC">
      <w:pPr>
        <w:spacing w:before="240" w:line="360" w:lineRule="auto"/>
        <w:jc w:val="center"/>
        <w:rPr>
          <w:rFonts w:cstheme="minorHAnsi"/>
          <w:b/>
          <w:bCs/>
          <w:sz w:val="24"/>
          <w:szCs w:val="24"/>
          <w:rtl/>
        </w:rPr>
      </w:pPr>
      <w:r w:rsidRPr="007E1EC5">
        <w:rPr>
          <w:rFonts w:cstheme="minorHAnsi"/>
          <w:b/>
          <w:bCs/>
          <w:sz w:val="24"/>
          <w:szCs w:val="24"/>
          <w:rtl/>
        </w:rPr>
        <w:t xml:space="preserve">הפיקוח על הבנקים מפרסם להערות הציבור טיוטת </w:t>
      </w:r>
      <w:r w:rsidR="0020640C" w:rsidRPr="007E1EC5">
        <w:rPr>
          <w:rFonts w:cstheme="minorHAnsi"/>
          <w:b/>
          <w:bCs/>
          <w:sz w:val="24"/>
          <w:szCs w:val="24"/>
          <w:rtl/>
        </w:rPr>
        <w:t>עדכון לאסדרה בתחום ניהול סיכון איסור הלבנת הון ואיסור מימון טרור הנובע ממתן שירותי תשלום אגב פעילות לקוחות במטבעות וירטואליים</w:t>
      </w:r>
    </w:p>
    <w:p w:rsidR="0020640C" w:rsidRPr="007E1EC5" w:rsidRDefault="0020640C" w:rsidP="00DE1877">
      <w:pPr>
        <w:tabs>
          <w:tab w:val="left" w:pos="515"/>
          <w:tab w:val="left" w:pos="593"/>
          <w:tab w:val="left" w:pos="735"/>
          <w:tab w:val="left" w:pos="1814"/>
          <w:tab w:val="left" w:pos="2665"/>
        </w:tabs>
        <w:spacing w:before="240" w:after="120" w:line="360" w:lineRule="auto"/>
        <w:jc w:val="both"/>
        <w:rPr>
          <w:rFonts w:cstheme="minorHAnsi"/>
          <w:sz w:val="24"/>
          <w:szCs w:val="24"/>
        </w:rPr>
      </w:pPr>
      <w:r w:rsidRPr="007E1EC5">
        <w:rPr>
          <w:rFonts w:eastAsia="Calibri" w:cstheme="minorHAnsi"/>
          <w:kern w:val="28"/>
          <w:szCs w:val="24"/>
          <w:rtl/>
        </w:rPr>
        <w:t xml:space="preserve">הפיקוח על הבנקים רואה חשיבות בפיתוח מתן שירותי תשלום לצורך פעילות בנכסים וירטואליים, לצד שמירה על יציבות המערכת הפיננסית. </w:t>
      </w:r>
      <w:r w:rsidRPr="007E1EC5">
        <w:rPr>
          <w:rFonts w:cstheme="minorHAnsi"/>
          <w:sz w:val="24"/>
          <w:szCs w:val="24"/>
          <w:rtl/>
        </w:rPr>
        <w:t xml:space="preserve">בשנתיים האחרונות נקט הפיקוח על הבנקים שורה של צעדים שמטרתם לעקוב אחר יישום צעדי האסדרה וזיהוי חסמים במתן שירותי התשלום אגב פעילות במטבע וירטואלי. בין צעדים אלו </w:t>
      </w:r>
      <w:r w:rsidR="004D24C4" w:rsidRPr="007E1EC5">
        <w:rPr>
          <w:rFonts w:cstheme="minorHAnsi"/>
          <w:sz w:val="24"/>
          <w:szCs w:val="24"/>
          <w:rtl/>
        </w:rPr>
        <w:t xml:space="preserve">ניתן </w:t>
      </w:r>
      <w:r w:rsidRPr="007E1EC5">
        <w:rPr>
          <w:rFonts w:cstheme="minorHAnsi"/>
          <w:sz w:val="24"/>
          <w:szCs w:val="24"/>
          <w:rtl/>
        </w:rPr>
        <w:t xml:space="preserve">למנות: </w:t>
      </w:r>
      <w:r w:rsidR="004D24C4" w:rsidRPr="007E1EC5">
        <w:rPr>
          <w:rFonts w:cstheme="minorHAnsi"/>
          <w:sz w:val="24"/>
          <w:szCs w:val="24"/>
          <w:rtl/>
        </w:rPr>
        <w:t xml:space="preserve">טיפול בפניות ציבור פרטניות, פגישות עם חברות העוסקות בתחום </w:t>
      </w:r>
      <w:proofErr w:type="spellStart"/>
      <w:r w:rsidR="004D24C4" w:rsidRPr="007E1EC5">
        <w:rPr>
          <w:rFonts w:cstheme="minorHAnsi"/>
          <w:sz w:val="24"/>
          <w:szCs w:val="24"/>
          <w:rtl/>
        </w:rPr>
        <w:t>הקריפטו</w:t>
      </w:r>
      <w:proofErr w:type="spellEnd"/>
      <w:r w:rsidR="004D24C4" w:rsidRPr="007E1EC5">
        <w:rPr>
          <w:rFonts w:cstheme="minorHAnsi"/>
          <w:sz w:val="24"/>
          <w:szCs w:val="24"/>
          <w:rtl/>
        </w:rPr>
        <w:t xml:space="preserve">, </w:t>
      </w:r>
      <w:r w:rsidRPr="007E1EC5">
        <w:rPr>
          <w:rFonts w:cstheme="minorHAnsi"/>
          <w:sz w:val="24"/>
          <w:szCs w:val="24"/>
          <w:rtl/>
        </w:rPr>
        <w:t xml:space="preserve">בקרות בנושא וכן איסוף נתונים אודות היקף שירותי התשלום אגב פעילות במטבע וירטואלי במערכת הבנקאית. כמו כן, </w:t>
      </w:r>
      <w:r w:rsidR="004D24C4" w:rsidRPr="007E1EC5">
        <w:rPr>
          <w:rFonts w:cstheme="minorHAnsi"/>
          <w:sz w:val="24"/>
          <w:szCs w:val="24"/>
          <w:rtl/>
        </w:rPr>
        <w:t xml:space="preserve">הפיקוח על הבנקים בוחן בשיתוף עם בעלי העניין, </w:t>
      </w:r>
      <w:r w:rsidRPr="007E1EC5">
        <w:rPr>
          <w:rFonts w:cstheme="minorHAnsi"/>
          <w:sz w:val="24"/>
          <w:szCs w:val="24"/>
          <w:rtl/>
        </w:rPr>
        <w:t>חסמים שהוצגו מצד</w:t>
      </w:r>
      <w:r w:rsidR="004D24C4" w:rsidRPr="007E1EC5">
        <w:rPr>
          <w:rFonts w:cstheme="minorHAnsi"/>
          <w:sz w:val="24"/>
          <w:szCs w:val="24"/>
          <w:rtl/>
        </w:rPr>
        <w:t>ם</w:t>
      </w:r>
      <w:r w:rsidRPr="007E1EC5">
        <w:rPr>
          <w:rFonts w:cstheme="minorHAnsi"/>
          <w:sz w:val="24"/>
          <w:szCs w:val="24"/>
          <w:rtl/>
        </w:rPr>
        <w:t xml:space="preserve"> בכל הנוגע לפעילות מול המערכת הבנקאית, </w:t>
      </w:r>
      <w:r w:rsidR="00DE1877" w:rsidRPr="007E1EC5">
        <w:rPr>
          <w:rFonts w:cstheme="minorHAnsi"/>
          <w:sz w:val="24"/>
          <w:szCs w:val="24"/>
          <w:rtl/>
        </w:rPr>
        <w:t xml:space="preserve">ואת </w:t>
      </w:r>
      <w:r w:rsidRPr="007E1EC5">
        <w:rPr>
          <w:rFonts w:cstheme="minorHAnsi"/>
          <w:sz w:val="24"/>
          <w:szCs w:val="24"/>
          <w:rtl/>
        </w:rPr>
        <w:t xml:space="preserve">האתגרים שעימם </w:t>
      </w:r>
      <w:r w:rsidR="00DE1877" w:rsidRPr="007E1EC5">
        <w:rPr>
          <w:rFonts w:cstheme="minorHAnsi"/>
          <w:sz w:val="24"/>
          <w:szCs w:val="24"/>
          <w:rtl/>
        </w:rPr>
        <w:t xml:space="preserve">מתמודדת </w:t>
      </w:r>
      <w:r w:rsidRPr="007E1EC5">
        <w:rPr>
          <w:rFonts w:cstheme="minorHAnsi"/>
          <w:sz w:val="24"/>
          <w:szCs w:val="24"/>
          <w:rtl/>
        </w:rPr>
        <w:t>מערכת הבנקאות ב</w:t>
      </w:r>
      <w:r w:rsidR="00DE1877" w:rsidRPr="007E1EC5">
        <w:rPr>
          <w:rFonts w:cstheme="minorHAnsi"/>
          <w:sz w:val="24"/>
          <w:szCs w:val="24"/>
          <w:rtl/>
        </w:rPr>
        <w:t>נושא זה</w:t>
      </w:r>
      <w:r w:rsidRPr="007E1EC5">
        <w:rPr>
          <w:rFonts w:eastAsia="Calibri" w:cstheme="minorHAnsi"/>
          <w:kern w:val="28"/>
          <w:szCs w:val="24"/>
          <w:rtl/>
        </w:rPr>
        <w:t>.</w:t>
      </w:r>
    </w:p>
    <w:p w:rsidR="0020640C" w:rsidRPr="007E1EC5" w:rsidRDefault="0020640C" w:rsidP="00B237DC">
      <w:pPr>
        <w:tabs>
          <w:tab w:val="left" w:pos="515"/>
          <w:tab w:val="left" w:pos="593"/>
          <w:tab w:val="left" w:pos="735"/>
          <w:tab w:val="left" w:pos="1814"/>
          <w:tab w:val="left" w:pos="2665"/>
        </w:tabs>
        <w:spacing w:before="240" w:after="120" w:line="360" w:lineRule="auto"/>
        <w:jc w:val="both"/>
        <w:rPr>
          <w:rFonts w:cstheme="minorHAnsi"/>
          <w:sz w:val="24"/>
          <w:szCs w:val="24"/>
        </w:rPr>
      </w:pPr>
      <w:r w:rsidRPr="007E1EC5">
        <w:rPr>
          <w:rFonts w:cstheme="minorHAnsi"/>
          <w:sz w:val="24"/>
          <w:szCs w:val="24"/>
          <w:rtl/>
        </w:rPr>
        <w:t xml:space="preserve">במסגרת עשייה זו, הפיקוח על הבנקים בחן את הצורך בעדכון האסדרה בתחום זה, אשר פורסמה במאי 2022, </w:t>
      </w:r>
      <w:r w:rsidR="00B1134E" w:rsidRPr="007E1EC5">
        <w:rPr>
          <w:rFonts w:cstheme="minorHAnsi"/>
          <w:sz w:val="24"/>
          <w:szCs w:val="24"/>
          <w:rtl/>
        </w:rPr>
        <w:t xml:space="preserve">ומצא לנכון לעדכן את סעיף 87א' בהוראת ניהול בנקאי תקין מס' 411, העוסק במתן שירותי תשלום אגב פעילות במטבעות וירטואליים, </w:t>
      </w:r>
      <w:r w:rsidRPr="007E1EC5">
        <w:rPr>
          <w:rFonts w:cstheme="minorHAnsi"/>
          <w:sz w:val="24"/>
          <w:szCs w:val="24"/>
          <w:rtl/>
        </w:rPr>
        <w:t xml:space="preserve">באופן שיחדד את הנדרש מהמערכת הבנקאית בכל הקשור לקבלת הכספים שמקורה בפעילות זו, כדי לתמוך בהרחבת שירותי התשלום בנוגע לפעילות במטבע וירטואלי. כל זאת בגישה מבוססת סיכון ובהתבסס על הניסיון והידע שנצבר בתקופה זו, הן במערכת הבנקאית והן בפיקוח על הבנקים, וכן בהתבסס על האסדרה </w:t>
      </w:r>
      <w:proofErr w:type="spellStart"/>
      <w:r w:rsidRPr="007E1EC5">
        <w:rPr>
          <w:rFonts w:cstheme="minorHAnsi"/>
          <w:sz w:val="24"/>
          <w:szCs w:val="24"/>
          <w:rtl/>
        </w:rPr>
        <w:t>הבין־לאומית</w:t>
      </w:r>
      <w:proofErr w:type="spellEnd"/>
      <w:r w:rsidRPr="007E1EC5">
        <w:rPr>
          <w:rFonts w:cstheme="minorHAnsi"/>
          <w:sz w:val="24"/>
          <w:szCs w:val="24"/>
          <w:rtl/>
        </w:rPr>
        <w:t xml:space="preserve"> בתחום. </w:t>
      </w:r>
    </w:p>
    <w:p w:rsidR="00A57BC0" w:rsidRPr="007E1EC5" w:rsidRDefault="00A57BC0" w:rsidP="00A57BC0">
      <w:pPr>
        <w:spacing w:before="240" w:line="360" w:lineRule="auto"/>
        <w:jc w:val="both"/>
        <w:rPr>
          <w:rFonts w:cstheme="minorHAnsi"/>
          <w:sz w:val="24"/>
          <w:szCs w:val="24"/>
        </w:rPr>
      </w:pPr>
      <w:r w:rsidRPr="007E1EC5">
        <w:rPr>
          <w:rFonts w:cstheme="minorHAnsi"/>
          <w:sz w:val="24"/>
          <w:szCs w:val="24"/>
          <w:rtl/>
        </w:rPr>
        <w:t>טיוטת האסדרה המוצעת הופצה היום להערות הציבור.</w:t>
      </w:r>
    </w:p>
    <w:p w:rsidR="006C3E39" w:rsidRPr="007E1EC5" w:rsidRDefault="006C3E39" w:rsidP="00B237DC">
      <w:pPr>
        <w:spacing w:before="240" w:line="360" w:lineRule="auto"/>
        <w:jc w:val="both"/>
        <w:rPr>
          <w:rFonts w:cstheme="minorHAnsi"/>
          <w:sz w:val="24"/>
          <w:szCs w:val="24"/>
        </w:rPr>
      </w:pPr>
    </w:p>
    <w:sectPr w:rsidR="006C3E39" w:rsidRPr="007E1EC5" w:rsidSect="00B229C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642629"/>
    <w:multiLevelType w:val="multilevel"/>
    <w:tmpl w:val="89BC6928"/>
    <w:lvl w:ilvl="0">
      <w:start w:val="1"/>
      <w:numFmt w:val="decimal"/>
      <w:lvlText w:val="%1."/>
      <w:lvlJc w:val="left"/>
      <w:pPr>
        <w:ind w:left="870" w:hanging="360"/>
      </w:pPr>
    </w:lvl>
    <w:lvl w:ilvl="1">
      <w:start w:val="1"/>
      <w:numFmt w:val="decimal"/>
      <w:lvlText w:val="%1.%2."/>
      <w:lvlJc w:val="left"/>
      <w:pPr>
        <w:ind w:left="1302" w:hanging="432"/>
      </w:pPr>
      <w:rPr>
        <w:rFonts w:hint="default"/>
        <w:b w:val="0"/>
        <w:bCs w:val="0"/>
      </w:rPr>
    </w:lvl>
    <w:lvl w:ilvl="2">
      <w:start w:val="1"/>
      <w:numFmt w:val="decimal"/>
      <w:lvlText w:val="%1.%2.%3."/>
      <w:lvlJc w:val="left"/>
      <w:pPr>
        <w:ind w:left="504" w:hanging="504"/>
      </w:pPr>
    </w:lvl>
    <w:lvl w:ilvl="3">
      <w:start w:val="1"/>
      <w:numFmt w:val="decimal"/>
      <w:lvlText w:val="%1.%2.%3.%4."/>
      <w:lvlJc w:val="left"/>
      <w:pPr>
        <w:ind w:left="2238" w:hanging="648"/>
      </w:pPr>
    </w:lvl>
    <w:lvl w:ilvl="4">
      <w:start w:val="1"/>
      <w:numFmt w:val="decimal"/>
      <w:lvlText w:val="%1.%2.%3.%4.%5."/>
      <w:lvlJc w:val="left"/>
      <w:pPr>
        <w:ind w:left="2742" w:hanging="792"/>
      </w:pPr>
    </w:lvl>
    <w:lvl w:ilvl="5">
      <w:start w:val="1"/>
      <w:numFmt w:val="decimal"/>
      <w:lvlText w:val="%1.%2.%3.%4.%5.%6."/>
      <w:lvlJc w:val="left"/>
      <w:pPr>
        <w:ind w:left="3246" w:hanging="936"/>
      </w:pPr>
    </w:lvl>
    <w:lvl w:ilvl="6">
      <w:start w:val="1"/>
      <w:numFmt w:val="decimal"/>
      <w:lvlText w:val="%1.%2.%3.%4.%5.%6.%7."/>
      <w:lvlJc w:val="left"/>
      <w:pPr>
        <w:ind w:left="3750" w:hanging="1080"/>
      </w:pPr>
    </w:lvl>
    <w:lvl w:ilvl="7">
      <w:start w:val="1"/>
      <w:numFmt w:val="decimal"/>
      <w:lvlText w:val="%1.%2.%3.%4.%5.%6.%7.%8."/>
      <w:lvlJc w:val="left"/>
      <w:pPr>
        <w:ind w:left="4254" w:hanging="1224"/>
      </w:pPr>
    </w:lvl>
    <w:lvl w:ilvl="8">
      <w:start w:val="1"/>
      <w:numFmt w:val="decimal"/>
      <w:lvlText w:val="%1.%2.%3.%4.%5.%6.%7.%8.%9."/>
      <w:lvlJc w:val="left"/>
      <w:pPr>
        <w:ind w:left="483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E39"/>
    <w:rsid w:val="000151DD"/>
    <w:rsid w:val="00031AF4"/>
    <w:rsid w:val="00070DA7"/>
    <w:rsid w:val="000C1D27"/>
    <w:rsid w:val="000C2018"/>
    <w:rsid w:val="001157B0"/>
    <w:rsid w:val="001253F4"/>
    <w:rsid w:val="00132F63"/>
    <w:rsid w:val="0013404D"/>
    <w:rsid w:val="00137D2A"/>
    <w:rsid w:val="00161D41"/>
    <w:rsid w:val="00176D4A"/>
    <w:rsid w:val="001B20C7"/>
    <w:rsid w:val="001D1579"/>
    <w:rsid w:val="001F0158"/>
    <w:rsid w:val="0020338E"/>
    <w:rsid w:val="0020640C"/>
    <w:rsid w:val="00214075"/>
    <w:rsid w:val="00244773"/>
    <w:rsid w:val="00264810"/>
    <w:rsid w:val="0027696E"/>
    <w:rsid w:val="002A2D40"/>
    <w:rsid w:val="002B21BF"/>
    <w:rsid w:val="002F58D8"/>
    <w:rsid w:val="00372305"/>
    <w:rsid w:val="00373109"/>
    <w:rsid w:val="00384512"/>
    <w:rsid w:val="003869D0"/>
    <w:rsid w:val="00395A73"/>
    <w:rsid w:val="003A7F22"/>
    <w:rsid w:val="003D0D22"/>
    <w:rsid w:val="003E38F6"/>
    <w:rsid w:val="00400EB9"/>
    <w:rsid w:val="0040328C"/>
    <w:rsid w:val="00411E4F"/>
    <w:rsid w:val="0042277E"/>
    <w:rsid w:val="004A488D"/>
    <w:rsid w:val="004C7112"/>
    <w:rsid w:val="004D24C4"/>
    <w:rsid w:val="004D3244"/>
    <w:rsid w:val="004F1909"/>
    <w:rsid w:val="004F20F7"/>
    <w:rsid w:val="0051561B"/>
    <w:rsid w:val="005235F6"/>
    <w:rsid w:val="00553C07"/>
    <w:rsid w:val="00556BAA"/>
    <w:rsid w:val="005827CB"/>
    <w:rsid w:val="005838BA"/>
    <w:rsid w:val="005E0680"/>
    <w:rsid w:val="005E4B99"/>
    <w:rsid w:val="005F135D"/>
    <w:rsid w:val="005F475B"/>
    <w:rsid w:val="00600A20"/>
    <w:rsid w:val="00627E09"/>
    <w:rsid w:val="00636A80"/>
    <w:rsid w:val="0065402E"/>
    <w:rsid w:val="006933AC"/>
    <w:rsid w:val="006A628F"/>
    <w:rsid w:val="006B571C"/>
    <w:rsid w:val="006C3E39"/>
    <w:rsid w:val="006D0B8A"/>
    <w:rsid w:val="00711D21"/>
    <w:rsid w:val="00716AA3"/>
    <w:rsid w:val="00732C7F"/>
    <w:rsid w:val="007614D7"/>
    <w:rsid w:val="00794377"/>
    <w:rsid w:val="007B641D"/>
    <w:rsid w:val="007C2314"/>
    <w:rsid w:val="007E1EC5"/>
    <w:rsid w:val="007E473E"/>
    <w:rsid w:val="007F1979"/>
    <w:rsid w:val="00804759"/>
    <w:rsid w:val="00804960"/>
    <w:rsid w:val="00831647"/>
    <w:rsid w:val="00873B4F"/>
    <w:rsid w:val="00894D79"/>
    <w:rsid w:val="008A419F"/>
    <w:rsid w:val="008B71C5"/>
    <w:rsid w:val="008E69D0"/>
    <w:rsid w:val="008F1E42"/>
    <w:rsid w:val="008F6D69"/>
    <w:rsid w:val="009415F9"/>
    <w:rsid w:val="009640DD"/>
    <w:rsid w:val="00965EDB"/>
    <w:rsid w:val="0099608D"/>
    <w:rsid w:val="009D3694"/>
    <w:rsid w:val="009E7F82"/>
    <w:rsid w:val="00A039F4"/>
    <w:rsid w:val="00A17D83"/>
    <w:rsid w:val="00A25ECA"/>
    <w:rsid w:val="00A57BC0"/>
    <w:rsid w:val="00A73CE2"/>
    <w:rsid w:val="00A75EF4"/>
    <w:rsid w:val="00AC1217"/>
    <w:rsid w:val="00AE0414"/>
    <w:rsid w:val="00AE3D3D"/>
    <w:rsid w:val="00AF70E6"/>
    <w:rsid w:val="00B1134E"/>
    <w:rsid w:val="00B229C2"/>
    <w:rsid w:val="00B237DC"/>
    <w:rsid w:val="00B53A5E"/>
    <w:rsid w:val="00C027B5"/>
    <w:rsid w:val="00C13368"/>
    <w:rsid w:val="00C32B2B"/>
    <w:rsid w:val="00C80ABE"/>
    <w:rsid w:val="00C81521"/>
    <w:rsid w:val="00D437F8"/>
    <w:rsid w:val="00D72B6D"/>
    <w:rsid w:val="00D87382"/>
    <w:rsid w:val="00DD0E40"/>
    <w:rsid w:val="00DE1877"/>
    <w:rsid w:val="00DE2C68"/>
    <w:rsid w:val="00E02AD9"/>
    <w:rsid w:val="00E1653D"/>
    <w:rsid w:val="00E509C0"/>
    <w:rsid w:val="00E654A6"/>
    <w:rsid w:val="00E75188"/>
    <w:rsid w:val="00E81C6E"/>
    <w:rsid w:val="00E866E5"/>
    <w:rsid w:val="00E93A37"/>
    <w:rsid w:val="00EC224D"/>
    <w:rsid w:val="00F1523D"/>
    <w:rsid w:val="00F267DD"/>
    <w:rsid w:val="00F45776"/>
    <w:rsid w:val="00F529AA"/>
    <w:rsid w:val="00F95F0D"/>
    <w:rsid w:val="00F96DE8"/>
    <w:rsid w:val="00FC64F4"/>
    <w:rsid w:val="00FC76F4"/>
    <w:rsid w:val="00FE583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490A5"/>
  <w15:chartTrackingRefBased/>
  <w15:docId w15:val="{CC30CEEB-D72C-4DE0-B258-CF25F3E37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031AF4"/>
    <w:rPr>
      <w:sz w:val="16"/>
      <w:szCs w:val="16"/>
    </w:rPr>
  </w:style>
  <w:style w:type="paragraph" w:styleId="a4">
    <w:name w:val="annotation text"/>
    <w:basedOn w:val="a"/>
    <w:link w:val="a5"/>
    <w:uiPriority w:val="99"/>
    <w:semiHidden/>
    <w:unhideWhenUsed/>
    <w:rsid w:val="00031AF4"/>
    <w:pPr>
      <w:spacing w:line="240" w:lineRule="auto"/>
    </w:pPr>
    <w:rPr>
      <w:sz w:val="20"/>
      <w:szCs w:val="20"/>
    </w:rPr>
  </w:style>
  <w:style w:type="character" w:customStyle="1" w:styleId="a5">
    <w:name w:val="טקסט הערה תו"/>
    <w:basedOn w:val="a0"/>
    <w:link w:val="a4"/>
    <w:uiPriority w:val="99"/>
    <w:semiHidden/>
    <w:rsid w:val="00031AF4"/>
    <w:rPr>
      <w:sz w:val="20"/>
      <w:szCs w:val="20"/>
    </w:rPr>
  </w:style>
  <w:style w:type="paragraph" w:styleId="a6">
    <w:name w:val="annotation subject"/>
    <w:basedOn w:val="a4"/>
    <w:next w:val="a4"/>
    <w:link w:val="a7"/>
    <w:uiPriority w:val="99"/>
    <w:semiHidden/>
    <w:unhideWhenUsed/>
    <w:rsid w:val="00031AF4"/>
    <w:rPr>
      <w:b/>
      <w:bCs/>
    </w:rPr>
  </w:style>
  <w:style w:type="character" w:customStyle="1" w:styleId="a7">
    <w:name w:val="נושא הערה תו"/>
    <w:basedOn w:val="a5"/>
    <w:link w:val="a6"/>
    <w:uiPriority w:val="99"/>
    <w:semiHidden/>
    <w:rsid w:val="00031AF4"/>
    <w:rPr>
      <w:b/>
      <w:bCs/>
      <w:sz w:val="20"/>
      <w:szCs w:val="20"/>
    </w:rPr>
  </w:style>
  <w:style w:type="paragraph" w:styleId="a8">
    <w:name w:val="Balloon Text"/>
    <w:basedOn w:val="a"/>
    <w:link w:val="a9"/>
    <w:uiPriority w:val="99"/>
    <w:semiHidden/>
    <w:unhideWhenUsed/>
    <w:rsid w:val="00031AF4"/>
    <w:pPr>
      <w:spacing w:after="0" w:line="240" w:lineRule="auto"/>
    </w:pPr>
    <w:rPr>
      <w:rFonts w:ascii="Tahoma" w:hAnsi="Tahoma" w:cs="Tahoma"/>
      <w:sz w:val="18"/>
      <w:szCs w:val="18"/>
    </w:rPr>
  </w:style>
  <w:style w:type="character" w:customStyle="1" w:styleId="a9">
    <w:name w:val="טקסט בלונים תו"/>
    <w:basedOn w:val="a0"/>
    <w:link w:val="a8"/>
    <w:uiPriority w:val="99"/>
    <w:semiHidden/>
    <w:rsid w:val="00031AF4"/>
    <w:rPr>
      <w:rFonts w:ascii="Tahoma" w:hAnsi="Tahoma" w:cs="Tahoma"/>
      <w:sz w:val="18"/>
      <w:szCs w:val="18"/>
    </w:rPr>
  </w:style>
  <w:style w:type="paragraph" w:styleId="aa">
    <w:name w:val="List Paragraph"/>
    <w:basedOn w:val="a"/>
    <w:link w:val="ab"/>
    <w:uiPriority w:val="34"/>
    <w:qFormat/>
    <w:rsid w:val="0020640C"/>
    <w:pPr>
      <w:spacing w:after="160" w:line="259" w:lineRule="auto"/>
      <w:ind w:left="720"/>
      <w:contextualSpacing/>
    </w:pPr>
  </w:style>
  <w:style w:type="character" w:customStyle="1" w:styleId="ab">
    <w:name w:val="פיסקת רשימה תו"/>
    <w:link w:val="aa"/>
    <w:uiPriority w:val="34"/>
    <w:rsid w:val="0020640C"/>
  </w:style>
  <w:style w:type="paragraph" w:styleId="ac">
    <w:name w:val="Revision"/>
    <w:hidden/>
    <w:uiPriority w:val="99"/>
    <w:semiHidden/>
    <w:rsid w:val="002064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237</Words>
  <Characters>1188</Characters>
  <Application>Microsoft Office Word</Application>
  <DocSecurity>0</DocSecurity>
  <Lines>9</Lines>
  <Paragraphs>2</Paragraphs>
  <ScaleCrop>false</ScaleCrop>
  <HeadingPairs>
    <vt:vector size="2" baseType="variant">
      <vt:variant>
        <vt:lpstr>שם</vt:lpstr>
      </vt:variant>
      <vt:variant>
        <vt:i4>1</vt:i4>
      </vt:variant>
    </vt:vector>
  </HeadingPairs>
  <TitlesOfParts>
    <vt:vector size="1" baseType="lpstr">
      <vt:lpstr/>
    </vt:vector>
  </TitlesOfParts>
  <Company>BOI</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מירי רוזנשטוק</dc:creator>
  <cp:keywords/>
  <dc:description/>
  <cp:lastModifiedBy>לירון בן עמוס</cp:lastModifiedBy>
  <cp:revision>6</cp:revision>
  <dcterms:created xsi:type="dcterms:W3CDTF">2026-07-14T06:22:00Z</dcterms:created>
  <dcterms:modified xsi:type="dcterms:W3CDTF">2026-07-14T07:08:00Z</dcterms:modified>
</cp:coreProperties>
</file>