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C60B1D" w:rsidRPr="00DB1CBC" w:rsidTr="005E3205">
        <w:trPr>
          <w:trHeight w:val="1495"/>
        </w:trPr>
        <w:tc>
          <w:tcPr>
            <w:tcW w:w="3404" w:type="dxa"/>
            <w:tcBorders>
              <w:top w:val="nil"/>
              <w:left w:val="nil"/>
              <w:bottom w:val="nil"/>
              <w:right w:val="nil"/>
            </w:tcBorders>
            <w:vAlign w:val="center"/>
          </w:tcPr>
          <w:p w:rsidR="00C60B1D" w:rsidRPr="00520BB4" w:rsidRDefault="00C60B1D" w:rsidP="005E3205">
            <w:pPr>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C60B1D" w:rsidRDefault="00C60B1D" w:rsidP="005E3205">
            <w:pPr>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C60B1D" w:rsidRDefault="00C60B1D" w:rsidP="005E3205">
            <w:pPr>
              <w:jc w:val="center"/>
              <w:rPr>
                <w:rtl/>
              </w:rPr>
            </w:pPr>
            <w:r>
              <w:rPr>
                <w:noProof/>
                <w:rtl/>
              </w:rPr>
              <w:drawing>
                <wp:inline distT="0" distB="0" distL="0" distR="0" wp14:anchorId="78C8BBCD" wp14:editId="47D9A1AE">
                  <wp:extent cx="914400" cy="914400"/>
                  <wp:effectExtent l="0" t="0" r="0" b="0"/>
                  <wp:docPr id="2" name="תמונה 2"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C60B1D" w:rsidRPr="00B20A2F" w:rsidRDefault="00C60B1D" w:rsidP="005E3205">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Pr>
                <w:rFonts w:cs="David"/>
                <w:noProof/>
                <w:sz w:val="24"/>
                <w:szCs w:val="24"/>
                <w:rtl/>
              </w:rPr>
              <w:t>‏י"ג חשון תשפ"ב</w:t>
            </w:r>
            <w:r>
              <w:rPr>
                <w:rFonts w:cs="David"/>
                <w:sz w:val="24"/>
                <w:szCs w:val="24"/>
              </w:rPr>
              <w:fldChar w:fldCharType="end"/>
            </w:r>
          </w:p>
          <w:p w:rsidR="00C60B1D" w:rsidRDefault="00C60B1D" w:rsidP="005E3205">
            <w:pPr>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Pr>
                <w:rFonts w:cs="David"/>
                <w:noProof/>
                <w:sz w:val="24"/>
                <w:szCs w:val="24"/>
                <w:rtl/>
              </w:rPr>
              <w:t>‏19 אוקטובר 2021</w:t>
            </w:r>
            <w:r>
              <w:rPr>
                <w:rFonts w:cs="David"/>
                <w:sz w:val="24"/>
                <w:szCs w:val="24"/>
              </w:rPr>
              <w:fldChar w:fldCharType="end"/>
            </w:r>
          </w:p>
          <w:p w:rsidR="00C60B1D" w:rsidRPr="00DF107C" w:rsidRDefault="00C60B1D" w:rsidP="005E3205">
            <w:pPr>
              <w:spacing w:line="480" w:lineRule="auto"/>
              <w:jc w:val="right"/>
              <w:rPr>
                <w:rFonts w:cs="David"/>
                <w:sz w:val="24"/>
                <w:szCs w:val="24"/>
              </w:rPr>
            </w:pPr>
          </w:p>
        </w:tc>
      </w:tr>
    </w:tbl>
    <w:p w:rsidR="00C60B1D" w:rsidRPr="001B3E00" w:rsidRDefault="00C60B1D" w:rsidP="00C60B1D">
      <w:pPr>
        <w:rPr>
          <w:rtl/>
        </w:rPr>
      </w:pPr>
    </w:p>
    <w:p w:rsidR="00C60B1D" w:rsidRDefault="00C60B1D" w:rsidP="00C60B1D">
      <w:pPr>
        <w:spacing w:line="360" w:lineRule="auto"/>
        <w:ind w:right="-101"/>
        <w:rPr>
          <w:rFonts w:cs="David"/>
          <w:sz w:val="24"/>
          <w:szCs w:val="24"/>
          <w:rtl/>
        </w:rPr>
      </w:pPr>
      <w:r w:rsidRPr="007E18EE">
        <w:rPr>
          <w:rFonts w:cs="David" w:hint="cs"/>
          <w:sz w:val="24"/>
          <w:szCs w:val="24"/>
          <w:rtl/>
        </w:rPr>
        <w:t>הודעה לעיתונות:</w:t>
      </w:r>
    </w:p>
    <w:p w:rsidR="00C60B1D" w:rsidRDefault="00C60B1D" w:rsidP="00090A14">
      <w:pPr>
        <w:spacing w:after="120" w:line="360" w:lineRule="auto"/>
        <w:jc w:val="center"/>
        <w:rPr>
          <w:rFonts w:ascii="David" w:hAnsi="David" w:cs="David"/>
          <w:b/>
          <w:bCs/>
          <w:sz w:val="24"/>
          <w:szCs w:val="24"/>
          <w:rtl/>
        </w:rPr>
      </w:pPr>
    </w:p>
    <w:p w:rsidR="00C60B1D" w:rsidRDefault="00C60B1D" w:rsidP="00C60B1D">
      <w:pPr>
        <w:spacing w:after="120" w:line="360" w:lineRule="auto"/>
        <w:jc w:val="center"/>
        <w:rPr>
          <w:rFonts w:ascii="David" w:hAnsi="David" w:cs="David"/>
          <w:b/>
          <w:bCs/>
          <w:sz w:val="24"/>
          <w:szCs w:val="24"/>
          <w:rtl/>
        </w:rPr>
      </w:pPr>
      <w:r>
        <w:rPr>
          <w:rFonts w:ascii="David" w:hAnsi="David" w:cs="David" w:hint="cs"/>
          <w:b/>
          <w:bCs/>
          <w:sz w:val="24"/>
          <w:szCs w:val="24"/>
          <w:rtl/>
        </w:rPr>
        <w:t xml:space="preserve">מחקר חדש: </w:t>
      </w:r>
      <w:r w:rsidR="00090A14" w:rsidRPr="00090A14">
        <w:rPr>
          <w:rFonts w:ascii="David" w:hAnsi="David" w:cs="David"/>
          <w:b/>
          <w:bCs/>
          <w:sz w:val="24"/>
          <w:szCs w:val="24"/>
          <w:rtl/>
        </w:rPr>
        <w:t xml:space="preserve">הגורמים שמסבירים את תשואות </w:t>
      </w:r>
      <w:proofErr w:type="spellStart"/>
      <w:r w:rsidR="00090A14" w:rsidRPr="00090A14">
        <w:rPr>
          <w:rFonts w:ascii="David" w:hAnsi="David" w:cs="David"/>
          <w:b/>
          <w:bCs/>
          <w:sz w:val="24"/>
          <w:szCs w:val="24"/>
          <w:rtl/>
        </w:rPr>
        <w:t>האג"ח</w:t>
      </w:r>
      <w:proofErr w:type="spellEnd"/>
      <w:r w:rsidR="00090A14" w:rsidRPr="00090A14">
        <w:rPr>
          <w:rFonts w:ascii="David" w:hAnsi="David" w:cs="David"/>
          <w:b/>
          <w:bCs/>
          <w:sz w:val="24"/>
          <w:szCs w:val="24"/>
          <w:rtl/>
        </w:rPr>
        <w:t xml:space="preserve"> הממשלתיות הארוכות בישראל ובמדינות ה-</w:t>
      </w:r>
      <w:r w:rsidR="00090A14" w:rsidRPr="00090A14">
        <w:rPr>
          <w:rFonts w:ascii="David" w:hAnsi="David" w:cs="David"/>
          <w:b/>
          <w:bCs/>
          <w:sz w:val="24"/>
          <w:szCs w:val="24"/>
        </w:rPr>
        <w:t>OECD</w:t>
      </w:r>
    </w:p>
    <w:p w:rsidR="006D5566" w:rsidRDefault="00090A14" w:rsidP="00C60B1D">
      <w:pPr>
        <w:spacing w:after="120" w:line="360" w:lineRule="auto"/>
        <w:jc w:val="both"/>
        <w:rPr>
          <w:rFonts w:ascii="David" w:hAnsi="David" w:cs="David"/>
          <w:b/>
          <w:bCs/>
          <w:sz w:val="24"/>
          <w:szCs w:val="24"/>
        </w:rPr>
      </w:pPr>
      <w:r w:rsidRPr="00090A14">
        <w:rPr>
          <w:rFonts w:ascii="David" w:hAnsi="David" w:cs="David"/>
          <w:b/>
          <w:bCs/>
          <w:sz w:val="24"/>
          <w:szCs w:val="24"/>
          <w:rtl/>
        </w:rPr>
        <w:t xml:space="preserve"> </w:t>
      </w:r>
      <w:r w:rsidR="003873CA" w:rsidRPr="00090A14">
        <w:rPr>
          <w:rFonts w:ascii="David" w:hAnsi="David" w:cs="David"/>
          <w:sz w:val="24"/>
          <w:szCs w:val="24"/>
          <w:rtl/>
        </w:rPr>
        <w:t>הגידול העצום בחוב הממשלתי בקרב מדינות רבות, בעיקר עקב משבר הקורונה,</w:t>
      </w:r>
      <w:r w:rsidR="003873CA">
        <w:rPr>
          <w:rFonts w:ascii="David" w:hAnsi="David" w:cs="David" w:hint="cs"/>
          <w:sz w:val="24"/>
          <w:szCs w:val="24"/>
          <w:rtl/>
        </w:rPr>
        <w:t xml:space="preserve"> </w:t>
      </w:r>
      <w:r w:rsidR="003873CA" w:rsidRPr="00090A14">
        <w:rPr>
          <w:rFonts w:ascii="David" w:hAnsi="David" w:cs="David"/>
          <w:sz w:val="24"/>
          <w:szCs w:val="24"/>
          <w:rtl/>
        </w:rPr>
        <w:t>הגביר את החשיבות לבחינת עלות החוב הממשלתי</w:t>
      </w:r>
      <w:r w:rsidR="003873CA">
        <w:rPr>
          <w:rFonts w:ascii="David" w:hAnsi="David" w:cs="David" w:hint="cs"/>
          <w:sz w:val="24"/>
          <w:szCs w:val="24"/>
          <w:rtl/>
        </w:rPr>
        <w:t>, ה</w:t>
      </w:r>
      <w:r w:rsidR="003873CA">
        <w:rPr>
          <w:rFonts w:ascii="David" w:hAnsi="David" w:cs="David"/>
          <w:sz w:val="24"/>
          <w:szCs w:val="24"/>
          <w:rtl/>
        </w:rPr>
        <w:t>מ</w:t>
      </w:r>
      <w:r w:rsidR="003873CA">
        <w:rPr>
          <w:rFonts w:ascii="David" w:hAnsi="David" w:cs="David" w:hint="cs"/>
          <w:sz w:val="24"/>
          <w:szCs w:val="24"/>
          <w:rtl/>
        </w:rPr>
        <w:t>שתקפת</w:t>
      </w:r>
      <w:r w:rsidR="003873CA" w:rsidRPr="008F7201">
        <w:rPr>
          <w:rFonts w:ascii="David" w:hAnsi="David" w:cs="David"/>
          <w:sz w:val="24"/>
          <w:szCs w:val="24"/>
          <w:rtl/>
        </w:rPr>
        <w:t xml:space="preserve"> בתשואה לפדיון של אגרות חוב </w:t>
      </w:r>
      <w:r w:rsidR="003873CA">
        <w:rPr>
          <w:rFonts w:ascii="David" w:hAnsi="David" w:cs="David" w:hint="cs"/>
          <w:sz w:val="24"/>
          <w:szCs w:val="24"/>
          <w:rtl/>
        </w:rPr>
        <w:t>ש</w:t>
      </w:r>
      <w:r w:rsidR="003873CA" w:rsidRPr="008F7201">
        <w:rPr>
          <w:rFonts w:ascii="David" w:hAnsi="David" w:cs="David"/>
          <w:sz w:val="24"/>
          <w:szCs w:val="24"/>
          <w:rtl/>
        </w:rPr>
        <w:t xml:space="preserve">מונפקות </w:t>
      </w:r>
      <w:proofErr w:type="spellStart"/>
      <w:r w:rsidR="003873CA" w:rsidRPr="008F7201">
        <w:rPr>
          <w:rFonts w:ascii="David" w:hAnsi="David" w:cs="David"/>
          <w:sz w:val="24"/>
          <w:szCs w:val="24"/>
          <w:rtl/>
        </w:rPr>
        <w:t>על</w:t>
      </w:r>
      <w:r w:rsidR="003873CA">
        <w:rPr>
          <w:rFonts w:ascii="David" w:hAnsi="David" w:cs="David" w:hint="cs"/>
          <w:sz w:val="24"/>
          <w:szCs w:val="24"/>
          <w:rtl/>
        </w:rPr>
        <w:t>־</w:t>
      </w:r>
      <w:r w:rsidR="003873CA" w:rsidRPr="008F7201">
        <w:rPr>
          <w:rFonts w:ascii="David" w:hAnsi="David" w:cs="David"/>
          <w:sz w:val="24"/>
          <w:szCs w:val="24"/>
          <w:rtl/>
        </w:rPr>
        <w:t>ידי</w:t>
      </w:r>
      <w:proofErr w:type="spellEnd"/>
      <w:r w:rsidR="003873CA" w:rsidRPr="008F7201">
        <w:rPr>
          <w:rFonts w:ascii="David" w:hAnsi="David" w:cs="David"/>
          <w:sz w:val="24"/>
          <w:szCs w:val="24"/>
          <w:rtl/>
        </w:rPr>
        <w:t xml:space="preserve"> מדינות</w:t>
      </w:r>
      <w:r w:rsidR="003873CA">
        <w:rPr>
          <w:rFonts w:ascii="David" w:hAnsi="David" w:cs="David" w:hint="cs"/>
          <w:sz w:val="24"/>
          <w:szCs w:val="24"/>
          <w:rtl/>
        </w:rPr>
        <w:t xml:space="preserve"> לטווחים ארוכים</w:t>
      </w:r>
      <w:r w:rsidR="0069778F">
        <w:rPr>
          <w:rFonts w:ascii="David" w:hAnsi="David" w:cs="David" w:hint="cs"/>
          <w:b/>
          <w:bCs/>
          <w:sz w:val="24"/>
          <w:szCs w:val="24"/>
          <w:rtl/>
        </w:rPr>
        <w:t>.</w:t>
      </w:r>
      <w:r w:rsidR="006D5566" w:rsidRPr="006D5566">
        <w:rPr>
          <w:rFonts w:ascii="David" w:hAnsi="David" w:cs="David" w:hint="cs"/>
          <w:sz w:val="24"/>
          <w:szCs w:val="24"/>
          <w:rtl/>
        </w:rPr>
        <w:t xml:space="preserve"> </w:t>
      </w:r>
      <w:r w:rsidR="006D5566">
        <w:rPr>
          <w:rFonts w:ascii="David" w:hAnsi="David" w:cs="David" w:hint="cs"/>
          <w:sz w:val="24"/>
          <w:szCs w:val="24"/>
          <w:rtl/>
        </w:rPr>
        <w:t xml:space="preserve">בעבודה זו נבחנים </w:t>
      </w:r>
      <w:r w:rsidR="006D5566" w:rsidRPr="00907D27">
        <w:rPr>
          <w:rFonts w:ascii="David" w:hAnsi="David" w:cs="David"/>
          <w:sz w:val="24"/>
          <w:szCs w:val="24"/>
          <w:rtl/>
        </w:rPr>
        <w:t>מכלול הגורמים</w:t>
      </w:r>
      <w:r w:rsidR="006D5566">
        <w:rPr>
          <w:rFonts w:ascii="David" w:hAnsi="David" w:cs="David" w:hint="cs"/>
          <w:b/>
          <w:bCs/>
          <w:sz w:val="24"/>
          <w:szCs w:val="24"/>
          <w:rtl/>
        </w:rPr>
        <w:t xml:space="preserve"> </w:t>
      </w:r>
      <w:r w:rsidR="006D5566" w:rsidRPr="00216B0E">
        <w:rPr>
          <w:rFonts w:ascii="David" w:hAnsi="David" w:cs="David" w:hint="eastAsia"/>
          <w:sz w:val="24"/>
          <w:szCs w:val="24"/>
          <w:rtl/>
        </w:rPr>
        <w:t>שמשפיעים</w:t>
      </w:r>
      <w:r w:rsidR="006D5566">
        <w:rPr>
          <w:rFonts w:ascii="David" w:hAnsi="David" w:cs="David" w:hint="cs"/>
          <w:b/>
          <w:bCs/>
          <w:sz w:val="24"/>
          <w:szCs w:val="24"/>
          <w:rtl/>
        </w:rPr>
        <w:t xml:space="preserve"> </w:t>
      </w:r>
      <w:r w:rsidR="006D5566" w:rsidRPr="00216B0E">
        <w:rPr>
          <w:rFonts w:ascii="David" w:hAnsi="David" w:cs="David" w:hint="eastAsia"/>
          <w:sz w:val="24"/>
          <w:szCs w:val="24"/>
          <w:rtl/>
        </w:rPr>
        <w:t>על</w:t>
      </w:r>
      <w:r w:rsidR="006D5566" w:rsidRPr="00216B0E">
        <w:rPr>
          <w:rFonts w:ascii="David" w:hAnsi="David" w:cs="David"/>
          <w:sz w:val="24"/>
          <w:szCs w:val="24"/>
          <w:rtl/>
        </w:rPr>
        <w:t xml:space="preserve"> </w:t>
      </w:r>
      <w:r w:rsidR="006D5566" w:rsidRPr="006D5566">
        <w:rPr>
          <w:rFonts w:ascii="David" w:hAnsi="David" w:cs="David"/>
          <w:sz w:val="24"/>
          <w:szCs w:val="24"/>
          <w:rtl/>
        </w:rPr>
        <w:t xml:space="preserve">התשואות הממשלתיות הארוכות במדינות </w:t>
      </w:r>
      <w:r w:rsidR="006D5566" w:rsidRPr="006D5566">
        <w:rPr>
          <w:rFonts w:ascii="David" w:hAnsi="David" w:cs="David" w:hint="eastAsia"/>
          <w:sz w:val="24"/>
          <w:szCs w:val="24"/>
          <w:rtl/>
        </w:rPr>
        <w:t>ה</w:t>
      </w:r>
      <w:r w:rsidR="006D5566" w:rsidRPr="006D5566">
        <w:rPr>
          <w:rFonts w:ascii="David" w:hAnsi="David" w:cs="David"/>
          <w:sz w:val="24"/>
          <w:szCs w:val="24"/>
          <w:rtl/>
        </w:rPr>
        <w:t>-</w:t>
      </w:r>
      <w:r w:rsidR="006D5566" w:rsidRPr="006D5566">
        <w:rPr>
          <w:rFonts w:ascii="David" w:hAnsi="David" w:cs="David"/>
          <w:sz w:val="24"/>
          <w:szCs w:val="24"/>
        </w:rPr>
        <w:t>OECD</w:t>
      </w:r>
      <w:r w:rsidR="006D5566" w:rsidRPr="006D5566">
        <w:rPr>
          <w:rFonts w:ascii="David" w:hAnsi="David" w:cs="David"/>
          <w:sz w:val="24"/>
          <w:szCs w:val="24"/>
          <w:rtl/>
        </w:rPr>
        <w:t xml:space="preserve"> </w:t>
      </w:r>
      <w:r w:rsidR="006D5566" w:rsidRPr="006D5566">
        <w:rPr>
          <w:rFonts w:ascii="David" w:hAnsi="David" w:cs="David" w:hint="eastAsia"/>
          <w:sz w:val="24"/>
          <w:szCs w:val="24"/>
          <w:rtl/>
        </w:rPr>
        <w:t>על</w:t>
      </w:r>
      <w:r w:rsidR="006D5566" w:rsidRPr="006D5566">
        <w:rPr>
          <w:rFonts w:ascii="David" w:hAnsi="David" w:cs="David" w:hint="cs"/>
          <w:sz w:val="24"/>
          <w:szCs w:val="24"/>
          <w:rtl/>
        </w:rPr>
        <w:t>־</w:t>
      </w:r>
      <w:r w:rsidR="006D5566" w:rsidRPr="006D5566">
        <w:rPr>
          <w:rFonts w:ascii="David" w:hAnsi="David" w:cs="David"/>
          <w:sz w:val="24"/>
          <w:szCs w:val="24"/>
          <w:rtl/>
        </w:rPr>
        <w:t>פני זמן</w:t>
      </w:r>
      <w:r w:rsidR="006D5566">
        <w:rPr>
          <w:rFonts w:ascii="David" w:hAnsi="David" w:cs="David" w:hint="cs"/>
          <w:sz w:val="24"/>
          <w:szCs w:val="24"/>
          <w:rtl/>
        </w:rPr>
        <w:t>.</w:t>
      </w:r>
    </w:p>
    <w:p w:rsidR="00E17730" w:rsidRDefault="003873CA" w:rsidP="006D5566">
      <w:pPr>
        <w:pStyle w:val="ad"/>
        <w:numPr>
          <w:ilvl w:val="0"/>
          <w:numId w:val="1"/>
        </w:numPr>
        <w:spacing w:after="120" w:line="360" w:lineRule="auto"/>
        <w:jc w:val="both"/>
        <w:rPr>
          <w:rFonts w:ascii="David" w:hAnsi="David" w:cs="David"/>
          <w:sz w:val="24"/>
          <w:szCs w:val="24"/>
        </w:rPr>
      </w:pPr>
      <w:r w:rsidRPr="00E17730">
        <w:rPr>
          <w:rFonts w:ascii="David" w:hAnsi="David" w:cs="David" w:hint="eastAsia"/>
          <w:sz w:val="24"/>
          <w:szCs w:val="24"/>
          <w:rtl/>
        </w:rPr>
        <w:t>הממצאים</w:t>
      </w:r>
      <w:r w:rsidRPr="00E17730">
        <w:rPr>
          <w:rFonts w:ascii="David" w:hAnsi="David" w:cs="David"/>
          <w:sz w:val="24"/>
          <w:szCs w:val="24"/>
          <w:rtl/>
        </w:rPr>
        <w:t xml:space="preserve"> </w:t>
      </w:r>
      <w:r w:rsidRPr="00E17730">
        <w:rPr>
          <w:rFonts w:ascii="David" w:hAnsi="David" w:cs="David" w:hint="eastAsia"/>
          <w:sz w:val="24"/>
          <w:szCs w:val="24"/>
          <w:rtl/>
        </w:rPr>
        <w:t>מראים</w:t>
      </w:r>
      <w:r w:rsidRPr="00E17730">
        <w:rPr>
          <w:rFonts w:ascii="David" w:hAnsi="David" w:cs="David"/>
          <w:sz w:val="24"/>
          <w:szCs w:val="24"/>
          <w:rtl/>
        </w:rPr>
        <w:t xml:space="preserve"> </w:t>
      </w:r>
      <w:r w:rsidRPr="00E17730">
        <w:rPr>
          <w:rFonts w:ascii="David" w:hAnsi="David" w:cs="David" w:hint="cs"/>
          <w:sz w:val="24"/>
          <w:szCs w:val="24"/>
          <w:rtl/>
        </w:rPr>
        <w:t>ש</w:t>
      </w:r>
      <w:r w:rsidRPr="00E17730">
        <w:rPr>
          <w:rFonts w:ascii="David" w:hAnsi="David" w:cs="David" w:hint="eastAsia"/>
          <w:sz w:val="24"/>
          <w:szCs w:val="24"/>
          <w:rtl/>
        </w:rPr>
        <w:t>הריבית</w:t>
      </w:r>
      <w:r w:rsidRPr="00E17730">
        <w:rPr>
          <w:rFonts w:ascii="David" w:hAnsi="David" w:cs="David"/>
          <w:sz w:val="24"/>
          <w:szCs w:val="24"/>
          <w:rtl/>
        </w:rPr>
        <w:t xml:space="preserve"> </w:t>
      </w:r>
      <w:r w:rsidRPr="00E17730">
        <w:rPr>
          <w:rFonts w:ascii="David" w:hAnsi="David" w:cs="David" w:hint="eastAsia"/>
          <w:sz w:val="24"/>
          <w:szCs w:val="24"/>
          <w:rtl/>
        </w:rPr>
        <w:t>הטבעית</w:t>
      </w:r>
      <w:r w:rsidR="00297CD7">
        <w:rPr>
          <w:rStyle w:val="a7"/>
          <w:rFonts w:ascii="David" w:hAnsi="David" w:cs="David"/>
          <w:sz w:val="24"/>
          <w:szCs w:val="24"/>
          <w:rtl/>
        </w:rPr>
        <w:footnoteReference w:id="1"/>
      </w:r>
      <w:r w:rsidR="0069778F">
        <w:rPr>
          <w:rFonts w:ascii="David" w:hAnsi="David" w:cs="David" w:hint="cs"/>
          <w:sz w:val="24"/>
          <w:szCs w:val="24"/>
          <w:rtl/>
        </w:rPr>
        <w:t xml:space="preserve">, הנשענת </w:t>
      </w:r>
      <w:r w:rsidR="006D5566">
        <w:rPr>
          <w:rFonts w:ascii="David" w:hAnsi="David" w:cs="David" w:hint="cs"/>
          <w:sz w:val="24"/>
          <w:szCs w:val="24"/>
          <w:rtl/>
        </w:rPr>
        <w:t xml:space="preserve">בין היתר </w:t>
      </w:r>
      <w:r w:rsidR="0069778F">
        <w:rPr>
          <w:rFonts w:ascii="David" w:hAnsi="David" w:cs="David" w:hint="cs"/>
          <w:sz w:val="24"/>
          <w:szCs w:val="24"/>
          <w:rtl/>
        </w:rPr>
        <w:t xml:space="preserve">על </w:t>
      </w:r>
      <w:r w:rsidR="006D5566">
        <w:rPr>
          <w:rFonts w:ascii="David" w:hAnsi="David" w:cs="David" w:hint="cs"/>
          <w:sz w:val="24"/>
          <w:szCs w:val="24"/>
          <w:rtl/>
        </w:rPr>
        <w:t>היחס בין גודל האוכלוסייה בגילאי פרישה לגודל האוכלוסייה בגילאי העבודה</w:t>
      </w:r>
      <w:r w:rsidR="0069778F">
        <w:rPr>
          <w:rFonts w:ascii="David" w:hAnsi="David" w:cs="David" w:hint="cs"/>
          <w:sz w:val="24"/>
          <w:szCs w:val="24"/>
          <w:rtl/>
        </w:rPr>
        <w:t>,</w:t>
      </w:r>
      <w:r w:rsidRPr="00E17730">
        <w:rPr>
          <w:rFonts w:ascii="David" w:hAnsi="David" w:cs="David"/>
          <w:sz w:val="24"/>
          <w:szCs w:val="24"/>
          <w:rtl/>
        </w:rPr>
        <w:t xml:space="preserve"> </w:t>
      </w:r>
      <w:r w:rsidRPr="00E17730">
        <w:rPr>
          <w:rFonts w:ascii="David" w:hAnsi="David" w:cs="David" w:hint="eastAsia"/>
          <w:sz w:val="24"/>
          <w:szCs w:val="24"/>
          <w:rtl/>
        </w:rPr>
        <w:t>ירדה</w:t>
      </w:r>
      <w:r w:rsidRPr="00E17730">
        <w:rPr>
          <w:rFonts w:ascii="David" w:hAnsi="David" w:cs="David"/>
          <w:sz w:val="24"/>
          <w:szCs w:val="24"/>
          <w:rtl/>
        </w:rPr>
        <w:t xml:space="preserve"> </w:t>
      </w:r>
      <w:r w:rsidRPr="00E17730">
        <w:rPr>
          <w:rFonts w:ascii="David" w:hAnsi="David" w:cs="David" w:hint="eastAsia"/>
          <w:sz w:val="24"/>
          <w:szCs w:val="24"/>
          <w:rtl/>
        </w:rPr>
        <w:t>באופן</w:t>
      </w:r>
      <w:r w:rsidRPr="00E17730">
        <w:rPr>
          <w:rFonts w:ascii="David" w:hAnsi="David" w:cs="David"/>
          <w:sz w:val="24"/>
          <w:szCs w:val="24"/>
          <w:rtl/>
        </w:rPr>
        <w:t xml:space="preserve"> </w:t>
      </w:r>
      <w:r w:rsidRPr="00E17730">
        <w:rPr>
          <w:rFonts w:ascii="David" w:hAnsi="David" w:cs="David" w:hint="eastAsia"/>
          <w:sz w:val="24"/>
          <w:szCs w:val="24"/>
          <w:rtl/>
        </w:rPr>
        <w:t>מובהק</w:t>
      </w:r>
      <w:r w:rsidRPr="00E17730">
        <w:rPr>
          <w:rFonts w:ascii="David" w:hAnsi="David" w:cs="David"/>
          <w:sz w:val="24"/>
          <w:szCs w:val="24"/>
          <w:rtl/>
        </w:rPr>
        <w:t xml:space="preserve"> </w:t>
      </w:r>
      <w:r w:rsidRPr="00E17730">
        <w:rPr>
          <w:rFonts w:ascii="David" w:hAnsi="David" w:cs="David" w:hint="eastAsia"/>
          <w:sz w:val="24"/>
          <w:szCs w:val="24"/>
          <w:rtl/>
        </w:rPr>
        <w:t>ו</w:t>
      </w:r>
      <w:r w:rsidRPr="00E17730">
        <w:rPr>
          <w:rFonts w:ascii="David" w:hAnsi="David" w:cs="David" w:hint="cs"/>
          <w:sz w:val="24"/>
          <w:szCs w:val="24"/>
          <w:rtl/>
        </w:rPr>
        <w:t>ש</w:t>
      </w:r>
      <w:r w:rsidRPr="00E17730">
        <w:rPr>
          <w:rFonts w:ascii="David" w:hAnsi="David" w:cs="David" w:hint="eastAsia"/>
          <w:sz w:val="24"/>
          <w:szCs w:val="24"/>
          <w:rtl/>
        </w:rPr>
        <w:t>היא</w:t>
      </w:r>
      <w:r w:rsidRPr="00E17730">
        <w:rPr>
          <w:rFonts w:ascii="David" w:hAnsi="David" w:cs="David"/>
          <w:sz w:val="24"/>
          <w:szCs w:val="24"/>
          <w:rtl/>
        </w:rPr>
        <w:t xml:space="preserve"> </w:t>
      </w:r>
      <w:r w:rsidRPr="00E17730">
        <w:rPr>
          <w:rFonts w:ascii="David" w:hAnsi="David" w:cs="David" w:hint="eastAsia"/>
          <w:sz w:val="24"/>
          <w:szCs w:val="24"/>
          <w:rtl/>
        </w:rPr>
        <w:t>מהווה</w:t>
      </w:r>
      <w:r w:rsidRPr="00E17730">
        <w:rPr>
          <w:rFonts w:ascii="David" w:hAnsi="David" w:cs="David"/>
          <w:sz w:val="24"/>
          <w:szCs w:val="24"/>
          <w:rtl/>
        </w:rPr>
        <w:t xml:space="preserve"> </w:t>
      </w:r>
      <w:r w:rsidRPr="00E17730">
        <w:rPr>
          <w:rFonts w:ascii="David" w:hAnsi="David" w:cs="David" w:hint="eastAsia"/>
          <w:sz w:val="24"/>
          <w:szCs w:val="24"/>
          <w:rtl/>
        </w:rPr>
        <w:t>גורם</w:t>
      </w:r>
      <w:r w:rsidRPr="00E17730">
        <w:rPr>
          <w:rFonts w:ascii="David" w:hAnsi="David" w:cs="David"/>
          <w:sz w:val="24"/>
          <w:szCs w:val="24"/>
          <w:rtl/>
        </w:rPr>
        <w:t xml:space="preserve"> </w:t>
      </w:r>
      <w:proofErr w:type="spellStart"/>
      <w:r w:rsidRPr="00E17730">
        <w:rPr>
          <w:rFonts w:ascii="David" w:hAnsi="David" w:cs="David" w:hint="eastAsia"/>
          <w:sz w:val="24"/>
          <w:szCs w:val="24"/>
          <w:rtl/>
        </w:rPr>
        <w:t>חוצה</w:t>
      </w:r>
      <w:r w:rsidRPr="00E17730">
        <w:rPr>
          <w:rFonts w:ascii="David" w:hAnsi="David" w:cs="David" w:hint="cs"/>
          <w:sz w:val="24"/>
          <w:szCs w:val="24"/>
          <w:rtl/>
        </w:rPr>
        <w:t>־</w:t>
      </w:r>
      <w:r w:rsidRPr="00E17730">
        <w:rPr>
          <w:rFonts w:ascii="David" w:hAnsi="David" w:cs="David" w:hint="eastAsia"/>
          <w:sz w:val="24"/>
          <w:szCs w:val="24"/>
          <w:rtl/>
        </w:rPr>
        <w:t>מדינות</w:t>
      </w:r>
      <w:proofErr w:type="spellEnd"/>
      <w:r w:rsidR="00E17730">
        <w:rPr>
          <w:rFonts w:ascii="David" w:hAnsi="David" w:cs="David" w:hint="cs"/>
          <w:sz w:val="24"/>
          <w:szCs w:val="24"/>
          <w:rtl/>
        </w:rPr>
        <w:t xml:space="preserve">. </w:t>
      </w:r>
    </w:p>
    <w:p w:rsidR="003873CA" w:rsidRPr="00E17730" w:rsidRDefault="00E17730" w:rsidP="00E17730">
      <w:pPr>
        <w:pStyle w:val="ad"/>
        <w:numPr>
          <w:ilvl w:val="0"/>
          <w:numId w:val="1"/>
        </w:numPr>
        <w:spacing w:after="120" w:line="360" w:lineRule="auto"/>
        <w:jc w:val="both"/>
        <w:rPr>
          <w:rFonts w:ascii="David" w:hAnsi="David" w:cs="David"/>
          <w:sz w:val="24"/>
          <w:szCs w:val="24"/>
          <w:rtl/>
        </w:rPr>
      </w:pPr>
      <w:r>
        <w:rPr>
          <w:rFonts w:ascii="David" w:hAnsi="David" w:cs="David" w:hint="cs"/>
          <w:sz w:val="24"/>
          <w:szCs w:val="24"/>
          <w:rtl/>
        </w:rPr>
        <w:t xml:space="preserve">כמו כן, החוקרים מצאו </w:t>
      </w:r>
      <w:r w:rsidR="003873CA" w:rsidRPr="00E17730">
        <w:rPr>
          <w:rFonts w:ascii="David" w:hAnsi="David" w:cs="David" w:hint="cs"/>
          <w:sz w:val="24"/>
          <w:szCs w:val="24"/>
          <w:rtl/>
        </w:rPr>
        <w:t>ש</w:t>
      </w:r>
      <w:r w:rsidR="003873CA" w:rsidRPr="00E17730">
        <w:rPr>
          <w:rFonts w:ascii="David" w:hAnsi="David" w:cs="David" w:hint="eastAsia"/>
          <w:sz w:val="24"/>
          <w:szCs w:val="24"/>
          <w:rtl/>
        </w:rPr>
        <w:t>האינפלציה</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הנמוכה</w:t>
      </w:r>
      <w:r w:rsidR="003873CA" w:rsidRPr="00E17730">
        <w:rPr>
          <w:rFonts w:ascii="David" w:hAnsi="David" w:cs="David"/>
          <w:sz w:val="24"/>
          <w:szCs w:val="24"/>
          <w:rtl/>
        </w:rPr>
        <w:t xml:space="preserve"> </w:t>
      </w:r>
      <w:r w:rsidR="003873CA" w:rsidRPr="00E17730">
        <w:rPr>
          <w:rFonts w:ascii="David" w:hAnsi="David" w:cs="David" w:hint="eastAsia"/>
          <w:sz w:val="24"/>
          <w:szCs w:val="24"/>
          <w:rtl/>
        </w:rPr>
        <w:t>והמדיניות</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המוניטרית</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המרחיבה</w:t>
      </w:r>
      <w:r w:rsidR="003873CA" w:rsidRPr="00E17730">
        <w:rPr>
          <w:rFonts w:ascii="David" w:hAnsi="David" w:cs="David"/>
          <w:sz w:val="24"/>
          <w:szCs w:val="24"/>
          <w:rtl/>
        </w:rPr>
        <w:t xml:space="preserve"> </w:t>
      </w:r>
      <w:proofErr w:type="spellStart"/>
      <w:r w:rsidR="003873CA" w:rsidRPr="00E17730">
        <w:rPr>
          <w:rFonts w:ascii="David" w:hAnsi="David" w:cs="David" w:hint="eastAsia"/>
          <w:sz w:val="24"/>
          <w:szCs w:val="24"/>
          <w:rtl/>
        </w:rPr>
        <w:t>והלא</w:t>
      </w:r>
      <w:r w:rsidR="003873CA" w:rsidRPr="00E17730">
        <w:rPr>
          <w:rFonts w:ascii="David" w:hAnsi="David" w:cs="David" w:hint="cs"/>
          <w:sz w:val="24"/>
          <w:szCs w:val="24"/>
          <w:rtl/>
        </w:rPr>
        <w:t>־קונבנציונלית</w:t>
      </w:r>
      <w:proofErr w:type="spellEnd"/>
      <w:r w:rsidR="003873CA" w:rsidRPr="00E17730">
        <w:rPr>
          <w:rFonts w:ascii="David" w:hAnsi="David" w:cs="David" w:hint="cs"/>
          <w:sz w:val="24"/>
          <w:szCs w:val="24"/>
          <w:rtl/>
        </w:rPr>
        <w:t xml:space="preserve">, </w:t>
      </w:r>
      <w:r w:rsidR="003873CA" w:rsidRPr="00E17730">
        <w:rPr>
          <w:rFonts w:ascii="David" w:hAnsi="David" w:cs="David" w:hint="eastAsia"/>
          <w:sz w:val="24"/>
          <w:szCs w:val="24"/>
          <w:rtl/>
        </w:rPr>
        <w:t>מהווים</w:t>
      </w:r>
      <w:r w:rsidR="003873CA" w:rsidRPr="00E17730">
        <w:rPr>
          <w:rFonts w:ascii="David" w:hAnsi="David" w:cs="David"/>
          <w:sz w:val="24"/>
          <w:szCs w:val="24"/>
          <w:rtl/>
        </w:rPr>
        <w:t xml:space="preserve"> </w:t>
      </w:r>
      <w:r w:rsidR="003873CA" w:rsidRPr="00E17730">
        <w:rPr>
          <w:rFonts w:ascii="David" w:hAnsi="David" w:cs="David" w:hint="eastAsia"/>
          <w:sz w:val="24"/>
          <w:szCs w:val="24"/>
          <w:rtl/>
        </w:rPr>
        <w:t>את</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הגורמים</w:t>
      </w:r>
      <w:r w:rsidR="003873CA" w:rsidRPr="00E17730">
        <w:rPr>
          <w:rFonts w:ascii="David" w:hAnsi="David" w:cs="David"/>
          <w:sz w:val="24"/>
          <w:szCs w:val="24"/>
          <w:rtl/>
        </w:rPr>
        <w:t xml:space="preserve"> המחזוריים </w:t>
      </w:r>
      <w:r w:rsidR="003873CA" w:rsidRPr="00E17730">
        <w:rPr>
          <w:rFonts w:ascii="David" w:hAnsi="David" w:cs="David" w:hint="eastAsia"/>
          <w:sz w:val="24"/>
          <w:szCs w:val="24"/>
          <w:rtl/>
        </w:rPr>
        <w:t>העיקריים</w:t>
      </w:r>
      <w:r w:rsidR="003873CA" w:rsidRPr="00E17730">
        <w:rPr>
          <w:rFonts w:ascii="David" w:hAnsi="David" w:cs="David"/>
          <w:sz w:val="24"/>
          <w:szCs w:val="24"/>
          <w:rtl/>
        </w:rPr>
        <w:t xml:space="preserve"> </w:t>
      </w:r>
      <w:r w:rsidR="003873CA" w:rsidRPr="00E17730">
        <w:rPr>
          <w:rFonts w:ascii="David" w:hAnsi="David" w:cs="David" w:hint="eastAsia"/>
          <w:sz w:val="24"/>
          <w:szCs w:val="24"/>
          <w:rtl/>
        </w:rPr>
        <w:t>שמשפיעים</w:t>
      </w:r>
      <w:r w:rsidR="003873CA" w:rsidRPr="00E17730">
        <w:rPr>
          <w:rFonts w:ascii="David" w:hAnsi="David" w:cs="David"/>
          <w:sz w:val="24"/>
          <w:szCs w:val="24"/>
          <w:rtl/>
        </w:rPr>
        <w:t xml:space="preserve"> בשנים האחרונות</w:t>
      </w:r>
      <w:r w:rsidR="003873CA" w:rsidRPr="00E17730">
        <w:rPr>
          <w:rFonts w:ascii="David" w:hAnsi="David" w:cs="David" w:hint="eastAsia"/>
          <w:sz w:val="24"/>
          <w:szCs w:val="24"/>
          <w:rtl/>
        </w:rPr>
        <w:t xml:space="preserve"> על</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הריביות</w:t>
      </w:r>
      <w:r w:rsidR="003873CA" w:rsidRPr="00E17730">
        <w:rPr>
          <w:rFonts w:ascii="David" w:hAnsi="David" w:cs="David"/>
          <w:sz w:val="24"/>
          <w:szCs w:val="24"/>
          <w:rtl/>
        </w:rPr>
        <w:t xml:space="preserve"> ה</w:t>
      </w:r>
      <w:r w:rsidR="003873CA" w:rsidRPr="00E17730">
        <w:rPr>
          <w:rFonts w:ascii="David" w:hAnsi="David" w:cs="David" w:hint="eastAsia"/>
          <w:sz w:val="24"/>
          <w:szCs w:val="24"/>
          <w:rtl/>
        </w:rPr>
        <w:t>ארוכות</w:t>
      </w:r>
      <w:r w:rsidR="003873CA" w:rsidRPr="00E17730">
        <w:rPr>
          <w:rFonts w:ascii="David" w:hAnsi="David" w:cs="David" w:hint="cs"/>
          <w:sz w:val="24"/>
          <w:szCs w:val="24"/>
          <w:rtl/>
        </w:rPr>
        <w:t xml:space="preserve"> בקרב המדינות במדגם</w:t>
      </w:r>
      <w:r w:rsidR="003873CA" w:rsidRPr="00E17730">
        <w:rPr>
          <w:rFonts w:ascii="David" w:hAnsi="David" w:cs="David"/>
          <w:sz w:val="24"/>
          <w:szCs w:val="24"/>
          <w:rtl/>
        </w:rPr>
        <w:t>.</w:t>
      </w:r>
      <w:r w:rsidR="003873CA" w:rsidRPr="00E17730">
        <w:rPr>
          <w:rFonts w:ascii="David" w:hAnsi="David" w:cs="David" w:hint="cs"/>
          <w:sz w:val="24"/>
          <w:szCs w:val="24"/>
          <w:rtl/>
        </w:rPr>
        <w:t xml:space="preserve"> השונות בהתפתחותם של</w:t>
      </w:r>
      <w:r w:rsidR="003873CA" w:rsidRPr="00E17730">
        <w:rPr>
          <w:rFonts w:ascii="David" w:hAnsi="David" w:cs="David"/>
          <w:sz w:val="24"/>
          <w:szCs w:val="24"/>
          <w:rtl/>
        </w:rPr>
        <w:t xml:space="preserve"> </w:t>
      </w:r>
      <w:r w:rsidR="003873CA" w:rsidRPr="00E17730">
        <w:rPr>
          <w:rFonts w:ascii="David" w:hAnsi="David" w:cs="David" w:hint="eastAsia"/>
          <w:sz w:val="24"/>
          <w:szCs w:val="24"/>
          <w:rtl/>
        </w:rPr>
        <w:t>גורמי</w:t>
      </w:r>
      <w:r w:rsidR="003873CA" w:rsidRPr="00E17730">
        <w:rPr>
          <w:rFonts w:ascii="David" w:hAnsi="David" w:cs="David"/>
          <w:sz w:val="24"/>
          <w:szCs w:val="24"/>
          <w:rtl/>
        </w:rPr>
        <w:t xml:space="preserve"> </w:t>
      </w:r>
      <w:r w:rsidR="003873CA" w:rsidRPr="00E17730">
        <w:rPr>
          <w:rFonts w:ascii="David" w:hAnsi="David" w:cs="David" w:hint="eastAsia"/>
          <w:sz w:val="24"/>
          <w:szCs w:val="24"/>
          <w:rtl/>
        </w:rPr>
        <w:t>סיכון</w:t>
      </w:r>
      <w:r w:rsidR="003873CA" w:rsidRPr="00E17730">
        <w:rPr>
          <w:rFonts w:ascii="David" w:hAnsi="David" w:cs="David"/>
          <w:sz w:val="24"/>
          <w:szCs w:val="24"/>
          <w:rtl/>
        </w:rPr>
        <w:t xml:space="preserve"> </w:t>
      </w:r>
      <w:proofErr w:type="spellStart"/>
      <w:r w:rsidR="003873CA" w:rsidRPr="00E17730">
        <w:rPr>
          <w:rFonts w:ascii="David" w:hAnsi="David" w:cs="David" w:hint="eastAsia"/>
          <w:sz w:val="24"/>
          <w:szCs w:val="24"/>
          <w:rtl/>
        </w:rPr>
        <w:t>פיסקלים</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יחס חוב-תוצר ויחס מסים-תוצר </w:t>
      </w:r>
      <w:r>
        <w:rPr>
          <w:rFonts w:ascii="David" w:hAnsi="David" w:cs="David"/>
          <w:sz w:val="24"/>
          <w:szCs w:val="24"/>
          <w:rtl/>
        </w:rPr>
        <w:t>–</w:t>
      </w:r>
      <w:r w:rsidR="003873CA" w:rsidRPr="00E17730">
        <w:rPr>
          <w:rFonts w:ascii="David" w:hAnsi="David" w:cs="David" w:hint="cs"/>
          <w:sz w:val="24"/>
          <w:szCs w:val="24"/>
          <w:rtl/>
        </w:rPr>
        <w:t xml:space="preserve"> </w:t>
      </w:r>
      <w:r w:rsidR="003873CA" w:rsidRPr="00E17730">
        <w:rPr>
          <w:rFonts w:ascii="David" w:hAnsi="David" w:cs="David" w:hint="eastAsia"/>
          <w:sz w:val="24"/>
          <w:szCs w:val="24"/>
          <w:rtl/>
        </w:rPr>
        <w:t>בקרב</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המדינות</w:t>
      </w:r>
      <w:r w:rsidR="003873CA" w:rsidRPr="00E17730">
        <w:rPr>
          <w:rFonts w:ascii="David" w:hAnsi="David" w:cs="David"/>
          <w:sz w:val="24"/>
          <w:szCs w:val="24"/>
          <w:rtl/>
        </w:rPr>
        <w:t xml:space="preserve"> </w:t>
      </w:r>
      <w:r w:rsidR="003873CA" w:rsidRPr="00E17730">
        <w:rPr>
          <w:rFonts w:ascii="David" w:hAnsi="David" w:cs="David" w:hint="eastAsia"/>
          <w:sz w:val="24"/>
          <w:szCs w:val="24"/>
          <w:rtl/>
        </w:rPr>
        <w:t>מהוו</w:t>
      </w:r>
      <w:r w:rsidR="003873CA" w:rsidRPr="00E17730">
        <w:rPr>
          <w:rFonts w:ascii="David" w:hAnsi="David" w:cs="David" w:hint="cs"/>
          <w:sz w:val="24"/>
          <w:szCs w:val="24"/>
          <w:rtl/>
        </w:rPr>
        <w:t>ה</w:t>
      </w:r>
      <w:r w:rsidR="003873CA" w:rsidRPr="00E17730">
        <w:rPr>
          <w:rFonts w:ascii="David" w:hAnsi="David" w:cs="David"/>
          <w:sz w:val="24"/>
          <w:szCs w:val="24"/>
          <w:rtl/>
        </w:rPr>
        <w:t xml:space="preserve"> </w:t>
      </w:r>
      <w:r w:rsidR="003873CA" w:rsidRPr="00E17730">
        <w:rPr>
          <w:rFonts w:ascii="David" w:hAnsi="David" w:cs="David" w:hint="eastAsia"/>
          <w:sz w:val="24"/>
          <w:szCs w:val="24"/>
          <w:rtl/>
        </w:rPr>
        <w:t>את</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הסיבה</w:t>
      </w:r>
      <w:r w:rsidR="003873CA" w:rsidRPr="00E17730">
        <w:rPr>
          <w:rFonts w:ascii="David" w:hAnsi="David" w:cs="David"/>
          <w:sz w:val="24"/>
          <w:szCs w:val="24"/>
          <w:rtl/>
        </w:rPr>
        <w:t xml:space="preserve"> </w:t>
      </w:r>
      <w:r w:rsidR="003873CA" w:rsidRPr="00E17730">
        <w:rPr>
          <w:rFonts w:ascii="David" w:hAnsi="David" w:cs="David" w:hint="eastAsia"/>
          <w:sz w:val="24"/>
          <w:szCs w:val="24"/>
          <w:rtl/>
        </w:rPr>
        <w:t>העיקרית</w:t>
      </w:r>
      <w:r w:rsidR="003873CA" w:rsidRPr="00E17730">
        <w:rPr>
          <w:rFonts w:ascii="David" w:hAnsi="David" w:cs="David"/>
          <w:sz w:val="24"/>
          <w:szCs w:val="24"/>
          <w:rtl/>
        </w:rPr>
        <w:t xml:space="preserve"> </w:t>
      </w:r>
      <w:r w:rsidR="003873CA" w:rsidRPr="00E17730">
        <w:rPr>
          <w:rFonts w:ascii="David" w:hAnsi="David" w:cs="David" w:hint="eastAsia"/>
          <w:sz w:val="24"/>
          <w:szCs w:val="24"/>
          <w:rtl/>
        </w:rPr>
        <w:t>לשינויים</w:t>
      </w:r>
      <w:r w:rsidR="003873CA" w:rsidRPr="00E17730">
        <w:rPr>
          <w:rFonts w:ascii="David" w:hAnsi="David" w:cs="David"/>
          <w:sz w:val="24"/>
          <w:szCs w:val="24"/>
          <w:rtl/>
        </w:rPr>
        <w:t xml:space="preserve"> היחסיים בין המדינות.</w:t>
      </w:r>
    </w:p>
    <w:p w:rsidR="00E17730" w:rsidRDefault="00E17730" w:rsidP="0069778F">
      <w:pPr>
        <w:pStyle w:val="ad"/>
        <w:numPr>
          <w:ilvl w:val="0"/>
          <w:numId w:val="1"/>
        </w:numPr>
        <w:spacing w:after="120" w:line="360" w:lineRule="auto"/>
        <w:jc w:val="both"/>
        <w:rPr>
          <w:rFonts w:ascii="David" w:hAnsi="David" w:cs="David"/>
          <w:sz w:val="24"/>
          <w:szCs w:val="24"/>
        </w:rPr>
      </w:pPr>
      <w:r w:rsidRPr="00E17730">
        <w:rPr>
          <w:rFonts w:ascii="David" w:hAnsi="David" w:cs="David" w:hint="cs"/>
          <w:sz w:val="24"/>
          <w:szCs w:val="24"/>
          <w:rtl/>
        </w:rPr>
        <w:t xml:space="preserve">החוקרים בחנו גם את השפעת דירוגי האשראי על התשואות מעבר להשפעה של </w:t>
      </w:r>
      <w:r w:rsidRPr="00E17730">
        <w:rPr>
          <w:rFonts w:ascii="David" w:hAnsi="David" w:cs="David"/>
          <w:sz w:val="24"/>
          <w:szCs w:val="24"/>
          <w:rtl/>
        </w:rPr>
        <w:t>כלל הגורמים הכלכליים והפיננסים</w:t>
      </w:r>
      <w:r w:rsidRPr="00E17730">
        <w:rPr>
          <w:rFonts w:ascii="David" w:hAnsi="David" w:cs="David" w:hint="cs"/>
          <w:sz w:val="24"/>
          <w:szCs w:val="24"/>
          <w:rtl/>
        </w:rPr>
        <w:t>. החוקרים מוצאים ששינויים לרעה בדירוג משפיעים לשלילה על התשואות</w:t>
      </w:r>
      <w:r>
        <w:rPr>
          <w:rFonts w:ascii="David" w:hAnsi="David" w:cs="David" w:hint="cs"/>
          <w:sz w:val="24"/>
          <w:szCs w:val="24"/>
          <w:rtl/>
        </w:rPr>
        <w:t xml:space="preserve">, בעיקר אם </w:t>
      </w:r>
      <w:r w:rsidRPr="00E17730">
        <w:rPr>
          <w:rFonts w:ascii="David" w:hAnsi="David" w:cs="David" w:hint="cs"/>
          <w:sz w:val="24"/>
          <w:szCs w:val="24"/>
          <w:rtl/>
        </w:rPr>
        <w:t xml:space="preserve">שינויי </w:t>
      </w:r>
      <w:r>
        <w:rPr>
          <w:rFonts w:ascii="David" w:hAnsi="David" w:cs="David" w:hint="cs"/>
          <w:sz w:val="24"/>
          <w:szCs w:val="24"/>
          <w:rtl/>
        </w:rPr>
        <w:t>ה</w:t>
      </w:r>
      <w:r w:rsidRPr="00E17730">
        <w:rPr>
          <w:rFonts w:ascii="David" w:hAnsi="David" w:cs="David" w:hint="cs"/>
          <w:sz w:val="24"/>
          <w:szCs w:val="24"/>
          <w:rtl/>
        </w:rPr>
        <w:t>דירוג כוללים חציה של סף דירוג ההשקעה המקובל בעולם</w:t>
      </w:r>
      <w:r>
        <w:rPr>
          <w:rFonts w:ascii="David" w:hAnsi="David" w:cs="David" w:hint="cs"/>
          <w:sz w:val="24"/>
          <w:szCs w:val="24"/>
          <w:rtl/>
        </w:rPr>
        <w:t>.</w:t>
      </w:r>
    </w:p>
    <w:p w:rsidR="00E17730" w:rsidRPr="00E17730" w:rsidRDefault="00E17730" w:rsidP="00E17730">
      <w:pPr>
        <w:pStyle w:val="ad"/>
        <w:numPr>
          <w:ilvl w:val="0"/>
          <w:numId w:val="1"/>
        </w:numPr>
        <w:spacing w:after="120" w:line="360" w:lineRule="auto"/>
        <w:jc w:val="both"/>
        <w:rPr>
          <w:rFonts w:ascii="David" w:hAnsi="David" w:cs="David"/>
          <w:sz w:val="24"/>
          <w:szCs w:val="24"/>
          <w:rtl/>
        </w:rPr>
      </w:pPr>
      <w:r w:rsidRPr="00E17730">
        <w:rPr>
          <w:rFonts w:ascii="David" w:hAnsi="David" w:cs="David" w:hint="cs"/>
          <w:sz w:val="24"/>
          <w:szCs w:val="24"/>
          <w:rtl/>
        </w:rPr>
        <w:t>ממצאים אלה מעידים על קיומו של "אפקט ההסמכה" (</w:t>
      </w:r>
      <w:r w:rsidRPr="00E17730">
        <w:rPr>
          <w:rFonts w:ascii="David" w:hAnsi="David" w:cs="David"/>
          <w:sz w:val="24"/>
          <w:szCs w:val="24"/>
        </w:rPr>
        <w:t>Certification Effect</w:t>
      </w:r>
      <w:r w:rsidRPr="00E17730">
        <w:rPr>
          <w:rFonts w:ascii="David" w:hAnsi="David" w:cs="David" w:hint="cs"/>
          <w:sz w:val="24"/>
          <w:szCs w:val="24"/>
          <w:rtl/>
        </w:rPr>
        <w:t>): הישענות של המערכת הפיננסית והרגולציה עליה על הדירוגים של סוכנ</w:t>
      </w:r>
      <w:r w:rsidR="002158E7">
        <w:rPr>
          <w:rFonts w:ascii="David" w:hAnsi="David" w:cs="David" w:hint="cs"/>
          <w:sz w:val="24"/>
          <w:szCs w:val="24"/>
          <w:rtl/>
        </w:rPr>
        <w:t>ו</w:t>
      </w:r>
      <w:r w:rsidRPr="00E17730">
        <w:rPr>
          <w:rFonts w:ascii="David" w:hAnsi="David" w:cs="David" w:hint="cs"/>
          <w:sz w:val="24"/>
          <w:szCs w:val="24"/>
          <w:rtl/>
        </w:rPr>
        <w:t>יות דירוג האשראי. כתוצאה מכך, הורדות דירוג משפיעות לרעה על עלות החוב שמגייסות המדינות, מעבר למכלול הגורמים הכלכליים שמשפיעים על עלות החוב.</w:t>
      </w:r>
    </w:p>
    <w:p w:rsidR="003873CA" w:rsidRPr="0069778F" w:rsidRDefault="003873CA" w:rsidP="00216B0E">
      <w:pPr>
        <w:pStyle w:val="ad"/>
        <w:spacing w:after="120" w:line="360" w:lineRule="auto"/>
        <w:jc w:val="both"/>
        <w:rPr>
          <w:rFonts w:ascii="David" w:hAnsi="David" w:cs="David"/>
          <w:b/>
          <w:bCs/>
          <w:sz w:val="24"/>
          <w:szCs w:val="24"/>
          <w:rtl/>
        </w:rPr>
      </w:pPr>
    </w:p>
    <w:p w:rsidR="002C4035" w:rsidRDefault="00090A14" w:rsidP="002C4035">
      <w:pPr>
        <w:spacing w:line="360" w:lineRule="auto"/>
        <w:jc w:val="both"/>
        <w:rPr>
          <w:rFonts w:ascii="David" w:hAnsi="David" w:cs="David"/>
          <w:sz w:val="24"/>
          <w:szCs w:val="24"/>
          <w:rtl/>
        </w:rPr>
      </w:pPr>
      <w:r w:rsidRPr="00090A14">
        <w:rPr>
          <w:rFonts w:ascii="David" w:hAnsi="David" w:cs="David"/>
          <w:sz w:val="24"/>
          <w:szCs w:val="24"/>
          <w:rtl/>
        </w:rPr>
        <w:t>הגידול העצום בחוב הממשלתי בקרב מדינות רבות, בעיקר עקב משבר הקורונה,</w:t>
      </w:r>
      <w:r>
        <w:rPr>
          <w:rFonts w:ascii="David" w:hAnsi="David" w:cs="David" w:hint="cs"/>
          <w:sz w:val="24"/>
          <w:szCs w:val="24"/>
          <w:rtl/>
        </w:rPr>
        <w:t xml:space="preserve"> </w:t>
      </w:r>
      <w:r w:rsidRPr="00090A14">
        <w:rPr>
          <w:rFonts w:ascii="David" w:hAnsi="David" w:cs="David"/>
          <w:sz w:val="24"/>
          <w:szCs w:val="24"/>
          <w:rtl/>
        </w:rPr>
        <w:t>הגביר את החשיבות לבחינת עלות החוב הממשלתי.</w:t>
      </w:r>
      <w:r w:rsidR="00153DCC">
        <w:rPr>
          <w:rFonts w:ascii="David" w:hAnsi="David" w:cs="David" w:hint="cs"/>
          <w:sz w:val="24"/>
          <w:szCs w:val="24"/>
          <w:rtl/>
        </w:rPr>
        <w:t xml:space="preserve"> עלות זו </w:t>
      </w:r>
      <w:r w:rsidR="00153DCC">
        <w:rPr>
          <w:rFonts w:ascii="David" w:hAnsi="David" w:cs="David"/>
          <w:sz w:val="24"/>
          <w:szCs w:val="24"/>
          <w:rtl/>
        </w:rPr>
        <w:t>מ</w:t>
      </w:r>
      <w:r w:rsidR="00153DCC">
        <w:rPr>
          <w:rFonts w:ascii="David" w:hAnsi="David" w:cs="David" w:hint="cs"/>
          <w:sz w:val="24"/>
          <w:szCs w:val="24"/>
          <w:rtl/>
        </w:rPr>
        <w:t>שתקפת</w:t>
      </w:r>
      <w:r w:rsidR="00153DCC" w:rsidRPr="008F7201">
        <w:rPr>
          <w:rFonts w:ascii="David" w:hAnsi="David" w:cs="David"/>
          <w:sz w:val="24"/>
          <w:szCs w:val="24"/>
          <w:rtl/>
        </w:rPr>
        <w:t xml:space="preserve"> בתשואה לפדיון של אגרות חוב </w:t>
      </w:r>
      <w:r w:rsidR="00153DCC">
        <w:rPr>
          <w:rFonts w:ascii="David" w:hAnsi="David" w:cs="David" w:hint="cs"/>
          <w:sz w:val="24"/>
          <w:szCs w:val="24"/>
          <w:rtl/>
        </w:rPr>
        <w:t>ש</w:t>
      </w:r>
      <w:r w:rsidR="00153DCC" w:rsidRPr="008F7201">
        <w:rPr>
          <w:rFonts w:ascii="David" w:hAnsi="David" w:cs="David"/>
          <w:sz w:val="24"/>
          <w:szCs w:val="24"/>
          <w:rtl/>
        </w:rPr>
        <w:t xml:space="preserve">מונפקות </w:t>
      </w:r>
      <w:proofErr w:type="spellStart"/>
      <w:r w:rsidR="00153DCC" w:rsidRPr="008F7201">
        <w:rPr>
          <w:rFonts w:ascii="David" w:hAnsi="David" w:cs="David"/>
          <w:sz w:val="24"/>
          <w:szCs w:val="24"/>
          <w:rtl/>
        </w:rPr>
        <w:t>על</w:t>
      </w:r>
      <w:r w:rsidR="00153DCC">
        <w:rPr>
          <w:rFonts w:ascii="David" w:hAnsi="David" w:cs="David" w:hint="cs"/>
          <w:sz w:val="24"/>
          <w:szCs w:val="24"/>
          <w:rtl/>
        </w:rPr>
        <w:t>־</w:t>
      </w:r>
      <w:r w:rsidR="00153DCC" w:rsidRPr="008F7201">
        <w:rPr>
          <w:rFonts w:ascii="David" w:hAnsi="David" w:cs="David"/>
          <w:sz w:val="24"/>
          <w:szCs w:val="24"/>
          <w:rtl/>
        </w:rPr>
        <w:t>ידי</w:t>
      </w:r>
      <w:proofErr w:type="spellEnd"/>
      <w:r w:rsidR="00153DCC" w:rsidRPr="008F7201">
        <w:rPr>
          <w:rFonts w:ascii="David" w:hAnsi="David" w:cs="David"/>
          <w:sz w:val="24"/>
          <w:szCs w:val="24"/>
          <w:rtl/>
        </w:rPr>
        <w:t xml:space="preserve"> מדינות</w:t>
      </w:r>
      <w:r w:rsidR="00153DCC">
        <w:rPr>
          <w:rFonts w:ascii="David" w:hAnsi="David" w:cs="David" w:hint="cs"/>
          <w:sz w:val="24"/>
          <w:szCs w:val="24"/>
          <w:rtl/>
        </w:rPr>
        <w:t xml:space="preserve"> לטווחים ארוכים</w:t>
      </w:r>
      <w:r w:rsidR="00153DCC" w:rsidRPr="008F7201">
        <w:rPr>
          <w:rFonts w:ascii="David" w:hAnsi="David" w:cs="David"/>
          <w:sz w:val="24"/>
          <w:szCs w:val="24"/>
          <w:rtl/>
        </w:rPr>
        <w:t>.</w:t>
      </w:r>
      <w:r w:rsidR="002C4035" w:rsidRPr="002C4035">
        <w:rPr>
          <w:rFonts w:ascii="David" w:hAnsi="David" w:cs="David"/>
          <w:sz w:val="24"/>
          <w:szCs w:val="24"/>
          <w:rtl/>
        </w:rPr>
        <w:t xml:space="preserve"> </w:t>
      </w:r>
      <w:r w:rsidR="002C4035" w:rsidRPr="008F7201">
        <w:rPr>
          <w:rFonts w:ascii="David" w:hAnsi="David" w:cs="David"/>
          <w:sz w:val="24"/>
          <w:szCs w:val="24"/>
          <w:rtl/>
        </w:rPr>
        <w:t>תשוא</w:t>
      </w:r>
      <w:r w:rsidR="002C4035">
        <w:rPr>
          <w:rFonts w:ascii="David" w:hAnsi="David" w:cs="David" w:hint="cs"/>
          <w:sz w:val="24"/>
          <w:szCs w:val="24"/>
          <w:rtl/>
        </w:rPr>
        <w:t>ה לפדיון זו,</w:t>
      </w:r>
      <w:r w:rsidR="002C4035" w:rsidRPr="008F7201">
        <w:rPr>
          <w:rFonts w:ascii="David" w:hAnsi="David" w:cs="David"/>
          <w:sz w:val="24"/>
          <w:szCs w:val="24"/>
          <w:rtl/>
        </w:rPr>
        <w:t xml:space="preserve"> </w:t>
      </w:r>
      <w:r w:rsidR="002C4035">
        <w:rPr>
          <w:rFonts w:ascii="David" w:hAnsi="David" w:cs="David" w:hint="cs"/>
          <w:sz w:val="24"/>
          <w:szCs w:val="24"/>
          <w:rtl/>
        </w:rPr>
        <w:t>ש</w:t>
      </w:r>
      <w:r w:rsidR="002C4035" w:rsidRPr="008F7201">
        <w:rPr>
          <w:rFonts w:ascii="David" w:hAnsi="David" w:cs="David"/>
          <w:sz w:val="24"/>
          <w:szCs w:val="24"/>
          <w:rtl/>
        </w:rPr>
        <w:t xml:space="preserve">משקפת את הערכות המשקיעים </w:t>
      </w:r>
      <w:r w:rsidR="002C4035">
        <w:rPr>
          <w:rFonts w:ascii="David" w:hAnsi="David" w:cs="David" w:hint="cs"/>
          <w:sz w:val="24"/>
          <w:szCs w:val="24"/>
          <w:rtl/>
        </w:rPr>
        <w:t>ש</w:t>
      </w:r>
      <w:r w:rsidR="002C4035" w:rsidRPr="008F7201">
        <w:rPr>
          <w:rFonts w:ascii="David" w:hAnsi="David" w:cs="David"/>
          <w:sz w:val="24"/>
          <w:szCs w:val="24"/>
          <w:rtl/>
        </w:rPr>
        <w:t>מב</w:t>
      </w:r>
      <w:r w:rsidR="002C4035">
        <w:rPr>
          <w:rFonts w:ascii="David" w:hAnsi="David" w:cs="David" w:hint="cs"/>
          <w:sz w:val="24"/>
          <w:szCs w:val="24"/>
          <w:rtl/>
        </w:rPr>
        <w:t>ו</w:t>
      </w:r>
      <w:r w:rsidR="002C4035" w:rsidRPr="008F7201">
        <w:rPr>
          <w:rFonts w:ascii="David" w:hAnsi="David" w:cs="David"/>
          <w:sz w:val="24"/>
          <w:szCs w:val="24"/>
          <w:rtl/>
        </w:rPr>
        <w:t>סס</w:t>
      </w:r>
      <w:r w:rsidR="002C4035">
        <w:rPr>
          <w:rFonts w:ascii="David" w:hAnsi="David" w:cs="David" w:hint="cs"/>
          <w:sz w:val="24"/>
          <w:szCs w:val="24"/>
          <w:rtl/>
        </w:rPr>
        <w:t>ות</w:t>
      </w:r>
      <w:r w:rsidR="002C4035" w:rsidRPr="008F7201">
        <w:rPr>
          <w:rFonts w:ascii="David" w:hAnsi="David" w:cs="David"/>
          <w:sz w:val="24"/>
          <w:szCs w:val="24"/>
          <w:rtl/>
        </w:rPr>
        <w:t xml:space="preserve"> על כלל הגורמים הכלכליים</w:t>
      </w:r>
      <w:r w:rsidR="002C4035">
        <w:rPr>
          <w:rFonts w:ascii="David" w:hAnsi="David" w:cs="David"/>
          <w:sz w:val="24"/>
          <w:szCs w:val="24"/>
          <w:rtl/>
        </w:rPr>
        <w:t xml:space="preserve"> והפיננסים</w:t>
      </w:r>
      <w:r w:rsidR="002C4035">
        <w:rPr>
          <w:rFonts w:ascii="David" w:hAnsi="David" w:cs="David" w:hint="cs"/>
          <w:sz w:val="24"/>
          <w:szCs w:val="24"/>
          <w:rtl/>
        </w:rPr>
        <w:t>, ירדה בעשור האחרון באופן משמעותי לשיעורים נמוכים במיוחד, למרות הגידול העצום של החוב ביחס לתוצר ברוב מדינות ה-</w:t>
      </w:r>
      <w:r w:rsidR="002C4035">
        <w:rPr>
          <w:rFonts w:ascii="David" w:hAnsi="David" w:cs="David" w:hint="cs"/>
          <w:sz w:val="24"/>
          <w:szCs w:val="24"/>
        </w:rPr>
        <w:t>OEC</w:t>
      </w:r>
      <w:r w:rsidR="002C4035">
        <w:rPr>
          <w:rFonts w:ascii="David" w:hAnsi="David" w:cs="David"/>
          <w:sz w:val="24"/>
          <w:szCs w:val="24"/>
        </w:rPr>
        <w:t>D</w:t>
      </w:r>
      <w:r w:rsidR="002C4035" w:rsidRPr="008F7201">
        <w:rPr>
          <w:rFonts w:ascii="David" w:hAnsi="David" w:cs="David"/>
          <w:sz w:val="24"/>
          <w:szCs w:val="24"/>
          <w:rtl/>
        </w:rPr>
        <w:t xml:space="preserve">. </w:t>
      </w:r>
      <w:r w:rsidR="002C4035">
        <w:rPr>
          <w:rFonts w:ascii="David" w:hAnsi="David" w:cs="David" w:hint="cs"/>
          <w:sz w:val="24"/>
          <w:szCs w:val="24"/>
          <w:rtl/>
        </w:rPr>
        <w:t>התפתחויות אלה, שלכאורה סותרות זו את זו, הניעו ביתר שאת את הדיון הציבורי והמחקרי לגבי תמחור עלות החוב, את טיב דירוגי האשראי ואת אמידת גורמי הסיכון שגלומים בתשואות הממשלתיות הארוכות בפרט.</w:t>
      </w:r>
    </w:p>
    <w:p w:rsidR="002C4035" w:rsidRDefault="002C4035" w:rsidP="00AD77C0">
      <w:pPr>
        <w:spacing w:line="360" w:lineRule="auto"/>
        <w:jc w:val="both"/>
        <w:rPr>
          <w:rFonts w:ascii="David" w:hAnsi="David" w:cs="David"/>
          <w:sz w:val="24"/>
          <w:szCs w:val="24"/>
          <w:rtl/>
        </w:rPr>
      </w:pPr>
      <w:r>
        <w:rPr>
          <w:rFonts w:ascii="David" w:hAnsi="David" w:cs="David" w:hint="cs"/>
          <w:sz w:val="24"/>
          <w:szCs w:val="24"/>
          <w:rtl/>
        </w:rPr>
        <w:t>בעבודה זו מנתחים</w:t>
      </w:r>
      <w:r w:rsidRPr="00907D27">
        <w:rPr>
          <w:rFonts w:ascii="David" w:hAnsi="David" w:cs="David"/>
          <w:sz w:val="24"/>
          <w:szCs w:val="24"/>
          <w:rtl/>
        </w:rPr>
        <w:t xml:space="preserve"> </w:t>
      </w:r>
      <w:r>
        <w:rPr>
          <w:rFonts w:ascii="David" w:hAnsi="David" w:cs="David" w:hint="cs"/>
          <w:sz w:val="24"/>
          <w:szCs w:val="24"/>
          <w:rtl/>
        </w:rPr>
        <w:t xml:space="preserve">חוקרי חטיבת המחקר, </w:t>
      </w:r>
      <w:r w:rsidR="00352671">
        <w:rPr>
          <w:rFonts w:ascii="David" w:hAnsi="David" w:cs="David" w:hint="cs"/>
          <w:sz w:val="24"/>
          <w:szCs w:val="24"/>
          <w:rtl/>
        </w:rPr>
        <w:t xml:space="preserve">ד"ר </w:t>
      </w:r>
      <w:r>
        <w:rPr>
          <w:rFonts w:ascii="David" w:hAnsi="David" w:cs="David" w:hint="cs"/>
          <w:sz w:val="24"/>
          <w:szCs w:val="24"/>
          <w:rtl/>
        </w:rPr>
        <w:t>רועי שטיין ו</w:t>
      </w:r>
      <w:r w:rsidR="00352671">
        <w:rPr>
          <w:rFonts w:ascii="David" w:hAnsi="David" w:cs="David" w:hint="cs"/>
          <w:sz w:val="24"/>
          <w:szCs w:val="24"/>
          <w:rtl/>
        </w:rPr>
        <w:t xml:space="preserve">ד"ר </w:t>
      </w:r>
      <w:r>
        <w:rPr>
          <w:rFonts w:ascii="David" w:hAnsi="David" w:cs="David" w:hint="cs"/>
          <w:sz w:val="24"/>
          <w:szCs w:val="24"/>
          <w:rtl/>
        </w:rPr>
        <w:t xml:space="preserve">נועם מיכלסון, </w:t>
      </w:r>
      <w:r w:rsidRPr="00907D27">
        <w:rPr>
          <w:rFonts w:ascii="David" w:hAnsi="David" w:cs="David"/>
          <w:sz w:val="24"/>
          <w:szCs w:val="24"/>
          <w:rtl/>
        </w:rPr>
        <w:t xml:space="preserve">את התשואות הממשלתיות הארוכות במדינות </w:t>
      </w:r>
      <w:r w:rsidRPr="00907D27">
        <w:rPr>
          <w:rFonts w:ascii="David" w:hAnsi="David" w:cs="David" w:hint="eastAsia"/>
          <w:sz w:val="24"/>
          <w:szCs w:val="24"/>
          <w:rtl/>
        </w:rPr>
        <w:t>ה</w:t>
      </w:r>
      <w:r w:rsidRPr="00907D27">
        <w:rPr>
          <w:rFonts w:ascii="David" w:hAnsi="David" w:cs="David"/>
          <w:sz w:val="24"/>
          <w:szCs w:val="24"/>
          <w:rtl/>
        </w:rPr>
        <w:t>-</w:t>
      </w:r>
      <w:r w:rsidRPr="00907D27">
        <w:rPr>
          <w:rFonts w:ascii="David" w:hAnsi="David" w:cs="David"/>
          <w:sz w:val="24"/>
          <w:szCs w:val="24"/>
        </w:rPr>
        <w:t>OECD</w:t>
      </w:r>
      <w:r w:rsidRPr="00907D27">
        <w:rPr>
          <w:rFonts w:ascii="David" w:hAnsi="David" w:cs="David"/>
          <w:sz w:val="24"/>
          <w:szCs w:val="24"/>
          <w:rtl/>
        </w:rPr>
        <w:t xml:space="preserve"> </w:t>
      </w:r>
      <w:r w:rsidRPr="00907D27">
        <w:rPr>
          <w:rFonts w:ascii="David" w:hAnsi="David" w:cs="David" w:hint="eastAsia"/>
          <w:sz w:val="24"/>
          <w:szCs w:val="24"/>
          <w:rtl/>
        </w:rPr>
        <w:t>על</w:t>
      </w:r>
      <w:r>
        <w:rPr>
          <w:rFonts w:ascii="David" w:hAnsi="David" w:cs="David" w:hint="cs"/>
          <w:sz w:val="24"/>
          <w:szCs w:val="24"/>
          <w:rtl/>
        </w:rPr>
        <w:t>־</w:t>
      </w:r>
      <w:r w:rsidRPr="00907D27">
        <w:rPr>
          <w:rFonts w:ascii="David" w:hAnsi="David" w:cs="David"/>
          <w:sz w:val="24"/>
          <w:szCs w:val="24"/>
          <w:rtl/>
        </w:rPr>
        <w:t>פני זמן ואומד</w:t>
      </w:r>
      <w:r>
        <w:rPr>
          <w:rFonts w:ascii="David" w:hAnsi="David" w:cs="David" w:hint="cs"/>
          <w:sz w:val="24"/>
          <w:szCs w:val="24"/>
          <w:rtl/>
        </w:rPr>
        <w:t>ים</w:t>
      </w:r>
      <w:r w:rsidRPr="00907D27">
        <w:rPr>
          <w:rFonts w:ascii="David" w:hAnsi="David" w:cs="David"/>
          <w:sz w:val="24"/>
          <w:szCs w:val="24"/>
          <w:rtl/>
        </w:rPr>
        <w:t xml:space="preserve"> את מכלול הגורמים </w:t>
      </w:r>
      <w:r>
        <w:rPr>
          <w:rFonts w:ascii="David" w:hAnsi="David" w:cs="David" w:hint="cs"/>
          <w:sz w:val="24"/>
          <w:szCs w:val="24"/>
          <w:rtl/>
        </w:rPr>
        <w:t>ש</w:t>
      </w:r>
      <w:r w:rsidRPr="00907D27">
        <w:rPr>
          <w:rFonts w:ascii="David" w:hAnsi="David" w:cs="David"/>
          <w:sz w:val="24"/>
          <w:szCs w:val="24"/>
          <w:rtl/>
        </w:rPr>
        <w:t xml:space="preserve">משפיעים על תשואות </w:t>
      </w:r>
      <w:r>
        <w:rPr>
          <w:rFonts w:ascii="David" w:hAnsi="David" w:cs="David"/>
          <w:sz w:val="24"/>
          <w:szCs w:val="24"/>
          <w:rtl/>
        </w:rPr>
        <w:t>אלה ו</w:t>
      </w:r>
      <w:r w:rsidRPr="00907D27">
        <w:rPr>
          <w:rFonts w:ascii="David" w:hAnsi="David" w:cs="David"/>
          <w:sz w:val="24"/>
          <w:szCs w:val="24"/>
          <w:rtl/>
        </w:rPr>
        <w:t xml:space="preserve">בכלל זה משתנים דמוגרפים, כלכליים ופיננסים. </w:t>
      </w:r>
      <w:r w:rsidR="0047161C" w:rsidRPr="0047161C">
        <w:rPr>
          <w:rFonts w:ascii="David" w:hAnsi="David" w:cs="David"/>
          <w:sz w:val="24"/>
          <w:szCs w:val="24"/>
          <w:rtl/>
        </w:rPr>
        <w:t xml:space="preserve">החידוש של </w:t>
      </w:r>
      <w:r w:rsidR="0047161C">
        <w:rPr>
          <w:rFonts w:ascii="David" w:hAnsi="David" w:cs="David" w:hint="cs"/>
          <w:sz w:val="24"/>
          <w:szCs w:val="24"/>
          <w:rtl/>
        </w:rPr>
        <w:t>עבודה</w:t>
      </w:r>
      <w:r w:rsidR="0047161C" w:rsidRPr="0047161C">
        <w:rPr>
          <w:rFonts w:ascii="David" w:hAnsi="David" w:cs="David"/>
          <w:sz w:val="24"/>
          <w:szCs w:val="24"/>
          <w:rtl/>
        </w:rPr>
        <w:t xml:space="preserve"> </w:t>
      </w:r>
      <w:r w:rsidR="0047161C">
        <w:rPr>
          <w:rFonts w:ascii="David" w:hAnsi="David" w:cs="David" w:hint="cs"/>
          <w:sz w:val="24"/>
          <w:szCs w:val="24"/>
          <w:rtl/>
        </w:rPr>
        <w:t xml:space="preserve">זו </w:t>
      </w:r>
      <w:r w:rsidR="0047161C" w:rsidRPr="0047161C">
        <w:rPr>
          <w:rFonts w:ascii="David" w:hAnsi="David" w:cs="David"/>
          <w:sz w:val="24"/>
          <w:szCs w:val="24"/>
          <w:rtl/>
        </w:rPr>
        <w:t>ותרומ</w:t>
      </w:r>
      <w:r w:rsidR="0047161C">
        <w:rPr>
          <w:rFonts w:ascii="David" w:hAnsi="David" w:cs="David" w:hint="cs"/>
          <w:sz w:val="24"/>
          <w:szCs w:val="24"/>
          <w:rtl/>
        </w:rPr>
        <w:t>תה</w:t>
      </w:r>
      <w:r w:rsidR="0047161C" w:rsidRPr="0047161C">
        <w:rPr>
          <w:rFonts w:ascii="David" w:hAnsi="David" w:cs="David"/>
          <w:sz w:val="24"/>
          <w:szCs w:val="24"/>
          <w:rtl/>
        </w:rPr>
        <w:t xml:space="preserve"> לספרות, </w:t>
      </w:r>
      <w:r w:rsidR="0047161C">
        <w:rPr>
          <w:rFonts w:ascii="David" w:hAnsi="David" w:cs="David" w:hint="cs"/>
          <w:sz w:val="24"/>
          <w:szCs w:val="24"/>
          <w:rtl/>
        </w:rPr>
        <w:t>טמון באמידת</w:t>
      </w:r>
      <w:r w:rsidR="0047161C" w:rsidRPr="0047161C">
        <w:rPr>
          <w:rFonts w:ascii="David" w:hAnsi="David" w:cs="David"/>
          <w:sz w:val="24"/>
          <w:szCs w:val="24"/>
          <w:rtl/>
        </w:rPr>
        <w:t xml:space="preserve"> מודל שלם ומקיף </w:t>
      </w:r>
      <w:r w:rsidR="0047161C">
        <w:rPr>
          <w:rFonts w:ascii="David" w:hAnsi="David" w:cs="David" w:hint="cs"/>
          <w:sz w:val="24"/>
          <w:szCs w:val="24"/>
          <w:rtl/>
        </w:rPr>
        <w:t>המאפשר</w:t>
      </w:r>
      <w:r w:rsidR="0047161C" w:rsidRPr="0047161C">
        <w:rPr>
          <w:rFonts w:ascii="David" w:hAnsi="David" w:cs="David"/>
          <w:sz w:val="24"/>
          <w:szCs w:val="24"/>
          <w:rtl/>
        </w:rPr>
        <w:t xml:space="preserve"> הבחנה בין הגורמים </w:t>
      </w:r>
      <w:r w:rsidR="0047161C">
        <w:rPr>
          <w:rFonts w:ascii="David" w:hAnsi="David" w:cs="David" w:hint="cs"/>
          <w:sz w:val="24"/>
          <w:szCs w:val="24"/>
          <w:rtl/>
        </w:rPr>
        <w:t xml:space="preserve">הכלכליים </w:t>
      </w:r>
      <w:r w:rsidR="0047161C" w:rsidRPr="0047161C">
        <w:rPr>
          <w:rFonts w:ascii="David" w:hAnsi="David" w:cs="David"/>
          <w:sz w:val="24"/>
          <w:szCs w:val="24"/>
          <w:rtl/>
        </w:rPr>
        <w:t>השונים שמשפיעים על התשואה</w:t>
      </w:r>
      <w:r w:rsidR="0047161C">
        <w:rPr>
          <w:rFonts w:ascii="David" w:hAnsi="David" w:cs="David" w:hint="cs"/>
          <w:sz w:val="24"/>
          <w:szCs w:val="24"/>
          <w:rtl/>
        </w:rPr>
        <w:t xml:space="preserve">. הבחנה זו </w:t>
      </w:r>
      <w:r w:rsidRPr="00907D27">
        <w:rPr>
          <w:rFonts w:ascii="David" w:hAnsi="David" w:cs="David"/>
          <w:sz w:val="24"/>
          <w:szCs w:val="24"/>
          <w:rtl/>
        </w:rPr>
        <w:t xml:space="preserve">בין </w:t>
      </w:r>
      <w:r w:rsidRPr="00907D27">
        <w:rPr>
          <w:rFonts w:ascii="David" w:hAnsi="David" w:cs="David" w:hint="eastAsia"/>
          <w:sz w:val="24"/>
          <w:szCs w:val="24"/>
          <w:rtl/>
        </w:rPr>
        <w:t>הגורמים</w:t>
      </w:r>
      <w:r w:rsidRPr="00907D27">
        <w:rPr>
          <w:rFonts w:ascii="David" w:hAnsi="David" w:cs="David"/>
          <w:sz w:val="24"/>
          <w:szCs w:val="24"/>
          <w:rtl/>
        </w:rPr>
        <w:t xml:space="preserve"> </w:t>
      </w:r>
      <w:r w:rsidR="0047161C">
        <w:rPr>
          <w:rFonts w:ascii="David" w:hAnsi="David" w:cs="David" w:hint="cs"/>
          <w:sz w:val="24"/>
          <w:szCs w:val="24"/>
          <w:rtl/>
        </w:rPr>
        <w:t xml:space="preserve">הכלכליים </w:t>
      </w:r>
      <w:r w:rsidRPr="00907D27">
        <w:rPr>
          <w:rFonts w:ascii="David" w:hAnsi="David" w:cs="David" w:hint="eastAsia"/>
          <w:sz w:val="24"/>
          <w:szCs w:val="24"/>
          <w:rtl/>
        </w:rPr>
        <w:t>השונים</w:t>
      </w:r>
      <w:r w:rsidRPr="00907D27">
        <w:rPr>
          <w:rFonts w:ascii="David" w:hAnsi="David" w:cs="David"/>
          <w:sz w:val="24"/>
          <w:szCs w:val="24"/>
          <w:rtl/>
        </w:rPr>
        <w:t xml:space="preserve"> </w:t>
      </w:r>
      <w:r>
        <w:rPr>
          <w:rFonts w:ascii="David" w:hAnsi="David" w:cs="David" w:hint="cs"/>
          <w:sz w:val="24"/>
          <w:szCs w:val="24"/>
          <w:rtl/>
        </w:rPr>
        <w:t>נ</w:t>
      </w:r>
      <w:r w:rsidRPr="00907D27">
        <w:rPr>
          <w:rFonts w:ascii="David" w:hAnsi="David" w:cs="David" w:hint="eastAsia"/>
          <w:sz w:val="24"/>
          <w:szCs w:val="24"/>
          <w:rtl/>
        </w:rPr>
        <w:t>חלקו</w:t>
      </w:r>
      <w:r w:rsidRPr="00907D27">
        <w:rPr>
          <w:rFonts w:ascii="David" w:hAnsi="David" w:cs="David"/>
          <w:sz w:val="24"/>
          <w:szCs w:val="24"/>
          <w:rtl/>
        </w:rPr>
        <w:t xml:space="preserve"> </w:t>
      </w:r>
      <w:r w:rsidRPr="00907D27">
        <w:rPr>
          <w:rFonts w:ascii="David" w:hAnsi="David" w:cs="David" w:hint="eastAsia"/>
          <w:sz w:val="24"/>
          <w:szCs w:val="24"/>
          <w:rtl/>
        </w:rPr>
        <w:t>לשלוש</w:t>
      </w:r>
      <w:r w:rsidRPr="00907D27">
        <w:rPr>
          <w:rFonts w:ascii="David" w:hAnsi="David" w:cs="David"/>
          <w:sz w:val="24"/>
          <w:szCs w:val="24"/>
          <w:rtl/>
        </w:rPr>
        <w:t xml:space="preserve"> </w:t>
      </w:r>
      <w:r w:rsidRPr="00907D27">
        <w:rPr>
          <w:rFonts w:ascii="David" w:hAnsi="David" w:cs="David" w:hint="eastAsia"/>
          <w:sz w:val="24"/>
          <w:szCs w:val="24"/>
          <w:rtl/>
        </w:rPr>
        <w:t>קבוצות</w:t>
      </w:r>
      <w:r w:rsidRPr="00907D27">
        <w:rPr>
          <w:rFonts w:ascii="David" w:hAnsi="David" w:cs="David"/>
          <w:sz w:val="24"/>
          <w:szCs w:val="24"/>
          <w:rtl/>
        </w:rPr>
        <w:t xml:space="preserve">: </w:t>
      </w:r>
      <w:r w:rsidRPr="00907D27">
        <w:rPr>
          <w:rFonts w:ascii="David" w:hAnsi="David" w:cs="David" w:hint="eastAsia"/>
          <w:sz w:val="24"/>
          <w:szCs w:val="24"/>
          <w:rtl/>
        </w:rPr>
        <w:t>גורמים</w:t>
      </w:r>
      <w:r w:rsidRPr="00907D27">
        <w:rPr>
          <w:rFonts w:ascii="David" w:hAnsi="David" w:cs="David"/>
          <w:sz w:val="24"/>
          <w:szCs w:val="24"/>
          <w:rtl/>
        </w:rPr>
        <w:t xml:space="preserve"> </w:t>
      </w:r>
      <w:r w:rsidRPr="00907D27">
        <w:rPr>
          <w:rFonts w:ascii="David" w:hAnsi="David" w:cs="David" w:hint="eastAsia"/>
          <w:sz w:val="24"/>
          <w:szCs w:val="24"/>
          <w:rtl/>
        </w:rPr>
        <w:t>מבניים</w:t>
      </w:r>
      <w:r>
        <w:rPr>
          <w:rFonts w:ascii="David" w:hAnsi="David" w:cs="David" w:hint="cs"/>
          <w:sz w:val="24"/>
          <w:szCs w:val="24"/>
          <w:rtl/>
        </w:rPr>
        <w:t>,</w:t>
      </w:r>
      <w:r w:rsidRPr="00907D27">
        <w:rPr>
          <w:rFonts w:ascii="David" w:hAnsi="David" w:cs="David"/>
          <w:sz w:val="24"/>
          <w:szCs w:val="24"/>
          <w:rtl/>
        </w:rPr>
        <w:t xml:space="preserve"> </w:t>
      </w:r>
      <w:r>
        <w:rPr>
          <w:rFonts w:ascii="David" w:hAnsi="David" w:cs="David" w:hint="cs"/>
          <w:sz w:val="24"/>
          <w:szCs w:val="24"/>
          <w:rtl/>
        </w:rPr>
        <w:t>ש</w:t>
      </w:r>
      <w:r w:rsidRPr="00907D27">
        <w:rPr>
          <w:rFonts w:ascii="David" w:hAnsi="David" w:cs="David" w:hint="eastAsia"/>
          <w:sz w:val="24"/>
          <w:szCs w:val="24"/>
          <w:rtl/>
        </w:rPr>
        <w:t>מ</w:t>
      </w:r>
      <w:r w:rsidRPr="008F4BBB">
        <w:rPr>
          <w:rFonts w:ascii="David" w:hAnsi="David" w:cs="David" w:hint="eastAsia"/>
          <w:sz w:val="24"/>
          <w:szCs w:val="24"/>
          <w:rtl/>
        </w:rPr>
        <w:t>כתיבים</w:t>
      </w:r>
      <w:r w:rsidRPr="008F4BBB">
        <w:rPr>
          <w:rFonts w:ascii="David" w:hAnsi="David" w:cs="David"/>
          <w:sz w:val="24"/>
          <w:szCs w:val="24"/>
          <w:rtl/>
        </w:rPr>
        <w:t xml:space="preserve"> </w:t>
      </w:r>
      <w:r w:rsidRPr="008F4BBB">
        <w:rPr>
          <w:rFonts w:ascii="David" w:hAnsi="David" w:cs="David" w:hint="eastAsia"/>
          <w:sz w:val="24"/>
          <w:szCs w:val="24"/>
          <w:rtl/>
        </w:rPr>
        <w:t>את</w:t>
      </w:r>
      <w:r w:rsidRPr="00907D27">
        <w:rPr>
          <w:rFonts w:ascii="David" w:hAnsi="David" w:cs="David"/>
          <w:sz w:val="24"/>
          <w:szCs w:val="24"/>
          <w:rtl/>
        </w:rPr>
        <w:t xml:space="preserve"> </w:t>
      </w:r>
      <w:r w:rsidRPr="00907D27">
        <w:rPr>
          <w:rFonts w:ascii="David" w:hAnsi="David" w:cs="David" w:hint="eastAsia"/>
          <w:sz w:val="24"/>
          <w:szCs w:val="24"/>
          <w:rtl/>
        </w:rPr>
        <w:t>הריבית</w:t>
      </w:r>
      <w:r w:rsidRPr="00907D27">
        <w:rPr>
          <w:rFonts w:ascii="David" w:hAnsi="David" w:cs="David"/>
          <w:sz w:val="24"/>
          <w:szCs w:val="24"/>
          <w:rtl/>
        </w:rPr>
        <w:t xml:space="preserve"> הטבעית</w:t>
      </w:r>
      <w:r>
        <w:rPr>
          <w:rFonts w:ascii="David" w:hAnsi="David" w:cs="David" w:hint="cs"/>
          <w:sz w:val="24"/>
          <w:szCs w:val="24"/>
          <w:rtl/>
        </w:rPr>
        <w:t>;</w:t>
      </w:r>
      <w:r w:rsidRPr="00907D27">
        <w:rPr>
          <w:rFonts w:ascii="David" w:hAnsi="David" w:cs="David"/>
          <w:sz w:val="24"/>
          <w:szCs w:val="24"/>
          <w:rtl/>
        </w:rPr>
        <w:t xml:space="preserve"> גורמים מחזוריים</w:t>
      </w:r>
      <w:r w:rsidR="00352671">
        <w:rPr>
          <w:rFonts w:ascii="David" w:hAnsi="David" w:cs="David" w:hint="cs"/>
          <w:sz w:val="24"/>
          <w:szCs w:val="24"/>
          <w:rtl/>
        </w:rPr>
        <w:t xml:space="preserve"> </w:t>
      </w:r>
      <w:r w:rsidR="00787A90">
        <w:rPr>
          <w:rFonts w:ascii="David" w:hAnsi="David" w:cs="David" w:hint="cs"/>
          <w:sz w:val="24"/>
          <w:szCs w:val="24"/>
          <w:rtl/>
        </w:rPr>
        <w:t>שמכתיבים שינויים ביחס לריבית הטבעית בהתאם למחזור העסקי וסביבת האינפלציה</w:t>
      </w:r>
      <w:r>
        <w:rPr>
          <w:rFonts w:ascii="David" w:hAnsi="David" w:cs="David" w:hint="cs"/>
          <w:sz w:val="24"/>
          <w:szCs w:val="24"/>
          <w:rtl/>
        </w:rPr>
        <w:t>;</w:t>
      </w:r>
      <w:r w:rsidRPr="00907D27">
        <w:rPr>
          <w:rFonts w:ascii="David" w:hAnsi="David" w:cs="David"/>
          <w:sz w:val="24"/>
          <w:szCs w:val="24"/>
          <w:rtl/>
        </w:rPr>
        <w:t xml:space="preserve"> ו</w:t>
      </w:r>
      <w:r>
        <w:rPr>
          <w:rFonts w:ascii="David" w:hAnsi="David" w:cs="David" w:hint="cs"/>
          <w:sz w:val="24"/>
          <w:szCs w:val="24"/>
          <w:rtl/>
        </w:rPr>
        <w:t xml:space="preserve">כן </w:t>
      </w:r>
      <w:r w:rsidRPr="00907D27">
        <w:rPr>
          <w:rFonts w:ascii="David" w:hAnsi="David" w:cs="David"/>
          <w:sz w:val="24"/>
          <w:szCs w:val="24"/>
          <w:rtl/>
        </w:rPr>
        <w:t>גורמ</w:t>
      </w:r>
      <w:r w:rsidRPr="00907D27">
        <w:rPr>
          <w:rFonts w:ascii="David" w:hAnsi="David" w:cs="David" w:hint="eastAsia"/>
          <w:sz w:val="24"/>
          <w:szCs w:val="24"/>
          <w:rtl/>
        </w:rPr>
        <w:t>י</w:t>
      </w:r>
      <w:r w:rsidRPr="00907D27">
        <w:rPr>
          <w:rFonts w:ascii="David" w:hAnsi="David" w:cs="David"/>
          <w:sz w:val="24"/>
          <w:szCs w:val="24"/>
          <w:rtl/>
        </w:rPr>
        <w:t xml:space="preserve"> סיכון </w:t>
      </w:r>
      <w:proofErr w:type="spellStart"/>
      <w:r w:rsidRPr="00907D27">
        <w:rPr>
          <w:rFonts w:ascii="David" w:hAnsi="David" w:cs="David" w:hint="eastAsia"/>
          <w:sz w:val="24"/>
          <w:szCs w:val="24"/>
          <w:rtl/>
        </w:rPr>
        <w:t>פיסקלים</w:t>
      </w:r>
      <w:proofErr w:type="spellEnd"/>
      <w:r>
        <w:rPr>
          <w:rFonts w:ascii="David" w:hAnsi="David" w:cs="David" w:hint="cs"/>
          <w:sz w:val="24"/>
          <w:szCs w:val="24"/>
          <w:rtl/>
        </w:rPr>
        <w:t>,</w:t>
      </w:r>
      <w:r w:rsidRPr="00907D27">
        <w:rPr>
          <w:rFonts w:ascii="David" w:hAnsi="David" w:cs="David"/>
          <w:sz w:val="24"/>
          <w:szCs w:val="24"/>
          <w:rtl/>
        </w:rPr>
        <w:t xml:space="preserve"> </w:t>
      </w:r>
      <w:r w:rsidR="00787A90">
        <w:rPr>
          <w:rFonts w:ascii="David" w:hAnsi="David" w:cs="David" w:hint="cs"/>
          <w:sz w:val="24"/>
          <w:szCs w:val="24"/>
          <w:rtl/>
        </w:rPr>
        <w:t>שמכתיבים את פרמיית הסיכון עבור</w:t>
      </w:r>
      <w:r w:rsidRPr="00907D27">
        <w:rPr>
          <w:rFonts w:ascii="David" w:hAnsi="David" w:cs="David"/>
          <w:sz w:val="24"/>
          <w:szCs w:val="24"/>
          <w:rtl/>
        </w:rPr>
        <w:t xml:space="preserve"> ההסתברות שהמדינות </w:t>
      </w:r>
      <w:r w:rsidR="00787A90">
        <w:rPr>
          <w:rFonts w:ascii="David" w:hAnsi="David" w:cs="David" w:hint="cs"/>
          <w:sz w:val="24"/>
          <w:szCs w:val="24"/>
          <w:rtl/>
        </w:rPr>
        <w:t xml:space="preserve">לא </w:t>
      </w:r>
      <w:r w:rsidRPr="00907D27">
        <w:rPr>
          <w:rFonts w:ascii="David" w:hAnsi="David" w:cs="David"/>
          <w:sz w:val="24"/>
          <w:szCs w:val="24"/>
          <w:rtl/>
        </w:rPr>
        <w:t xml:space="preserve">תוכלנה לשרת את חובן. </w:t>
      </w:r>
      <w:proofErr w:type="spellStart"/>
      <w:r w:rsidRPr="008F4BBB">
        <w:rPr>
          <w:rFonts w:ascii="David" w:hAnsi="David" w:cs="David" w:hint="eastAsia"/>
          <w:sz w:val="24"/>
          <w:szCs w:val="24"/>
          <w:rtl/>
        </w:rPr>
        <w:t>על</w:t>
      </w:r>
      <w:r>
        <w:rPr>
          <w:rFonts w:ascii="David" w:hAnsi="David" w:cs="David" w:hint="cs"/>
          <w:sz w:val="24"/>
          <w:szCs w:val="24"/>
          <w:rtl/>
        </w:rPr>
        <w:t>־</w:t>
      </w:r>
      <w:r w:rsidRPr="008F4BBB">
        <w:rPr>
          <w:rFonts w:ascii="David" w:hAnsi="David" w:cs="David"/>
          <w:sz w:val="24"/>
          <w:szCs w:val="24"/>
          <w:rtl/>
        </w:rPr>
        <w:t>בסיס</w:t>
      </w:r>
      <w:proofErr w:type="spellEnd"/>
      <w:r w:rsidRPr="008F4BBB">
        <w:rPr>
          <w:rFonts w:ascii="David" w:hAnsi="David" w:cs="David"/>
          <w:sz w:val="24"/>
          <w:szCs w:val="24"/>
          <w:rtl/>
        </w:rPr>
        <w:t xml:space="preserve"> מודל זה </w:t>
      </w:r>
      <w:r>
        <w:rPr>
          <w:rFonts w:ascii="David" w:hAnsi="David" w:cs="David" w:hint="cs"/>
          <w:sz w:val="24"/>
          <w:szCs w:val="24"/>
          <w:rtl/>
        </w:rPr>
        <w:t xml:space="preserve">בוחנים החוקרים </w:t>
      </w:r>
      <w:r w:rsidRPr="00907D27">
        <w:rPr>
          <w:rFonts w:ascii="David" w:hAnsi="David" w:cs="David"/>
          <w:sz w:val="24"/>
          <w:szCs w:val="24"/>
          <w:rtl/>
        </w:rPr>
        <w:t>אם יש בדירוגי</w:t>
      </w:r>
      <w:r w:rsidRPr="008F4BBB">
        <w:rPr>
          <w:rFonts w:ascii="David" w:hAnsi="David" w:cs="David"/>
          <w:sz w:val="24"/>
          <w:szCs w:val="24"/>
          <w:rtl/>
        </w:rPr>
        <w:t xml:space="preserve"> האשראי</w:t>
      </w:r>
      <w:r w:rsidRPr="00907D27">
        <w:rPr>
          <w:rFonts w:ascii="David" w:hAnsi="David" w:cs="David"/>
          <w:sz w:val="24"/>
          <w:szCs w:val="24"/>
          <w:rtl/>
        </w:rPr>
        <w:t xml:space="preserve"> </w:t>
      </w:r>
      <w:r>
        <w:rPr>
          <w:rFonts w:ascii="David" w:hAnsi="David" w:cs="David" w:hint="cs"/>
          <w:sz w:val="24"/>
          <w:szCs w:val="24"/>
          <w:rtl/>
        </w:rPr>
        <w:t xml:space="preserve">של מדינות </w:t>
      </w:r>
      <w:r w:rsidRPr="00907D27">
        <w:rPr>
          <w:rFonts w:ascii="David" w:hAnsi="David" w:cs="David"/>
          <w:sz w:val="24"/>
          <w:szCs w:val="24"/>
          <w:rtl/>
        </w:rPr>
        <w:t xml:space="preserve">מידע </w:t>
      </w:r>
      <w:r w:rsidRPr="00907D27">
        <w:rPr>
          <w:rFonts w:ascii="David" w:hAnsi="David" w:cs="David" w:hint="eastAsia"/>
          <w:sz w:val="24"/>
          <w:szCs w:val="24"/>
          <w:rtl/>
        </w:rPr>
        <w:t>נוסף</w:t>
      </w:r>
      <w:r w:rsidRPr="00907D27">
        <w:rPr>
          <w:rFonts w:ascii="David" w:hAnsi="David" w:cs="David"/>
          <w:sz w:val="24"/>
          <w:szCs w:val="24"/>
          <w:rtl/>
        </w:rPr>
        <w:t xml:space="preserve"> </w:t>
      </w:r>
      <w:r w:rsidRPr="00907D27">
        <w:rPr>
          <w:rFonts w:ascii="David" w:hAnsi="David" w:cs="David" w:hint="eastAsia"/>
          <w:sz w:val="24"/>
          <w:szCs w:val="24"/>
          <w:rtl/>
        </w:rPr>
        <w:t>שנלקח</w:t>
      </w:r>
      <w:r w:rsidRPr="00907D27">
        <w:rPr>
          <w:rFonts w:ascii="David" w:hAnsi="David" w:cs="David"/>
          <w:sz w:val="24"/>
          <w:szCs w:val="24"/>
          <w:rtl/>
        </w:rPr>
        <w:t xml:space="preserve"> בחשבון </w:t>
      </w:r>
      <w:proofErr w:type="spellStart"/>
      <w:r w:rsidRPr="00907D27">
        <w:rPr>
          <w:rFonts w:ascii="David" w:hAnsi="David" w:cs="David"/>
          <w:sz w:val="24"/>
          <w:szCs w:val="24"/>
          <w:rtl/>
        </w:rPr>
        <w:t>על</w:t>
      </w:r>
      <w:r>
        <w:rPr>
          <w:rFonts w:ascii="David" w:hAnsi="David" w:cs="David" w:hint="cs"/>
          <w:sz w:val="24"/>
          <w:szCs w:val="24"/>
          <w:rtl/>
        </w:rPr>
        <w:t>־</w:t>
      </w:r>
      <w:r w:rsidRPr="00907D27">
        <w:rPr>
          <w:rFonts w:ascii="David" w:hAnsi="David" w:cs="David"/>
          <w:sz w:val="24"/>
          <w:szCs w:val="24"/>
          <w:rtl/>
        </w:rPr>
        <w:t>ידי</w:t>
      </w:r>
      <w:proofErr w:type="spellEnd"/>
      <w:r w:rsidRPr="00907D27">
        <w:rPr>
          <w:rFonts w:ascii="David" w:hAnsi="David" w:cs="David"/>
          <w:sz w:val="24"/>
          <w:szCs w:val="24"/>
          <w:rtl/>
        </w:rPr>
        <w:t xml:space="preserve"> </w:t>
      </w:r>
      <w:r w:rsidRPr="00907D27">
        <w:rPr>
          <w:rFonts w:ascii="David" w:hAnsi="David" w:cs="David" w:hint="eastAsia"/>
          <w:sz w:val="24"/>
          <w:szCs w:val="24"/>
          <w:rtl/>
        </w:rPr>
        <w:t>ציבור</w:t>
      </w:r>
      <w:r w:rsidRPr="00907D27">
        <w:rPr>
          <w:rFonts w:ascii="David" w:hAnsi="David" w:cs="David"/>
          <w:sz w:val="24"/>
          <w:szCs w:val="24"/>
          <w:rtl/>
        </w:rPr>
        <w:t xml:space="preserve"> המשקיעים.</w:t>
      </w:r>
    </w:p>
    <w:p w:rsidR="002C4035" w:rsidRDefault="002C4035" w:rsidP="00787A90">
      <w:pPr>
        <w:spacing w:after="120" w:line="360" w:lineRule="auto"/>
        <w:jc w:val="both"/>
        <w:rPr>
          <w:rFonts w:ascii="David" w:hAnsi="David" w:cs="David"/>
          <w:sz w:val="24"/>
          <w:szCs w:val="24"/>
          <w:rtl/>
        </w:rPr>
      </w:pPr>
      <w:r w:rsidRPr="00907D27">
        <w:rPr>
          <w:rFonts w:ascii="David" w:hAnsi="David" w:cs="David" w:hint="eastAsia"/>
          <w:sz w:val="24"/>
          <w:szCs w:val="24"/>
          <w:rtl/>
        </w:rPr>
        <w:t>הממצאים</w:t>
      </w:r>
      <w:r w:rsidRPr="00907D27">
        <w:rPr>
          <w:rFonts w:ascii="David" w:hAnsi="David" w:cs="David"/>
          <w:sz w:val="24"/>
          <w:szCs w:val="24"/>
          <w:rtl/>
        </w:rPr>
        <w:t xml:space="preserve"> </w:t>
      </w:r>
      <w:r w:rsidRPr="00907D27">
        <w:rPr>
          <w:rFonts w:ascii="David" w:hAnsi="David" w:cs="David" w:hint="eastAsia"/>
          <w:sz w:val="24"/>
          <w:szCs w:val="24"/>
          <w:rtl/>
        </w:rPr>
        <w:t>מראים</w:t>
      </w:r>
      <w:r w:rsidRPr="00907D27">
        <w:rPr>
          <w:rFonts w:ascii="David" w:hAnsi="David" w:cs="David"/>
          <w:sz w:val="24"/>
          <w:szCs w:val="24"/>
          <w:rtl/>
        </w:rPr>
        <w:t xml:space="preserve"> </w:t>
      </w:r>
      <w:r>
        <w:rPr>
          <w:rFonts w:ascii="David" w:hAnsi="David" w:cs="David" w:hint="cs"/>
          <w:sz w:val="24"/>
          <w:szCs w:val="24"/>
          <w:rtl/>
        </w:rPr>
        <w:t>ש</w:t>
      </w:r>
      <w:r w:rsidRPr="00907D27">
        <w:rPr>
          <w:rFonts w:ascii="David" w:hAnsi="David" w:cs="David" w:hint="eastAsia"/>
          <w:sz w:val="24"/>
          <w:szCs w:val="24"/>
          <w:rtl/>
        </w:rPr>
        <w:t>הריבית</w:t>
      </w:r>
      <w:r w:rsidRPr="00907D27">
        <w:rPr>
          <w:rFonts w:ascii="David" w:hAnsi="David" w:cs="David"/>
          <w:sz w:val="24"/>
          <w:szCs w:val="24"/>
          <w:rtl/>
        </w:rPr>
        <w:t xml:space="preserve"> </w:t>
      </w:r>
      <w:r w:rsidRPr="00907D27">
        <w:rPr>
          <w:rFonts w:ascii="David" w:hAnsi="David" w:cs="David" w:hint="eastAsia"/>
          <w:sz w:val="24"/>
          <w:szCs w:val="24"/>
          <w:rtl/>
        </w:rPr>
        <w:t>הטבעית</w:t>
      </w:r>
      <w:r w:rsidRPr="00907D27">
        <w:rPr>
          <w:rFonts w:ascii="David" w:hAnsi="David" w:cs="David"/>
          <w:sz w:val="24"/>
          <w:szCs w:val="24"/>
          <w:rtl/>
        </w:rPr>
        <w:t xml:space="preserve"> </w:t>
      </w:r>
      <w:r w:rsidRPr="00907D27">
        <w:rPr>
          <w:rFonts w:ascii="David" w:hAnsi="David" w:cs="David" w:hint="eastAsia"/>
          <w:sz w:val="24"/>
          <w:szCs w:val="24"/>
          <w:rtl/>
        </w:rPr>
        <w:t>ירדה</w:t>
      </w:r>
      <w:r w:rsidRPr="00907D27">
        <w:rPr>
          <w:rFonts w:ascii="David" w:hAnsi="David" w:cs="David"/>
          <w:sz w:val="24"/>
          <w:szCs w:val="24"/>
          <w:rtl/>
        </w:rPr>
        <w:t xml:space="preserve"> </w:t>
      </w:r>
      <w:r w:rsidRPr="00907D27">
        <w:rPr>
          <w:rFonts w:ascii="David" w:hAnsi="David" w:cs="David" w:hint="eastAsia"/>
          <w:sz w:val="24"/>
          <w:szCs w:val="24"/>
          <w:rtl/>
        </w:rPr>
        <w:t>באופן</w:t>
      </w:r>
      <w:r w:rsidRPr="00907D27">
        <w:rPr>
          <w:rFonts w:ascii="David" w:hAnsi="David" w:cs="David"/>
          <w:sz w:val="24"/>
          <w:szCs w:val="24"/>
          <w:rtl/>
        </w:rPr>
        <w:t xml:space="preserve"> </w:t>
      </w:r>
      <w:r w:rsidRPr="00907D27">
        <w:rPr>
          <w:rFonts w:ascii="David" w:hAnsi="David" w:cs="David" w:hint="eastAsia"/>
          <w:sz w:val="24"/>
          <w:szCs w:val="24"/>
          <w:rtl/>
        </w:rPr>
        <w:t>מובהק</w:t>
      </w:r>
      <w:r w:rsidRPr="00907D27">
        <w:rPr>
          <w:rFonts w:ascii="David" w:hAnsi="David" w:cs="David"/>
          <w:sz w:val="24"/>
          <w:szCs w:val="24"/>
          <w:rtl/>
        </w:rPr>
        <w:t xml:space="preserve"> </w:t>
      </w:r>
      <w:r w:rsidRPr="00907D27">
        <w:rPr>
          <w:rFonts w:ascii="David" w:hAnsi="David" w:cs="David" w:hint="eastAsia"/>
          <w:sz w:val="24"/>
          <w:szCs w:val="24"/>
          <w:rtl/>
        </w:rPr>
        <w:t>ו</w:t>
      </w:r>
      <w:r>
        <w:rPr>
          <w:rFonts w:ascii="David" w:hAnsi="David" w:cs="David" w:hint="cs"/>
          <w:sz w:val="24"/>
          <w:szCs w:val="24"/>
          <w:rtl/>
        </w:rPr>
        <w:t>ש</w:t>
      </w:r>
      <w:r w:rsidRPr="00907D27">
        <w:rPr>
          <w:rFonts w:ascii="David" w:hAnsi="David" w:cs="David" w:hint="eastAsia"/>
          <w:sz w:val="24"/>
          <w:szCs w:val="24"/>
          <w:rtl/>
        </w:rPr>
        <w:t>היא</w:t>
      </w:r>
      <w:r w:rsidRPr="00907D27">
        <w:rPr>
          <w:rFonts w:ascii="David" w:hAnsi="David" w:cs="David"/>
          <w:sz w:val="24"/>
          <w:szCs w:val="24"/>
          <w:rtl/>
        </w:rPr>
        <w:t xml:space="preserve"> </w:t>
      </w:r>
      <w:r w:rsidRPr="00907D27">
        <w:rPr>
          <w:rFonts w:ascii="David" w:hAnsi="David" w:cs="David" w:hint="eastAsia"/>
          <w:sz w:val="24"/>
          <w:szCs w:val="24"/>
          <w:rtl/>
        </w:rPr>
        <w:t>מהווה</w:t>
      </w:r>
      <w:r w:rsidRPr="00907D27">
        <w:rPr>
          <w:rFonts w:ascii="David" w:hAnsi="David" w:cs="David"/>
          <w:sz w:val="24"/>
          <w:szCs w:val="24"/>
          <w:rtl/>
        </w:rPr>
        <w:t xml:space="preserve"> </w:t>
      </w:r>
      <w:r w:rsidRPr="00907D27">
        <w:rPr>
          <w:rFonts w:ascii="David" w:hAnsi="David" w:cs="David" w:hint="eastAsia"/>
          <w:sz w:val="24"/>
          <w:szCs w:val="24"/>
          <w:rtl/>
        </w:rPr>
        <w:t>גורם</w:t>
      </w:r>
      <w:r w:rsidRPr="00907D27">
        <w:rPr>
          <w:rFonts w:ascii="David" w:hAnsi="David" w:cs="David"/>
          <w:sz w:val="24"/>
          <w:szCs w:val="24"/>
          <w:rtl/>
        </w:rPr>
        <w:t xml:space="preserve"> </w:t>
      </w:r>
      <w:proofErr w:type="spellStart"/>
      <w:r w:rsidRPr="00907D27">
        <w:rPr>
          <w:rFonts w:ascii="David" w:hAnsi="David" w:cs="David" w:hint="eastAsia"/>
          <w:sz w:val="24"/>
          <w:szCs w:val="24"/>
          <w:rtl/>
        </w:rPr>
        <w:t>חוצה</w:t>
      </w:r>
      <w:r>
        <w:rPr>
          <w:rFonts w:ascii="David" w:hAnsi="David" w:cs="David" w:hint="cs"/>
          <w:sz w:val="24"/>
          <w:szCs w:val="24"/>
          <w:rtl/>
        </w:rPr>
        <w:t>־</w:t>
      </w:r>
      <w:r w:rsidRPr="00907D27">
        <w:rPr>
          <w:rFonts w:ascii="David" w:hAnsi="David" w:cs="David" w:hint="eastAsia"/>
          <w:sz w:val="24"/>
          <w:szCs w:val="24"/>
          <w:rtl/>
        </w:rPr>
        <w:t>מדינות</w:t>
      </w:r>
      <w:proofErr w:type="spellEnd"/>
      <w:r>
        <w:rPr>
          <w:rFonts w:ascii="David" w:hAnsi="David" w:cs="David" w:hint="cs"/>
          <w:sz w:val="24"/>
          <w:szCs w:val="24"/>
          <w:rtl/>
        </w:rPr>
        <w:t>,</w:t>
      </w:r>
      <w:r w:rsidRPr="00907D27">
        <w:rPr>
          <w:rFonts w:ascii="David" w:hAnsi="David" w:cs="David"/>
          <w:sz w:val="24"/>
          <w:szCs w:val="24"/>
          <w:rtl/>
        </w:rPr>
        <w:t xml:space="preserve"> </w:t>
      </w:r>
      <w:r w:rsidRPr="00907D27">
        <w:rPr>
          <w:rFonts w:ascii="David" w:hAnsi="David" w:cs="David" w:hint="eastAsia"/>
          <w:sz w:val="24"/>
          <w:szCs w:val="24"/>
          <w:rtl/>
        </w:rPr>
        <w:t>שעקב</w:t>
      </w:r>
      <w:r w:rsidRPr="00907D27">
        <w:rPr>
          <w:rFonts w:ascii="David" w:hAnsi="David" w:cs="David"/>
          <w:sz w:val="24"/>
          <w:szCs w:val="24"/>
          <w:rtl/>
        </w:rPr>
        <w:t xml:space="preserve"> השינויים הדמוגרפים</w:t>
      </w:r>
      <w:r w:rsidR="0069778F">
        <w:rPr>
          <w:rFonts w:ascii="David" w:hAnsi="David" w:cs="David" w:hint="cs"/>
          <w:sz w:val="24"/>
          <w:szCs w:val="24"/>
          <w:rtl/>
        </w:rPr>
        <w:t xml:space="preserve">, הגלומים ביחס בין </w:t>
      </w:r>
      <w:r w:rsidR="0069778F" w:rsidRPr="001F4C0E">
        <w:rPr>
          <w:rFonts w:ascii="David" w:hAnsi="David" w:cs="David"/>
          <w:sz w:val="24"/>
          <w:szCs w:val="24"/>
          <w:rtl/>
        </w:rPr>
        <w:t>גודל האוכלוסייה בגילי פרישה לגודל האוכלוסייה בגילי העבודה העיקריים</w:t>
      </w:r>
      <w:r w:rsidR="0069778F">
        <w:rPr>
          <w:rFonts w:ascii="David" w:hAnsi="David" w:cs="David" w:hint="cs"/>
          <w:sz w:val="24"/>
          <w:szCs w:val="24"/>
          <w:rtl/>
        </w:rPr>
        <w:t>,</w:t>
      </w:r>
      <w:r>
        <w:rPr>
          <w:rFonts w:ascii="David" w:hAnsi="David" w:cs="David" w:hint="cs"/>
          <w:sz w:val="24"/>
          <w:szCs w:val="24"/>
          <w:rtl/>
        </w:rPr>
        <w:t xml:space="preserve"> השפיע </w:t>
      </w:r>
      <w:r w:rsidRPr="00907D27">
        <w:rPr>
          <w:rFonts w:ascii="David" w:hAnsi="David" w:cs="David" w:hint="eastAsia"/>
          <w:sz w:val="24"/>
          <w:szCs w:val="24"/>
          <w:rtl/>
        </w:rPr>
        <w:t>רבות</w:t>
      </w:r>
      <w:r w:rsidRPr="00907D27">
        <w:rPr>
          <w:rFonts w:ascii="David" w:hAnsi="David" w:cs="David"/>
          <w:sz w:val="24"/>
          <w:szCs w:val="24"/>
          <w:rtl/>
        </w:rPr>
        <w:t xml:space="preserve"> </w:t>
      </w:r>
      <w:r w:rsidRPr="00907D27">
        <w:rPr>
          <w:rFonts w:ascii="David" w:hAnsi="David" w:cs="David" w:hint="eastAsia"/>
          <w:sz w:val="24"/>
          <w:szCs w:val="24"/>
          <w:rtl/>
        </w:rPr>
        <w:t>על</w:t>
      </w:r>
      <w:r w:rsidRPr="00907D27">
        <w:rPr>
          <w:rFonts w:ascii="David" w:hAnsi="David" w:cs="David"/>
          <w:sz w:val="24"/>
          <w:szCs w:val="24"/>
          <w:rtl/>
        </w:rPr>
        <w:t xml:space="preserve"> </w:t>
      </w:r>
      <w:r w:rsidRPr="00907D27">
        <w:rPr>
          <w:rFonts w:ascii="David" w:hAnsi="David" w:cs="David" w:hint="eastAsia"/>
          <w:sz w:val="24"/>
          <w:szCs w:val="24"/>
          <w:rtl/>
        </w:rPr>
        <w:t>ה</w:t>
      </w:r>
      <w:r w:rsidRPr="008F4BBB">
        <w:rPr>
          <w:rFonts w:ascii="David" w:hAnsi="David" w:cs="David" w:hint="eastAsia"/>
          <w:sz w:val="24"/>
          <w:szCs w:val="24"/>
          <w:rtl/>
        </w:rPr>
        <w:t>ריביות</w:t>
      </w:r>
      <w:r w:rsidRPr="008F4BBB">
        <w:rPr>
          <w:rFonts w:ascii="David" w:hAnsi="David" w:cs="David"/>
          <w:sz w:val="24"/>
          <w:szCs w:val="24"/>
          <w:rtl/>
        </w:rPr>
        <w:t xml:space="preserve"> </w:t>
      </w:r>
      <w:r w:rsidRPr="008F4BBB">
        <w:rPr>
          <w:rFonts w:ascii="David" w:hAnsi="David" w:cs="David" w:hint="eastAsia"/>
          <w:sz w:val="24"/>
          <w:szCs w:val="24"/>
          <w:rtl/>
        </w:rPr>
        <w:t>הארוכות</w:t>
      </w:r>
      <w:r w:rsidRPr="00907D27">
        <w:rPr>
          <w:rFonts w:ascii="David" w:hAnsi="David" w:cs="David"/>
          <w:sz w:val="24"/>
          <w:szCs w:val="24"/>
          <w:rtl/>
        </w:rPr>
        <w:t xml:space="preserve">. </w:t>
      </w:r>
      <w:r>
        <w:rPr>
          <w:rFonts w:ascii="David" w:hAnsi="David" w:cs="David" w:hint="cs"/>
          <w:sz w:val="24"/>
          <w:szCs w:val="24"/>
          <w:rtl/>
        </w:rPr>
        <w:t>החוקרים מצאו עוד ש</w:t>
      </w:r>
      <w:r w:rsidRPr="008F4BBB">
        <w:rPr>
          <w:rFonts w:ascii="David" w:hAnsi="David" w:cs="David" w:hint="eastAsia"/>
          <w:sz w:val="24"/>
          <w:szCs w:val="24"/>
          <w:rtl/>
        </w:rPr>
        <w:t>האינפלציה</w:t>
      </w:r>
      <w:r w:rsidRPr="008F4BBB">
        <w:rPr>
          <w:rFonts w:ascii="David" w:hAnsi="David" w:cs="David"/>
          <w:sz w:val="24"/>
          <w:szCs w:val="24"/>
          <w:rtl/>
        </w:rPr>
        <w:t xml:space="preserve"> </w:t>
      </w:r>
      <w:r w:rsidRPr="008F4BBB">
        <w:rPr>
          <w:rFonts w:ascii="David" w:hAnsi="David" w:cs="David" w:hint="eastAsia"/>
          <w:sz w:val="24"/>
          <w:szCs w:val="24"/>
          <w:rtl/>
        </w:rPr>
        <w:t>הנמוכה</w:t>
      </w:r>
      <w:r w:rsidRPr="008F4BBB">
        <w:rPr>
          <w:rFonts w:ascii="David" w:hAnsi="David" w:cs="David"/>
          <w:sz w:val="24"/>
          <w:szCs w:val="24"/>
          <w:rtl/>
        </w:rPr>
        <w:t xml:space="preserve"> </w:t>
      </w:r>
      <w:r w:rsidRPr="008F4BBB">
        <w:rPr>
          <w:rFonts w:ascii="David" w:hAnsi="David" w:cs="David" w:hint="eastAsia"/>
          <w:sz w:val="24"/>
          <w:szCs w:val="24"/>
          <w:rtl/>
        </w:rPr>
        <w:t>ו</w:t>
      </w:r>
      <w:r w:rsidRPr="00907D27">
        <w:rPr>
          <w:rFonts w:ascii="David" w:hAnsi="David" w:cs="David" w:hint="eastAsia"/>
          <w:sz w:val="24"/>
          <w:szCs w:val="24"/>
          <w:rtl/>
        </w:rPr>
        <w:t>המדיניות</w:t>
      </w:r>
      <w:r w:rsidRPr="00907D27">
        <w:rPr>
          <w:rFonts w:ascii="David" w:hAnsi="David" w:cs="David"/>
          <w:sz w:val="24"/>
          <w:szCs w:val="24"/>
          <w:rtl/>
        </w:rPr>
        <w:t xml:space="preserve"> </w:t>
      </w:r>
      <w:r w:rsidRPr="00907D27">
        <w:rPr>
          <w:rFonts w:ascii="David" w:hAnsi="David" w:cs="David" w:hint="eastAsia"/>
          <w:sz w:val="24"/>
          <w:szCs w:val="24"/>
          <w:rtl/>
        </w:rPr>
        <w:t>המוניטרית</w:t>
      </w:r>
      <w:r w:rsidRPr="00907D27">
        <w:rPr>
          <w:rFonts w:ascii="David" w:hAnsi="David" w:cs="David"/>
          <w:sz w:val="24"/>
          <w:szCs w:val="24"/>
          <w:rtl/>
        </w:rPr>
        <w:t xml:space="preserve"> </w:t>
      </w:r>
      <w:r w:rsidRPr="00907D27">
        <w:rPr>
          <w:rFonts w:ascii="David" w:hAnsi="David" w:cs="David" w:hint="eastAsia"/>
          <w:sz w:val="24"/>
          <w:szCs w:val="24"/>
          <w:rtl/>
        </w:rPr>
        <w:t>המרחיבה</w:t>
      </w:r>
      <w:r w:rsidRPr="00907D27">
        <w:rPr>
          <w:rFonts w:ascii="David" w:hAnsi="David" w:cs="David"/>
          <w:sz w:val="24"/>
          <w:szCs w:val="24"/>
          <w:rtl/>
        </w:rPr>
        <w:t xml:space="preserve"> </w:t>
      </w:r>
      <w:proofErr w:type="spellStart"/>
      <w:r w:rsidRPr="00907D27">
        <w:rPr>
          <w:rFonts w:ascii="David" w:hAnsi="David" w:cs="David" w:hint="eastAsia"/>
          <w:sz w:val="24"/>
          <w:szCs w:val="24"/>
          <w:rtl/>
        </w:rPr>
        <w:t>והלא</w:t>
      </w:r>
      <w:r>
        <w:rPr>
          <w:rFonts w:ascii="David" w:hAnsi="David" w:cs="David" w:hint="cs"/>
          <w:sz w:val="24"/>
          <w:szCs w:val="24"/>
          <w:rtl/>
        </w:rPr>
        <w:t>־קונבנציונלית</w:t>
      </w:r>
      <w:proofErr w:type="spellEnd"/>
      <w:r>
        <w:rPr>
          <w:rFonts w:ascii="David" w:hAnsi="David" w:cs="David" w:hint="cs"/>
          <w:sz w:val="24"/>
          <w:szCs w:val="24"/>
          <w:rtl/>
        </w:rPr>
        <w:t xml:space="preserve">, </w:t>
      </w:r>
      <w:r w:rsidRPr="00907D27">
        <w:rPr>
          <w:rFonts w:ascii="David" w:hAnsi="David" w:cs="David" w:hint="eastAsia"/>
          <w:sz w:val="24"/>
          <w:szCs w:val="24"/>
          <w:rtl/>
        </w:rPr>
        <w:t>מהוו</w:t>
      </w:r>
      <w:r w:rsidRPr="008F4BBB">
        <w:rPr>
          <w:rFonts w:ascii="David" w:hAnsi="David" w:cs="David" w:hint="eastAsia"/>
          <w:sz w:val="24"/>
          <w:szCs w:val="24"/>
          <w:rtl/>
        </w:rPr>
        <w:t>ים</w:t>
      </w:r>
      <w:r w:rsidRPr="00907D27">
        <w:rPr>
          <w:rFonts w:ascii="David" w:hAnsi="David" w:cs="David"/>
          <w:sz w:val="24"/>
          <w:szCs w:val="24"/>
          <w:rtl/>
        </w:rPr>
        <w:t xml:space="preserve"> </w:t>
      </w:r>
      <w:r w:rsidRPr="00907D27">
        <w:rPr>
          <w:rFonts w:ascii="David" w:hAnsi="David" w:cs="David" w:hint="eastAsia"/>
          <w:sz w:val="24"/>
          <w:szCs w:val="24"/>
          <w:rtl/>
        </w:rPr>
        <w:t>את</w:t>
      </w:r>
      <w:r w:rsidRPr="00907D27">
        <w:rPr>
          <w:rFonts w:ascii="David" w:hAnsi="David" w:cs="David"/>
          <w:sz w:val="24"/>
          <w:szCs w:val="24"/>
          <w:rtl/>
        </w:rPr>
        <w:t xml:space="preserve"> </w:t>
      </w:r>
      <w:r w:rsidRPr="00907D27">
        <w:rPr>
          <w:rFonts w:ascii="David" w:hAnsi="David" w:cs="David" w:hint="eastAsia"/>
          <w:sz w:val="24"/>
          <w:szCs w:val="24"/>
          <w:rtl/>
        </w:rPr>
        <w:t>הגורמים</w:t>
      </w:r>
      <w:r w:rsidRPr="00907D27">
        <w:rPr>
          <w:rFonts w:ascii="David" w:hAnsi="David" w:cs="David"/>
          <w:sz w:val="24"/>
          <w:szCs w:val="24"/>
          <w:rtl/>
        </w:rPr>
        <w:t xml:space="preserve"> המחזוריים </w:t>
      </w:r>
      <w:r w:rsidRPr="00907D27">
        <w:rPr>
          <w:rFonts w:ascii="David" w:hAnsi="David" w:cs="David" w:hint="eastAsia"/>
          <w:sz w:val="24"/>
          <w:szCs w:val="24"/>
          <w:rtl/>
        </w:rPr>
        <w:t>העיקריים</w:t>
      </w:r>
      <w:r w:rsidRPr="00907D27">
        <w:rPr>
          <w:rFonts w:ascii="David" w:hAnsi="David" w:cs="David"/>
          <w:sz w:val="24"/>
          <w:szCs w:val="24"/>
          <w:rtl/>
        </w:rPr>
        <w:t xml:space="preserve"> </w:t>
      </w:r>
      <w:r w:rsidRPr="00907D27">
        <w:rPr>
          <w:rFonts w:ascii="David" w:hAnsi="David" w:cs="David" w:hint="eastAsia"/>
          <w:sz w:val="24"/>
          <w:szCs w:val="24"/>
          <w:rtl/>
        </w:rPr>
        <w:t>שמשפיעים</w:t>
      </w:r>
      <w:r w:rsidRPr="00907D27">
        <w:rPr>
          <w:rFonts w:ascii="David" w:hAnsi="David" w:cs="David"/>
          <w:sz w:val="24"/>
          <w:szCs w:val="24"/>
          <w:rtl/>
        </w:rPr>
        <w:t xml:space="preserve"> בשנים האחרונות</w:t>
      </w:r>
      <w:r w:rsidRPr="00907D27">
        <w:rPr>
          <w:rFonts w:ascii="David" w:hAnsi="David" w:cs="David" w:hint="eastAsia"/>
          <w:sz w:val="24"/>
          <w:szCs w:val="24"/>
          <w:rtl/>
        </w:rPr>
        <w:t xml:space="preserve"> על</w:t>
      </w:r>
      <w:r w:rsidRPr="00907D27">
        <w:rPr>
          <w:rFonts w:ascii="David" w:hAnsi="David" w:cs="David"/>
          <w:sz w:val="24"/>
          <w:szCs w:val="24"/>
          <w:rtl/>
        </w:rPr>
        <w:t xml:space="preserve"> </w:t>
      </w:r>
      <w:r w:rsidRPr="00907D27">
        <w:rPr>
          <w:rFonts w:ascii="David" w:hAnsi="David" w:cs="David" w:hint="eastAsia"/>
          <w:sz w:val="24"/>
          <w:szCs w:val="24"/>
          <w:rtl/>
        </w:rPr>
        <w:t>ה</w:t>
      </w:r>
      <w:r w:rsidRPr="008F4BBB">
        <w:rPr>
          <w:rFonts w:ascii="David" w:hAnsi="David" w:cs="David" w:hint="eastAsia"/>
          <w:sz w:val="24"/>
          <w:szCs w:val="24"/>
          <w:rtl/>
        </w:rPr>
        <w:t>ריביות</w:t>
      </w:r>
      <w:r w:rsidRPr="008F4BBB">
        <w:rPr>
          <w:rFonts w:ascii="David" w:hAnsi="David" w:cs="David"/>
          <w:sz w:val="24"/>
          <w:szCs w:val="24"/>
          <w:rtl/>
        </w:rPr>
        <w:t xml:space="preserve"> </w:t>
      </w:r>
      <w:r w:rsidRPr="00907D27">
        <w:rPr>
          <w:rFonts w:ascii="David" w:hAnsi="David" w:cs="David"/>
          <w:sz w:val="24"/>
          <w:szCs w:val="24"/>
          <w:rtl/>
        </w:rPr>
        <w:t>ה</w:t>
      </w:r>
      <w:r w:rsidRPr="00907D27">
        <w:rPr>
          <w:rFonts w:ascii="David" w:hAnsi="David" w:cs="David" w:hint="eastAsia"/>
          <w:sz w:val="24"/>
          <w:szCs w:val="24"/>
          <w:rtl/>
        </w:rPr>
        <w:t>ארוכות</w:t>
      </w:r>
      <w:r w:rsidR="00AA180C">
        <w:rPr>
          <w:rFonts w:ascii="David" w:hAnsi="David" w:cs="David" w:hint="cs"/>
          <w:sz w:val="24"/>
          <w:szCs w:val="24"/>
          <w:rtl/>
        </w:rPr>
        <w:t xml:space="preserve"> בקרב המדינות במדגם</w:t>
      </w:r>
      <w:r w:rsidRPr="00907D27">
        <w:rPr>
          <w:rFonts w:ascii="David" w:hAnsi="David" w:cs="David"/>
          <w:sz w:val="24"/>
          <w:szCs w:val="24"/>
          <w:rtl/>
        </w:rPr>
        <w:t>.</w:t>
      </w:r>
      <w:r>
        <w:rPr>
          <w:rFonts w:ascii="David" w:hAnsi="David" w:cs="David" w:hint="cs"/>
          <w:sz w:val="24"/>
          <w:szCs w:val="24"/>
          <w:rtl/>
        </w:rPr>
        <w:t xml:space="preserve"> </w:t>
      </w:r>
      <w:r w:rsidR="00787A90">
        <w:rPr>
          <w:rFonts w:ascii="David" w:hAnsi="David" w:cs="David" w:hint="cs"/>
          <w:sz w:val="24"/>
          <w:szCs w:val="24"/>
          <w:rtl/>
        </w:rPr>
        <w:t xml:space="preserve">לעומתם, </w:t>
      </w:r>
      <w:r>
        <w:rPr>
          <w:rFonts w:ascii="David" w:hAnsi="David" w:cs="David" w:hint="cs"/>
          <w:sz w:val="24"/>
          <w:szCs w:val="24"/>
          <w:rtl/>
        </w:rPr>
        <w:t>השונות בהתפתחותם של</w:t>
      </w:r>
      <w:r w:rsidRPr="00907D27">
        <w:rPr>
          <w:rFonts w:ascii="David" w:hAnsi="David" w:cs="David"/>
          <w:sz w:val="24"/>
          <w:szCs w:val="24"/>
          <w:rtl/>
        </w:rPr>
        <w:t xml:space="preserve"> </w:t>
      </w:r>
      <w:r w:rsidRPr="008F4BBB">
        <w:rPr>
          <w:rFonts w:ascii="David" w:hAnsi="David" w:cs="David" w:hint="eastAsia"/>
          <w:sz w:val="24"/>
          <w:szCs w:val="24"/>
          <w:rtl/>
        </w:rPr>
        <w:t>גורמי</w:t>
      </w:r>
      <w:r w:rsidRPr="008F4BBB">
        <w:rPr>
          <w:rFonts w:ascii="David" w:hAnsi="David" w:cs="David"/>
          <w:sz w:val="24"/>
          <w:szCs w:val="24"/>
          <w:rtl/>
        </w:rPr>
        <w:t xml:space="preserve"> </w:t>
      </w:r>
      <w:r w:rsidRPr="008F4BBB">
        <w:rPr>
          <w:rFonts w:ascii="David" w:hAnsi="David" w:cs="David" w:hint="eastAsia"/>
          <w:sz w:val="24"/>
          <w:szCs w:val="24"/>
          <w:rtl/>
        </w:rPr>
        <w:t>סיכון</w:t>
      </w:r>
      <w:r w:rsidRPr="008F4BBB">
        <w:rPr>
          <w:rFonts w:ascii="David" w:hAnsi="David" w:cs="David"/>
          <w:sz w:val="24"/>
          <w:szCs w:val="24"/>
          <w:rtl/>
        </w:rPr>
        <w:t xml:space="preserve"> </w:t>
      </w:r>
      <w:proofErr w:type="spellStart"/>
      <w:r w:rsidRPr="008F4BBB">
        <w:rPr>
          <w:rFonts w:ascii="David" w:hAnsi="David" w:cs="David" w:hint="eastAsia"/>
          <w:sz w:val="24"/>
          <w:szCs w:val="24"/>
          <w:rtl/>
        </w:rPr>
        <w:t>פיסקלים</w:t>
      </w:r>
      <w:proofErr w:type="spellEnd"/>
      <w:r>
        <w:rPr>
          <w:rFonts w:ascii="David" w:hAnsi="David" w:cs="David" w:hint="cs"/>
          <w:sz w:val="24"/>
          <w:szCs w:val="24"/>
          <w:rtl/>
        </w:rPr>
        <w:t xml:space="preserve"> </w:t>
      </w:r>
      <w:r w:rsidRPr="008F4BBB">
        <w:rPr>
          <w:rFonts w:ascii="David" w:hAnsi="David" w:cs="David" w:hint="eastAsia"/>
          <w:sz w:val="24"/>
          <w:szCs w:val="24"/>
          <w:rtl/>
        </w:rPr>
        <w:t>בקרב</w:t>
      </w:r>
      <w:r w:rsidRPr="008F4BBB">
        <w:rPr>
          <w:rFonts w:ascii="David" w:hAnsi="David" w:cs="David"/>
          <w:sz w:val="24"/>
          <w:szCs w:val="24"/>
          <w:rtl/>
        </w:rPr>
        <w:t xml:space="preserve"> </w:t>
      </w:r>
      <w:r w:rsidRPr="008F4BBB">
        <w:rPr>
          <w:rFonts w:ascii="David" w:hAnsi="David" w:cs="David" w:hint="eastAsia"/>
          <w:sz w:val="24"/>
          <w:szCs w:val="24"/>
          <w:rtl/>
        </w:rPr>
        <w:t>המדינות</w:t>
      </w:r>
      <w:r w:rsidRPr="008F4BBB">
        <w:rPr>
          <w:rFonts w:ascii="David" w:hAnsi="David" w:cs="David"/>
          <w:sz w:val="24"/>
          <w:szCs w:val="24"/>
          <w:rtl/>
        </w:rPr>
        <w:t xml:space="preserve"> </w:t>
      </w:r>
      <w:r w:rsidRPr="008F4BBB">
        <w:rPr>
          <w:rFonts w:ascii="David" w:hAnsi="David" w:cs="David" w:hint="eastAsia"/>
          <w:sz w:val="24"/>
          <w:szCs w:val="24"/>
          <w:rtl/>
        </w:rPr>
        <w:t>מהוו</w:t>
      </w:r>
      <w:r>
        <w:rPr>
          <w:rFonts w:ascii="David" w:hAnsi="David" w:cs="David" w:hint="cs"/>
          <w:sz w:val="24"/>
          <w:szCs w:val="24"/>
          <w:rtl/>
        </w:rPr>
        <w:t>ה</w:t>
      </w:r>
      <w:r w:rsidRPr="008F4BBB">
        <w:rPr>
          <w:rFonts w:ascii="David" w:hAnsi="David" w:cs="David"/>
          <w:sz w:val="24"/>
          <w:szCs w:val="24"/>
          <w:rtl/>
        </w:rPr>
        <w:t xml:space="preserve"> </w:t>
      </w:r>
      <w:r w:rsidRPr="008F4BBB">
        <w:rPr>
          <w:rFonts w:ascii="David" w:hAnsi="David" w:cs="David" w:hint="eastAsia"/>
          <w:sz w:val="24"/>
          <w:szCs w:val="24"/>
          <w:rtl/>
        </w:rPr>
        <w:t>את</w:t>
      </w:r>
      <w:r w:rsidRPr="008F4BBB">
        <w:rPr>
          <w:rFonts w:ascii="David" w:hAnsi="David" w:cs="David"/>
          <w:sz w:val="24"/>
          <w:szCs w:val="24"/>
          <w:rtl/>
        </w:rPr>
        <w:t xml:space="preserve"> </w:t>
      </w:r>
      <w:r w:rsidRPr="008F4BBB">
        <w:rPr>
          <w:rFonts w:ascii="David" w:hAnsi="David" w:cs="David" w:hint="eastAsia"/>
          <w:sz w:val="24"/>
          <w:szCs w:val="24"/>
          <w:rtl/>
        </w:rPr>
        <w:t>הסיבה</w:t>
      </w:r>
      <w:r w:rsidRPr="008F4BBB">
        <w:rPr>
          <w:rFonts w:ascii="David" w:hAnsi="David" w:cs="David"/>
          <w:sz w:val="24"/>
          <w:szCs w:val="24"/>
          <w:rtl/>
        </w:rPr>
        <w:t xml:space="preserve"> </w:t>
      </w:r>
      <w:r w:rsidRPr="008F4BBB">
        <w:rPr>
          <w:rFonts w:ascii="David" w:hAnsi="David" w:cs="David" w:hint="eastAsia"/>
          <w:sz w:val="24"/>
          <w:szCs w:val="24"/>
          <w:rtl/>
        </w:rPr>
        <w:t>העיקרית</w:t>
      </w:r>
      <w:r w:rsidRPr="008F4BBB">
        <w:rPr>
          <w:rFonts w:ascii="David" w:hAnsi="David" w:cs="David"/>
          <w:sz w:val="24"/>
          <w:szCs w:val="24"/>
          <w:rtl/>
        </w:rPr>
        <w:t xml:space="preserve"> </w:t>
      </w:r>
      <w:r w:rsidRPr="008F4BBB">
        <w:rPr>
          <w:rFonts w:ascii="David" w:hAnsi="David" w:cs="David" w:hint="eastAsia"/>
          <w:sz w:val="24"/>
          <w:szCs w:val="24"/>
          <w:rtl/>
        </w:rPr>
        <w:t>לשינויים</w:t>
      </w:r>
      <w:r w:rsidRPr="008F4BBB">
        <w:rPr>
          <w:rFonts w:ascii="David" w:hAnsi="David" w:cs="David"/>
          <w:sz w:val="24"/>
          <w:szCs w:val="24"/>
          <w:rtl/>
        </w:rPr>
        <w:t xml:space="preserve"> היחסיים בין המדינות.</w:t>
      </w:r>
    </w:p>
    <w:p w:rsidR="00057811" w:rsidRDefault="00057811" w:rsidP="00AA180C">
      <w:pPr>
        <w:spacing w:line="360" w:lineRule="auto"/>
        <w:jc w:val="both"/>
        <w:rPr>
          <w:rFonts w:ascii="David" w:hAnsi="David" w:cs="David"/>
          <w:sz w:val="24"/>
          <w:szCs w:val="24"/>
          <w:rtl/>
        </w:rPr>
      </w:pPr>
      <w:r>
        <w:rPr>
          <w:rFonts w:ascii="David" w:hAnsi="David" w:cs="David" w:hint="cs"/>
          <w:sz w:val="24"/>
          <w:szCs w:val="24"/>
          <w:rtl/>
        </w:rPr>
        <w:t xml:space="preserve">ניתן לראות באיור המוצג בהמשך את </w:t>
      </w:r>
      <w:r w:rsidR="00A5337B">
        <w:rPr>
          <w:rFonts w:ascii="David" w:hAnsi="David" w:cs="David" w:hint="cs"/>
          <w:sz w:val="24"/>
          <w:szCs w:val="24"/>
          <w:rtl/>
        </w:rPr>
        <w:t xml:space="preserve">הירידה בתשואה הארוכה שהתרחשה בישראל לאורך מרבית תקופת המדגם, </w:t>
      </w:r>
      <w:r>
        <w:rPr>
          <w:rFonts w:ascii="David" w:hAnsi="David" w:cs="David" w:hint="cs"/>
          <w:sz w:val="24"/>
          <w:szCs w:val="24"/>
          <w:rtl/>
        </w:rPr>
        <w:t xml:space="preserve">והיא </w:t>
      </w:r>
      <w:r w:rsidR="00A5337B">
        <w:rPr>
          <w:rFonts w:ascii="David" w:hAnsi="David" w:cs="David" w:hint="cs"/>
          <w:sz w:val="24"/>
          <w:szCs w:val="24"/>
          <w:rtl/>
        </w:rPr>
        <w:t xml:space="preserve">מוסברת בעיקר </w:t>
      </w:r>
      <w:proofErr w:type="spellStart"/>
      <w:r w:rsidR="00A5337B">
        <w:rPr>
          <w:rFonts w:ascii="David" w:hAnsi="David" w:cs="David" w:hint="cs"/>
          <w:sz w:val="24"/>
          <w:szCs w:val="24"/>
          <w:rtl/>
        </w:rPr>
        <w:t>על־ידי</w:t>
      </w:r>
      <w:proofErr w:type="spellEnd"/>
      <w:r w:rsidR="00A5337B">
        <w:rPr>
          <w:rFonts w:ascii="David" w:hAnsi="David" w:cs="David" w:hint="cs"/>
          <w:sz w:val="24"/>
          <w:szCs w:val="24"/>
          <w:rtl/>
        </w:rPr>
        <w:t xml:space="preserve"> הגורמים המבניים והמחזוריים ולא הושפעה רבות מגורמי הסיכון </w:t>
      </w:r>
      <w:proofErr w:type="spellStart"/>
      <w:r w:rsidR="00A5337B">
        <w:rPr>
          <w:rFonts w:ascii="David" w:hAnsi="David" w:cs="David" w:hint="cs"/>
          <w:sz w:val="24"/>
          <w:szCs w:val="24"/>
          <w:rtl/>
        </w:rPr>
        <w:t>הפיסקלים</w:t>
      </w:r>
      <w:proofErr w:type="spellEnd"/>
      <w:r w:rsidR="00A5337B">
        <w:rPr>
          <w:rFonts w:ascii="David" w:hAnsi="David" w:cs="David" w:hint="cs"/>
          <w:sz w:val="24"/>
          <w:szCs w:val="24"/>
          <w:rtl/>
        </w:rPr>
        <w:t xml:space="preserve">. </w:t>
      </w:r>
      <w:r>
        <w:rPr>
          <w:rFonts w:ascii="David" w:hAnsi="David" w:cs="David" w:hint="cs"/>
          <w:sz w:val="24"/>
          <w:szCs w:val="24"/>
          <w:rtl/>
        </w:rPr>
        <w:t>ה</w:t>
      </w:r>
      <w:r w:rsidRPr="00E92985">
        <w:rPr>
          <w:rFonts w:ascii="David" w:hAnsi="David" w:cs="David" w:hint="cs"/>
          <w:sz w:val="24"/>
          <w:szCs w:val="24"/>
          <w:rtl/>
        </w:rPr>
        <w:t xml:space="preserve">גורמים </w:t>
      </w:r>
      <w:r>
        <w:rPr>
          <w:rFonts w:ascii="David" w:hAnsi="David" w:cs="David" w:hint="cs"/>
          <w:sz w:val="24"/>
          <w:szCs w:val="24"/>
          <w:rtl/>
        </w:rPr>
        <w:t>ה</w:t>
      </w:r>
      <w:r w:rsidRPr="00E92985">
        <w:rPr>
          <w:rFonts w:ascii="David" w:hAnsi="David" w:cs="David" w:hint="cs"/>
          <w:sz w:val="24"/>
          <w:szCs w:val="24"/>
          <w:rtl/>
        </w:rPr>
        <w:t xml:space="preserve">מבניים </w:t>
      </w:r>
      <w:r>
        <w:rPr>
          <w:rFonts w:ascii="David" w:hAnsi="David" w:cs="David" w:hint="cs"/>
          <w:sz w:val="24"/>
          <w:szCs w:val="24"/>
          <w:rtl/>
        </w:rPr>
        <w:t>פעלו לכל אורך תקופת המדגם והתרומה השלילית על התשואות הארוכות הגיעה ל-2.1 נקודות האחוז.</w:t>
      </w:r>
    </w:p>
    <w:p w:rsidR="00A5337B" w:rsidRDefault="00A5337B" w:rsidP="00A5337B">
      <w:pPr>
        <w:spacing w:line="360" w:lineRule="auto"/>
        <w:jc w:val="both"/>
        <w:rPr>
          <w:rFonts w:ascii="David" w:hAnsi="David" w:cs="David"/>
          <w:sz w:val="24"/>
          <w:szCs w:val="24"/>
          <w:rtl/>
        </w:rPr>
      </w:pPr>
      <w:r>
        <w:rPr>
          <w:rFonts w:ascii="David" w:hAnsi="David" w:cs="David" w:hint="cs"/>
          <w:sz w:val="24"/>
          <w:szCs w:val="24"/>
          <w:rtl/>
        </w:rPr>
        <w:t xml:space="preserve">מבין הגורמים המחזוריים בישראל ניתן לציין את בולטות ההשפעה של המדיניות המוניטרית וסביבת האינפלציה, שהפחיתו יחדיו את התשואה הארוכה בשיעור משמעותי. נציין שהמדיניות המוניטרית הפחיתה את התשואה הארוכה בעיקר בשנים שלאחר המשבר הפיננסי ובשנים 2015 ו-2016 שלטה ההשפעה מצד האינפלציה השלילית. בשנת 2018 התגברה האינפלציה במקצת והעלתה במעט את התשואה, אך המדיניות המוניטרית קיזזה השפעה זו. גם לרכישות </w:t>
      </w:r>
      <w:proofErr w:type="spellStart"/>
      <w:r>
        <w:rPr>
          <w:rFonts w:ascii="David" w:hAnsi="David" w:cs="David" w:hint="cs"/>
          <w:sz w:val="24"/>
          <w:szCs w:val="24"/>
          <w:rtl/>
        </w:rPr>
        <w:t>האג"ח</w:t>
      </w:r>
      <w:proofErr w:type="spellEnd"/>
      <w:r>
        <w:rPr>
          <w:rFonts w:ascii="David" w:hAnsi="David" w:cs="David" w:hint="cs"/>
          <w:sz w:val="24"/>
          <w:szCs w:val="24"/>
          <w:rtl/>
        </w:rPr>
        <w:t xml:space="preserve"> </w:t>
      </w:r>
      <w:proofErr w:type="spellStart"/>
      <w:r>
        <w:rPr>
          <w:rFonts w:ascii="David" w:hAnsi="David" w:cs="David" w:hint="cs"/>
          <w:sz w:val="24"/>
          <w:szCs w:val="24"/>
          <w:rtl/>
        </w:rPr>
        <w:t>על־ידי</w:t>
      </w:r>
      <w:proofErr w:type="spellEnd"/>
      <w:r>
        <w:rPr>
          <w:rFonts w:ascii="David" w:hAnsi="David" w:cs="David" w:hint="cs"/>
          <w:sz w:val="24"/>
          <w:szCs w:val="24"/>
          <w:rtl/>
        </w:rPr>
        <w:t xml:space="preserve"> הבנק המרכזי הייתה בשנת 2008 השפעה מובהקת והן תרמו להפחתה של כ-35 נקודות בסיס בתשואה הארוכה באותה שנה. העלייה בחשבון השוטף גרמה לעלייה מסוימת בתשואות הארוכות ובכך קיזזה חלק מההשפעה של המדיניות המוניטרית ושל סביבת האינפלציה. לעומת החשבון השוטף, ההשפעה של השינויים בשער החליפין הריאלי אמנם מובהקת, אבל התרומות לתשואה הן זניחות, למרות הייסוף המתמשך במהלך תקופה המדגם.</w:t>
      </w:r>
    </w:p>
    <w:p w:rsidR="00057811" w:rsidRDefault="00057811" w:rsidP="00057811">
      <w:pPr>
        <w:spacing w:line="360" w:lineRule="auto"/>
        <w:jc w:val="both"/>
        <w:rPr>
          <w:rFonts w:ascii="David" w:hAnsi="David" w:cs="David"/>
          <w:sz w:val="24"/>
          <w:szCs w:val="24"/>
          <w:rtl/>
        </w:rPr>
      </w:pPr>
      <w:r>
        <w:rPr>
          <w:rFonts w:ascii="David" w:hAnsi="David" w:cs="David" w:hint="cs"/>
          <w:sz w:val="24"/>
          <w:szCs w:val="24"/>
          <w:rtl/>
        </w:rPr>
        <w:t xml:space="preserve">סך התרומה של גורמי הסיכון </w:t>
      </w:r>
      <w:proofErr w:type="spellStart"/>
      <w:r>
        <w:rPr>
          <w:rFonts w:ascii="David" w:hAnsi="David" w:cs="David" w:hint="cs"/>
          <w:sz w:val="24"/>
          <w:szCs w:val="24"/>
          <w:rtl/>
        </w:rPr>
        <w:t>הפיסקלים</w:t>
      </w:r>
      <w:proofErr w:type="spellEnd"/>
      <w:r>
        <w:rPr>
          <w:rFonts w:ascii="David" w:hAnsi="David" w:cs="David" w:hint="cs"/>
          <w:sz w:val="24"/>
          <w:szCs w:val="24"/>
          <w:rtl/>
        </w:rPr>
        <w:t xml:space="preserve">, שכוללים את יחס החוב-תוצר ויחס </w:t>
      </w:r>
      <w:proofErr w:type="spellStart"/>
      <w:r>
        <w:rPr>
          <w:rFonts w:ascii="David" w:hAnsi="David" w:cs="David" w:hint="cs"/>
          <w:sz w:val="24"/>
          <w:szCs w:val="24"/>
          <w:rtl/>
        </w:rPr>
        <w:t>המסים־תוצר</w:t>
      </w:r>
      <w:proofErr w:type="spellEnd"/>
      <w:r>
        <w:rPr>
          <w:rFonts w:ascii="David" w:hAnsi="David" w:cs="David" w:hint="cs"/>
          <w:sz w:val="24"/>
          <w:szCs w:val="24"/>
          <w:rtl/>
        </w:rPr>
        <w:t xml:space="preserve"> יחדיו, לא השתנו על־פני זמן באופן משמעותי וזה עקב קיזוז של ההשפעות מנוגדות שמתקבלות מגורמים אלה. יחס החוב-תוצר ירד מחד לאורך תקופת המדגם, אך מאידך ירד יחס </w:t>
      </w:r>
      <w:proofErr w:type="spellStart"/>
      <w:r>
        <w:rPr>
          <w:rFonts w:ascii="David" w:hAnsi="David" w:cs="David" w:hint="cs"/>
          <w:sz w:val="24"/>
          <w:szCs w:val="24"/>
          <w:rtl/>
        </w:rPr>
        <w:t>המסים־תוצר</w:t>
      </w:r>
      <w:proofErr w:type="spellEnd"/>
      <w:r>
        <w:rPr>
          <w:rFonts w:ascii="David" w:hAnsi="David" w:cs="David" w:hint="cs"/>
          <w:sz w:val="24"/>
          <w:szCs w:val="24"/>
          <w:rtl/>
        </w:rPr>
        <w:t xml:space="preserve"> בשנים 2008, 2009 ו-2018, בשל הפחתות במסים הישירים</w:t>
      </w:r>
      <w:r>
        <w:rPr>
          <w:rStyle w:val="a7"/>
          <w:rFonts w:ascii="David" w:hAnsi="David" w:cs="David"/>
          <w:sz w:val="24"/>
          <w:szCs w:val="24"/>
          <w:rtl/>
        </w:rPr>
        <w:footnoteReference w:id="2"/>
      </w:r>
      <w:r>
        <w:rPr>
          <w:rFonts w:ascii="David" w:hAnsi="David" w:cs="David" w:hint="cs"/>
          <w:sz w:val="24"/>
          <w:szCs w:val="24"/>
          <w:rtl/>
        </w:rPr>
        <w:t>.</w:t>
      </w:r>
    </w:p>
    <w:p w:rsidR="00A5337B" w:rsidRDefault="00A5337B" w:rsidP="00A5337B">
      <w:pPr>
        <w:spacing w:after="0" w:line="240" w:lineRule="auto"/>
        <w:jc w:val="center"/>
        <w:rPr>
          <w:rFonts w:ascii="David" w:hAnsi="David" w:cs="David"/>
          <w:b/>
          <w:bCs/>
          <w:sz w:val="24"/>
          <w:szCs w:val="24"/>
          <w:rtl/>
        </w:rPr>
      </w:pPr>
    </w:p>
    <w:p w:rsidR="00A5337B" w:rsidRDefault="00A5337B" w:rsidP="00A5337B">
      <w:pPr>
        <w:spacing w:after="0" w:line="240" w:lineRule="auto"/>
        <w:jc w:val="center"/>
        <w:rPr>
          <w:rFonts w:ascii="David" w:hAnsi="David" w:cs="David"/>
          <w:b/>
          <w:bCs/>
          <w:sz w:val="24"/>
          <w:szCs w:val="24"/>
          <w:rtl/>
        </w:rPr>
      </w:pPr>
    </w:p>
    <w:p w:rsidR="00313812" w:rsidRDefault="00313812">
      <w:pPr>
        <w:bidi w:val="0"/>
        <w:rPr>
          <w:rFonts w:ascii="David" w:hAnsi="David" w:cs="David"/>
          <w:b/>
          <w:bCs/>
          <w:sz w:val="24"/>
          <w:szCs w:val="24"/>
          <w:rtl/>
        </w:rPr>
      </w:pPr>
      <w:r>
        <w:rPr>
          <w:rFonts w:ascii="David" w:hAnsi="David" w:cs="David"/>
          <w:b/>
          <w:bCs/>
          <w:sz w:val="24"/>
          <w:szCs w:val="24"/>
          <w:rtl/>
        </w:rPr>
        <w:br w:type="page"/>
      </w:r>
    </w:p>
    <w:p w:rsidR="00A5337B" w:rsidRPr="00454CF1" w:rsidRDefault="00A5337B" w:rsidP="00CC14F8">
      <w:pPr>
        <w:spacing w:after="0" w:line="240" w:lineRule="auto"/>
        <w:jc w:val="center"/>
        <w:rPr>
          <w:rFonts w:ascii="David" w:hAnsi="David" w:cs="David"/>
          <w:b/>
          <w:bCs/>
          <w:sz w:val="24"/>
          <w:szCs w:val="24"/>
          <w:rtl/>
        </w:rPr>
      </w:pPr>
      <w:r>
        <w:rPr>
          <w:rFonts w:ascii="David" w:hAnsi="David" w:cs="David" w:hint="cs"/>
          <w:b/>
          <w:bCs/>
          <w:sz w:val="24"/>
          <w:szCs w:val="24"/>
          <w:rtl/>
        </w:rPr>
        <w:t xml:space="preserve">איור: </w:t>
      </w:r>
      <w:r w:rsidR="00CC14F8">
        <w:rPr>
          <w:rFonts w:ascii="David" w:hAnsi="David" w:cs="David" w:hint="cs"/>
          <w:b/>
          <w:bCs/>
          <w:sz w:val="24"/>
          <w:szCs w:val="24"/>
          <w:rtl/>
        </w:rPr>
        <w:t xml:space="preserve">תשואת </w:t>
      </w:r>
      <w:proofErr w:type="spellStart"/>
      <w:r w:rsidR="00CC14F8">
        <w:rPr>
          <w:rFonts w:ascii="David" w:hAnsi="David" w:cs="David" w:hint="cs"/>
          <w:b/>
          <w:bCs/>
          <w:sz w:val="24"/>
          <w:szCs w:val="24"/>
          <w:rtl/>
        </w:rPr>
        <w:t>הפורוורד</w:t>
      </w:r>
      <w:proofErr w:type="spellEnd"/>
      <w:r w:rsidR="00CC14F8">
        <w:rPr>
          <w:rFonts w:ascii="David" w:hAnsi="David" w:cs="David" w:hint="cs"/>
          <w:b/>
          <w:bCs/>
          <w:sz w:val="24"/>
          <w:szCs w:val="24"/>
          <w:rtl/>
        </w:rPr>
        <w:t xml:space="preserve"> 5-10 שנים ו</w:t>
      </w:r>
      <w:r w:rsidRPr="00454CF1">
        <w:rPr>
          <w:rFonts w:ascii="David" w:hAnsi="David" w:cs="David" w:hint="cs"/>
          <w:b/>
          <w:bCs/>
          <w:sz w:val="24"/>
          <w:szCs w:val="24"/>
          <w:rtl/>
        </w:rPr>
        <w:t>תרומת הגורמים העיקריים לשינוי</w:t>
      </w:r>
      <w:r w:rsidR="00CC14F8">
        <w:rPr>
          <w:rFonts w:ascii="David" w:hAnsi="David" w:cs="David" w:hint="cs"/>
          <w:b/>
          <w:bCs/>
          <w:sz w:val="24"/>
          <w:szCs w:val="24"/>
          <w:rtl/>
        </w:rPr>
        <w:t xml:space="preserve">ים בתשואה זו </w:t>
      </w:r>
      <w:r w:rsidRPr="00454CF1">
        <w:rPr>
          <w:rFonts w:ascii="David" w:hAnsi="David" w:cs="David" w:hint="cs"/>
          <w:b/>
          <w:bCs/>
          <w:sz w:val="24"/>
          <w:szCs w:val="24"/>
          <w:rtl/>
        </w:rPr>
        <w:t>על</w:t>
      </w:r>
      <w:r>
        <w:rPr>
          <w:rFonts w:ascii="David" w:hAnsi="David" w:cs="David" w:hint="cs"/>
          <w:b/>
          <w:bCs/>
          <w:sz w:val="24"/>
          <w:szCs w:val="24"/>
          <w:rtl/>
        </w:rPr>
        <w:t>־</w:t>
      </w:r>
      <w:r w:rsidRPr="00454CF1">
        <w:rPr>
          <w:rFonts w:ascii="David" w:hAnsi="David" w:cs="David" w:hint="cs"/>
          <w:b/>
          <w:bCs/>
          <w:sz w:val="24"/>
          <w:szCs w:val="24"/>
          <w:rtl/>
        </w:rPr>
        <w:t>פני זמן</w:t>
      </w:r>
    </w:p>
    <w:p w:rsidR="00A5337B" w:rsidRDefault="00A5337B" w:rsidP="00A5337B">
      <w:pPr>
        <w:jc w:val="center"/>
        <w:rPr>
          <w:rFonts w:ascii="David" w:hAnsi="David" w:cs="David"/>
          <w:b/>
          <w:bCs/>
          <w:sz w:val="24"/>
          <w:szCs w:val="24"/>
          <w:rtl/>
        </w:rPr>
      </w:pPr>
      <w:r w:rsidRPr="00454CF1">
        <w:rPr>
          <w:rFonts w:ascii="David" w:hAnsi="David" w:cs="David" w:hint="cs"/>
          <w:b/>
          <w:bCs/>
          <w:sz w:val="24"/>
          <w:szCs w:val="24"/>
          <w:rtl/>
        </w:rPr>
        <w:t>ישראל, 20</w:t>
      </w:r>
      <w:r>
        <w:rPr>
          <w:rFonts w:ascii="David" w:hAnsi="David" w:cs="David" w:hint="cs"/>
          <w:b/>
          <w:bCs/>
          <w:sz w:val="24"/>
          <w:szCs w:val="24"/>
          <w:rtl/>
        </w:rPr>
        <w:t>18</w:t>
      </w:r>
      <w:r w:rsidRPr="00454CF1">
        <w:rPr>
          <w:rFonts w:ascii="David" w:hAnsi="David" w:cs="David" w:hint="cs"/>
          <w:b/>
          <w:bCs/>
          <w:sz w:val="24"/>
          <w:szCs w:val="24"/>
          <w:rtl/>
        </w:rPr>
        <w:t>-</w:t>
      </w:r>
      <w:r>
        <w:rPr>
          <w:rFonts w:ascii="David" w:hAnsi="David" w:cs="David" w:hint="cs"/>
          <w:b/>
          <w:bCs/>
          <w:sz w:val="24"/>
          <w:szCs w:val="24"/>
          <w:rtl/>
        </w:rPr>
        <w:t>2001</w:t>
      </w:r>
    </w:p>
    <w:p w:rsidR="00E17730" w:rsidRPr="00560273" w:rsidRDefault="00A40DC7" w:rsidP="00E17730">
      <w:pPr>
        <w:spacing w:after="0" w:line="240" w:lineRule="auto"/>
        <w:jc w:val="both"/>
        <w:rPr>
          <w:rFonts w:ascii="David" w:hAnsi="David" w:cs="David"/>
          <w:sz w:val="20"/>
          <w:szCs w:val="20"/>
          <w:rtl/>
        </w:rPr>
      </w:pPr>
      <w:r w:rsidRPr="00560273">
        <w:rPr>
          <w:rFonts w:ascii="David" w:hAnsi="David" w:cs="David" w:hint="cs"/>
          <w:sz w:val="20"/>
          <w:szCs w:val="20"/>
          <w:rtl/>
        </w:rPr>
        <w:t xml:space="preserve">איור זה מציג את </w:t>
      </w:r>
      <w:r>
        <w:rPr>
          <w:rFonts w:ascii="David" w:hAnsi="David" w:cs="David" w:hint="cs"/>
          <w:sz w:val="20"/>
          <w:szCs w:val="20"/>
          <w:rtl/>
        </w:rPr>
        <w:t xml:space="preserve">תשואת </w:t>
      </w:r>
      <w:proofErr w:type="spellStart"/>
      <w:r>
        <w:rPr>
          <w:rFonts w:ascii="David" w:hAnsi="David" w:cs="David" w:hint="cs"/>
          <w:sz w:val="20"/>
          <w:szCs w:val="20"/>
          <w:rtl/>
        </w:rPr>
        <w:t>הפורוורד</w:t>
      </w:r>
      <w:proofErr w:type="spellEnd"/>
      <w:r>
        <w:rPr>
          <w:rFonts w:ascii="David" w:hAnsi="David" w:cs="David" w:hint="cs"/>
          <w:sz w:val="20"/>
          <w:szCs w:val="20"/>
          <w:rtl/>
        </w:rPr>
        <w:t xml:space="preserve"> בכל שנה ואת </w:t>
      </w:r>
      <w:r w:rsidRPr="00560273">
        <w:rPr>
          <w:rFonts w:ascii="David" w:hAnsi="David" w:cs="David" w:hint="cs"/>
          <w:sz w:val="20"/>
          <w:szCs w:val="20"/>
          <w:rtl/>
        </w:rPr>
        <w:t xml:space="preserve">התרומה של הגורמים השונים לשינוי </w:t>
      </w:r>
      <w:r>
        <w:rPr>
          <w:rFonts w:ascii="David" w:hAnsi="David" w:cs="David" w:hint="cs"/>
          <w:sz w:val="20"/>
          <w:szCs w:val="20"/>
          <w:rtl/>
        </w:rPr>
        <w:t>בתשואת</w:t>
      </w:r>
      <w:r w:rsidRPr="00560273">
        <w:rPr>
          <w:rFonts w:ascii="David" w:hAnsi="David" w:cs="David" w:hint="cs"/>
          <w:sz w:val="20"/>
          <w:szCs w:val="20"/>
          <w:rtl/>
        </w:rPr>
        <w:t xml:space="preserve"> </w:t>
      </w:r>
      <w:proofErr w:type="spellStart"/>
      <w:r w:rsidRPr="00560273">
        <w:rPr>
          <w:rFonts w:ascii="David" w:hAnsi="David" w:cs="David" w:hint="cs"/>
          <w:sz w:val="20"/>
          <w:szCs w:val="20"/>
          <w:rtl/>
        </w:rPr>
        <w:t>הפורוורד</w:t>
      </w:r>
      <w:proofErr w:type="spellEnd"/>
      <w:r w:rsidRPr="00560273">
        <w:rPr>
          <w:rFonts w:ascii="David" w:hAnsi="David" w:cs="David" w:hint="cs"/>
          <w:sz w:val="20"/>
          <w:szCs w:val="20"/>
          <w:rtl/>
        </w:rPr>
        <w:t xml:space="preserve"> </w:t>
      </w:r>
      <w:r w:rsidR="00E76ED7">
        <w:rPr>
          <w:rFonts w:ascii="David" w:hAnsi="David" w:cs="David" w:hint="cs"/>
          <w:sz w:val="20"/>
          <w:szCs w:val="20"/>
          <w:rtl/>
        </w:rPr>
        <w:t xml:space="preserve">על פני תקופת המדגם </w:t>
      </w:r>
      <w:r w:rsidRPr="00560273">
        <w:rPr>
          <w:rFonts w:ascii="David" w:hAnsi="David" w:cs="David" w:hint="cs"/>
          <w:sz w:val="20"/>
          <w:szCs w:val="20"/>
          <w:rtl/>
        </w:rPr>
        <w:t xml:space="preserve">יחסית </w:t>
      </w:r>
      <w:r>
        <w:rPr>
          <w:rFonts w:ascii="David" w:hAnsi="David" w:cs="David" w:hint="cs"/>
          <w:sz w:val="20"/>
          <w:szCs w:val="20"/>
          <w:rtl/>
        </w:rPr>
        <w:t>לתשואה</w:t>
      </w:r>
      <w:r w:rsidRPr="00560273">
        <w:rPr>
          <w:rFonts w:ascii="David" w:hAnsi="David" w:cs="David" w:hint="cs"/>
          <w:sz w:val="20"/>
          <w:szCs w:val="20"/>
          <w:rtl/>
        </w:rPr>
        <w:t xml:space="preserve"> ב</w:t>
      </w:r>
      <w:r>
        <w:rPr>
          <w:rFonts w:ascii="David" w:hAnsi="David" w:cs="David" w:hint="cs"/>
          <w:sz w:val="20"/>
          <w:szCs w:val="20"/>
          <w:rtl/>
        </w:rPr>
        <w:t xml:space="preserve">שנת </w:t>
      </w:r>
      <w:r w:rsidRPr="00560273">
        <w:rPr>
          <w:rFonts w:ascii="David" w:hAnsi="David" w:cs="David" w:hint="cs"/>
          <w:sz w:val="20"/>
          <w:szCs w:val="20"/>
          <w:rtl/>
        </w:rPr>
        <w:t>2001.</w:t>
      </w:r>
      <w:r>
        <w:rPr>
          <w:rFonts w:ascii="David" w:hAnsi="David" w:cs="David" w:hint="cs"/>
          <w:sz w:val="20"/>
          <w:szCs w:val="20"/>
          <w:rtl/>
        </w:rPr>
        <w:t xml:space="preserve"> </w:t>
      </w:r>
      <w:r w:rsidR="00E17730">
        <w:rPr>
          <w:rFonts w:ascii="David" w:hAnsi="David" w:cs="David" w:hint="cs"/>
          <w:sz w:val="20"/>
          <w:szCs w:val="20"/>
          <w:rtl/>
        </w:rPr>
        <w:t xml:space="preserve">גורמי הסיכון </w:t>
      </w:r>
      <w:proofErr w:type="spellStart"/>
      <w:r w:rsidR="00E17730">
        <w:rPr>
          <w:rFonts w:ascii="David" w:hAnsi="David" w:cs="David" w:hint="cs"/>
          <w:sz w:val="20"/>
          <w:szCs w:val="20"/>
          <w:rtl/>
        </w:rPr>
        <w:t>הפיסקלים</w:t>
      </w:r>
      <w:proofErr w:type="spellEnd"/>
      <w:r w:rsidR="00E17730">
        <w:rPr>
          <w:rFonts w:ascii="David" w:hAnsi="David" w:cs="David" w:hint="cs"/>
          <w:sz w:val="20"/>
          <w:szCs w:val="20"/>
          <w:rtl/>
        </w:rPr>
        <w:t xml:space="preserve"> כוללים </w:t>
      </w:r>
      <w:r w:rsidR="00E17730" w:rsidRPr="00560273">
        <w:rPr>
          <w:rFonts w:ascii="David" w:hAnsi="David" w:cs="David"/>
          <w:sz w:val="20"/>
          <w:szCs w:val="20"/>
          <w:rtl/>
        </w:rPr>
        <w:t xml:space="preserve">את </w:t>
      </w:r>
      <w:r w:rsidR="00E17730">
        <w:rPr>
          <w:rFonts w:ascii="David" w:hAnsi="David" w:cs="David" w:hint="cs"/>
          <w:sz w:val="20"/>
          <w:szCs w:val="20"/>
          <w:rtl/>
        </w:rPr>
        <w:t>ה</w:t>
      </w:r>
      <w:r w:rsidR="00E17730" w:rsidRPr="00560273">
        <w:rPr>
          <w:rFonts w:ascii="David" w:hAnsi="David" w:cs="David"/>
          <w:sz w:val="20"/>
          <w:szCs w:val="20"/>
          <w:rtl/>
        </w:rPr>
        <w:t>יחס חוב</w:t>
      </w:r>
      <w:r w:rsidR="00E17730">
        <w:rPr>
          <w:rFonts w:ascii="David" w:hAnsi="David" w:cs="David" w:hint="cs"/>
          <w:sz w:val="20"/>
          <w:szCs w:val="20"/>
          <w:rtl/>
        </w:rPr>
        <w:t>-</w:t>
      </w:r>
      <w:r w:rsidR="00E17730" w:rsidRPr="00560273">
        <w:rPr>
          <w:rFonts w:ascii="David" w:hAnsi="David" w:cs="David"/>
          <w:sz w:val="20"/>
          <w:szCs w:val="20"/>
          <w:rtl/>
        </w:rPr>
        <w:t>תוצר ו</w:t>
      </w:r>
      <w:r w:rsidR="00E17730">
        <w:rPr>
          <w:rFonts w:ascii="David" w:hAnsi="David" w:cs="David" w:hint="cs"/>
          <w:sz w:val="20"/>
          <w:szCs w:val="20"/>
          <w:rtl/>
        </w:rPr>
        <w:t>את ה</w:t>
      </w:r>
      <w:r w:rsidR="00E17730" w:rsidRPr="00560273">
        <w:rPr>
          <w:rFonts w:ascii="David" w:hAnsi="David" w:cs="David"/>
          <w:sz w:val="20"/>
          <w:szCs w:val="20"/>
          <w:rtl/>
        </w:rPr>
        <w:t>יחס מסים</w:t>
      </w:r>
      <w:r w:rsidR="00E17730">
        <w:rPr>
          <w:rFonts w:ascii="David" w:hAnsi="David" w:cs="David" w:hint="cs"/>
          <w:sz w:val="20"/>
          <w:szCs w:val="20"/>
          <w:rtl/>
        </w:rPr>
        <w:t>-</w:t>
      </w:r>
      <w:r w:rsidR="00E17730" w:rsidRPr="00560273">
        <w:rPr>
          <w:rFonts w:ascii="David" w:hAnsi="David" w:cs="David"/>
          <w:sz w:val="20"/>
          <w:szCs w:val="20"/>
          <w:rtl/>
        </w:rPr>
        <w:t>תוצר</w:t>
      </w:r>
      <w:r w:rsidR="00E17730">
        <w:rPr>
          <w:rFonts w:ascii="David" w:hAnsi="David" w:cs="David" w:hint="cs"/>
          <w:sz w:val="20"/>
          <w:szCs w:val="20"/>
          <w:rtl/>
        </w:rPr>
        <w:t xml:space="preserve">. הגורמים המחזוריים כוללים את </w:t>
      </w:r>
      <w:r w:rsidR="00E17730" w:rsidRPr="00560273">
        <w:rPr>
          <w:rFonts w:ascii="David" w:hAnsi="David" w:cs="David"/>
          <w:sz w:val="20"/>
          <w:szCs w:val="20"/>
          <w:rtl/>
        </w:rPr>
        <w:t xml:space="preserve">הריבית הריאלית </w:t>
      </w:r>
      <w:proofErr w:type="spellStart"/>
      <w:r w:rsidR="00E17730" w:rsidRPr="00560273">
        <w:rPr>
          <w:rFonts w:ascii="David" w:hAnsi="David" w:cs="David"/>
          <w:sz w:val="20"/>
          <w:szCs w:val="20"/>
          <w:rtl/>
        </w:rPr>
        <w:t>קצרת</w:t>
      </w:r>
      <w:r w:rsidR="00E17730">
        <w:rPr>
          <w:rFonts w:ascii="David" w:hAnsi="David" w:cs="David" w:hint="cs"/>
          <w:sz w:val="20"/>
          <w:szCs w:val="20"/>
          <w:rtl/>
        </w:rPr>
        <w:t>־</w:t>
      </w:r>
      <w:r w:rsidR="00E17730" w:rsidRPr="00560273">
        <w:rPr>
          <w:rFonts w:ascii="David" w:hAnsi="David" w:cs="David"/>
          <w:sz w:val="20"/>
          <w:szCs w:val="20"/>
          <w:rtl/>
        </w:rPr>
        <w:t>הטווח</w:t>
      </w:r>
      <w:proofErr w:type="spellEnd"/>
      <w:r w:rsidR="00E17730">
        <w:rPr>
          <w:rFonts w:ascii="David" w:hAnsi="David" w:cs="David" w:hint="cs"/>
          <w:sz w:val="20"/>
          <w:szCs w:val="20"/>
          <w:rtl/>
        </w:rPr>
        <w:t>,</w:t>
      </w:r>
      <w:r w:rsidR="00E17730" w:rsidRPr="00560273">
        <w:rPr>
          <w:rFonts w:ascii="David" w:hAnsi="David" w:cs="David"/>
          <w:sz w:val="20"/>
          <w:szCs w:val="20"/>
          <w:rtl/>
        </w:rPr>
        <w:t xml:space="preserve"> כפי שנקבעת </w:t>
      </w:r>
      <w:proofErr w:type="spellStart"/>
      <w:r w:rsidR="00E17730" w:rsidRPr="00560273">
        <w:rPr>
          <w:rFonts w:ascii="David" w:hAnsi="David" w:cs="David"/>
          <w:sz w:val="20"/>
          <w:szCs w:val="20"/>
          <w:rtl/>
        </w:rPr>
        <w:t>על</w:t>
      </w:r>
      <w:r w:rsidR="00E17730">
        <w:rPr>
          <w:rFonts w:ascii="David" w:hAnsi="David" w:cs="David" w:hint="cs"/>
          <w:sz w:val="20"/>
          <w:szCs w:val="20"/>
          <w:rtl/>
        </w:rPr>
        <w:t>־</w:t>
      </w:r>
      <w:r w:rsidR="00E17730" w:rsidRPr="00560273">
        <w:rPr>
          <w:rFonts w:ascii="David" w:hAnsi="David" w:cs="David"/>
          <w:sz w:val="20"/>
          <w:szCs w:val="20"/>
          <w:rtl/>
        </w:rPr>
        <w:t>ידי</w:t>
      </w:r>
      <w:proofErr w:type="spellEnd"/>
      <w:r w:rsidR="00E17730" w:rsidRPr="00560273">
        <w:rPr>
          <w:rFonts w:ascii="David" w:hAnsi="David" w:cs="David"/>
          <w:sz w:val="20"/>
          <w:szCs w:val="20"/>
          <w:rtl/>
        </w:rPr>
        <w:t xml:space="preserve"> המדיניות המוניטרית</w:t>
      </w:r>
      <w:r w:rsidR="00E17730">
        <w:rPr>
          <w:rFonts w:ascii="David" w:hAnsi="David" w:cs="David" w:hint="cs"/>
          <w:sz w:val="20"/>
          <w:szCs w:val="20"/>
          <w:rtl/>
        </w:rPr>
        <w:t>;</w:t>
      </w:r>
      <w:r w:rsidR="00E17730" w:rsidRPr="00560273">
        <w:rPr>
          <w:rFonts w:ascii="David" w:hAnsi="David" w:cs="David"/>
          <w:sz w:val="20"/>
          <w:szCs w:val="20"/>
          <w:rtl/>
        </w:rPr>
        <w:t xml:space="preserve"> האינפלציה בשנה האחרונה</w:t>
      </w:r>
      <w:r w:rsidR="00E17730">
        <w:rPr>
          <w:rFonts w:ascii="David" w:hAnsi="David" w:cs="David" w:hint="cs"/>
          <w:sz w:val="20"/>
          <w:szCs w:val="20"/>
          <w:rtl/>
        </w:rPr>
        <w:t>;</w:t>
      </w:r>
      <w:r w:rsidR="00E17730" w:rsidRPr="00560273">
        <w:rPr>
          <w:rFonts w:ascii="David" w:hAnsi="David" w:cs="David"/>
          <w:sz w:val="20"/>
          <w:szCs w:val="20"/>
          <w:rtl/>
        </w:rPr>
        <w:t xml:space="preserve"> היקף רכישות </w:t>
      </w:r>
      <w:proofErr w:type="spellStart"/>
      <w:r w:rsidR="00E17730" w:rsidRPr="00560273">
        <w:rPr>
          <w:rFonts w:ascii="David" w:hAnsi="David" w:cs="David"/>
          <w:sz w:val="20"/>
          <w:szCs w:val="20"/>
          <w:rtl/>
        </w:rPr>
        <w:t>האג"ח</w:t>
      </w:r>
      <w:proofErr w:type="spellEnd"/>
      <w:r w:rsidR="00E17730" w:rsidRPr="00560273">
        <w:rPr>
          <w:rFonts w:ascii="David" w:hAnsi="David" w:cs="David"/>
          <w:sz w:val="20"/>
          <w:szCs w:val="20"/>
          <w:rtl/>
        </w:rPr>
        <w:t xml:space="preserve"> של הבנק המרכזי במדינה כשיעור מסך ההתחייבויות של המדינה באג"ח ממשלתיות בשנה שעברה</w:t>
      </w:r>
      <w:r w:rsidR="00E17730">
        <w:rPr>
          <w:rFonts w:ascii="David" w:hAnsi="David" w:cs="David" w:hint="cs"/>
          <w:sz w:val="20"/>
          <w:szCs w:val="20"/>
          <w:rtl/>
        </w:rPr>
        <w:t>;</w:t>
      </w:r>
      <w:r w:rsidR="00E17730" w:rsidRPr="00560273">
        <w:rPr>
          <w:rFonts w:ascii="David" w:hAnsi="David" w:cs="David"/>
          <w:sz w:val="20"/>
          <w:szCs w:val="20"/>
          <w:rtl/>
        </w:rPr>
        <w:t xml:space="preserve"> שיעור צמיחת התוצר לנפש</w:t>
      </w:r>
      <w:r w:rsidR="00E17730">
        <w:rPr>
          <w:rFonts w:ascii="David" w:hAnsi="David" w:cs="David" w:hint="cs"/>
          <w:sz w:val="20"/>
          <w:szCs w:val="20"/>
          <w:rtl/>
        </w:rPr>
        <w:t>;</w:t>
      </w:r>
      <w:r w:rsidR="00E17730" w:rsidRPr="00560273">
        <w:rPr>
          <w:rFonts w:ascii="David" w:hAnsi="David" w:cs="David"/>
          <w:sz w:val="20"/>
          <w:szCs w:val="20"/>
          <w:rtl/>
        </w:rPr>
        <w:t xml:space="preserve"> העודף בחשבון הש</w:t>
      </w:r>
      <w:r w:rsidR="00E17730">
        <w:rPr>
          <w:rFonts w:ascii="David" w:hAnsi="David" w:cs="David"/>
          <w:sz w:val="20"/>
          <w:szCs w:val="20"/>
          <w:rtl/>
        </w:rPr>
        <w:t>וטף</w:t>
      </w:r>
      <w:r w:rsidR="00E17730">
        <w:rPr>
          <w:rFonts w:ascii="David" w:hAnsi="David" w:cs="David" w:hint="cs"/>
          <w:sz w:val="20"/>
          <w:szCs w:val="20"/>
          <w:rtl/>
        </w:rPr>
        <w:t>;</w:t>
      </w:r>
      <w:r w:rsidR="00E17730">
        <w:rPr>
          <w:rFonts w:ascii="David" w:hAnsi="David" w:cs="David"/>
          <w:sz w:val="20"/>
          <w:szCs w:val="20"/>
          <w:rtl/>
        </w:rPr>
        <w:t xml:space="preserve"> ו</w:t>
      </w:r>
      <w:r w:rsidR="00E17730">
        <w:rPr>
          <w:rFonts w:ascii="David" w:hAnsi="David" w:cs="David" w:hint="cs"/>
          <w:sz w:val="20"/>
          <w:szCs w:val="20"/>
          <w:rtl/>
        </w:rPr>
        <w:t xml:space="preserve">כן </w:t>
      </w:r>
      <w:r w:rsidR="00E17730">
        <w:rPr>
          <w:rFonts w:ascii="David" w:hAnsi="David" w:cs="David"/>
          <w:sz w:val="20"/>
          <w:szCs w:val="20"/>
          <w:rtl/>
        </w:rPr>
        <w:t xml:space="preserve">השינוי </w:t>
      </w:r>
      <w:proofErr w:type="spellStart"/>
      <w:r w:rsidR="00E17730">
        <w:rPr>
          <w:rFonts w:ascii="David" w:hAnsi="David" w:cs="David"/>
          <w:sz w:val="20"/>
          <w:szCs w:val="20"/>
          <w:rtl/>
        </w:rPr>
        <w:t>בשע"ח</w:t>
      </w:r>
      <w:proofErr w:type="spellEnd"/>
      <w:r w:rsidR="00E17730">
        <w:rPr>
          <w:rFonts w:ascii="David" w:hAnsi="David" w:cs="David"/>
          <w:sz w:val="20"/>
          <w:szCs w:val="20"/>
          <w:rtl/>
        </w:rPr>
        <w:t xml:space="preserve"> </w:t>
      </w:r>
      <w:proofErr w:type="spellStart"/>
      <w:r w:rsidR="00E17730">
        <w:rPr>
          <w:rFonts w:ascii="David" w:hAnsi="David" w:cs="David"/>
          <w:sz w:val="20"/>
          <w:szCs w:val="20"/>
          <w:rtl/>
        </w:rPr>
        <w:t>ריאלי</w:t>
      </w:r>
      <w:r w:rsidR="00E17730">
        <w:rPr>
          <w:rFonts w:ascii="David" w:hAnsi="David" w:cs="David" w:hint="cs"/>
          <w:sz w:val="20"/>
          <w:szCs w:val="20"/>
          <w:rtl/>
        </w:rPr>
        <w:t>־</w:t>
      </w:r>
      <w:r w:rsidR="00E17730">
        <w:rPr>
          <w:rFonts w:ascii="David" w:hAnsi="David" w:cs="David"/>
          <w:sz w:val="20"/>
          <w:szCs w:val="20"/>
          <w:rtl/>
        </w:rPr>
        <w:t>אפקטיבי</w:t>
      </w:r>
      <w:proofErr w:type="spellEnd"/>
      <w:r w:rsidR="00E17730">
        <w:rPr>
          <w:rFonts w:ascii="David" w:hAnsi="David" w:cs="David" w:hint="cs"/>
          <w:sz w:val="20"/>
          <w:szCs w:val="20"/>
          <w:rtl/>
        </w:rPr>
        <w:t>. הגורמים המבניים הם אפקט המדינה, החותך</w:t>
      </w:r>
      <w:r w:rsidR="00E17730" w:rsidRPr="00560273">
        <w:rPr>
          <w:rFonts w:ascii="David" w:hAnsi="David" w:cs="David"/>
          <w:sz w:val="20"/>
          <w:szCs w:val="20"/>
          <w:rtl/>
        </w:rPr>
        <w:t xml:space="preserve"> רמת התוצר לנפש והמצב הדמוגרפי </w:t>
      </w:r>
      <w:r w:rsidR="00E17730">
        <w:rPr>
          <w:rFonts w:ascii="David" w:hAnsi="David" w:cs="David"/>
          <w:sz w:val="20"/>
          <w:szCs w:val="20"/>
          <w:rtl/>
        </w:rPr>
        <w:t>שמ</w:t>
      </w:r>
      <w:r w:rsidR="00E17730" w:rsidRPr="00560273">
        <w:rPr>
          <w:rFonts w:ascii="David" w:hAnsi="David" w:cs="David"/>
          <w:sz w:val="20"/>
          <w:szCs w:val="20"/>
          <w:rtl/>
        </w:rPr>
        <w:t xml:space="preserve">יוצג </w:t>
      </w:r>
      <w:proofErr w:type="spellStart"/>
      <w:r w:rsidR="00E17730" w:rsidRPr="00560273">
        <w:rPr>
          <w:rFonts w:ascii="David" w:hAnsi="David" w:cs="David"/>
          <w:sz w:val="20"/>
          <w:szCs w:val="20"/>
          <w:rtl/>
        </w:rPr>
        <w:t>על</w:t>
      </w:r>
      <w:r w:rsidR="00E17730">
        <w:rPr>
          <w:rFonts w:ascii="David" w:hAnsi="David" w:cs="David" w:hint="cs"/>
          <w:sz w:val="20"/>
          <w:szCs w:val="20"/>
          <w:rtl/>
        </w:rPr>
        <w:t>־</w:t>
      </w:r>
      <w:r w:rsidR="00E17730" w:rsidRPr="00560273">
        <w:rPr>
          <w:rFonts w:ascii="David" w:hAnsi="David" w:cs="David"/>
          <w:sz w:val="20"/>
          <w:szCs w:val="20"/>
          <w:rtl/>
        </w:rPr>
        <w:t>ידי</w:t>
      </w:r>
      <w:proofErr w:type="spellEnd"/>
      <w:r w:rsidR="00E17730" w:rsidRPr="00560273">
        <w:rPr>
          <w:rFonts w:ascii="David" w:hAnsi="David" w:cs="David"/>
          <w:sz w:val="20"/>
          <w:szCs w:val="20"/>
          <w:rtl/>
        </w:rPr>
        <w:t xml:space="preserve"> היחס בין </w:t>
      </w:r>
      <w:r w:rsidR="00E17730">
        <w:rPr>
          <w:rFonts w:ascii="David" w:hAnsi="David" w:cs="David" w:hint="cs"/>
          <w:sz w:val="20"/>
          <w:szCs w:val="20"/>
          <w:rtl/>
        </w:rPr>
        <w:t>גודל</w:t>
      </w:r>
      <w:r w:rsidR="00E17730" w:rsidRPr="00560273">
        <w:rPr>
          <w:rFonts w:ascii="David" w:hAnsi="David" w:cs="David"/>
          <w:sz w:val="20"/>
          <w:szCs w:val="20"/>
          <w:rtl/>
        </w:rPr>
        <w:t xml:space="preserve"> האוכלוסייה בגילי פרישה (65 ומעלה) ל</w:t>
      </w:r>
      <w:r w:rsidR="00E17730">
        <w:rPr>
          <w:rFonts w:ascii="David" w:hAnsi="David" w:cs="David" w:hint="cs"/>
          <w:sz w:val="20"/>
          <w:szCs w:val="20"/>
          <w:rtl/>
        </w:rPr>
        <w:t>גודל</w:t>
      </w:r>
      <w:r w:rsidR="00E17730" w:rsidRPr="00560273">
        <w:rPr>
          <w:rFonts w:ascii="David" w:hAnsi="David" w:cs="David"/>
          <w:sz w:val="20"/>
          <w:szCs w:val="20"/>
          <w:rtl/>
        </w:rPr>
        <w:t xml:space="preserve"> האוכלוסייה בגילי העבודה העיקריים (20-64).</w:t>
      </w:r>
    </w:p>
    <w:p w:rsidR="00A5337B" w:rsidRPr="00560273" w:rsidRDefault="00A5337B" w:rsidP="00A5337B">
      <w:pPr>
        <w:spacing w:after="0" w:line="240" w:lineRule="auto"/>
        <w:jc w:val="both"/>
        <w:rPr>
          <w:rFonts w:ascii="David" w:hAnsi="David" w:cs="David"/>
          <w:sz w:val="20"/>
          <w:szCs w:val="20"/>
          <w:rtl/>
        </w:rPr>
      </w:pPr>
    </w:p>
    <w:p w:rsidR="002C4035" w:rsidRDefault="00CC14F8" w:rsidP="00E76ED7">
      <w:pPr>
        <w:bidi w:val="0"/>
        <w:rPr>
          <w:rFonts w:ascii="David" w:hAnsi="David" w:cs="David"/>
          <w:sz w:val="24"/>
          <w:szCs w:val="24"/>
          <w:rtl/>
        </w:rPr>
      </w:pPr>
      <w:r>
        <w:rPr>
          <w:noProof/>
        </w:rPr>
        <w:drawing>
          <wp:inline distT="0" distB="0" distL="0" distR="0" wp14:anchorId="6217AEF0" wp14:editId="419F0AEC">
            <wp:extent cx="5358810" cy="2743200"/>
            <wp:effectExtent l="0" t="0" r="1333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3812" w:rsidRPr="00313812" w:rsidRDefault="00313812" w:rsidP="00E76ED7">
      <w:pPr>
        <w:spacing w:after="120" w:line="360" w:lineRule="auto"/>
        <w:jc w:val="both"/>
        <w:rPr>
          <w:rFonts w:ascii="David" w:hAnsi="David" w:cs="David"/>
          <w:sz w:val="20"/>
          <w:szCs w:val="20"/>
          <w:rtl/>
        </w:rPr>
      </w:pPr>
      <w:r w:rsidRPr="00313812">
        <w:rPr>
          <w:rFonts w:ascii="David" w:hAnsi="David" w:cs="David" w:hint="cs"/>
          <w:sz w:val="20"/>
          <w:szCs w:val="20"/>
          <w:rtl/>
        </w:rPr>
        <w:t>מקור: עיבודי בנק ישראל</w:t>
      </w:r>
      <w:r>
        <w:rPr>
          <w:rFonts w:ascii="David" w:hAnsi="David" w:cs="David" w:hint="cs"/>
          <w:sz w:val="20"/>
          <w:szCs w:val="20"/>
          <w:rtl/>
        </w:rPr>
        <w:t>.</w:t>
      </w:r>
    </w:p>
    <w:p w:rsidR="00E755E9" w:rsidRDefault="00E755E9" w:rsidP="00E76ED7">
      <w:pPr>
        <w:spacing w:after="120" w:line="360" w:lineRule="auto"/>
        <w:jc w:val="both"/>
        <w:rPr>
          <w:rFonts w:ascii="David" w:hAnsi="David" w:cs="David"/>
          <w:sz w:val="24"/>
          <w:szCs w:val="24"/>
          <w:rtl/>
        </w:rPr>
      </w:pPr>
      <w:r>
        <w:rPr>
          <w:rFonts w:ascii="David" w:hAnsi="David" w:cs="David" w:hint="cs"/>
          <w:sz w:val="24"/>
          <w:szCs w:val="24"/>
          <w:rtl/>
        </w:rPr>
        <w:t xml:space="preserve">החוקרים </w:t>
      </w:r>
      <w:r w:rsidRPr="00DD1D11">
        <w:rPr>
          <w:rFonts w:ascii="David" w:hAnsi="David" w:cs="David" w:hint="cs"/>
          <w:sz w:val="24"/>
          <w:szCs w:val="24"/>
          <w:rtl/>
        </w:rPr>
        <w:t xml:space="preserve">בחנו </w:t>
      </w:r>
      <w:r>
        <w:rPr>
          <w:rFonts w:ascii="David" w:hAnsi="David" w:cs="David" w:hint="cs"/>
          <w:sz w:val="24"/>
          <w:szCs w:val="24"/>
          <w:rtl/>
        </w:rPr>
        <w:t xml:space="preserve">גם </w:t>
      </w:r>
      <w:r w:rsidRPr="00DD1D11">
        <w:rPr>
          <w:rFonts w:ascii="David" w:hAnsi="David" w:cs="David" w:hint="cs"/>
          <w:sz w:val="24"/>
          <w:szCs w:val="24"/>
          <w:rtl/>
        </w:rPr>
        <w:t xml:space="preserve">את השפעת דירוגי האשראי על </w:t>
      </w:r>
      <w:r>
        <w:rPr>
          <w:rFonts w:ascii="David" w:hAnsi="David" w:cs="David" w:hint="cs"/>
          <w:sz w:val="24"/>
          <w:szCs w:val="24"/>
          <w:rtl/>
        </w:rPr>
        <w:t xml:space="preserve">התשואות מעבר להשפעה של </w:t>
      </w:r>
      <w:r w:rsidRPr="008F7201">
        <w:rPr>
          <w:rFonts w:ascii="David" w:hAnsi="David" w:cs="David"/>
          <w:sz w:val="24"/>
          <w:szCs w:val="24"/>
          <w:rtl/>
        </w:rPr>
        <w:t>כלל הגורמים הכלכליים</w:t>
      </w:r>
      <w:r>
        <w:rPr>
          <w:rFonts w:ascii="David" w:hAnsi="David" w:cs="David"/>
          <w:sz w:val="24"/>
          <w:szCs w:val="24"/>
          <w:rtl/>
        </w:rPr>
        <w:t xml:space="preserve"> והפיננסים</w:t>
      </w:r>
      <w:r w:rsidRPr="00DD1D11">
        <w:rPr>
          <w:rFonts w:ascii="David" w:hAnsi="David" w:cs="David" w:hint="cs"/>
          <w:sz w:val="24"/>
          <w:szCs w:val="24"/>
          <w:rtl/>
        </w:rPr>
        <w:t xml:space="preserve">. בחינה כזו </w:t>
      </w:r>
      <w:r>
        <w:rPr>
          <w:rFonts w:ascii="David" w:hAnsi="David" w:cs="David" w:hint="cs"/>
          <w:sz w:val="24"/>
          <w:szCs w:val="24"/>
          <w:rtl/>
        </w:rPr>
        <w:t xml:space="preserve">מטרתה </w:t>
      </w:r>
      <w:r w:rsidRPr="00DD1D11">
        <w:rPr>
          <w:rFonts w:ascii="David" w:hAnsi="David" w:cs="David" w:hint="cs"/>
          <w:sz w:val="24"/>
          <w:szCs w:val="24"/>
          <w:rtl/>
        </w:rPr>
        <w:t>להסביר</w:t>
      </w:r>
      <w:r>
        <w:rPr>
          <w:rFonts w:ascii="David" w:hAnsi="David" w:cs="David" w:hint="cs"/>
          <w:sz w:val="24"/>
          <w:szCs w:val="24"/>
          <w:rtl/>
        </w:rPr>
        <w:t xml:space="preserve"> </w:t>
      </w:r>
      <w:r w:rsidRPr="00DD1D11">
        <w:rPr>
          <w:rFonts w:ascii="David" w:hAnsi="David" w:cs="David" w:hint="cs"/>
          <w:sz w:val="24"/>
          <w:szCs w:val="24"/>
          <w:rtl/>
        </w:rPr>
        <w:t>אם ועד כמה</w:t>
      </w:r>
      <w:r>
        <w:rPr>
          <w:rFonts w:ascii="David" w:hAnsi="David" w:cs="David" w:hint="cs"/>
          <w:sz w:val="24"/>
          <w:szCs w:val="24"/>
          <w:rtl/>
        </w:rPr>
        <w:t xml:space="preserve"> משפיעים</w:t>
      </w:r>
      <w:r w:rsidRPr="00DD1D11">
        <w:rPr>
          <w:rFonts w:ascii="David" w:hAnsi="David" w:cs="David" w:hint="cs"/>
          <w:sz w:val="24"/>
          <w:szCs w:val="24"/>
          <w:rtl/>
        </w:rPr>
        <w:t xml:space="preserve"> דירוגי האשראי על התשואות </w:t>
      </w:r>
      <w:r>
        <w:rPr>
          <w:rFonts w:ascii="David" w:hAnsi="David" w:cs="David" w:hint="cs"/>
          <w:sz w:val="24"/>
          <w:szCs w:val="24"/>
          <w:rtl/>
        </w:rPr>
        <w:t>שנ</w:t>
      </w:r>
      <w:r w:rsidRPr="00DD1D11">
        <w:rPr>
          <w:rFonts w:ascii="David" w:hAnsi="David" w:cs="David" w:hint="cs"/>
          <w:sz w:val="24"/>
          <w:szCs w:val="24"/>
          <w:rtl/>
        </w:rPr>
        <w:t xml:space="preserve">דרשות </w:t>
      </w:r>
      <w:proofErr w:type="spellStart"/>
      <w:r w:rsidRPr="00DD1D11">
        <w:rPr>
          <w:rFonts w:ascii="David" w:hAnsi="David" w:cs="David" w:hint="cs"/>
          <w:sz w:val="24"/>
          <w:szCs w:val="24"/>
          <w:rtl/>
        </w:rPr>
        <w:t>על</w:t>
      </w:r>
      <w:r>
        <w:rPr>
          <w:rFonts w:ascii="David" w:hAnsi="David" w:cs="David" w:hint="cs"/>
          <w:sz w:val="24"/>
          <w:szCs w:val="24"/>
          <w:rtl/>
        </w:rPr>
        <w:t>־</w:t>
      </w:r>
      <w:r w:rsidRPr="00DD1D11">
        <w:rPr>
          <w:rFonts w:ascii="David" w:hAnsi="David" w:cs="David" w:hint="cs"/>
          <w:sz w:val="24"/>
          <w:szCs w:val="24"/>
          <w:rtl/>
        </w:rPr>
        <w:t>ידי</w:t>
      </w:r>
      <w:proofErr w:type="spellEnd"/>
      <w:r w:rsidRPr="00DD1D11">
        <w:rPr>
          <w:rFonts w:ascii="David" w:hAnsi="David" w:cs="David" w:hint="cs"/>
          <w:sz w:val="24"/>
          <w:szCs w:val="24"/>
          <w:rtl/>
        </w:rPr>
        <w:t xml:space="preserve"> המשקיעים.</w:t>
      </w:r>
      <w:r w:rsidRPr="008F7201">
        <w:rPr>
          <w:rFonts w:ascii="David" w:hAnsi="David" w:cs="David"/>
          <w:sz w:val="24"/>
          <w:szCs w:val="24"/>
          <w:rtl/>
        </w:rPr>
        <w:t xml:space="preserve"> </w:t>
      </w:r>
      <w:r>
        <w:rPr>
          <w:rFonts w:ascii="David" w:hAnsi="David" w:cs="David" w:hint="cs"/>
          <w:sz w:val="24"/>
          <w:szCs w:val="24"/>
          <w:rtl/>
        </w:rPr>
        <w:t>החוקרים מוצאים ש</w:t>
      </w:r>
      <w:r w:rsidRPr="00DD1D11">
        <w:rPr>
          <w:rFonts w:ascii="David" w:hAnsi="David" w:cs="David" w:hint="cs"/>
          <w:sz w:val="24"/>
          <w:szCs w:val="24"/>
          <w:rtl/>
        </w:rPr>
        <w:t xml:space="preserve">שינויים </w:t>
      </w:r>
      <w:r>
        <w:rPr>
          <w:rFonts w:ascii="David" w:hAnsi="David" w:cs="David" w:hint="cs"/>
          <w:sz w:val="24"/>
          <w:szCs w:val="24"/>
          <w:rtl/>
        </w:rPr>
        <w:t xml:space="preserve">לרעה </w:t>
      </w:r>
      <w:r w:rsidRPr="00DD1D11">
        <w:rPr>
          <w:rFonts w:ascii="David" w:hAnsi="David" w:cs="David" w:hint="cs"/>
          <w:sz w:val="24"/>
          <w:szCs w:val="24"/>
          <w:rtl/>
        </w:rPr>
        <w:t>בדירוג</w:t>
      </w:r>
      <w:r>
        <w:rPr>
          <w:rFonts w:ascii="David" w:hAnsi="David" w:cs="David" w:hint="cs"/>
          <w:sz w:val="24"/>
          <w:szCs w:val="24"/>
          <w:rtl/>
        </w:rPr>
        <w:t xml:space="preserve"> משפיעים לשלילה על התשואות, בעוד לדירוג עצמו או לשינויים בתחזיות אין השפעה מעבר לגורמים הכלכליים. כמו כן, הם מוצאים ששינויי דירוג שכוללים חציה של סף דירוג ההשקעה המקובל בעולם משפיעים גם הם על התשואות. ממצאים אלה </w:t>
      </w:r>
      <w:r w:rsidR="00AA180C">
        <w:rPr>
          <w:rFonts w:ascii="David" w:hAnsi="David" w:cs="David" w:hint="cs"/>
          <w:sz w:val="24"/>
          <w:szCs w:val="24"/>
          <w:rtl/>
        </w:rPr>
        <w:t xml:space="preserve">מעידים על </w:t>
      </w:r>
      <w:r w:rsidR="00EB1591">
        <w:rPr>
          <w:rFonts w:ascii="David" w:hAnsi="David" w:cs="David" w:hint="cs"/>
          <w:sz w:val="24"/>
          <w:szCs w:val="24"/>
          <w:rtl/>
        </w:rPr>
        <w:t>קיומו של "אפקט ההסמכה" (</w:t>
      </w:r>
      <w:r w:rsidR="00EB1591">
        <w:rPr>
          <w:rFonts w:ascii="David" w:hAnsi="David" w:cs="David"/>
          <w:sz w:val="24"/>
          <w:szCs w:val="24"/>
        </w:rPr>
        <w:t>Certification Effect</w:t>
      </w:r>
      <w:r w:rsidR="00EB1591">
        <w:rPr>
          <w:rFonts w:ascii="David" w:hAnsi="David" w:cs="David" w:hint="cs"/>
          <w:sz w:val="24"/>
          <w:szCs w:val="24"/>
          <w:rtl/>
        </w:rPr>
        <w:t>): הישענות של המערכת הפיננסית והרגולציה עליה על הדירוגים של סוכניות דירוג האשראי. כתוצאה מכך, הורדות דירוג משפיעות לרעה על עלות החוב שמגייסות המדינות, מעבר למכלול הגורמים הכלכליים שמשפיעים על עלות החוב.</w:t>
      </w:r>
    </w:p>
    <w:p w:rsidR="00E755E9" w:rsidRPr="00090A14" w:rsidRDefault="00E755E9" w:rsidP="002C4035">
      <w:pPr>
        <w:spacing w:after="120" w:line="360" w:lineRule="auto"/>
        <w:jc w:val="both"/>
        <w:rPr>
          <w:rFonts w:ascii="David" w:hAnsi="David" w:cs="David"/>
          <w:sz w:val="24"/>
          <w:szCs w:val="24"/>
          <w:rtl/>
        </w:rPr>
      </w:pPr>
    </w:p>
    <w:sectPr w:rsidR="00E755E9" w:rsidRPr="00090A14" w:rsidSect="003737D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D3" w:rsidRDefault="00DE2CD3" w:rsidP="00A5337B">
      <w:pPr>
        <w:spacing w:after="0" w:line="240" w:lineRule="auto"/>
      </w:pPr>
      <w:r>
        <w:separator/>
      </w:r>
    </w:p>
  </w:endnote>
  <w:endnote w:type="continuationSeparator" w:id="0">
    <w:p w:rsidR="00DE2CD3" w:rsidRDefault="00DE2CD3" w:rsidP="00A5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D3" w:rsidRDefault="00DE2CD3" w:rsidP="00A5337B">
      <w:pPr>
        <w:spacing w:after="0" w:line="240" w:lineRule="auto"/>
      </w:pPr>
      <w:r>
        <w:separator/>
      </w:r>
    </w:p>
  </w:footnote>
  <w:footnote w:type="continuationSeparator" w:id="0">
    <w:p w:rsidR="00DE2CD3" w:rsidRDefault="00DE2CD3" w:rsidP="00A5337B">
      <w:pPr>
        <w:spacing w:after="0" w:line="240" w:lineRule="auto"/>
      </w:pPr>
      <w:r>
        <w:continuationSeparator/>
      </w:r>
    </w:p>
  </w:footnote>
  <w:footnote w:id="1">
    <w:p w:rsidR="00297CD7" w:rsidRPr="00297CD7" w:rsidRDefault="00297CD7" w:rsidP="00297CD7">
      <w:pPr>
        <w:pStyle w:val="a5"/>
        <w:rPr>
          <w:rFonts w:ascii="David" w:hAnsi="David" w:cs="David"/>
          <w:rtl/>
        </w:rPr>
      </w:pPr>
      <w:r w:rsidRPr="00297CD7">
        <w:rPr>
          <w:rStyle w:val="a7"/>
          <w:rFonts w:ascii="David" w:hAnsi="David" w:cs="David"/>
        </w:rPr>
        <w:footnoteRef/>
      </w:r>
      <w:r w:rsidRPr="00297CD7">
        <w:rPr>
          <w:rFonts w:ascii="David" w:hAnsi="David" w:cs="David"/>
          <w:rtl/>
        </w:rPr>
        <w:t xml:space="preserve"> הריבית הטבעית היא ריבית תיאורטית המשווה את הרצון לחסוך לרצון להשקיע במשק שבו המחירים משתנים באופן חופשי.</w:t>
      </w:r>
      <w:r w:rsidRPr="00297CD7" w:rsidDel="008135BA">
        <w:rPr>
          <w:rFonts w:ascii="David" w:hAnsi="David" w:cs="David"/>
          <w:b/>
          <w:bCs/>
          <w:rtl/>
        </w:rPr>
        <w:t xml:space="preserve"> </w:t>
      </w:r>
      <w:r w:rsidRPr="00297CD7">
        <w:rPr>
          <w:rFonts w:ascii="David" w:hAnsi="David" w:cs="David"/>
          <w:rtl/>
        </w:rPr>
        <w:t xml:space="preserve">הריבית הטבעית הוגדרה לראשונה </w:t>
      </w:r>
      <w:proofErr w:type="spellStart"/>
      <w:r w:rsidRPr="00297CD7">
        <w:rPr>
          <w:rFonts w:ascii="David" w:hAnsi="David" w:cs="David"/>
          <w:rtl/>
        </w:rPr>
        <w:t>על־ידי</w:t>
      </w:r>
      <w:proofErr w:type="spellEnd"/>
      <w:r w:rsidRPr="00297CD7">
        <w:rPr>
          <w:rFonts w:ascii="David" w:hAnsi="David" w:cs="David"/>
          <w:rtl/>
        </w:rPr>
        <w:t xml:space="preserve"> </w:t>
      </w:r>
      <w:r w:rsidRPr="00297CD7">
        <w:rPr>
          <w:rFonts w:ascii="David" w:hAnsi="David" w:cs="David"/>
        </w:rPr>
        <w:t>Wicksell (1898)</w:t>
      </w:r>
      <w:r w:rsidRPr="00297CD7">
        <w:rPr>
          <w:rFonts w:ascii="David" w:hAnsi="David" w:cs="David"/>
          <w:rtl/>
        </w:rPr>
        <w:t xml:space="preserve"> כריבית על הלוואות הניטרלית </w:t>
      </w:r>
      <w:r>
        <w:rPr>
          <w:rFonts w:ascii="David" w:hAnsi="David" w:cs="David" w:hint="cs"/>
          <w:rtl/>
        </w:rPr>
        <w:t>לאינפלציה</w:t>
      </w:r>
      <w:r w:rsidRPr="00297CD7">
        <w:rPr>
          <w:rFonts w:ascii="David" w:hAnsi="David" w:cs="David"/>
          <w:rtl/>
        </w:rPr>
        <w:t xml:space="preserve">. </w:t>
      </w:r>
    </w:p>
  </w:footnote>
  <w:footnote w:id="2">
    <w:p w:rsidR="00057811" w:rsidRDefault="00057811" w:rsidP="00057811">
      <w:pPr>
        <w:pStyle w:val="a5"/>
        <w:rPr>
          <w:rtl/>
        </w:rPr>
      </w:pPr>
      <w:r>
        <w:rPr>
          <w:rStyle w:val="a7"/>
        </w:rPr>
        <w:footnoteRef/>
      </w:r>
      <w:r>
        <w:rPr>
          <w:rtl/>
        </w:rPr>
        <w:t xml:space="preserve"> </w:t>
      </w:r>
      <w:r w:rsidRPr="009251D2">
        <w:rPr>
          <w:rFonts w:ascii="David" w:hAnsi="David" w:cs="David" w:hint="eastAsia"/>
          <w:rtl/>
        </w:rPr>
        <w:t>ראו</w:t>
      </w:r>
      <w:r w:rsidRPr="009251D2">
        <w:rPr>
          <w:rFonts w:ascii="David" w:hAnsi="David" w:cs="David"/>
          <w:rtl/>
        </w:rPr>
        <w:t xml:space="preserve"> </w:t>
      </w:r>
      <w:r w:rsidRPr="009251D2">
        <w:rPr>
          <w:rFonts w:ascii="David" w:hAnsi="David" w:cs="David" w:hint="eastAsia"/>
          <w:rtl/>
        </w:rPr>
        <w:t>דוחות</w:t>
      </w:r>
      <w:r w:rsidRPr="009251D2">
        <w:rPr>
          <w:rFonts w:ascii="David" w:hAnsi="David" w:cs="David"/>
          <w:rtl/>
        </w:rPr>
        <w:t xml:space="preserve"> </w:t>
      </w:r>
      <w:r w:rsidRPr="009251D2">
        <w:rPr>
          <w:rFonts w:ascii="David" w:hAnsi="David" w:cs="David" w:hint="eastAsia"/>
          <w:rtl/>
        </w:rPr>
        <w:t>בנק</w:t>
      </w:r>
      <w:r w:rsidRPr="009251D2">
        <w:rPr>
          <w:rFonts w:ascii="David" w:hAnsi="David" w:cs="David"/>
          <w:rtl/>
        </w:rPr>
        <w:t xml:space="preserve"> </w:t>
      </w:r>
      <w:r w:rsidRPr="009251D2">
        <w:rPr>
          <w:rFonts w:ascii="David" w:hAnsi="David" w:cs="David" w:hint="eastAsia"/>
          <w:rtl/>
        </w:rPr>
        <w:t>ישראל</w:t>
      </w:r>
      <w:r w:rsidRPr="009251D2">
        <w:rPr>
          <w:rFonts w:ascii="David" w:hAnsi="David" w:cs="David"/>
          <w:rtl/>
        </w:rPr>
        <w:t xml:space="preserve"> </w:t>
      </w:r>
      <w:r w:rsidRPr="009251D2">
        <w:rPr>
          <w:rFonts w:ascii="David" w:hAnsi="David" w:cs="David" w:hint="eastAsia"/>
          <w:rtl/>
        </w:rPr>
        <w:t>לשנים</w:t>
      </w:r>
      <w:r w:rsidRPr="009251D2">
        <w:rPr>
          <w:rFonts w:ascii="David" w:hAnsi="David" w:cs="David"/>
          <w:rtl/>
        </w:rPr>
        <w:t xml:space="preserve"> 2008</w:t>
      </w:r>
      <w:r>
        <w:rPr>
          <w:rFonts w:ascii="David" w:hAnsi="David" w:cs="David" w:hint="cs"/>
          <w:rtl/>
        </w:rPr>
        <w:t xml:space="preserve">, </w:t>
      </w:r>
      <w:r w:rsidRPr="009251D2">
        <w:rPr>
          <w:rFonts w:ascii="David" w:hAnsi="David" w:cs="David"/>
          <w:rtl/>
        </w:rPr>
        <w:t>2009</w:t>
      </w:r>
      <w:r>
        <w:rPr>
          <w:rFonts w:ascii="David" w:hAnsi="David" w:cs="David" w:hint="cs"/>
          <w:rtl/>
        </w:rPr>
        <w:t xml:space="preserve"> </w:t>
      </w:r>
      <w:r w:rsidRPr="0053620D">
        <w:rPr>
          <w:rFonts w:ascii="David" w:hAnsi="David" w:cs="David" w:hint="eastAsia"/>
          <w:rtl/>
        </w:rPr>
        <w:t>ו</w:t>
      </w:r>
      <w:r>
        <w:rPr>
          <w:rFonts w:ascii="David" w:hAnsi="David" w:cs="David" w:hint="cs"/>
          <w:rtl/>
        </w:rPr>
        <w:t>-</w:t>
      </w:r>
      <w:r w:rsidRPr="0053620D">
        <w:rPr>
          <w:rFonts w:ascii="David" w:hAnsi="David" w:cs="David"/>
          <w:rtl/>
        </w:rPr>
        <w:t>201</w:t>
      </w:r>
      <w:r w:rsidRPr="008F4BBB">
        <w:rPr>
          <w:rFonts w:ascii="David" w:hAnsi="David" w:cs="David"/>
          <w:rtl/>
        </w:rPr>
        <w:t>8</w:t>
      </w:r>
      <w:r w:rsidRPr="009251D2">
        <w:rPr>
          <w:rFonts w:ascii="David" w:hAnsi="David" w:cs="David"/>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B6DE1"/>
    <w:multiLevelType w:val="hybridMultilevel"/>
    <w:tmpl w:val="05EEC3DE"/>
    <w:lvl w:ilvl="0" w:tplc="E6E448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4"/>
    <w:rsid w:val="00036B88"/>
    <w:rsid w:val="000422C7"/>
    <w:rsid w:val="000428F0"/>
    <w:rsid w:val="0005116C"/>
    <w:rsid w:val="0005728E"/>
    <w:rsid w:val="00057811"/>
    <w:rsid w:val="0007456C"/>
    <w:rsid w:val="00090A14"/>
    <w:rsid w:val="000A2E2C"/>
    <w:rsid w:val="000A3F67"/>
    <w:rsid w:val="000A413F"/>
    <w:rsid w:val="000B1C62"/>
    <w:rsid w:val="000B5630"/>
    <w:rsid w:val="000B6FA2"/>
    <w:rsid w:val="000D232F"/>
    <w:rsid w:val="000D411C"/>
    <w:rsid w:val="000E72FF"/>
    <w:rsid w:val="00111308"/>
    <w:rsid w:val="0012124D"/>
    <w:rsid w:val="00153DCC"/>
    <w:rsid w:val="00166EE2"/>
    <w:rsid w:val="001720E4"/>
    <w:rsid w:val="001B0E5E"/>
    <w:rsid w:val="001B286A"/>
    <w:rsid w:val="001F4C0E"/>
    <w:rsid w:val="0020503B"/>
    <w:rsid w:val="00211888"/>
    <w:rsid w:val="002158E7"/>
    <w:rsid w:val="00216B0E"/>
    <w:rsid w:val="002200E4"/>
    <w:rsid w:val="002642FD"/>
    <w:rsid w:val="00297099"/>
    <w:rsid w:val="00297CD7"/>
    <w:rsid w:val="002C4035"/>
    <w:rsid w:val="002C7CBB"/>
    <w:rsid w:val="002D7207"/>
    <w:rsid w:val="002E4E43"/>
    <w:rsid w:val="00313812"/>
    <w:rsid w:val="00316C67"/>
    <w:rsid w:val="00330795"/>
    <w:rsid w:val="003466B0"/>
    <w:rsid w:val="00352671"/>
    <w:rsid w:val="00360793"/>
    <w:rsid w:val="003737DE"/>
    <w:rsid w:val="003873CA"/>
    <w:rsid w:val="00397A6C"/>
    <w:rsid w:val="003A0AAB"/>
    <w:rsid w:val="003F64D4"/>
    <w:rsid w:val="004118E1"/>
    <w:rsid w:val="00440E3E"/>
    <w:rsid w:val="004629C9"/>
    <w:rsid w:val="00462ED0"/>
    <w:rsid w:val="00465892"/>
    <w:rsid w:val="00470A04"/>
    <w:rsid w:val="0047161C"/>
    <w:rsid w:val="004741A9"/>
    <w:rsid w:val="00490BF6"/>
    <w:rsid w:val="00495957"/>
    <w:rsid w:val="005B148B"/>
    <w:rsid w:val="005B2035"/>
    <w:rsid w:val="005C7DCF"/>
    <w:rsid w:val="005D109C"/>
    <w:rsid w:val="005D58A8"/>
    <w:rsid w:val="005E4A66"/>
    <w:rsid w:val="005E5124"/>
    <w:rsid w:val="005F7FFE"/>
    <w:rsid w:val="00603F2E"/>
    <w:rsid w:val="006232C9"/>
    <w:rsid w:val="006234C3"/>
    <w:rsid w:val="006630BB"/>
    <w:rsid w:val="006867CC"/>
    <w:rsid w:val="0069778F"/>
    <w:rsid w:val="006A1505"/>
    <w:rsid w:val="006A4C96"/>
    <w:rsid w:val="006D5566"/>
    <w:rsid w:val="006F2EB3"/>
    <w:rsid w:val="006F3306"/>
    <w:rsid w:val="007024B5"/>
    <w:rsid w:val="00710153"/>
    <w:rsid w:val="00723A11"/>
    <w:rsid w:val="00730B2B"/>
    <w:rsid w:val="00741490"/>
    <w:rsid w:val="00750026"/>
    <w:rsid w:val="0075529E"/>
    <w:rsid w:val="00760A5E"/>
    <w:rsid w:val="00765696"/>
    <w:rsid w:val="00776D7A"/>
    <w:rsid w:val="00787A90"/>
    <w:rsid w:val="007A58BE"/>
    <w:rsid w:val="007A61E9"/>
    <w:rsid w:val="007B5E4B"/>
    <w:rsid w:val="007E6A8A"/>
    <w:rsid w:val="008178F3"/>
    <w:rsid w:val="00883D1D"/>
    <w:rsid w:val="00883FB5"/>
    <w:rsid w:val="00893900"/>
    <w:rsid w:val="00895093"/>
    <w:rsid w:val="008A0094"/>
    <w:rsid w:val="008A08DD"/>
    <w:rsid w:val="008B6C3D"/>
    <w:rsid w:val="008C75AF"/>
    <w:rsid w:val="008D5CEC"/>
    <w:rsid w:val="00945ADD"/>
    <w:rsid w:val="00975474"/>
    <w:rsid w:val="009841F9"/>
    <w:rsid w:val="009877C4"/>
    <w:rsid w:val="00994136"/>
    <w:rsid w:val="009A2232"/>
    <w:rsid w:val="009A2AAC"/>
    <w:rsid w:val="009A2C1B"/>
    <w:rsid w:val="009A3BEE"/>
    <w:rsid w:val="009C1ECF"/>
    <w:rsid w:val="009C245A"/>
    <w:rsid w:val="009E2698"/>
    <w:rsid w:val="009E3B34"/>
    <w:rsid w:val="00A1537F"/>
    <w:rsid w:val="00A2645D"/>
    <w:rsid w:val="00A40DC7"/>
    <w:rsid w:val="00A5337B"/>
    <w:rsid w:val="00A53946"/>
    <w:rsid w:val="00A570CC"/>
    <w:rsid w:val="00A7286F"/>
    <w:rsid w:val="00AA180C"/>
    <w:rsid w:val="00AB0047"/>
    <w:rsid w:val="00AB698B"/>
    <w:rsid w:val="00AB6C0E"/>
    <w:rsid w:val="00AD77C0"/>
    <w:rsid w:val="00AF3C69"/>
    <w:rsid w:val="00AF5B75"/>
    <w:rsid w:val="00B30AE8"/>
    <w:rsid w:val="00B329D8"/>
    <w:rsid w:val="00B450F1"/>
    <w:rsid w:val="00B645B4"/>
    <w:rsid w:val="00B659DF"/>
    <w:rsid w:val="00BC567D"/>
    <w:rsid w:val="00BE006B"/>
    <w:rsid w:val="00C04BA8"/>
    <w:rsid w:val="00C11D50"/>
    <w:rsid w:val="00C2770C"/>
    <w:rsid w:val="00C37287"/>
    <w:rsid w:val="00C60B1D"/>
    <w:rsid w:val="00C61D06"/>
    <w:rsid w:val="00C650E6"/>
    <w:rsid w:val="00C66D01"/>
    <w:rsid w:val="00CB2CDD"/>
    <w:rsid w:val="00CC04CA"/>
    <w:rsid w:val="00CC14F8"/>
    <w:rsid w:val="00CC3AD2"/>
    <w:rsid w:val="00CD0853"/>
    <w:rsid w:val="00CE2F37"/>
    <w:rsid w:val="00CF0B90"/>
    <w:rsid w:val="00CF4577"/>
    <w:rsid w:val="00D1086F"/>
    <w:rsid w:val="00D20AFB"/>
    <w:rsid w:val="00D27002"/>
    <w:rsid w:val="00D31E29"/>
    <w:rsid w:val="00D7251C"/>
    <w:rsid w:val="00DB11C9"/>
    <w:rsid w:val="00DE2CD3"/>
    <w:rsid w:val="00DF2487"/>
    <w:rsid w:val="00DF630B"/>
    <w:rsid w:val="00E00BA9"/>
    <w:rsid w:val="00E03A6D"/>
    <w:rsid w:val="00E15C79"/>
    <w:rsid w:val="00E17730"/>
    <w:rsid w:val="00E205EC"/>
    <w:rsid w:val="00E40FA2"/>
    <w:rsid w:val="00E56722"/>
    <w:rsid w:val="00E57944"/>
    <w:rsid w:val="00E72164"/>
    <w:rsid w:val="00E755E9"/>
    <w:rsid w:val="00E76ED7"/>
    <w:rsid w:val="00E86106"/>
    <w:rsid w:val="00EB1591"/>
    <w:rsid w:val="00EC4834"/>
    <w:rsid w:val="00EC4A67"/>
    <w:rsid w:val="00ED418A"/>
    <w:rsid w:val="00ED5A6F"/>
    <w:rsid w:val="00ED7F59"/>
    <w:rsid w:val="00EF1D49"/>
    <w:rsid w:val="00F201C9"/>
    <w:rsid w:val="00F3367D"/>
    <w:rsid w:val="00F52546"/>
    <w:rsid w:val="00FB019F"/>
    <w:rsid w:val="00FF62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7339"/>
  <w15:chartTrackingRefBased/>
  <w15:docId w15:val="{A0E88371-3E0D-4172-9E88-2952A931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67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352671"/>
    <w:rPr>
      <w:rFonts w:ascii="Tahoma" w:hAnsi="Tahoma" w:cs="Tahoma"/>
      <w:sz w:val="18"/>
      <w:szCs w:val="18"/>
    </w:rPr>
  </w:style>
  <w:style w:type="paragraph" w:styleId="a5">
    <w:name w:val="footnote text"/>
    <w:basedOn w:val="a"/>
    <w:link w:val="a6"/>
    <w:uiPriority w:val="99"/>
    <w:unhideWhenUsed/>
    <w:rsid w:val="00A5337B"/>
    <w:pPr>
      <w:spacing w:after="0" w:line="240" w:lineRule="auto"/>
    </w:pPr>
    <w:rPr>
      <w:sz w:val="20"/>
      <w:szCs w:val="20"/>
    </w:rPr>
  </w:style>
  <w:style w:type="character" w:customStyle="1" w:styleId="a6">
    <w:name w:val="טקסט הערת שוליים תו"/>
    <w:basedOn w:val="a0"/>
    <w:link w:val="a5"/>
    <w:uiPriority w:val="99"/>
    <w:rsid w:val="00A5337B"/>
    <w:rPr>
      <w:sz w:val="20"/>
      <w:szCs w:val="20"/>
    </w:rPr>
  </w:style>
  <w:style w:type="character" w:styleId="a7">
    <w:name w:val="footnote reference"/>
    <w:basedOn w:val="a0"/>
    <w:uiPriority w:val="99"/>
    <w:semiHidden/>
    <w:unhideWhenUsed/>
    <w:rsid w:val="00A5337B"/>
    <w:rPr>
      <w:vertAlign w:val="superscript"/>
    </w:rPr>
  </w:style>
  <w:style w:type="character" w:styleId="a8">
    <w:name w:val="annotation reference"/>
    <w:basedOn w:val="a0"/>
    <w:uiPriority w:val="99"/>
    <w:semiHidden/>
    <w:unhideWhenUsed/>
    <w:rsid w:val="00E40FA2"/>
    <w:rPr>
      <w:sz w:val="16"/>
      <w:szCs w:val="16"/>
    </w:rPr>
  </w:style>
  <w:style w:type="paragraph" w:styleId="a9">
    <w:name w:val="annotation text"/>
    <w:basedOn w:val="a"/>
    <w:link w:val="aa"/>
    <w:uiPriority w:val="99"/>
    <w:semiHidden/>
    <w:unhideWhenUsed/>
    <w:rsid w:val="00E40FA2"/>
    <w:pPr>
      <w:spacing w:line="240" w:lineRule="auto"/>
    </w:pPr>
    <w:rPr>
      <w:sz w:val="20"/>
      <w:szCs w:val="20"/>
    </w:rPr>
  </w:style>
  <w:style w:type="character" w:customStyle="1" w:styleId="aa">
    <w:name w:val="טקסט הערה תו"/>
    <w:basedOn w:val="a0"/>
    <w:link w:val="a9"/>
    <w:uiPriority w:val="99"/>
    <w:semiHidden/>
    <w:rsid w:val="00E40FA2"/>
    <w:rPr>
      <w:sz w:val="20"/>
      <w:szCs w:val="20"/>
    </w:rPr>
  </w:style>
  <w:style w:type="paragraph" w:styleId="ab">
    <w:name w:val="annotation subject"/>
    <w:basedOn w:val="a9"/>
    <w:next w:val="a9"/>
    <w:link w:val="ac"/>
    <w:uiPriority w:val="99"/>
    <w:semiHidden/>
    <w:unhideWhenUsed/>
    <w:rsid w:val="00E40FA2"/>
    <w:rPr>
      <w:b/>
      <w:bCs/>
    </w:rPr>
  </w:style>
  <w:style w:type="character" w:customStyle="1" w:styleId="ac">
    <w:name w:val="נושא הערה תו"/>
    <w:basedOn w:val="aa"/>
    <w:link w:val="ab"/>
    <w:uiPriority w:val="99"/>
    <w:semiHidden/>
    <w:rsid w:val="00E40FA2"/>
    <w:rPr>
      <w:b/>
      <w:bCs/>
      <w:sz w:val="20"/>
      <w:szCs w:val="20"/>
    </w:rPr>
  </w:style>
  <w:style w:type="paragraph" w:styleId="ad">
    <w:name w:val="List Paragraph"/>
    <w:basedOn w:val="a"/>
    <w:uiPriority w:val="34"/>
    <w:qFormat/>
    <w:rsid w:val="00387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3"/>
          <c:tx>
            <c:v>תשואת פורוורד 5-10 שנים (ציר ימין)</c:v>
          </c:tx>
          <c:spPr>
            <a:solidFill>
              <a:schemeClr val="bg1">
                <a:lumMod val="85000"/>
              </a:schemeClr>
            </a:solidFill>
            <a:ln>
              <a:solidFill>
                <a:schemeClr val="bg1">
                  <a:lumMod val="85000"/>
                  <a:alpha val="99000"/>
                </a:schemeClr>
              </a:solidFill>
            </a:ln>
            <a:effectLst/>
          </c:spPr>
          <c:val>
            <c:numRef>
              <c:f>Sheet1!$C$20:$C$37</c:f>
              <c:numCache>
                <c:formatCode>General</c:formatCode>
                <c:ptCount val="18"/>
                <c:pt idx="0">
                  <c:v>6.269294261932373</c:v>
                </c:pt>
                <c:pt idx="1">
                  <c:v>7.3548407554626465</c:v>
                </c:pt>
                <c:pt idx="2">
                  <c:v>11.637933731079102</c:v>
                </c:pt>
                <c:pt idx="3">
                  <c:v>8.8081130981445313</c:v>
                </c:pt>
                <c:pt idx="4">
                  <c:v>6.8530516624450684</c:v>
                </c:pt>
                <c:pt idx="5">
                  <c:v>7.303504467010498</c:v>
                </c:pt>
                <c:pt idx="6">
                  <c:v>5.1532416343688965</c:v>
                </c:pt>
                <c:pt idx="7">
                  <c:v>8.1109743118286133</c:v>
                </c:pt>
                <c:pt idx="8">
                  <c:v>5.7022061347961426</c:v>
                </c:pt>
                <c:pt idx="9">
                  <c:v>5.4086599349975586</c:v>
                </c:pt>
                <c:pt idx="10">
                  <c:v>5.7759900093078613</c:v>
                </c:pt>
                <c:pt idx="11">
                  <c:v>5.6450252532958984</c:v>
                </c:pt>
                <c:pt idx="12">
                  <c:v>5.2055563926696777</c:v>
                </c:pt>
                <c:pt idx="13">
                  <c:v>4.127471923828125</c:v>
                </c:pt>
                <c:pt idx="14">
                  <c:v>3.325249195098877</c:v>
                </c:pt>
                <c:pt idx="15">
                  <c:v>3.0547435283660889</c:v>
                </c:pt>
                <c:pt idx="16">
                  <c:v>3.0509848594665527</c:v>
                </c:pt>
                <c:pt idx="17">
                  <c:v>2.9410429000854492</c:v>
                </c:pt>
              </c:numCache>
            </c:numRef>
          </c:val>
          <c:extLst>
            <c:ext xmlns:c16="http://schemas.microsoft.com/office/drawing/2014/chart" uri="{C3380CC4-5D6E-409C-BE32-E72D297353CC}">
              <c16:uniqueId val="{00000000-838D-4F9A-B11C-E014CB66F662}"/>
            </c:ext>
          </c:extLst>
        </c:ser>
        <c:dLbls>
          <c:showLegendKey val="0"/>
          <c:showVal val="0"/>
          <c:showCatName val="0"/>
          <c:showSerName val="0"/>
          <c:showPercent val="0"/>
          <c:showBubbleSize val="0"/>
        </c:dLbls>
        <c:axId val="662329848"/>
        <c:axId val="662329192"/>
      </c:areaChart>
      <c:lineChart>
        <c:grouping val="standard"/>
        <c:varyColors val="0"/>
        <c:ser>
          <c:idx val="1"/>
          <c:order val="0"/>
          <c:tx>
            <c:strRef>
              <c:f>Sheet1!$AM$1</c:f>
              <c:strCache>
                <c:ptCount val="1"/>
                <c:pt idx="0">
                  <c:v>גורמי סיכון פיסקליים</c:v>
                </c:pt>
              </c:strCache>
            </c:strRef>
          </c:tx>
          <c:spPr>
            <a:ln w="28575" cap="rnd">
              <a:solidFill>
                <a:schemeClr val="accent2"/>
              </a:solidFill>
              <a:round/>
            </a:ln>
            <a:effectLst/>
          </c:spPr>
          <c:marker>
            <c:symbol val="none"/>
          </c:marker>
          <c:cat>
            <c:numRef>
              <c:f>Sheet1!$AI$20:$AI$37</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Sheet1!$AJ$20:$AJ$37</c:f>
              <c:numCache>
                <c:formatCode>_ * #,##0.000_ ;_ * \-#,##0.000_ ;_ * "-"??_ ;_ @_ </c:formatCode>
                <c:ptCount val="18"/>
                <c:pt idx="0">
                  <c:v>0</c:v>
                </c:pt>
                <c:pt idx="1">
                  <c:v>0.3817906379699707</c:v>
                </c:pt>
                <c:pt idx="2">
                  <c:v>0.6066596508026123</c:v>
                </c:pt>
                <c:pt idx="3">
                  <c:v>0.51895713806152344</c:v>
                </c:pt>
                <c:pt idx="4">
                  <c:v>0.34382057189941406</c:v>
                </c:pt>
                <c:pt idx="5">
                  <c:v>-7.5041770935058594E-2</c:v>
                </c:pt>
                <c:pt idx="6">
                  <c:v>-0.34984874725341797</c:v>
                </c:pt>
                <c:pt idx="7">
                  <c:v>-1.7633199691772461E-2</c:v>
                </c:pt>
                <c:pt idx="8">
                  <c:v>0.38097262382507324</c:v>
                </c:pt>
                <c:pt idx="9">
                  <c:v>0.11724138259887695</c:v>
                </c:pt>
                <c:pt idx="10">
                  <c:v>1.2527942657470703E-2</c:v>
                </c:pt>
                <c:pt idx="11">
                  <c:v>0.11248517036437988</c:v>
                </c:pt>
                <c:pt idx="12">
                  <c:v>-5.7483911514282227E-2</c:v>
                </c:pt>
                <c:pt idx="13">
                  <c:v>-0.1403040885925293</c:v>
                </c:pt>
                <c:pt idx="14">
                  <c:v>-0.25595521926879883</c:v>
                </c:pt>
                <c:pt idx="15">
                  <c:v>-0.30475139617919922</c:v>
                </c:pt>
                <c:pt idx="16">
                  <c:v>-0.57029223442077637</c:v>
                </c:pt>
                <c:pt idx="17">
                  <c:v>-0.32704925537109375</c:v>
                </c:pt>
              </c:numCache>
            </c:numRef>
          </c:val>
          <c:smooth val="0"/>
          <c:extLst>
            <c:ext xmlns:c16="http://schemas.microsoft.com/office/drawing/2014/chart" uri="{C3380CC4-5D6E-409C-BE32-E72D297353CC}">
              <c16:uniqueId val="{00000001-838D-4F9A-B11C-E014CB66F662}"/>
            </c:ext>
          </c:extLst>
        </c:ser>
        <c:ser>
          <c:idx val="2"/>
          <c:order val="1"/>
          <c:tx>
            <c:strRef>
              <c:f>Sheet1!$AN$1</c:f>
              <c:strCache>
                <c:ptCount val="1"/>
                <c:pt idx="0">
                  <c:v>גורמים מחזוריים</c:v>
                </c:pt>
              </c:strCache>
            </c:strRef>
          </c:tx>
          <c:spPr>
            <a:ln w="28575" cap="rnd">
              <a:solidFill>
                <a:schemeClr val="accent3"/>
              </a:solidFill>
              <a:round/>
            </a:ln>
            <a:effectLst/>
          </c:spPr>
          <c:marker>
            <c:symbol val="none"/>
          </c:marker>
          <c:cat>
            <c:numRef>
              <c:f>Sheet1!$AI$20:$AI$37</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Sheet1!$AK$20:$AK$37</c:f>
              <c:numCache>
                <c:formatCode>_ * #,##0.000_ ;_ * \-#,##0.000_ ;_ * "-"??_ ;_ @_ </c:formatCode>
                <c:ptCount val="18"/>
                <c:pt idx="0">
                  <c:v>0</c:v>
                </c:pt>
                <c:pt idx="1">
                  <c:v>2.361541748046875</c:v>
                </c:pt>
                <c:pt idx="2">
                  <c:v>-9.3739986419677734E-2</c:v>
                </c:pt>
                <c:pt idx="3">
                  <c:v>-1.2946139574050903</c:v>
                </c:pt>
                <c:pt idx="4">
                  <c:v>-0.58578062057495117</c:v>
                </c:pt>
                <c:pt idx="5">
                  <c:v>-0.35171318054199219</c:v>
                </c:pt>
                <c:pt idx="6">
                  <c:v>-1.2288388013839722</c:v>
                </c:pt>
                <c:pt idx="7">
                  <c:v>-1.2477248907089233</c:v>
                </c:pt>
                <c:pt idx="8">
                  <c:v>-0.94979774951934814</c:v>
                </c:pt>
                <c:pt idx="9">
                  <c:v>-1.588014543056488</c:v>
                </c:pt>
                <c:pt idx="10">
                  <c:v>-1.1614196300506592</c:v>
                </c:pt>
                <c:pt idx="11">
                  <c:v>-1.3583990335464478</c:v>
                </c:pt>
                <c:pt idx="12">
                  <c:v>-2.101177453994751</c:v>
                </c:pt>
                <c:pt idx="13">
                  <c:v>-2.3095434606075287</c:v>
                </c:pt>
                <c:pt idx="14">
                  <c:v>-2.240398958325386</c:v>
                </c:pt>
                <c:pt idx="15">
                  <c:v>-2.6647597104310989</c:v>
                </c:pt>
                <c:pt idx="16">
                  <c:v>-2.597174346446991</c:v>
                </c:pt>
                <c:pt idx="17">
                  <c:v>-2.2276606857776642</c:v>
                </c:pt>
              </c:numCache>
            </c:numRef>
          </c:val>
          <c:smooth val="0"/>
          <c:extLst>
            <c:ext xmlns:c16="http://schemas.microsoft.com/office/drawing/2014/chart" uri="{C3380CC4-5D6E-409C-BE32-E72D297353CC}">
              <c16:uniqueId val="{00000002-838D-4F9A-B11C-E014CB66F662}"/>
            </c:ext>
          </c:extLst>
        </c:ser>
        <c:ser>
          <c:idx val="3"/>
          <c:order val="2"/>
          <c:tx>
            <c:strRef>
              <c:f>Sheet1!$AO$1</c:f>
              <c:strCache>
                <c:ptCount val="1"/>
                <c:pt idx="0">
                  <c:v>גורמים מבניים</c:v>
                </c:pt>
              </c:strCache>
            </c:strRef>
          </c:tx>
          <c:spPr>
            <a:ln w="28575" cap="rnd">
              <a:solidFill>
                <a:schemeClr val="accent4"/>
              </a:solidFill>
              <a:round/>
            </a:ln>
            <a:effectLst/>
          </c:spPr>
          <c:marker>
            <c:symbol val="none"/>
          </c:marker>
          <c:cat>
            <c:numRef>
              <c:f>Sheet1!$AI$20:$AI$37</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Sheet1!$AL$20:$AL$37</c:f>
              <c:numCache>
                <c:formatCode>_ * #,##0.000_ ;_ * \-#,##0.000_ ;_ * "-"??_ ;_ @_ </c:formatCode>
                <c:ptCount val="18"/>
                <c:pt idx="0">
                  <c:v>0</c:v>
                </c:pt>
                <c:pt idx="1">
                  <c:v>-5.0830841064453125E-2</c:v>
                </c:pt>
                <c:pt idx="2">
                  <c:v>0.12826919555664063</c:v>
                </c:pt>
                <c:pt idx="3">
                  <c:v>-6.0573577880859375E-2</c:v>
                </c:pt>
                <c:pt idx="4">
                  <c:v>-2.532958984375E-3</c:v>
                </c:pt>
                <c:pt idx="5">
                  <c:v>-9.9201202392578125E-2</c:v>
                </c:pt>
                <c:pt idx="6">
                  <c:v>-0.29381179809570313</c:v>
                </c:pt>
                <c:pt idx="7">
                  <c:v>-0.26010894775390625</c:v>
                </c:pt>
                <c:pt idx="8">
                  <c:v>-0.2614288330078125</c:v>
                </c:pt>
                <c:pt idx="9">
                  <c:v>-0.43883514404296875</c:v>
                </c:pt>
                <c:pt idx="10">
                  <c:v>-0.70970535278320313</c:v>
                </c:pt>
                <c:pt idx="11">
                  <c:v>-0.89981460571289063</c:v>
                </c:pt>
                <c:pt idx="12">
                  <c:v>-1.2380752563476563</c:v>
                </c:pt>
                <c:pt idx="13">
                  <c:v>-1.3133125305175781</c:v>
                </c:pt>
                <c:pt idx="14">
                  <c:v>-1.513427734375</c:v>
                </c:pt>
                <c:pt idx="15">
                  <c:v>-1.7822799682617188</c:v>
                </c:pt>
                <c:pt idx="16">
                  <c:v>-1.9846305847167969</c:v>
                </c:pt>
                <c:pt idx="17">
                  <c:v>-2.1441535949707031</c:v>
                </c:pt>
              </c:numCache>
            </c:numRef>
          </c:val>
          <c:smooth val="0"/>
          <c:extLst>
            <c:ext xmlns:c16="http://schemas.microsoft.com/office/drawing/2014/chart" uri="{C3380CC4-5D6E-409C-BE32-E72D297353CC}">
              <c16:uniqueId val="{00000003-838D-4F9A-B11C-E014CB66F662}"/>
            </c:ext>
          </c:extLst>
        </c:ser>
        <c:dLbls>
          <c:showLegendKey val="0"/>
          <c:showVal val="0"/>
          <c:showCatName val="0"/>
          <c:showSerName val="0"/>
          <c:showPercent val="0"/>
          <c:showBubbleSize val="0"/>
        </c:dLbls>
        <c:marker val="1"/>
        <c:smooth val="0"/>
        <c:axId val="937302464"/>
        <c:axId val="937303776"/>
      </c:lineChart>
      <c:catAx>
        <c:axId val="9373024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937303776"/>
        <c:crosses val="autoZero"/>
        <c:auto val="1"/>
        <c:lblAlgn val="ctr"/>
        <c:lblOffset val="100"/>
        <c:noMultiLvlLbl val="0"/>
      </c:catAx>
      <c:valAx>
        <c:axId val="937303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שינויים בתשואה</a:t>
                </a:r>
                <a:r>
                  <a:rPr lang="he-IL" baseline="0"/>
                  <a:t> (נ</a:t>
                </a:r>
                <a:r>
                  <a:rPr lang="he-IL"/>
                  <a:t>קודות אחוז)</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937302464"/>
        <c:crosses val="autoZero"/>
        <c:crossBetween val="between"/>
      </c:valAx>
      <c:valAx>
        <c:axId val="6623291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r>
                  <a:rPr lang="he-IL"/>
                  <a:t>תשואת הפורווד (אחוז)</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662329848"/>
        <c:crosses val="max"/>
        <c:crossBetween val="between"/>
      </c:valAx>
      <c:catAx>
        <c:axId val="662329848"/>
        <c:scaling>
          <c:orientation val="minMax"/>
        </c:scaling>
        <c:delete val="1"/>
        <c:axPos val="b"/>
        <c:majorTickMark val="out"/>
        <c:minorTickMark val="none"/>
        <c:tickLblPos val="nextTo"/>
        <c:crossAx val="662329192"/>
        <c:crosses val="autoZero"/>
        <c:auto val="1"/>
        <c:lblAlgn val="ctr"/>
        <c:lblOffset val="100"/>
        <c:noMultiLvlLbl val="0"/>
      </c:catAx>
      <c:spPr>
        <a:noFill/>
        <a:ln>
          <a:noFill/>
        </a:ln>
        <a:effectLst/>
      </c:spPr>
    </c:plotArea>
    <c:legend>
      <c:legendPos val="b"/>
      <c:layout>
        <c:manualLayout>
          <c:xMode val="edge"/>
          <c:yMode val="edge"/>
          <c:x val="1.2927978741370446E-2"/>
          <c:y val="0.84244021580635753"/>
          <c:w val="0.97414385590709818"/>
          <c:h val="0.129782006415864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4F761-CF8F-4FDC-B242-AAF03A0E104A}"/>
</file>

<file path=customXml/itemProps2.xml><?xml version="1.0" encoding="utf-8"?>
<ds:datastoreItem xmlns:ds="http://schemas.openxmlformats.org/officeDocument/2006/customXml" ds:itemID="{E5B4CB70-43B6-4507-9EC9-CFF207DD6451}"/>
</file>

<file path=customXml/itemProps3.xml><?xml version="1.0" encoding="utf-8"?>
<ds:datastoreItem xmlns:ds="http://schemas.openxmlformats.org/officeDocument/2006/customXml" ds:itemID="{CF3BE6CE-00E8-4011-BC7A-5848E26A5277}"/>
</file>

<file path=customXml/itemProps4.xml><?xml version="1.0" encoding="utf-8"?>
<ds:datastoreItem xmlns:ds="http://schemas.openxmlformats.org/officeDocument/2006/customXml" ds:itemID="{87BC3B09-BCCC-4765-B63A-FAD7DA2FCF01}"/>
</file>

<file path=docProps/app.xml><?xml version="1.0" encoding="utf-8"?>
<Properties xmlns="http://schemas.openxmlformats.org/officeDocument/2006/extended-properties" xmlns:vt="http://schemas.openxmlformats.org/officeDocument/2006/docPropsVTypes">
  <Template>Normal.dotm</Template>
  <TotalTime>3</TotalTime>
  <Pages>1</Pages>
  <Words>1030</Words>
  <Characters>5150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מיכלסון</dc:creator>
  <cp:keywords/>
  <dc:description/>
  <cp:lastModifiedBy>אבשלום ברנוביץ'</cp:lastModifiedBy>
  <cp:revision>3</cp:revision>
  <dcterms:created xsi:type="dcterms:W3CDTF">2021-10-13T07:53:00Z</dcterms:created>
  <dcterms:modified xsi:type="dcterms:W3CDTF">2021-10-19T08:54:00Z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