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524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9A29E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9A29E7" w:rsidRPr="0034258C" w:rsidP="009A29E7">
            <w:pPr>
              <w:bidi/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34258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9A29E7" w:rsidRPr="0034258C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34258C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2.2pt;margin-left:0;mso-height-percent:0;mso-height-relative:margin;mso-position-horizontal:center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34258C" w:rsidP="00E132CE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="00435665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א</w:t>
            </w:r>
            <w:r w:rsidR="00435665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 xml:space="preserve">' </w:t>
            </w:r>
            <w:r w:rsidR="00435665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תמוז</w:t>
            </w:r>
            <w:r w:rsidRPr="0034258C" w:rsidR="00294F29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תשפ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34258C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</w:t>
            </w:r>
          </w:p>
          <w:p w:rsidR="009A29E7" w:rsidRPr="0034258C" w:rsidP="003631E5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he-IL" w:bidi="he-IL"/>
              </w:rPr>
              <w:t>7</w:t>
            </w:r>
            <w:r w:rsidRPr="0034258C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34258C" w:rsidR="000A48CB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ב</w:t>
            </w:r>
            <w:r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יו</w:t>
            </w: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he-IL" w:bidi="he-IL"/>
              </w:rPr>
              <w:t>לי</w:t>
            </w:r>
            <w:r w:rsidRPr="0034258C" w:rsidR="00FB275F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2024</w:t>
            </w:r>
          </w:p>
        </w:tc>
      </w:tr>
    </w:tbl>
    <w:p w:rsidR="000E11DA" w:rsidRPr="0034258C" w:rsidP="00763B3D">
      <w:pPr>
        <w:bidi/>
        <w:spacing w:after="0" w:line="360" w:lineRule="auto"/>
        <w:ind w:right="-101"/>
        <w:rPr>
          <w:rFonts w:eastAsia="Calibri" w:cs="Calibri"/>
          <w:sz w:val="24"/>
          <w:szCs w:val="24"/>
          <w:rtl/>
        </w:rPr>
      </w:pPr>
      <w:r>
        <w:rPr>
          <w:rFonts w:ascii="Calibri" w:eastAsia="Calibri" w:hAnsi="Calibri"/>
          <w:sz w:val="24"/>
          <w:szCs w:val="24"/>
          <w:rtl/>
          <w:lang w:val="en-GB" w:bidi="ar-SA"/>
        </w:rPr>
        <w:t>إعلان للصحافة</w:t>
      </w:r>
      <w:r w:rsidRPr="0034258C" w:rsidR="00B93FDD">
        <w:rPr>
          <w:rFonts w:eastAsia="Calibri" w:cs="Calibri"/>
          <w:sz w:val="24"/>
          <w:szCs w:val="24"/>
          <w:rtl/>
        </w:rPr>
        <w:t>:</w:t>
      </w:r>
    </w:p>
    <w:p w:rsidR="00615050" w:rsidP="00F07B42">
      <w:pPr>
        <w:bidi/>
        <w:spacing w:after="0" w:line="360" w:lineRule="auto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rtl/>
          <w:lang w:bidi="ar-SA"/>
        </w:rPr>
        <w:t>ال</w:t>
      </w:r>
      <w:r>
        <w:rPr>
          <w:rFonts w:cs="Arial"/>
          <w:b/>
          <w:bCs/>
          <w:sz w:val="28"/>
          <w:szCs w:val="28"/>
          <w:rtl/>
          <w:lang w:bidi="ar-SA"/>
        </w:rPr>
        <w:t>تقرير الشهري حول البرامج التي ينفذها بنك إسرائيل في الأسواق المالية في ظل الحرب</w:t>
      </w:r>
    </w:p>
    <w:p w:rsidR="00615050" w:rsidRPr="00615050" w:rsidP="00F07B42">
      <w:pPr>
        <w:bidi/>
        <w:spacing w:after="0" w:line="360" w:lineRule="auto"/>
        <w:jc w:val="center"/>
        <w:rPr>
          <w:rFonts w:cs="Calibri"/>
          <w:b/>
          <w:bCs/>
          <w:sz w:val="24"/>
          <w:szCs w:val="24"/>
          <w:rtl/>
        </w:rPr>
      </w:pPr>
    </w:p>
    <w:p w:rsidR="00615050" w:rsidRPr="00F07B42" w:rsidP="00F07B42">
      <w:pPr>
        <w:bidi/>
        <w:spacing w:after="0" w:line="240" w:lineRule="auto"/>
        <w:ind w:left="-7"/>
        <w:jc w:val="both"/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34258C" w:rsidR="00F07B42">
        <w:rPr>
          <w:rFonts w:cs="Calibri"/>
          <w:sz w:val="24"/>
          <w:szCs w:val="24"/>
          <w:rtl/>
        </w:rPr>
        <w:t>3</w:t>
      </w:r>
      <w:r w:rsidR="00F07B42">
        <w:rPr>
          <w:rFonts w:cs="Calibri" w:hint="cs"/>
          <w:sz w:val="24"/>
          <w:szCs w:val="24"/>
          <w:rtl/>
        </w:rPr>
        <w:t>0</w:t>
      </w:r>
      <w:r w:rsidRPr="0034258C" w:rsidR="00F07B42">
        <w:rPr>
          <w:rFonts w:cs="Calibri"/>
          <w:sz w:val="24"/>
          <w:szCs w:val="24"/>
          <w:rtl/>
        </w:rPr>
        <w:t>/0</w:t>
      </w:r>
      <w:r w:rsidR="00F07B42">
        <w:rPr>
          <w:rFonts w:cs="Calibri" w:hint="cs"/>
          <w:sz w:val="24"/>
          <w:szCs w:val="24"/>
          <w:rtl/>
        </w:rPr>
        <w:t>6</w:t>
      </w:r>
      <w:r w:rsidRPr="0034258C" w:rsidR="00F07B42">
        <w:rPr>
          <w:rFonts w:cs="Calibri"/>
          <w:sz w:val="24"/>
          <w:szCs w:val="24"/>
          <w:rtl/>
        </w:rPr>
        <w:t>/2024</w:t>
      </w:r>
      <w:r>
        <w:rPr>
          <w:rFonts w:ascii="David" w:hAnsi="David" w:cs="Arial"/>
          <w:sz w:val="24"/>
          <w:szCs w:val="24"/>
          <w:rtl/>
          <w:lang w:bidi="ar-SA"/>
        </w:rPr>
        <w:t>:</w:t>
      </w:r>
    </w:p>
    <w:tbl>
      <w:tblPr>
        <w:tblStyle w:val="GridTable6Colourful1"/>
        <w:tblpPr w:leftFromText="180" w:rightFromText="180" w:vertAnchor="text" w:horzAnchor="margin" w:tblpXSpec="center" w:tblpY="439"/>
        <w:bidiVisual/>
        <w:tblW w:w="8941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8"/>
        <w:gridCol w:w="1797"/>
        <w:gridCol w:w="1715"/>
        <w:gridCol w:w="1690"/>
        <w:gridCol w:w="6"/>
        <w:gridCol w:w="1695"/>
      </w:tblGrid>
      <w:tr w:rsidTr="00F93956">
        <w:tblPrEx>
          <w:tblW w:w="8941" w:type="dxa"/>
          <w:tblInd w:w="0" w:type="dxa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12" w:space="0" w:color="666666"/>
            </w:tcBorders>
          </w:tcPr>
          <w:p w:rsidR="00013D80" w:rsidRPr="0034258C" w:rsidP="0046542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97" w:type="dxa"/>
            <w:tcBorders>
              <w:bottom w:val="single" w:sz="12" w:space="0" w:color="666666"/>
            </w:tcBorders>
            <w:vAlign w:val="bottom"/>
          </w:tcPr>
          <w:p w:rsidR="00013D80" w:rsidRPr="0034258C" w:rsidP="0046542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tcBorders>
              <w:bottom w:val="single" w:sz="12" w:space="0" w:color="666666"/>
            </w:tcBorders>
            <w:vAlign w:val="bottom"/>
          </w:tcPr>
          <w:p w:rsidR="00615050" w:rsidP="0061505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التحويل</w:t>
            </w:r>
          </w:p>
          <w:p w:rsidR="00013D80" w:rsidRPr="0034258C" w:rsidP="0061505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الدولار/ الشيكل</w:t>
            </w:r>
          </w:p>
        </w:tc>
        <w:tc>
          <w:tcPr>
            <w:tcW w:w="1696" w:type="dxa"/>
            <w:gridSpan w:val="2"/>
            <w:tcBorders>
              <w:bottom w:val="single" w:sz="12" w:space="0" w:color="666666"/>
            </w:tcBorders>
            <w:vAlign w:val="bottom"/>
          </w:tcPr>
          <w:p w:rsidR="00013D80" w:rsidRPr="0034258C" w:rsidP="006353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بيع النقد الأجنبي</w:t>
            </w:r>
          </w:p>
        </w:tc>
        <w:tc>
          <w:tcPr>
            <w:tcW w:w="1695" w:type="dxa"/>
            <w:tcBorders>
              <w:bottom w:val="single" w:sz="12" w:space="0" w:color="666666"/>
            </w:tcBorders>
          </w:tcPr>
          <w:p w:rsidR="00013D80" w:rsidRPr="00F07B42" w:rsidP="00013D8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  <w:lang w:val="en-US" w:eastAsia="en-US" w:bidi="he-IL"/>
              </w:rPr>
            </w:pPr>
            <w:r w:rsidRPr="00F07B42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البرنامج النقدي لتخفيف شروط الائتمان على المصالح التجارية الصغيرة ومتناهية الصغر المتضررة من الحرب</w:t>
            </w:r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465423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2"/>
            </w:r>
            <w:hyperlink w:history="1">
              <w:r w:rsidRPr="0034258C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3"/>
            </w:r>
            <w:hyperlink w:history="1">
              <w:r w:rsidRPr="0034258C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hyperlink r:id="rId7" w:history="1">
              <w:r w:rsidRPr="0034258C" w:rsidR="009F6371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 w:eastAsia="en-US" w:bidi="he-IL"/>
                </w:rPr>
                <w:t>6/11/2023</w:t>
              </w:r>
              <w:r>
                <w:rPr>
                  <w:rStyle w:val="Hyperlink"/>
                  <w:rFonts w:cs="Calibri"/>
                  <w:sz w:val="24"/>
                  <w:szCs w:val="24"/>
                  <w:vertAlign w:val="superscript"/>
                </w:rPr>
                <w:footnoteReference w:id="4"/>
              </w:r>
            </w:hyperlink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  <w:vAlign w:val="center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34258C" w:rsidP="006F3E9B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الشواكل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2.1 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C76A6D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2.2</w:t>
            </w:r>
          </w:p>
        </w:tc>
      </w:tr>
      <w:tr w:rsidTr="00F93956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29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2.1</w:t>
            </w:r>
          </w:p>
        </w:tc>
      </w:tr>
      <w:tr w:rsidTr="006F3E9B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انتهى البرنامج</w:t>
            </w:r>
          </w:p>
        </w:tc>
      </w:tr>
      <w:tr w:rsidTr="003631E5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34258C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435665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435665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35665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435665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435665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04C2A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6F3E9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5" w:rsidRPr="0034258C" w:rsidP="00294F29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</w:tbl>
    <w:p w:rsidR="00EF5783" w:rsidRPr="0034258C" w:rsidP="00EF5783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615050" w:rsidP="00615050">
      <w:pPr>
        <w:bidi/>
        <w:spacing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615050" w:rsidRPr="00615050" w:rsidP="00615050">
      <w:pPr>
        <w:bidi/>
        <w:spacing w:after="0" w:line="360" w:lineRule="auto"/>
        <w:jc w:val="both"/>
        <w:rPr>
          <w:sz w:val="24"/>
          <w:szCs w:val="24"/>
          <w:rtl/>
          <w:lang w:bidi="ar-SA"/>
        </w:rPr>
      </w:pPr>
    </w:p>
    <w:p w:rsidR="00D1078A" w:rsidRPr="0034258C" w:rsidP="00F07B42">
      <w:pPr>
        <w:jc w:val="right"/>
        <w:rPr>
          <w:rFonts w:cs="Calibri"/>
          <w:b/>
          <w:bCs/>
          <w:sz w:val="24"/>
          <w:szCs w:val="24"/>
          <w:rtl/>
        </w:rPr>
      </w:pPr>
      <w:r w:rsidRPr="00615050">
        <w:rPr>
          <w:rFonts w:ascii="David" w:hAnsi="David" w:cs="Arial"/>
          <w:b/>
          <w:bCs/>
          <w:sz w:val="24"/>
          <w:szCs w:val="24"/>
          <w:rtl/>
          <w:lang w:bidi="ar-SA"/>
        </w:rPr>
        <w:t>البرامج التي تم تنفيذها في أعقاب الحرب</w:t>
      </w:r>
      <w:r w:rsidRPr="0034258C">
        <w:rPr>
          <w:rFonts w:cs="Calibri"/>
          <w:b/>
          <w:bCs/>
          <w:sz w:val="24"/>
          <w:szCs w:val="24"/>
          <w:rtl/>
        </w:rPr>
        <w:t>:</w:t>
      </w:r>
    </w:p>
    <w:p w:rsidR="00D1078A" w:rsidRPr="0034258C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بيع عملات أجنبية بما 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34258C">
        <w:rPr>
          <w:rFonts w:cs="Calibri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  <w:lang w:bidi="ar-SA"/>
        </w:rPr>
        <w:t xml:space="preserve"> </w:t>
      </w:r>
    </w:p>
    <w:p w:rsidR="008B0D0D" w:rsidRPr="0034258C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توفير السيولة المطلوبة لسوق العملات الاجنبية كذلك من خلال تفعيل آلية صفقات المبادلة (</w:t>
      </w:r>
      <w:r>
        <w:rPr>
          <w:rFonts w:ascii="David" w:hAnsi="David" w:cs="David" w:hint="cs"/>
          <w:sz w:val="24"/>
          <w:szCs w:val="24"/>
        </w:rPr>
        <w:t>swap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) لدى البنك بمبلغ 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15 مليار دولار</w:t>
      </w:r>
      <w:r w:rsidRPr="0034258C" w:rsidR="00D1078A">
        <w:rPr>
          <w:rFonts w:cs="Calibri"/>
          <w:sz w:val="24"/>
          <w:szCs w:val="24"/>
          <w:rtl/>
        </w:rPr>
        <w:t>.</w:t>
      </w:r>
    </w:p>
    <w:p w:rsidR="003B6661" w:rsidRPr="0034258C" w:rsidP="003B666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Arial"/>
          <w:sz w:val="24"/>
          <w:szCs w:val="24"/>
          <w:rtl/>
          <w:lang w:bidi="ar-SA"/>
        </w:rPr>
        <w:t>تنفيذ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615624" w:rsidRPr="0034258C" w:rsidP="003834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34258C">
        <w:rPr>
          <w:rFonts w:cs="Calibri"/>
          <w:sz w:val="24"/>
          <w:szCs w:val="24"/>
          <w:rtl/>
        </w:rPr>
        <w:t>:</w:t>
      </w:r>
      <w:r w:rsidRPr="0034258C" w:rsidR="009E2AE9">
        <w:rPr>
          <w:rFonts w:cs="Calibri"/>
          <w:sz w:val="24"/>
          <w:szCs w:val="24"/>
          <w:rtl/>
        </w:rPr>
        <w:t xml:space="preserve"> </w:t>
      </w:r>
    </w:p>
    <w:p w:rsidR="00763B3D" w:rsidRPr="0034258C" w:rsidP="00763B3D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سيُخصصّ بنك إسرائيل قروضًا نقدية للبنوك بمبلغ يصل إلى 10 مليار شيكل</w:t>
      </w:r>
      <w:r w:rsidRPr="0034258C">
        <w:rPr>
          <w:rFonts w:cs="Calibri"/>
          <w:sz w:val="24"/>
          <w:szCs w:val="24"/>
          <w:rtl/>
        </w:rPr>
        <w:t>.</w:t>
      </w:r>
    </w:p>
    <w:p w:rsidR="00D65F95" w:rsidRPr="0034258C" w:rsidP="00EF5783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34258C" w:rsidR="00763B3D">
        <w:rPr>
          <w:rFonts w:cs="Calibri"/>
          <w:sz w:val="24"/>
          <w:szCs w:val="24"/>
          <w:rtl/>
        </w:rPr>
        <w:t>.</w:t>
      </w:r>
      <w:r w:rsidRPr="0034258C" w:rsidR="00364C76">
        <w:rPr>
          <w:rFonts w:cs="Calibri"/>
          <w:sz w:val="24"/>
          <w:szCs w:val="24"/>
          <w:rtl/>
        </w:rPr>
        <w:t xml:space="preserve"> </w:t>
      </w:r>
    </w:p>
    <w:p w:rsidR="00A65884" w:rsidRPr="0034258C" w:rsidP="00F07B42">
      <w:pPr>
        <w:bidi/>
        <w:spacing w:after="0" w:line="360" w:lineRule="auto"/>
        <w:jc w:val="both"/>
        <w:rPr>
          <w:rFonts w:cs="Calibri"/>
          <w:sz w:val="24"/>
          <w:szCs w:val="24"/>
          <w:rtl/>
          <w:lang w:bidi="ar-SA"/>
        </w:rPr>
      </w:pPr>
      <w:r w:rsidRPr="0034258C">
        <w:rPr>
          <w:rFonts w:cs="Calibri"/>
          <w:sz w:val="24"/>
          <w:szCs w:val="24"/>
          <w:rtl/>
        </w:rPr>
        <w:t xml:space="preserve">              </w:t>
      </w:r>
      <w:r w:rsidR="00615050">
        <w:rPr>
          <w:rFonts w:cs="Times New Roman"/>
          <w:b/>
          <w:bCs/>
          <w:sz w:val="24"/>
          <w:szCs w:val="24"/>
          <w:rtl/>
          <w:lang w:bidi="ar-SA"/>
        </w:rPr>
        <w:t>إنتهى هذا البرنامج في شهر شباط</w:t>
      </w: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sectPr w:rsidSect="0034258C">
      <w:footerReference w:type="default" r:id="rId8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7B" w:rsidP="00957F7B">
    <w:pPr>
      <w:pStyle w:val="Footer"/>
      <w:rPr>
        <w:rtl/>
      </w:rPr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957F7B" w:rsidRPr="00F20046" w:rsidP="00957F7B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9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  <w:r w:rsidRPr="00571971">
      <w:rPr>
        <w:rFonts w:cs="Calibri"/>
        <w:noProof/>
        <w:rtl/>
      </w:rPr>
      <w:t xml:space="preserve"> </w:t>
    </w:r>
  </w:p>
  <w:p w:rsidR="00A30BD1" w:rsidRPr="00796246" w:rsidP="00796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3E" w:rsidP="0082626D">
      <w:pPr>
        <w:spacing w:after="0" w:line="240" w:lineRule="auto"/>
      </w:pPr>
      <w:r>
        <w:separator/>
      </w:r>
    </w:p>
  </w:footnote>
  <w:footnote w:type="continuationSeparator" w:id="1">
    <w:p w:rsidR="003C4F3E" w:rsidP="0082626D">
      <w:pPr>
        <w:spacing w:after="0" w:line="240" w:lineRule="auto"/>
      </w:pPr>
      <w:r>
        <w:continuationSeparator/>
      </w:r>
    </w:p>
  </w:footnote>
  <w:footnote w:id="2">
    <w:p w:rsidR="00013D80" w:rsidP="00615050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615050">
        <w:rPr>
          <w:rFonts w:cs="Arial" w:hint="cs"/>
          <w:rtl/>
          <w:lang w:bidi="ar-SA"/>
        </w:rPr>
        <w:t xml:space="preserve"> </w:t>
      </w:r>
      <w:r w:rsidR="00615050"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 w:rsidR="00615050">
        <w:t>swap</w:t>
      </w:r>
      <w:r w:rsidR="00615050">
        <w:rPr>
          <w:rFonts w:cs="Arial"/>
          <w:rtl/>
          <w:lang w:bidi="ar-SA"/>
        </w:rPr>
        <w:t xml:space="preserve"> </w:t>
      </w:r>
      <w:r w:rsidR="00615050">
        <w:rPr>
          <w:rFonts w:cs="Arial" w:hint="cs"/>
          <w:rtl/>
          <w:lang w:bidi="ar-SA"/>
        </w:rPr>
        <w:t xml:space="preserve">بمبلغ يصل إلى 15 مليار دولار من 9 تشرين الأول 2023  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013D80" w:rsidP="00615050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615050">
        <w:rPr>
          <w:rFonts w:cs="Arial" w:hint="cs"/>
          <w:rtl/>
          <w:lang w:bidi="ar-SA"/>
        </w:rPr>
        <w:t xml:space="preserve"> </w:t>
      </w:r>
      <w:r w:rsidR="00615050"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="00615050">
        <w:rPr>
          <w:rtl/>
        </w:rPr>
        <w:t xml:space="preserve">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4">
    <w:p w:rsidR="009F6371" w:rsidP="00615050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615050">
        <w:rPr>
          <w:rFonts w:hint="cs"/>
          <w:rtl/>
          <w:lang w:bidi="ar-SA"/>
        </w:rPr>
        <w:t xml:space="preserve"> </w:t>
      </w:r>
      <w:r w:rsidR="00615050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="00615050">
        <w:rPr>
          <w:rtl/>
        </w:rPr>
        <w:t>.</w:t>
      </w:r>
    </w:p>
    <w:p w:rsidR="009F6371" w:rsidP="009F6371">
      <w:pPr>
        <w:pStyle w:val="FootnoteText"/>
        <w:bidi/>
        <w:jc w:val="both"/>
        <w:rPr>
          <w:rtl/>
        </w:rPr>
      </w:pPr>
      <w:hyperlink r:id="rId2" w:history="1">
        <w:r w:rsidRPr="000A2885">
          <w:rPr>
            <w:rStyle w:val="Hyperlink"/>
          </w:rPr>
          <w:t>https://www.boi.org.il/publications/pressreleases/06-11-23/</w:t>
        </w:r>
      </w:hyperlink>
    </w:p>
    <w:p w:rsidR="00294F29" w:rsidP="00294F29">
      <w:pPr>
        <w:pStyle w:val="FootnoteText"/>
        <w:bidi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717"/>
    <w:multiLevelType w:val="hybridMultilevel"/>
    <w:tmpl w:val="8EDC1C04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8" w:hanging="360"/>
      </w:pPr>
    </w:lvl>
    <w:lvl w:ilvl="2" w:tentative="1">
      <w:start w:val="1"/>
      <w:numFmt w:val="lowerRoman"/>
      <w:lvlText w:val="%3."/>
      <w:lvlJc w:val="right"/>
      <w:pPr>
        <w:ind w:left="1968" w:hanging="180"/>
      </w:pPr>
    </w:lvl>
    <w:lvl w:ilvl="3" w:tentative="1">
      <w:start w:val="1"/>
      <w:numFmt w:val="decimal"/>
      <w:lvlText w:val="%4."/>
      <w:lvlJc w:val="left"/>
      <w:pPr>
        <w:ind w:left="2688" w:hanging="360"/>
      </w:pPr>
    </w:lvl>
    <w:lvl w:ilvl="4" w:tentative="1">
      <w:start w:val="1"/>
      <w:numFmt w:val="lowerLetter"/>
      <w:lvlText w:val="%5."/>
      <w:lvlJc w:val="left"/>
      <w:pPr>
        <w:ind w:left="3408" w:hanging="360"/>
      </w:pPr>
    </w:lvl>
    <w:lvl w:ilvl="5" w:tentative="1">
      <w:start w:val="1"/>
      <w:numFmt w:val="lowerRoman"/>
      <w:lvlText w:val="%6."/>
      <w:lvlJc w:val="right"/>
      <w:pPr>
        <w:ind w:left="4128" w:hanging="180"/>
      </w:pPr>
    </w:lvl>
    <w:lvl w:ilvl="6" w:tentative="1">
      <w:start w:val="1"/>
      <w:numFmt w:val="decimal"/>
      <w:lvlText w:val="%7."/>
      <w:lvlJc w:val="left"/>
      <w:pPr>
        <w:ind w:left="4848" w:hanging="360"/>
      </w:pPr>
    </w:lvl>
    <w:lvl w:ilvl="7" w:tentative="1">
      <w:start w:val="1"/>
      <w:numFmt w:val="lowerLetter"/>
      <w:lvlText w:val="%8."/>
      <w:lvlJc w:val="left"/>
      <w:pPr>
        <w:ind w:left="5568" w:hanging="360"/>
      </w:pPr>
    </w:lvl>
    <w:lvl w:ilvl="8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5661137F"/>
    <w:multiLevelType w:val="hybridMultilevel"/>
    <w:tmpl w:val="91364E6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F014F32"/>
    <w:multiLevelType w:val="hybridMultilevel"/>
    <w:tmpl w:val="F920C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5116"/>
    <w:multiLevelType w:val="hybridMultilevel"/>
    <w:tmpl w:val="226E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AA1702"/>
    <w:multiLevelType w:val="hybridMultilevel"/>
    <w:tmpl w:val="0C20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D2C68"/>
    <w:multiLevelType w:val="hybridMultilevel"/>
    <w:tmpl w:val="935A7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footnotePr>
    <w:footnote w:id="0"/>
    <w:footnote w:id="1"/>
  </w:footnotePr>
  <w:compat/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6ADD"/>
    <w:rsid w:val="00052ED1"/>
    <w:rsid w:val="00057612"/>
    <w:rsid w:val="000659BF"/>
    <w:rsid w:val="00081EBC"/>
    <w:rsid w:val="00085533"/>
    <w:rsid w:val="000A2885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1368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441"/>
    <w:rsid w:val="003872C4"/>
    <w:rsid w:val="003B2B71"/>
    <w:rsid w:val="003B6661"/>
    <w:rsid w:val="003C4F3E"/>
    <w:rsid w:val="003E6FEA"/>
    <w:rsid w:val="00406447"/>
    <w:rsid w:val="0042422F"/>
    <w:rsid w:val="0042658C"/>
    <w:rsid w:val="00435665"/>
    <w:rsid w:val="00454AB0"/>
    <w:rsid w:val="00461E7B"/>
    <w:rsid w:val="00465423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47E8F"/>
    <w:rsid w:val="00554B61"/>
    <w:rsid w:val="005563CA"/>
    <w:rsid w:val="00562323"/>
    <w:rsid w:val="00571971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050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2CE6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55543"/>
    <w:rsid w:val="00B61615"/>
    <w:rsid w:val="00B64B88"/>
    <w:rsid w:val="00B677DC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3381D"/>
    <w:rsid w:val="00E45F10"/>
    <w:rsid w:val="00E50AC3"/>
    <w:rsid w:val="00E54062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D6527"/>
    <w:rsid w:val="00EE7A53"/>
    <w:rsid w:val="00EE7F0E"/>
    <w:rsid w:val="00EF5783"/>
    <w:rsid w:val="00F01B12"/>
    <w:rsid w:val="00F02EBC"/>
    <w:rsid w:val="00F07B42"/>
    <w:rsid w:val="00F20046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6Colourful1">
    <w:name w:val="Grid Table 6 Colourful1"/>
    <w:basedOn w:val="TableNormal"/>
    <w:uiPriority w:val="51"/>
    <w:rsid w:val="00D03A1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832A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www.boi.org.il/publications/pressreleases/06-11-23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oi.org.il/publications/pressreleases/09-10-23/" TargetMode="External" /><Relationship Id="rId2" Type="http://schemas.openxmlformats.org/officeDocument/2006/relationships/hyperlink" Target="https://www.boi.org.il/publications/pressreleases/06-11-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BFE3-406B-4B01-9727-9C487998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Application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2024-07-07T15:42:00Z</dcterms:created>
  <dcterms:modified xsi:type="dcterms:W3CDTF">2024-07-07T15:42:00Z</dcterms:modified>
</cp:coreProperties>
</file>