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5F3F6B">
              <w:rPr>
                <w:rFonts w:asciiTheme="minorHAnsi" w:hAnsiTheme="minorHAnsi" w:cstheme="minorHAnsi"/>
                <w:noProof/>
                <w:rtl/>
              </w:rPr>
              <w:t>‏כ"ח אדר,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5F3F6B">
              <w:rPr>
                <w:rFonts w:asciiTheme="minorHAnsi" w:hAnsiTheme="minorHAnsi" w:cstheme="minorHAnsi"/>
                <w:noProof/>
                <w:rtl/>
              </w:rPr>
              <w:t>‏17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A9492E" w:rsidRPr="00A9492E" w:rsidRDefault="00D05DC3" w:rsidP="00D05DC3">
      <w:pPr>
        <w:pStyle w:val="ListParagraph"/>
        <w:bidi/>
        <w:spacing w:after="0" w:line="360" w:lineRule="auto"/>
        <w:ind w:left="360"/>
        <w:jc w:val="center"/>
        <w:rPr>
          <w:rFonts w:asciiTheme="minorHAnsi" w:eastAsia="Calibri" w:hAnsiTheme="minorHAnsi" w:cstheme="minorHAnsi"/>
          <w:b/>
          <w:bCs/>
          <w:color w:val="44546A"/>
          <w:sz w:val="36"/>
          <w:szCs w:val="36"/>
          <w:rtl/>
        </w:rPr>
      </w:pPr>
      <w:r>
        <w:rPr>
          <w:rFonts w:ascii="Calibri" w:eastAsia="Calibri" w:hAnsi="Calibri" w:cs="Calibri" w:hint="cs"/>
          <w:b/>
          <w:bCs/>
          <w:sz w:val="28"/>
          <w:szCs w:val="28"/>
          <w:rtl/>
        </w:rPr>
        <w:t>תיבה</w:t>
      </w:r>
      <w:r w:rsidR="00A9492E">
        <w:rPr>
          <w:rFonts w:ascii="Calibri" w:eastAsia="Calibri" w:hAnsi="Calibri" w:cs="Calibri" w:hint="cs"/>
          <w:b/>
          <w:bCs/>
          <w:sz w:val="28"/>
          <w:szCs w:val="28"/>
          <w:rtl/>
        </w:rPr>
        <w:t xml:space="preserve"> מתוך דו"ח בנק ישראל לשנת 2025 </w:t>
      </w:r>
      <w:r w:rsidR="00A9492E" w:rsidRPr="00A9492E">
        <w:rPr>
          <w:rFonts w:ascii="Calibri" w:eastAsia="Calibri" w:hAnsi="Calibri" w:cs="Calibri" w:hint="cs"/>
          <w:b/>
          <w:bCs/>
          <w:sz w:val="28"/>
          <w:szCs w:val="28"/>
          <w:rtl/>
        </w:rPr>
        <w:t>: הדחף הפיסקלי בתקופת המלחמה</w:t>
      </w:r>
    </w:p>
    <w:p w:rsidR="00A9492E" w:rsidRPr="00A9492E" w:rsidRDefault="00A9492E" w:rsidP="00A9492E">
      <w:pPr>
        <w:pStyle w:val="ListParagraph"/>
        <w:numPr>
          <w:ilvl w:val="0"/>
          <w:numId w:val="8"/>
        </w:numPr>
        <w:bidi/>
        <w:spacing w:line="360" w:lineRule="auto"/>
        <w:jc w:val="both"/>
        <w:rPr>
          <w:rFonts w:asciiTheme="minorHAnsi" w:hAnsiTheme="minorHAnsi" w:cstheme="minorHAnsi"/>
        </w:rPr>
      </w:pPr>
      <w:r w:rsidRPr="00A9492E">
        <w:rPr>
          <w:rFonts w:asciiTheme="minorHAnsi" w:hAnsiTheme="minorHAnsi" w:cstheme="minorHAnsi"/>
          <w:rtl/>
        </w:rPr>
        <w:t xml:space="preserve">עם פרוץ המלחמה הביאה העלייה החדה בצריכה הביטחונית המקומית לגידול ניכר בדחף הפיסקלי, המבטא השפעה חיובית של המדיניות הפיסקלית על הביקוש המצרפי. </w:t>
      </w:r>
    </w:p>
    <w:p w:rsidR="00A9492E" w:rsidRPr="00A9492E" w:rsidRDefault="00A9492E" w:rsidP="00A9492E">
      <w:pPr>
        <w:pStyle w:val="ListParagraph"/>
        <w:numPr>
          <w:ilvl w:val="0"/>
          <w:numId w:val="8"/>
        </w:numPr>
        <w:bidi/>
        <w:spacing w:line="360" w:lineRule="auto"/>
        <w:jc w:val="both"/>
        <w:rPr>
          <w:rFonts w:asciiTheme="minorHAnsi" w:hAnsiTheme="minorHAnsi" w:cstheme="minorHAnsi"/>
        </w:rPr>
      </w:pPr>
      <w:r w:rsidRPr="00A9492E">
        <w:rPr>
          <w:rFonts w:asciiTheme="minorHAnsi" w:hAnsiTheme="minorHAnsi" w:cstheme="minorHAnsi"/>
          <w:rtl/>
        </w:rPr>
        <w:t xml:space="preserve">בשנת 2025 הצטמצם הדחף בהשוואה לרמתו בתחילת המלחמה, בעיקר בשל העלאת המיסים שעליה החליטה הממשלה, אך הדחף נותר חיובי ביחס לרמתו ערב המלחמה.  </w:t>
      </w:r>
    </w:p>
    <w:p w:rsidR="00A9492E" w:rsidRPr="00A9492E" w:rsidRDefault="00A9492E" w:rsidP="00A9492E">
      <w:pPr>
        <w:pStyle w:val="ListParagraph"/>
        <w:bidi/>
        <w:spacing w:line="360" w:lineRule="auto"/>
        <w:jc w:val="both"/>
        <w:rPr>
          <w:rFonts w:asciiTheme="minorHAnsi" w:hAnsiTheme="minorHAnsi" w:cstheme="minorHAnsi"/>
        </w:rPr>
      </w:pPr>
    </w:p>
    <w:p w:rsidR="00A9492E" w:rsidRPr="00A9492E" w:rsidRDefault="00A9492E" w:rsidP="00A9492E">
      <w:pPr>
        <w:pStyle w:val="ListParagraph"/>
        <w:numPr>
          <w:ilvl w:val="0"/>
          <w:numId w:val="7"/>
        </w:numPr>
        <w:bidi/>
        <w:spacing w:line="360" w:lineRule="auto"/>
        <w:jc w:val="both"/>
        <w:rPr>
          <w:rFonts w:asciiTheme="minorHAnsi" w:hAnsiTheme="minorHAnsi" w:cstheme="minorHAnsi"/>
          <w:u w:val="single"/>
        </w:rPr>
      </w:pPr>
      <w:r w:rsidRPr="00A9492E">
        <w:rPr>
          <w:rFonts w:asciiTheme="minorHAnsi" w:eastAsia="Calibri" w:hAnsiTheme="minorHAnsi" w:cstheme="minorHAnsi"/>
          <w:color w:val="4F81BD"/>
          <w:sz w:val="26"/>
          <w:szCs w:val="26"/>
          <w:rtl/>
        </w:rPr>
        <w:t>רקע</w:t>
      </w:r>
      <w:r w:rsidRPr="00A9492E">
        <w:rPr>
          <w:rFonts w:asciiTheme="minorHAnsi" w:hAnsiTheme="minorHAnsi" w:cstheme="minorHAnsi"/>
          <w:u w:val="single"/>
          <w:rtl/>
        </w:rPr>
        <w:t xml:space="preserve"> </w:t>
      </w:r>
    </w:p>
    <w:p w:rsidR="00A9492E" w:rsidRPr="00A9492E" w:rsidRDefault="00A9492E" w:rsidP="00A9492E">
      <w:pPr>
        <w:bidi/>
        <w:spacing w:line="360" w:lineRule="auto"/>
        <w:jc w:val="both"/>
        <w:rPr>
          <w:rFonts w:asciiTheme="minorHAnsi" w:hAnsiTheme="minorHAnsi" w:cstheme="minorHAnsi"/>
          <w:u w:val="single"/>
          <w:rtl/>
        </w:rPr>
      </w:pPr>
      <w:r w:rsidRPr="00A9492E">
        <w:rPr>
          <w:rFonts w:asciiTheme="minorHAnsi" w:hAnsiTheme="minorHAnsi" w:cstheme="minorHAnsi"/>
          <w:rtl/>
        </w:rPr>
        <w:t>המושג "דחף פיסקלי" (</w:t>
      </w:r>
      <w:r w:rsidRPr="00A9492E">
        <w:rPr>
          <w:rFonts w:asciiTheme="minorHAnsi" w:hAnsiTheme="minorHAnsi" w:cstheme="minorHAnsi"/>
        </w:rPr>
        <w:t>Fiscal Stance</w:t>
      </w:r>
      <w:r w:rsidRPr="00A9492E">
        <w:rPr>
          <w:rFonts w:asciiTheme="minorHAnsi" w:hAnsiTheme="minorHAnsi" w:cstheme="minorHAnsi"/>
          <w:rtl/>
        </w:rPr>
        <w:t>) משקף את הכיוון והעוצמה של השפעת המדיניות הפיסקלית על הביקוש המצרפי. בתיבה נעשה שימוש במדד ה-</w:t>
      </w:r>
      <w:r w:rsidRPr="00A9492E">
        <w:rPr>
          <w:rFonts w:asciiTheme="minorHAnsi" w:hAnsiTheme="minorHAnsi" w:cstheme="minorHAnsi"/>
        </w:rPr>
        <w:t>Fiscal Impact Measure (FIM)</w:t>
      </w:r>
      <w:r w:rsidRPr="00A9492E">
        <w:rPr>
          <w:rFonts w:asciiTheme="minorHAnsi" w:hAnsiTheme="minorHAnsi" w:cstheme="minorHAnsi"/>
          <w:rtl/>
        </w:rPr>
        <w:t xml:space="preserve"> של מכון ברוקינגס </w:t>
      </w:r>
      <w:r w:rsidRPr="00A9492E">
        <w:rPr>
          <w:rFonts w:asciiTheme="minorHAnsi" w:hAnsiTheme="minorHAnsi" w:cstheme="minorHAnsi"/>
        </w:rPr>
        <w:t>(</w:t>
      </w:r>
      <w:proofErr w:type="spellStart"/>
      <w:r w:rsidRPr="00A9492E">
        <w:rPr>
          <w:rFonts w:asciiTheme="minorHAnsi" w:hAnsiTheme="minorHAnsi" w:cstheme="minorHAnsi"/>
        </w:rPr>
        <w:t>Sheiner</w:t>
      </w:r>
      <w:proofErr w:type="spellEnd"/>
      <w:r w:rsidRPr="00A9492E">
        <w:rPr>
          <w:rFonts w:asciiTheme="minorHAnsi" w:hAnsiTheme="minorHAnsi" w:cstheme="minorHAnsi"/>
        </w:rPr>
        <w:t xml:space="preserve"> et al., 2021)</w:t>
      </w:r>
      <w:r w:rsidRPr="00A9492E">
        <w:rPr>
          <w:rFonts w:asciiTheme="minorHAnsi" w:hAnsiTheme="minorHAnsi" w:cstheme="minorHAnsi"/>
          <w:rtl/>
        </w:rPr>
        <w:t xml:space="preserve">, המאפשר להעריך כיצד שינויים בצריכה הציבורית, בתשלומי ההעברה, בהשקעות ממשלתיות ובמיסים משפיעים על השינוי בביקוש המצרפי. בניתוח נתרכז </w:t>
      </w:r>
      <w:proofErr w:type="spellStart"/>
      <w:r w:rsidRPr="00A9492E">
        <w:rPr>
          <w:rFonts w:asciiTheme="minorHAnsi" w:hAnsiTheme="minorHAnsi" w:cstheme="minorHAnsi"/>
          <w:rtl/>
        </w:rPr>
        <w:t>בעיתות</w:t>
      </w:r>
      <w:proofErr w:type="spellEnd"/>
      <w:r w:rsidRPr="00A9492E">
        <w:rPr>
          <w:rFonts w:asciiTheme="minorHAnsi" w:hAnsiTheme="minorHAnsi" w:cstheme="minorHAnsi"/>
          <w:rtl/>
        </w:rPr>
        <w:t xml:space="preserve"> המשברים האחרונים – הקורונה והמלחמה שהחלה ב-7 באוקטובר – אשר בהם נקטה הממשלה התאמות פיסקליות בהתאם לנסיבות הגאו־פוליטיות </w:t>
      </w:r>
      <w:proofErr w:type="spellStart"/>
      <w:r w:rsidRPr="00A9492E">
        <w:rPr>
          <w:rFonts w:asciiTheme="minorHAnsi" w:hAnsiTheme="minorHAnsi" w:cstheme="minorHAnsi"/>
          <w:rtl/>
        </w:rPr>
        <w:t>והמקרו־כלכליות</w:t>
      </w:r>
      <w:proofErr w:type="spellEnd"/>
      <w:r w:rsidRPr="00A9492E">
        <w:rPr>
          <w:rFonts w:asciiTheme="minorHAnsi" w:hAnsiTheme="minorHAnsi" w:cstheme="minorHAnsi"/>
          <w:rtl/>
        </w:rPr>
        <w:t xml:space="preserve"> הייחודיות. </w:t>
      </w:r>
    </w:p>
    <w:p w:rsidR="00A9492E" w:rsidRPr="00A9492E" w:rsidRDefault="00A9492E" w:rsidP="00A9492E">
      <w:pPr>
        <w:pStyle w:val="ListParagraph"/>
        <w:numPr>
          <w:ilvl w:val="0"/>
          <w:numId w:val="7"/>
        </w:numPr>
        <w:bidi/>
        <w:spacing w:line="360" w:lineRule="auto"/>
        <w:jc w:val="both"/>
        <w:rPr>
          <w:rFonts w:asciiTheme="minorHAnsi" w:hAnsiTheme="minorHAnsi" w:cstheme="minorHAnsi"/>
        </w:rPr>
      </w:pPr>
      <w:r w:rsidRPr="00A9492E">
        <w:rPr>
          <w:rFonts w:asciiTheme="minorHAnsi" w:eastAsia="Calibri" w:hAnsiTheme="minorHAnsi" w:cstheme="minorHAnsi"/>
          <w:color w:val="4F81BD"/>
          <w:sz w:val="26"/>
          <w:szCs w:val="26"/>
          <w:rtl/>
        </w:rPr>
        <w:t>מתודולוגיה</w:t>
      </w:r>
    </w:p>
    <w:p w:rsidR="00A9492E" w:rsidRPr="00A9492E" w:rsidRDefault="00A9492E" w:rsidP="00A9492E">
      <w:pPr>
        <w:bidi/>
        <w:spacing w:line="360" w:lineRule="auto"/>
        <w:jc w:val="both"/>
        <w:rPr>
          <w:rFonts w:asciiTheme="minorHAnsi" w:hAnsiTheme="minorHAnsi" w:cstheme="minorHAnsi"/>
          <w:rtl/>
        </w:rPr>
      </w:pPr>
      <w:r w:rsidRPr="00A9492E">
        <w:rPr>
          <w:rFonts w:asciiTheme="minorHAnsi" w:hAnsiTheme="minorHAnsi" w:cstheme="minorHAnsi"/>
          <w:rtl/>
        </w:rPr>
        <w:t xml:space="preserve">המדד מחשב את התרומה של המדיניות הפיסקלית לביקוש המצרפי ביחס למדיניות "ניטרלית": מצב שבו ההוצאות והמיסים משתנים בשיעור זהה לצמיחת התוצר הפוטנציאלי. כל הגדלת הוצאות מעבר לתוואי הניטרלי או הפחתת מיסים מייצגות הרחבה פיסקלית, ואילו כל צמצום בהוצאות או העלאת מיסים נחשבים לריסון פיסקלי. המדד מתמקד רק בהשפעה הראשונית של הצעדים הפיסקליים על הביקוש המצרפי ואינו מביא בחשבון מכפילים פיסקליים או השפעות עקיפות נוספות. כמו כן, המדד לא משקף רק מדיניות אקטיבית של הממשלה, אלא גם את פעולת "המייצבים האוטומטיים" כשהתוצר צומח מתחת או מעל לפוטנציאל. המדד הכולל מחושב כסכום התרומות של הצריכה הציבורית, תשלומי ההעברה, המיסים וההשקעה הממשלתית. </w:t>
      </w:r>
    </w:p>
    <w:p w:rsidR="00A9492E" w:rsidRPr="00A9492E" w:rsidRDefault="00A9492E" w:rsidP="00A9492E">
      <w:pPr>
        <w:bidi/>
        <w:spacing w:line="360" w:lineRule="auto"/>
        <w:jc w:val="both"/>
        <w:rPr>
          <w:rFonts w:asciiTheme="minorHAnsi" w:hAnsiTheme="minorHAnsi" w:cstheme="minorHAnsi"/>
          <w:rtl/>
        </w:rPr>
      </w:pPr>
      <w:r w:rsidRPr="00A9492E">
        <w:rPr>
          <w:rFonts w:asciiTheme="minorHAnsi" w:hAnsiTheme="minorHAnsi" w:cstheme="minorHAnsi"/>
          <w:rtl/>
        </w:rPr>
        <w:lastRenderedPageBreak/>
        <w:t>במקרה של הצריכה הציבורית המדד משווה בין רמת הצריכה הציבורית הריאלית בפועל לבין הרמה שהייתה מתקבלת אילו הייתה הצריכה הציבורית גדלה בקצב צמיחת התוצר הפוטנציאלי. פער חיובי מייצג הרחבה פיסקלית ואילו פער שלילי מייצג ריסון. נבטא את הפער כאחוז מהתוצר ברבעון הקודם</w:t>
      </w:r>
      <w:r w:rsidRPr="00A9492E">
        <w:rPr>
          <w:rStyle w:val="FootnoteReference"/>
          <w:rFonts w:asciiTheme="minorHAnsi" w:hAnsiTheme="minorHAnsi" w:cstheme="minorHAnsi"/>
          <w:rtl/>
        </w:rPr>
        <w:footnoteReference w:id="1"/>
      </w:r>
      <w:r w:rsidRPr="00A9492E">
        <w:rPr>
          <w:rFonts w:asciiTheme="minorHAnsi" w:hAnsiTheme="minorHAnsi" w:cstheme="minorHAnsi"/>
          <w:rtl/>
        </w:rPr>
        <w:t>. רכיב ההשקעה הציבורית מחושב באופן דומה.</w:t>
      </w:r>
    </w:p>
    <w:p w:rsidR="00A9492E" w:rsidRPr="00A9492E" w:rsidRDefault="00A9492E" w:rsidP="00A9492E">
      <w:pPr>
        <w:bidi/>
        <w:spacing w:line="360" w:lineRule="auto"/>
        <w:jc w:val="both"/>
        <w:rPr>
          <w:rFonts w:asciiTheme="minorHAnsi" w:hAnsiTheme="minorHAnsi" w:cstheme="minorHAnsi"/>
          <w:rtl/>
        </w:rPr>
      </w:pPr>
      <w:r w:rsidRPr="00A9492E">
        <w:rPr>
          <w:rFonts w:asciiTheme="minorHAnsi" w:hAnsiTheme="minorHAnsi" w:cstheme="minorHAnsi"/>
          <w:rtl/>
        </w:rPr>
        <w:t xml:space="preserve">בדומה לכך, במיסים ובתשלומי ההעברה המדד מעריך כיצד שינויים שחלים בהם משפיעים על הביקוש הפרטי. לכל רכיב מוגדרת רמה ההכנסות הניטרלית – כלומר הרמה שהייתה מתקבלת אילו הוא היה משתנה בהתאם לקצב צמיחת התוצר הפוטנציאלי. </w:t>
      </w:r>
      <w:proofErr w:type="spellStart"/>
      <w:r w:rsidRPr="00A9492E">
        <w:rPr>
          <w:rFonts w:asciiTheme="minorHAnsi" w:hAnsiTheme="minorHAnsi" w:cstheme="minorHAnsi"/>
          <w:rtl/>
        </w:rPr>
        <w:t>לאחר־מכן</w:t>
      </w:r>
      <w:proofErr w:type="spellEnd"/>
      <w:r w:rsidRPr="00A9492E">
        <w:rPr>
          <w:rFonts w:asciiTheme="minorHAnsi" w:hAnsiTheme="minorHAnsi" w:cstheme="minorHAnsi"/>
          <w:rtl/>
        </w:rPr>
        <w:t xml:space="preserve"> הפער בין הרמה בפועל לרמה הניטרלית נמדד, </w:t>
      </w:r>
      <w:proofErr w:type="spellStart"/>
      <w:r w:rsidRPr="00A9492E">
        <w:rPr>
          <w:rFonts w:asciiTheme="minorHAnsi" w:hAnsiTheme="minorHAnsi" w:cstheme="minorHAnsi"/>
          <w:rtl/>
        </w:rPr>
        <w:t>תוך־כדי</w:t>
      </w:r>
      <w:proofErr w:type="spellEnd"/>
      <w:r w:rsidRPr="00A9492E">
        <w:rPr>
          <w:rFonts w:asciiTheme="minorHAnsi" w:hAnsiTheme="minorHAnsi" w:cstheme="minorHAnsi"/>
          <w:rtl/>
        </w:rPr>
        <w:t xml:space="preserve"> התחשבות בכך שכל רכיב משפיע על הצריכה הפרטית לאורך מספר רבעונים בהתאם לנטייה השולית לצרוך האופיינית לו</w:t>
      </w:r>
      <w:r w:rsidRPr="00A9492E">
        <w:rPr>
          <w:rStyle w:val="FootnoteReference"/>
          <w:rFonts w:asciiTheme="minorHAnsi" w:hAnsiTheme="minorHAnsi" w:cstheme="minorHAnsi"/>
          <w:rtl/>
        </w:rPr>
        <w:footnoteReference w:id="2"/>
      </w:r>
      <w:r w:rsidRPr="00A9492E">
        <w:rPr>
          <w:rFonts w:asciiTheme="minorHAnsi" w:hAnsiTheme="minorHAnsi" w:cstheme="minorHAnsi"/>
          <w:rtl/>
        </w:rPr>
        <w:t>. מיסים נמוכים או תשלומי העברה גבוהים מהערך הניטרלי מגדילים את הביקוש ויוצרים הרחבה, ולהיפך. התרומה הכוללת של המיסים ותשלומי ההעברה מובאת לידי ביטוי כאחוז מהתוצר של הרבעון הקודם, בדומה לחישוב הצריכה הציבורית</w:t>
      </w:r>
      <w:r w:rsidRPr="00A9492E">
        <w:rPr>
          <w:rStyle w:val="FootnoteReference"/>
          <w:rFonts w:asciiTheme="minorHAnsi" w:hAnsiTheme="minorHAnsi" w:cstheme="minorHAnsi"/>
          <w:rtl/>
        </w:rPr>
        <w:footnoteReference w:id="3"/>
      </w:r>
      <w:r w:rsidRPr="00A9492E">
        <w:rPr>
          <w:rFonts w:asciiTheme="minorHAnsi" w:hAnsiTheme="minorHAnsi" w:cstheme="minorHAnsi"/>
          <w:rtl/>
        </w:rPr>
        <w:t>. חיבור כל התרומות יחדיו מניב את מדד ה-</w:t>
      </w:r>
      <w:r w:rsidRPr="00A9492E">
        <w:rPr>
          <w:rFonts w:asciiTheme="minorHAnsi" w:hAnsiTheme="minorHAnsi" w:cstheme="minorHAnsi"/>
        </w:rPr>
        <w:t>FIM</w:t>
      </w:r>
      <w:r w:rsidRPr="00A9492E">
        <w:rPr>
          <w:rFonts w:asciiTheme="minorHAnsi" w:hAnsiTheme="minorHAnsi" w:cstheme="minorHAnsi"/>
          <w:rtl/>
        </w:rPr>
        <w:t xml:space="preserve"> הכולל, המציג באופן מקיף את ההשפעה של כלל הצעדים הפיסקליים על הביקוש המצרפי ביחס למדיניות ניטרלית</w:t>
      </w:r>
      <w:r w:rsidRPr="00A9492E">
        <w:rPr>
          <w:rStyle w:val="FootnoteReference"/>
          <w:rFonts w:asciiTheme="minorHAnsi" w:hAnsiTheme="minorHAnsi" w:cstheme="minorHAnsi"/>
          <w:rtl/>
        </w:rPr>
        <w:footnoteReference w:id="4"/>
      </w:r>
      <w:r w:rsidRPr="00A9492E">
        <w:rPr>
          <w:rFonts w:asciiTheme="minorHAnsi" w:hAnsiTheme="minorHAnsi" w:cstheme="minorHAnsi"/>
          <w:rtl/>
        </w:rPr>
        <w:t xml:space="preserve">. </w:t>
      </w:r>
    </w:p>
    <w:p w:rsidR="00A9492E" w:rsidRPr="00A9492E" w:rsidRDefault="00A9492E" w:rsidP="00A9492E">
      <w:pPr>
        <w:pStyle w:val="ListParagraph"/>
        <w:numPr>
          <w:ilvl w:val="0"/>
          <w:numId w:val="7"/>
        </w:numPr>
        <w:bidi/>
        <w:spacing w:line="360" w:lineRule="auto"/>
        <w:jc w:val="both"/>
        <w:rPr>
          <w:rFonts w:asciiTheme="minorHAnsi" w:hAnsiTheme="minorHAnsi" w:cstheme="minorHAnsi"/>
          <w:rtl/>
        </w:rPr>
      </w:pPr>
      <w:r w:rsidRPr="00A9492E">
        <w:rPr>
          <w:rFonts w:asciiTheme="minorHAnsi" w:eastAsia="Calibri" w:hAnsiTheme="minorHAnsi" w:cstheme="minorHAnsi"/>
          <w:color w:val="4F81BD"/>
          <w:sz w:val="26"/>
          <w:szCs w:val="26"/>
          <w:rtl/>
        </w:rPr>
        <w:t>תוצאות</w:t>
      </w:r>
    </w:p>
    <w:p w:rsidR="00A9492E" w:rsidRPr="00A9492E" w:rsidRDefault="00A9492E" w:rsidP="00A9492E">
      <w:pPr>
        <w:pStyle w:val="NormalWeb"/>
        <w:bidi/>
        <w:spacing w:line="360" w:lineRule="auto"/>
        <w:jc w:val="both"/>
        <w:rPr>
          <w:rFonts w:asciiTheme="minorHAnsi" w:eastAsiaTheme="minorHAnsi" w:hAnsiTheme="minorHAnsi" w:cstheme="minorHAnsi"/>
          <w:rtl/>
        </w:rPr>
      </w:pPr>
      <w:r w:rsidRPr="00A9492E">
        <w:rPr>
          <w:rFonts w:asciiTheme="minorHAnsi" w:hAnsiTheme="minorHAnsi" w:cstheme="minorHAnsi"/>
          <w:rtl/>
        </w:rPr>
        <w:t xml:space="preserve">באיור 1 מוצגת רמת הדחף הפיסקלי ביחס לערב מגפת הקורונה, ובאיור 2 רמת הדחף הפיסקלי ביחס לערב המלחמה. בשנים אלו נרשמה הרחבה פיסקלית גבוהה ביחס לשנים קודמות יותר. זו התאפשרה, בין היתר, הודות ל"כריות פיסקליות" שנצברו ערב המשברים והעניקו לממשלה מרחב תמרון </w:t>
      </w:r>
      <w:r w:rsidRPr="00A9492E">
        <w:rPr>
          <w:rFonts w:asciiTheme="minorHAnsi" w:hAnsiTheme="minorHAnsi" w:cstheme="minorHAnsi"/>
        </w:rPr>
        <w:t>(International Monetary Fund [IMF], 2026)</w:t>
      </w:r>
      <w:r w:rsidRPr="00A9492E">
        <w:rPr>
          <w:rFonts w:asciiTheme="minorHAnsi" w:hAnsiTheme="minorHAnsi" w:cstheme="minorHAnsi"/>
          <w:rtl/>
        </w:rPr>
        <w:t xml:space="preserve">. </w:t>
      </w:r>
      <w:r w:rsidRPr="00A9492E">
        <w:rPr>
          <w:rFonts w:asciiTheme="minorHAnsi" w:eastAsiaTheme="minorHAnsi" w:hAnsiTheme="minorHAnsi" w:cstheme="minorHAnsi"/>
          <w:rtl/>
        </w:rPr>
        <w:t>בעוד שבמגפת הקורונה (איור 1) הונע הדחף בעיקר באמצעות תשלומי העברה והוא דעך במהירות עם הפסקת חבילות</w:t>
      </w:r>
      <w:bookmarkStart w:id="0" w:name="_GoBack"/>
      <w:bookmarkEnd w:id="0"/>
      <w:r w:rsidRPr="00A9492E">
        <w:rPr>
          <w:rFonts w:asciiTheme="minorHAnsi" w:eastAsiaTheme="minorHAnsi" w:hAnsiTheme="minorHAnsi" w:cstheme="minorHAnsi"/>
          <w:rtl/>
        </w:rPr>
        <w:t xml:space="preserve"> הסיוע, הרי שבתקופת המלחמה (איור 2) הוא נשען על צריכה ציבורית, בעיקר ביטחונית, המתאפיינת במכפיל גבוה אך גם בתנודתיות רבה. בשנת 2025 הדחף הפיסקלי התמתן בעיקר עקב הפעלת צעדי התאמה בצד ההכנסות, בפרט העלאות מיסים.  </w:t>
      </w:r>
    </w:p>
    <w:p w:rsidR="00A9492E" w:rsidRPr="00A9492E" w:rsidRDefault="00A9492E" w:rsidP="00A9492E">
      <w:pPr>
        <w:bidi/>
        <w:spacing w:line="360" w:lineRule="auto"/>
        <w:jc w:val="both"/>
        <w:rPr>
          <w:rFonts w:asciiTheme="minorHAnsi" w:hAnsiTheme="minorHAnsi" w:cstheme="minorHAnsi"/>
          <w:rtl/>
        </w:rPr>
      </w:pPr>
      <w:r w:rsidRPr="00A9492E">
        <w:rPr>
          <w:rFonts w:asciiTheme="minorHAnsi" w:hAnsiTheme="minorHAnsi" w:cstheme="minorHAnsi"/>
          <w:rtl/>
        </w:rPr>
        <w:lastRenderedPageBreak/>
        <w:t xml:space="preserve">ייתכן כי הדחף הפיסקלי הגבוה בשנים האחרונות סייע להקטין את הפער בין התוצר בפועל לקו המגמה, </w:t>
      </w:r>
      <w:proofErr w:type="spellStart"/>
      <w:r w:rsidRPr="00A9492E">
        <w:rPr>
          <w:rFonts w:asciiTheme="minorHAnsi" w:hAnsiTheme="minorHAnsi" w:cstheme="minorHAnsi"/>
          <w:rtl/>
        </w:rPr>
        <w:t>אם־כי</w:t>
      </w:r>
      <w:proofErr w:type="spellEnd"/>
      <w:r w:rsidRPr="00A9492E">
        <w:rPr>
          <w:rFonts w:asciiTheme="minorHAnsi" w:hAnsiTheme="minorHAnsi" w:cstheme="minorHAnsi"/>
          <w:rtl/>
        </w:rPr>
        <w:t xml:space="preserve"> עוצמת ההשפעה אינה </w:t>
      </w:r>
      <w:proofErr w:type="spellStart"/>
      <w:r w:rsidRPr="00A9492E">
        <w:rPr>
          <w:rFonts w:asciiTheme="minorHAnsi" w:hAnsiTheme="minorHAnsi" w:cstheme="minorHAnsi"/>
          <w:rtl/>
        </w:rPr>
        <w:t>חד־משמעית</w:t>
      </w:r>
      <w:proofErr w:type="spellEnd"/>
      <w:r w:rsidRPr="00A9492E">
        <w:rPr>
          <w:rFonts w:asciiTheme="minorHAnsi" w:hAnsiTheme="minorHAnsi" w:cstheme="minorHAnsi"/>
          <w:rtl/>
        </w:rPr>
        <w:t xml:space="preserve"> ותלויה במידה ניכרת במצב המחזורי של המשק. ככל שהמשק מצוי בסביבת תעסוקה מלאה או תחת מגבלות היצע – מצב שאפיין את תקופת המלחמה – הדחף הפיסקלי עשוי להתבטא בשינויי תמהיל של </w:t>
      </w:r>
      <w:proofErr w:type="spellStart"/>
      <w:r w:rsidRPr="00A9492E">
        <w:rPr>
          <w:rFonts w:asciiTheme="minorHAnsi" w:hAnsiTheme="minorHAnsi" w:cstheme="minorHAnsi"/>
          <w:rtl/>
        </w:rPr>
        <w:t>הביקושים</w:t>
      </w:r>
      <w:proofErr w:type="spellEnd"/>
      <w:r w:rsidRPr="00A9492E">
        <w:rPr>
          <w:rFonts w:asciiTheme="minorHAnsi" w:hAnsiTheme="minorHAnsi" w:cstheme="minorHAnsi"/>
          <w:rtl/>
        </w:rPr>
        <w:t xml:space="preserve">, עליות מחירים או גידול בייבוא. </w:t>
      </w:r>
    </w:p>
    <w:p w:rsidR="00A9492E" w:rsidRPr="00A9492E" w:rsidRDefault="00A9492E" w:rsidP="00A9492E">
      <w:pPr>
        <w:bidi/>
        <w:spacing w:line="360" w:lineRule="auto"/>
        <w:jc w:val="both"/>
        <w:rPr>
          <w:rFonts w:asciiTheme="minorHAnsi" w:hAnsiTheme="minorHAnsi" w:cstheme="minorHAnsi"/>
          <w:rtl/>
        </w:rPr>
      </w:pPr>
      <w:r w:rsidRPr="00A9492E">
        <w:rPr>
          <w:rFonts w:asciiTheme="minorHAnsi" w:hAnsiTheme="minorHAnsi" w:cstheme="minorHAnsi"/>
          <w:rtl/>
        </w:rPr>
        <w:t xml:space="preserve">יתרה מכך, חלק גדול מהדחף בתקופת המלחמה נבע מהוצאות בגין שירות מילואים. רכיב זה דומה להוצאות ממשלתיות אחרות בהיבט של יצירת ביקושים, אך נבדל מהן באופן יצירת הביקוש שאינו נשען על מנגנוני שוק (גיוס עובדים באמצעות הצעת שכר) אלא על צו מחייב. מקום העבודה של איש המילואים מחויב לשמור על משרתו, דבר המגביר את הנטייה לדחיקת פעילות עסקית אחרת ולצמצום ההיצע במגזר העסקי. </w:t>
      </w:r>
    </w:p>
    <w:p w:rsidR="00A9492E" w:rsidRPr="00A9492E" w:rsidRDefault="00A9492E" w:rsidP="00A9492E">
      <w:pPr>
        <w:pStyle w:val="NormalWeb"/>
        <w:bidi/>
        <w:spacing w:line="360" w:lineRule="auto"/>
        <w:jc w:val="both"/>
        <w:rPr>
          <w:rFonts w:asciiTheme="minorHAnsi" w:eastAsiaTheme="minorHAnsi" w:hAnsiTheme="minorHAnsi" w:cstheme="minorHAnsi"/>
          <w:rtl/>
        </w:rPr>
      </w:pPr>
      <w:r w:rsidRPr="00A9492E">
        <w:rPr>
          <w:rFonts w:asciiTheme="minorHAnsi" w:hAnsiTheme="minorHAnsi" w:cstheme="minorHAnsi"/>
          <w:noProof/>
        </w:rPr>
        <w:drawing>
          <wp:inline distT="0" distB="0" distL="0" distR="0" wp14:anchorId="4DB43E63" wp14:editId="16CA4D09">
            <wp:extent cx="5228429" cy="3361531"/>
            <wp:effectExtent l="0" t="0" r="10795" b="10795"/>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492E" w:rsidRPr="00A9492E" w:rsidRDefault="00A9492E" w:rsidP="00A9492E">
      <w:pPr>
        <w:pStyle w:val="NormalWeb"/>
        <w:bidi/>
        <w:spacing w:line="360" w:lineRule="auto"/>
        <w:jc w:val="both"/>
        <w:rPr>
          <w:rFonts w:asciiTheme="minorHAnsi" w:eastAsiaTheme="minorHAnsi" w:hAnsiTheme="minorHAnsi" w:cstheme="minorHAnsi"/>
        </w:rPr>
      </w:pPr>
      <w:r w:rsidRPr="00A9492E">
        <w:rPr>
          <w:rFonts w:asciiTheme="minorHAnsi" w:hAnsiTheme="minorHAnsi" w:cstheme="minorHAnsi"/>
          <w:noProof/>
        </w:rPr>
        <w:lastRenderedPageBreak/>
        <w:drawing>
          <wp:inline distT="0" distB="0" distL="0" distR="0" wp14:anchorId="69FA096A" wp14:editId="38481BB9">
            <wp:extent cx="5215061" cy="3269675"/>
            <wp:effectExtent l="0" t="0" r="5080" b="6985"/>
            <wp:docPr id="3" name="תרשים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492E" w:rsidRPr="00A9492E" w:rsidRDefault="00A9492E" w:rsidP="00A9492E">
      <w:pPr>
        <w:bidi/>
        <w:spacing w:line="360" w:lineRule="auto"/>
        <w:jc w:val="both"/>
        <w:rPr>
          <w:rFonts w:asciiTheme="minorHAnsi" w:hAnsiTheme="minorHAnsi" w:cstheme="minorHAnsi"/>
          <w:u w:val="single"/>
          <w:rtl/>
        </w:rPr>
      </w:pPr>
      <w:r w:rsidRPr="00A9492E">
        <w:rPr>
          <w:rFonts w:asciiTheme="minorHAnsi" w:eastAsia="Calibri" w:hAnsiTheme="minorHAnsi" w:cstheme="minorHAnsi"/>
          <w:color w:val="4F81BD"/>
          <w:sz w:val="26"/>
          <w:szCs w:val="26"/>
          <w:rtl/>
        </w:rPr>
        <w:t>מקורות</w:t>
      </w:r>
    </w:p>
    <w:p w:rsidR="00A9492E" w:rsidRPr="00A9492E" w:rsidRDefault="00A9492E" w:rsidP="00A9492E">
      <w:pPr>
        <w:pStyle w:val="NormalWeb"/>
        <w:bidi/>
        <w:rPr>
          <w:rFonts w:asciiTheme="minorHAnsi" w:hAnsiTheme="minorHAnsi" w:cstheme="minorHAnsi"/>
        </w:rPr>
      </w:pPr>
      <w:r w:rsidRPr="00A9492E">
        <w:rPr>
          <w:rFonts w:asciiTheme="minorHAnsi" w:hAnsiTheme="minorHAnsi" w:cstheme="minorHAnsi"/>
        </w:rPr>
        <w:t xml:space="preserve">International Monetary Fund. (2026). </w:t>
      </w:r>
      <w:r w:rsidRPr="00A9492E">
        <w:rPr>
          <w:rFonts w:asciiTheme="minorHAnsi" w:hAnsiTheme="minorHAnsi" w:cstheme="minorHAnsi"/>
          <w:i/>
          <w:iCs/>
        </w:rPr>
        <w:t>Israel: Staff concluding statement of the 2026 Article IV mission</w:t>
      </w:r>
      <w:r w:rsidRPr="00A9492E">
        <w:rPr>
          <w:rFonts w:asciiTheme="minorHAnsi" w:hAnsiTheme="minorHAnsi" w:cstheme="minorHAnsi"/>
        </w:rPr>
        <w:t>. IMF.</w:t>
      </w:r>
      <w:r w:rsidRPr="00A9492E">
        <w:rPr>
          <w:rFonts w:asciiTheme="minorHAnsi" w:hAnsiTheme="minorHAnsi" w:cstheme="minorHAnsi"/>
        </w:rPr>
        <w:br/>
      </w:r>
      <w:hyperlink r:id="rId10" w:tgtFrame="_new" w:history="1">
        <w:r w:rsidRPr="00A9492E">
          <w:rPr>
            <w:rStyle w:val="Hyperlink"/>
            <w:rFonts w:asciiTheme="minorHAnsi" w:hAnsiTheme="minorHAnsi" w:cstheme="minorHAnsi"/>
          </w:rPr>
          <w:t>https://www.imf.org/en/News/Articles/2026/02/05/mcs-02052026-israel-staff-concluding-statement-of-the-2026-article-iv-mission</w:t>
        </w:r>
      </w:hyperlink>
    </w:p>
    <w:p w:rsidR="00A9492E" w:rsidRPr="00A9492E" w:rsidRDefault="00A9492E" w:rsidP="00A9492E">
      <w:pPr>
        <w:bidi/>
        <w:spacing w:before="100" w:beforeAutospacing="1" w:after="100" w:afterAutospacing="1" w:line="360" w:lineRule="auto"/>
        <w:rPr>
          <w:rFonts w:asciiTheme="minorHAnsi" w:eastAsia="Times New Roman" w:hAnsiTheme="minorHAnsi" w:cstheme="minorHAnsi"/>
        </w:rPr>
      </w:pPr>
      <w:proofErr w:type="spellStart"/>
      <w:r w:rsidRPr="00A9492E">
        <w:rPr>
          <w:rFonts w:asciiTheme="minorHAnsi" w:eastAsia="Times New Roman" w:hAnsiTheme="minorHAnsi" w:cstheme="minorHAnsi"/>
        </w:rPr>
        <w:t>Sheiner</w:t>
      </w:r>
      <w:proofErr w:type="spellEnd"/>
      <w:r w:rsidRPr="00A9492E">
        <w:rPr>
          <w:rFonts w:asciiTheme="minorHAnsi" w:eastAsia="Times New Roman" w:hAnsiTheme="minorHAnsi" w:cstheme="minorHAnsi"/>
        </w:rPr>
        <w:t xml:space="preserve">, L., </w:t>
      </w:r>
      <w:proofErr w:type="spellStart"/>
      <w:r w:rsidRPr="00A9492E">
        <w:rPr>
          <w:rFonts w:asciiTheme="minorHAnsi" w:eastAsia="Times New Roman" w:hAnsiTheme="minorHAnsi" w:cstheme="minorHAnsi"/>
        </w:rPr>
        <w:t>Belz</w:t>
      </w:r>
      <w:proofErr w:type="spellEnd"/>
      <w:r w:rsidRPr="00A9492E">
        <w:rPr>
          <w:rFonts w:asciiTheme="minorHAnsi" w:eastAsia="Times New Roman" w:hAnsiTheme="minorHAnsi" w:cstheme="minorHAnsi"/>
        </w:rPr>
        <w:t xml:space="preserve">, S., Campbell, S., &amp; </w:t>
      </w:r>
      <w:proofErr w:type="spellStart"/>
      <w:r w:rsidRPr="00A9492E">
        <w:rPr>
          <w:rFonts w:asciiTheme="minorHAnsi" w:eastAsia="Times New Roman" w:hAnsiTheme="minorHAnsi" w:cstheme="minorHAnsi"/>
        </w:rPr>
        <w:t>Alcalá</w:t>
      </w:r>
      <w:proofErr w:type="spellEnd"/>
      <w:r w:rsidRPr="00A9492E">
        <w:rPr>
          <w:rFonts w:asciiTheme="minorHAnsi" w:eastAsia="Times New Roman" w:hAnsiTheme="minorHAnsi" w:cstheme="minorHAnsi"/>
        </w:rPr>
        <w:t xml:space="preserve"> </w:t>
      </w:r>
      <w:proofErr w:type="spellStart"/>
      <w:r w:rsidRPr="00A9492E">
        <w:rPr>
          <w:rFonts w:asciiTheme="minorHAnsi" w:eastAsia="Times New Roman" w:hAnsiTheme="minorHAnsi" w:cstheme="minorHAnsi"/>
        </w:rPr>
        <w:t>Kovalski</w:t>
      </w:r>
      <w:proofErr w:type="spellEnd"/>
      <w:r w:rsidRPr="00A9492E">
        <w:rPr>
          <w:rFonts w:asciiTheme="minorHAnsi" w:eastAsia="Times New Roman" w:hAnsiTheme="minorHAnsi" w:cstheme="minorHAnsi"/>
        </w:rPr>
        <w:t xml:space="preserve">, M. (2021, December 23). </w:t>
      </w:r>
      <w:r w:rsidRPr="00A9492E">
        <w:rPr>
          <w:rFonts w:asciiTheme="minorHAnsi" w:eastAsia="Times New Roman" w:hAnsiTheme="minorHAnsi" w:cstheme="minorHAnsi"/>
          <w:i/>
          <w:iCs/>
        </w:rPr>
        <w:t>The Hutchins Center’s Fiscal Impact Measure: Methodology</w:t>
      </w:r>
      <w:r w:rsidRPr="00A9492E">
        <w:rPr>
          <w:rFonts w:asciiTheme="minorHAnsi" w:eastAsia="Times New Roman" w:hAnsiTheme="minorHAnsi" w:cstheme="minorHAnsi"/>
        </w:rPr>
        <w:t xml:space="preserve">. Brookings Institution. </w:t>
      </w:r>
      <w:hyperlink r:id="rId11" w:history="1">
        <w:r w:rsidRPr="00A9492E">
          <w:rPr>
            <w:rStyle w:val="Hyperlink"/>
            <w:rFonts w:asciiTheme="minorHAnsi" w:eastAsia="Times New Roman" w:hAnsiTheme="minorHAnsi" w:cstheme="minorHAnsi"/>
          </w:rPr>
          <w:t>https://www.brookings.edu/articles/the-hutchins-centers-fiscal-impact-measure/</w:t>
        </w:r>
      </w:hyperlink>
    </w:p>
    <w:p w:rsidR="00B02A8E" w:rsidRPr="00A9492E" w:rsidRDefault="00B02A8E" w:rsidP="005E28F6">
      <w:pPr>
        <w:bidi/>
        <w:spacing w:line="360" w:lineRule="auto"/>
        <w:jc w:val="both"/>
        <w:rPr>
          <w:rFonts w:asciiTheme="minorHAnsi" w:hAnsiTheme="minorHAnsi" w:cstheme="minorHAnsi"/>
          <w:b/>
          <w:bCs/>
          <w:sz w:val="28"/>
          <w:szCs w:val="28"/>
        </w:rPr>
      </w:pPr>
    </w:p>
    <w:p w:rsidR="003E7478" w:rsidRPr="00B02A8E" w:rsidRDefault="003E7478" w:rsidP="00B02A8E">
      <w:pPr>
        <w:bidi/>
        <w:rPr>
          <w:rFonts w:asciiTheme="minorHAnsi" w:hAnsiTheme="minorHAnsi" w:cstheme="minorHAnsi"/>
        </w:rPr>
      </w:pPr>
    </w:p>
    <w:sectPr w:rsidR="003E7478" w:rsidRPr="00B02A8E" w:rsidSect="00CC2499">
      <w:footerReference w:type="default" r:id="rId12"/>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A9492E" w:rsidRPr="00740142" w:rsidRDefault="00A9492E" w:rsidP="005F3F6B">
      <w:pPr>
        <w:keepLines/>
        <w:bidi/>
        <w:spacing w:line="240" w:lineRule="auto"/>
        <w:jc w:val="both"/>
        <w:rPr>
          <w:rFonts w:asciiTheme="minorHAnsi" w:hAnsiTheme="minorHAnsi" w:cstheme="minorHAnsi"/>
          <w:sz w:val="18"/>
          <w:szCs w:val="18"/>
        </w:rPr>
      </w:pPr>
      <w:r w:rsidRPr="00740142">
        <w:rPr>
          <w:rStyle w:val="FootnoteReference"/>
          <w:rFonts w:asciiTheme="minorHAnsi" w:hAnsiTheme="minorHAnsi" w:cstheme="minorHAnsi"/>
          <w:sz w:val="18"/>
          <w:szCs w:val="18"/>
        </w:rPr>
        <w:footnoteRef/>
      </w:r>
      <w:r w:rsidRPr="00740142">
        <w:rPr>
          <w:rFonts w:asciiTheme="minorHAnsi" w:hAnsiTheme="minorHAnsi" w:cstheme="minorHAnsi"/>
          <w:sz w:val="18"/>
          <w:szCs w:val="18"/>
          <w:rtl/>
        </w:rPr>
        <w:t xml:space="preserve"> משוואת רכיב הצריכה הציבורית:  </w:t>
      </w:r>
      <m:oMath>
        <m:sSubSup>
          <m:sSubSupPr>
            <m:ctrlPr>
              <w:rPr>
                <w:rFonts w:ascii="Cambria Math" w:hAnsi="Cambria Math" w:cstheme="minorHAnsi"/>
                <w:sz w:val="18"/>
                <w:szCs w:val="18"/>
              </w:rPr>
            </m:ctrlPr>
          </m:sSubSupPr>
          <m:e>
            <m:r>
              <w:rPr>
                <w:rFonts w:ascii="Cambria Math" w:hAnsi="Cambria Math" w:cstheme="minorHAnsi"/>
                <w:sz w:val="18"/>
                <w:szCs w:val="18"/>
              </w:rPr>
              <m:t>FIM</m:t>
            </m:r>
          </m:e>
          <m:sub>
            <m:r>
              <w:rPr>
                <w:rFonts w:ascii="Cambria Math" w:hAnsi="Cambria Math" w:cstheme="minorHAnsi"/>
                <w:sz w:val="18"/>
                <w:szCs w:val="18"/>
              </w:rPr>
              <m:t>t</m:t>
            </m:r>
          </m:sub>
          <m:sup>
            <m:r>
              <w:rPr>
                <w:rFonts w:ascii="Cambria Math" w:hAnsi="Cambria Math" w:cstheme="minorHAnsi"/>
                <w:sz w:val="18"/>
                <w:szCs w:val="18"/>
              </w:rPr>
              <m:t>G</m:t>
            </m:r>
          </m:sup>
        </m:sSubSup>
        <m:r>
          <m:rPr>
            <m:sty m:val="p"/>
          </m:rPr>
          <w:rPr>
            <w:rFonts w:ascii="Cambria Math" w:hAnsi="Cambria Math" w:cstheme="minorHAnsi"/>
            <w:sz w:val="18"/>
            <w:szCs w:val="18"/>
          </w:rPr>
          <m:t>=</m:t>
        </m:r>
        <m:f>
          <m:fPr>
            <m:ctrlPr>
              <w:rPr>
                <w:rFonts w:ascii="Cambria Math" w:hAnsi="Cambria Math" w:cstheme="minorHAnsi"/>
                <w:sz w:val="18"/>
                <w:szCs w:val="18"/>
              </w:rPr>
            </m:ctrlPr>
          </m:fPr>
          <m:num>
            <m:sSub>
              <m:sSubPr>
                <m:ctrlPr>
                  <w:rPr>
                    <w:rFonts w:ascii="Cambria Math" w:hAnsi="Cambria Math" w:cstheme="minorHAnsi"/>
                    <w:sz w:val="18"/>
                    <w:szCs w:val="18"/>
                  </w:rPr>
                </m:ctrlPr>
              </m:sSubPr>
              <m:e>
                <m:r>
                  <w:rPr>
                    <w:rFonts w:ascii="Cambria Math" w:hAnsi="Cambria Math" w:cstheme="minorHAnsi"/>
                    <w:sz w:val="18"/>
                    <w:szCs w:val="18"/>
                  </w:rPr>
                  <m:t>G</m:t>
                </m:r>
              </m:e>
              <m:sub>
                <m:r>
                  <w:rPr>
                    <w:rFonts w:ascii="Cambria Math" w:hAnsi="Cambria Math" w:cstheme="minorHAnsi"/>
                    <w:sz w:val="18"/>
                    <w:szCs w:val="18"/>
                  </w:rPr>
                  <m:t>t</m:t>
                </m:r>
              </m:sub>
            </m:sSub>
            <m:r>
              <m:rPr>
                <m:sty m:val="p"/>
              </m:rPr>
              <w:rPr>
                <w:rFonts w:ascii="Cambria Math" w:hAnsi="Cambria Math" w:cstheme="minorHAnsi"/>
                <w:sz w:val="18"/>
                <w:szCs w:val="18"/>
              </w:rPr>
              <m:t>-</m:t>
            </m:r>
            <m:d>
              <m:dPr>
                <m:ctrlPr>
                  <w:rPr>
                    <w:rFonts w:ascii="Cambria Math" w:hAnsi="Cambria Math" w:cstheme="minorHAnsi"/>
                    <w:sz w:val="18"/>
                    <w:szCs w:val="18"/>
                  </w:rPr>
                </m:ctrlPr>
              </m:dPr>
              <m:e>
                <m:r>
                  <m:rPr>
                    <m:sty m:val="p"/>
                  </m:rPr>
                  <w:rPr>
                    <w:rFonts w:ascii="Cambria Math" w:hAnsi="Cambria Math" w:cstheme="minorHAnsi"/>
                    <w:sz w:val="18"/>
                    <w:szCs w:val="18"/>
                  </w:rPr>
                  <m:t>1+</m:t>
                </m:r>
                <m:r>
                  <w:rPr>
                    <w:rFonts w:ascii="Cambria Math" w:hAnsi="Cambria Math" w:cstheme="minorHAnsi"/>
                    <w:sz w:val="18"/>
                    <w:szCs w:val="18"/>
                  </w:rPr>
                  <m:t>μ</m:t>
                </m:r>
              </m:e>
            </m:d>
            <m:r>
              <m:rPr>
                <m:sty m:val="p"/>
              </m:rPr>
              <w:rPr>
                <w:rFonts w:ascii="Cambria Math" w:hAnsi="Cambria Math" w:cstheme="minorHAnsi"/>
                <w:sz w:val="18"/>
                <w:szCs w:val="18"/>
              </w:rPr>
              <m:t>×</m:t>
            </m:r>
            <m:sSub>
              <m:sSubPr>
                <m:ctrlPr>
                  <w:rPr>
                    <w:rFonts w:ascii="Cambria Math" w:hAnsi="Cambria Math" w:cstheme="minorHAnsi"/>
                    <w:sz w:val="18"/>
                    <w:szCs w:val="18"/>
                  </w:rPr>
                </m:ctrlPr>
              </m:sSubPr>
              <m:e>
                <m:r>
                  <w:rPr>
                    <w:rFonts w:ascii="Cambria Math" w:hAnsi="Cambria Math" w:cstheme="minorHAnsi"/>
                    <w:sz w:val="18"/>
                    <w:szCs w:val="18"/>
                  </w:rPr>
                  <m:t>G</m:t>
                </m:r>
              </m:e>
              <m:sub>
                <m:r>
                  <w:rPr>
                    <w:rFonts w:ascii="Cambria Math" w:hAnsi="Cambria Math" w:cstheme="minorHAnsi"/>
                    <w:sz w:val="18"/>
                    <w:szCs w:val="18"/>
                  </w:rPr>
                  <m:t>t</m:t>
                </m:r>
                <m:r>
                  <m:rPr>
                    <m:sty m:val="p"/>
                  </m:rPr>
                  <w:rPr>
                    <w:rFonts w:ascii="Cambria Math" w:hAnsi="Cambria Math" w:cstheme="minorHAnsi"/>
                    <w:sz w:val="18"/>
                    <w:szCs w:val="18"/>
                  </w:rPr>
                  <m:t>-1</m:t>
                </m:r>
              </m:sub>
            </m:sSub>
          </m:num>
          <m:den>
            <m:sSub>
              <m:sSubPr>
                <m:ctrlPr>
                  <w:rPr>
                    <w:rFonts w:ascii="Cambria Math" w:hAnsi="Cambria Math" w:cstheme="minorHAnsi"/>
                    <w:sz w:val="18"/>
                    <w:szCs w:val="18"/>
                  </w:rPr>
                </m:ctrlPr>
              </m:sSubPr>
              <m:e>
                <m:r>
                  <w:rPr>
                    <w:rFonts w:ascii="Cambria Math" w:hAnsi="Cambria Math" w:cstheme="minorHAnsi"/>
                    <w:sz w:val="18"/>
                    <w:szCs w:val="18"/>
                  </w:rPr>
                  <m:t>Y</m:t>
                </m:r>
              </m:e>
              <m:sub>
                <m:r>
                  <w:rPr>
                    <w:rFonts w:ascii="Cambria Math" w:hAnsi="Cambria Math" w:cstheme="minorHAnsi"/>
                    <w:sz w:val="18"/>
                    <w:szCs w:val="18"/>
                  </w:rPr>
                  <m:t>t</m:t>
                </m:r>
                <m:r>
                  <m:rPr>
                    <m:sty m:val="p"/>
                  </m:rPr>
                  <w:rPr>
                    <w:rFonts w:ascii="Cambria Math" w:hAnsi="Cambria Math" w:cstheme="minorHAnsi"/>
                    <w:sz w:val="18"/>
                    <w:szCs w:val="18"/>
                  </w:rPr>
                  <m:t>-1</m:t>
                </m:r>
              </m:sub>
            </m:sSub>
          </m:den>
        </m:f>
      </m:oMath>
      <w:r w:rsidRPr="00740142">
        <w:rPr>
          <w:rFonts w:asciiTheme="minorHAnsi" w:hAnsiTheme="minorHAnsi" w:cstheme="minorHAnsi"/>
          <w:sz w:val="18"/>
          <w:szCs w:val="18"/>
          <w:rtl/>
        </w:rPr>
        <w:t xml:space="preserve">. כאשר: </w:t>
      </w:r>
      <m:oMath>
        <m:sSub>
          <m:sSubPr>
            <m:ctrlPr>
              <w:rPr>
                <w:rFonts w:ascii="Cambria Math" w:hAnsi="Cambria Math" w:cstheme="minorHAnsi"/>
                <w:sz w:val="18"/>
                <w:szCs w:val="18"/>
              </w:rPr>
            </m:ctrlPr>
          </m:sSubPr>
          <m:e>
            <m:r>
              <w:rPr>
                <w:rFonts w:ascii="Cambria Math" w:hAnsi="Cambria Math" w:cstheme="minorHAnsi"/>
                <w:sz w:val="18"/>
                <w:szCs w:val="18"/>
              </w:rPr>
              <m:t>G</m:t>
            </m:r>
          </m:e>
          <m:sub>
            <m:r>
              <w:rPr>
                <w:rFonts w:ascii="Cambria Math" w:hAnsi="Cambria Math" w:cstheme="minorHAnsi"/>
                <w:sz w:val="18"/>
                <w:szCs w:val="18"/>
              </w:rPr>
              <m:t>t</m:t>
            </m:r>
          </m:sub>
        </m:sSub>
      </m:oMath>
      <w:r w:rsidRPr="00740142">
        <w:rPr>
          <w:rFonts w:asciiTheme="minorHAnsi" w:hAnsiTheme="minorHAnsi" w:cstheme="minorHAnsi"/>
          <w:sz w:val="18"/>
          <w:szCs w:val="18"/>
          <w:rtl/>
        </w:rPr>
        <w:t xml:space="preserve"> - צריכה ציבורית ריאלית ללא ייבוא ביטחוני בניכוי עונתיות, ברבעון </w:t>
      </w:r>
      <m:oMath>
        <m:r>
          <w:rPr>
            <w:rFonts w:ascii="Cambria Math" w:hAnsi="Cambria Math" w:cstheme="minorHAnsi"/>
            <w:sz w:val="18"/>
            <w:szCs w:val="18"/>
          </w:rPr>
          <m:t>t</m:t>
        </m:r>
      </m:oMath>
      <w:r w:rsidRPr="00740142">
        <w:rPr>
          <w:rFonts w:asciiTheme="minorHAnsi" w:hAnsiTheme="minorHAnsi" w:cstheme="minorHAnsi"/>
          <w:sz w:val="18"/>
          <w:szCs w:val="18"/>
          <w:rtl/>
        </w:rPr>
        <w:t xml:space="preserve">. </w:t>
      </w:r>
      <m:oMath>
        <m:r>
          <m:rPr>
            <m:sty m:val="p"/>
          </m:rPr>
          <w:rPr>
            <w:rFonts w:ascii="Cambria Math" w:hAnsi="Cambria Math" w:cstheme="minorHAnsi"/>
            <w:sz w:val="18"/>
            <w:szCs w:val="18"/>
            <w:rtl/>
          </w:rPr>
          <m:t>μ</m:t>
        </m:r>
      </m:oMath>
      <w:r w:rsidRPr="00740142">
        <w:rPr>
          <w:rFonts w:asciiTheme="minorHAnsi" w:hAnsiTheme="minorHAnsi" w:cstheme="minorHAnsi"/>
          <w:sz w:val="18"/>
          <w:szCs w:val="18"/>
        </w:rPr>
        <w:t xml:space="preserve"> </w:t>
      </w:r>
      <w:r w:rsidRPr="00740142">
        <w:rPr>
          <w:rFonts w:asciiTheme="minorHAnsi" w:hAnsiTheme="minorHAnsi" w:cstheme="minorHAnsi"/>
          <w:sz w:val="18"/>
          <w:szCs w:val="18"/>
          <w:rtl/>
        </w:rPr>
        <w:t xml:space="preserve">- קצב צמיחת התוצר הפוטנציאלי הריאלי. </w:t>
      </w:r>
      <m:oMath>
        <m:sSub>
          <m:sSubPr>
            <m:ctrlPr>
              <w:rPr>
                <w:rFonts w:ascii="Cambria Math" w:hAnsi="Cambria Math" w:cstheme="minorHAnsi"/>
                <w:sz w:val="18"/>
                <w:szCs w:val="18"/>
              </w:rPr>
            </m:ctrlPr>
          </m:sSubPr>
          <m:e>
            <m:r>
              <w:rPr>
                <w:rFonts w:ascii="Cambria Math" w:hAnsi="Cambria Math" w:cstheme="minorHAnsi"/>
                <w:sz w:val="18"/>
                <w:szCs w:val="18"/>
              </w:rPr>
              <m:t>Y</m:t>
            </m:r>
          </m:e>
          <m:sub>
            <m:r>
              <w:rPr>
                <w:rFonts w:ascii="Cambria Math" w:hAnsi="Cambria Math" w:cstheme="minorHAnsi"/>
                <w:sz w:val="18"/>
                <w:szCs w:val="18"/>
              </w:rPr>
              <m:t>t</m:t>
            </m:r>
          </m:sub>
        </m:sSub>
      </m:oMath>
      <w:r w:rsidRPr="00740142">
        <w:rPr>
          <w:rFonts w:asciiTheme="minorHAnsi" w:hAnsiTheme="minorHAnsi" w:cstheme="minorHAnsi"/>
          <w:sz w:val="18"/>
          <w:szCs w:val="18"/>
          <w:rtl/>
        </w:rPr>
        <w:t xml:space="preserve"> - תוצר מקומי גולמי בניכוי עונתיות, ברבעון </w:t>
      </w:r>
      <m:oMath>
        <m:r>
          <w:rPr>
            <w:rFonts w:ascii="Cambria Math" w:hAnsi="Cambria Math" w:cstheme="minorHAnsi"/>
            <w:sz w:val="18"/>
            <w:szCs w:val="18"/>
          </w:rPr>
          <m:t>t</m:t>
        </m:r>
      </m:oMath>
      <w:r w:rsidRPr="00740142">
        <w:rPr>
          <w:rFonts w:asciiTheme="minorHAnsi" w:hAnsiTheme="minorHAnsi" w:cstheme="minorHAnsi"/>
          <w:sz w:val="18"/>
          <w:szCs w:val="18"/>
          <w:rtl/>
        </w:rPr>
        <w:t>. עבור כל תקופה נלקח בחשבון קצב צמיחה שונה:</w:t>
      </w:r>
      <w:r w:rsidRPr="00740142">
        <w:rPr>
          <w:rFonts w:asciiTheme="minorHAnsi" w:hAnsiTheme="minorHAnsi" w:cstheme="minorHAnsi"/>
          <w:sz w:val="18"/>
          <w:szCs w:val="18"/>
        </w:rPr>
        <w:t xml:space="preserve"> </w:t>
      </w:r>
      <w:r w:rsidRPr="00740142">
        <w:rPr>
          <w:rFonts w:asciiTheme="minorHAnsi" w:hAnsiTheme="minorHAnsi" w:cstheme="minorHAnsi"/>
          <w:sz w:val="18"/>
          <w:szCs w:val="18"/>
          <w:rtl/>
        </w:rPr>
        <w:t xml:space="preserve">בתקופה </w:t>
      </w:r>
      <w:r w:rsidRPr="00740142">
        <w:rPr>
          <w:rFonts w:asciiTheme="minorHAnsi" w:hAnsiTheme="minorHAnsi" w:cstheme="minorHAnsi"/>
          <w:sz w:val="18"/>
          <w:szCs w:val="18"/>
        </w:rPr>
        <w:t>2023:Q3-2020:Q1</w:t>
      </w:r>
      <w:r w:rsidRPr="00740142">
        <w:rPr>
          <w:rFonts w:asciiTheme="minorHAnsi" w:hAnsiTheme="minorHAnsi" w:cstheme="minorHAnsi"/>
          <w:sz w:val="18"/>
          <w:szCs w:val="18"/>
          <w:rtl/>
        </w:rPr>
        <w:t xml:space="preserve"> קצב צמיחה שנתי של 3.9%, בתקופה </w:t>
      </w:r>
      <w:r w:rsidRPr="00740142">
        <w:rPr>
          <w:rFonts w:asciiTheme="minorHAnsi" w:hAnsiTheme="minorHAnsi" w:cstheme="minorHAnsi"/>
          <w:sz w:val="18"/>
          <w:szCs w:val="18"/>
        </w:rPr>
        <w:t>2025:Q</w:t>
      </w:r>
      <w:r w:rsidR="005F3F6B">
        <w:rPr>
          <w:rFonts w:asciiTheme="minorHAnsi" w:hAnsiTheme="minorHAnsi" w:cstheme="minorHAnsi"/>
          <w:sz w:val="18"/>
          <w:szCs w:val="18"/>
        </w:rPr>
        <w:t>4</w:t>
      </w:r>
      <w:r w:rsidRPr="00740142">
        <w:rPr>
          <w:rFonts w:asciiTheme="minorHAnsi" w:hAnsiTheme="minorHAnsi" w:cstheme="minorHAnsi"/>
          <w:sz w:val="18"/>
          <w:szCs w:val="18"/>
        </w:rPr>
        <w:t>-2023:Q4</w:t>
      </w:r>
      <w:r w:rsidRPr="00740142">
        <w:rPr>
          <w:rFonts w:asciiTheme="minorHAnsi" w:hAnsiTheme="minorHAnsi" w:cstheme="minorHAnsi"/>
          <w:sz w:val="18"/>
          <w:szCs w:val="18"/>
          <w:rtl/>
        </w:rPr>
        <w:t xml:space="preserve"> קצב צמיחה שנתי של 3.5%, בהתאם להערכות חטיבת המחקר בבנק ישראל.</w:t>
      </w:r>
    </w:p>
  </w:footnote>
  <w:footnote w:id="2">
    <w:p w:rsidR="00A9492E" w:rsidRPr="00740142" w:rsidRDefault="00A9492E" w:rsidP="00435223">
      <w:pPr>
        <w:pStyle w:val="FootnoteText"/>
        <w:jc w:val="both"/>
        <w:rPr>
          <w:rFonts w:cstheme="minorHAnsi"/>
          <w:sz w:val="18"/>
          <w:szCs w:val="18"/>
          <w:rtl/>
        </w:rPr>
      </w:pPr>
      <w:r w:rsidRPr="00740142">
        <w:rPr>
          <w:rStyle w:val="FootnoteReference"/>
          <w:rFonts w:cstheme="minorHAnsi"/>
          <w:sz w:val="18"/>
          <w:szCs w:val="18"/>
        </w:rPr>
        <w:footnoteRef/>
      </w:r>
      <w:r w:rsidRPr="00740142">
        <w:rPr>
          <w:rFonts w:cstheme="minorHAnsi"/>
          <w:sz w:val="18"/>
          <w:szCs w:val="18"/>
          <w:rtl/>
        </w:rPr>
        <w:t xml:space="preserve"> אנחנו משתמשים במכפיל ובנש"צים שמופיעים במסמך של מכון ברוקינגס: 0.9 בתשלומי העברה והשפעה מלאה תוך שנה, </w:t>
      </w:r>
      <w:r w:rsidRPr="00740142">
        <w:rPr>
          <w:rFonts w:cstheme="minorHAnsi"/>
          <w:sz w:val="18"/>
          <w:szCs w:val="18"/>
        </w:rPr>
        <w:t>-0.6</w:t>
      </w:r>
      <w:r w:rsidRPr="00740142">
        <w:rPr>
          <w:rFonts w:cstheme="minorHAnsi"/>
          <w:sz w:val="18"/>
          <w:szCs w:val="18"/>
          <w:rtl/>
        </w:rPr>
        <w:t xml:space="preserve"> במס הכנסה (ללא מס חברות) ובמיסים עקיפים והשפעה מלאה תוך שנתיים, </w:t>
      </w:r>
      <w:r w:rsidRPr="00740142">
        <w:rPr>
          <w:rFonts w:cstheme="minorHAnsi"/>
          <w:sz w:val="18"/>
          <w:szCs w:val="18"/>
        </w:rPr>
        <w:t>-0.4</w:t>
      </w:r>
      <w:r w:rsidRPr="00740142">
        <w:rPr>
          <w:rFonts w:cstheme="minorHAnsi"/>
          <w:sz w:val="18"/>
          <w:szCs w:val="18"/>
          <w:rtl/>
        </w:rPr>
        <w:t xml:space="preserve"> במס חברות והשפעה מלאה תוך 3 שנים. עבור הצריכה הציבורית וההשקעה אנחנו לוקחים בחשבון מכפיל 1. בספרות קיים טווח רחב של מכפילים ונש"צים ואנו מביאים בחשבון מכפילים ונש"צים שנמצאים בטווח. נציין כי מדובר בהנחה והתוצאות יכולות להשתנות כתלות במכפילים השונים. עם־זאת, בדיקות רגישות מראות שאומנם הערכים עצמם משתנים, אך הדינמיקה בין התקופות נשארת דומה. </w:t>
      </w:r>
    </w:p>
  </w:footnote>
  <w:footnote w:id="3">
    <w:p w:rsidR="00A9492E" w:rsidRPr="00740142" w:rsidRDefault="00A9492E" w:rsidP="00740142">
      <w:pPr>
        <w:bidi/>
        <w:spacing w:line="240" w:lineRule="auto"/>
        <w:jc w:val="both"/>
        <w:rPr>
          <w:rFonts w:asciiTheme="minorHAnsi" w:hAnsiTheme="minorHAnsi" w:cstheme="minorHAnsi"/>
          <w:sz w:val="18"/>
          <w:szCs w:val="18"/>
          <w:rtl/>
        </w:rPr>
      </w:pPr>
      <w:r w:rsidRPr="00740142">
        <w:rPr>
          <w:rStyle w:val="FootnoteReference"/>
          <w:rFonts w:asciiTheme="minorHAnsi" w:hAnsiTheme="minorHAnsi" w:cstheme="minorHAnsi"/>
          <w:sz w:val="18"/>
          <w:szCs w:val="18"/>
        </w:rPr>
        <w:footnoteRef/>
      </w:r>
      <w:r w:rsidRPr="00740142">
        <w:rPr>
          <w:rFonts w:asciiTheme="minorHAnsi" w:hAnsiTheme="minorHAnsi" w:cstheme="minorHAnsi"/>
          <w:sz w:val="18"/>
          <w:szCs w:val="18"/>
          <w:rtl/>
        </w:rPr>
        <w:t xml:space="preserve"> משוואות רכיב המיסים ותשלומי ההעברה: הרמה הניטרלית: </w:t>
      </w:r>
      <m:oMath>
        <m:sSub>
          <m:sSubPr>
            <m:ctrlPr>
              <w:rPr>
                <w:rFonts w:ascii="Cambria Math" w:hAnsi="Cambria Math" w:cstheme="minorHAnsi"/>
                <w:sz w:val="18"/>
                <w:szCs w:val="18"/>
              </w:rPr>
            </m:ctrlPr>
          </m:sSubPr>
          <m:e>
            <m:acc>
              <m:accPr>
                <m:chr m:val="̃"/>
                <m:ctrlPr>
                  <w:rPr>
                    <w:rFonts w:ascii="Cambria Math" w:hAnsi="Cambria Math" w:cstheme="minorHAnsi"/>
                    <w:sz w:val="18"/>
                    <w:szCs w:val="18"/>
                  </w:rPr>
                </m:ctrlPr>
              </m:accPr>
              <m:e>
                <m:r>
                  <w:rPr>
                    <w:rFonts w:ascii="Cambria Math" w:hAnsi="Cambria Math" w:cstheme="minorHAnsi"/>
                    <w:sz w:val="18"/>
                    <w:szCs w:val="18"/>
                  </w:rPr>
                  <m:t>T</m:t>
                </m:r>
              </m:e>
            </m:acc>
          </m:e>
          <m:sub>
            <m:r>
              <w:rPr>
                <w:rFonts w:ascii="Cambria Math" w:hAnsi="Cambria Math" w:cstheme="minorHAnsi"/>
                <w:sz w:val="18"/>
                <w:szCs w:val="18"/>
              </w:rPr>
              <m:t>j</m:t>
            </m:r>
            <m:r>
              <m:rPr>
                <m:sty m:val="p"/>
              </m:rPr>
              <w:rPr>
                <w:rFonts w:ascii="Cambria Math" w:hAnsi="Cambria Math" w:cstheme="minorHAnsi"/>
                <w:sz w:val="18"/>
                <w:szCs w:val="18"/>
              </w:rPr>
              <m:t>,</m:t>
            </m:r>
            <m:r>
              <w:rPr>
                <w:rFonts w:ascii="Cambria Math" w:hAnsi="Cambria Math" w:cstheme="minorHAnsi"/>
                <w:sz w:val="18"/>
                <w:szCs w:val="18"/>
              </w:rPr>
              <m:t>t</m:t>
            </m:r>
          </m:sub>
        </m:sSub>
        <m:r>
          <m:rPr>
            <m:sty m:val="p"/>
          </m:rPr>
          <w:rPr>
            <w:rFonts w:ascii="Cambria Math" w:hAnsi="Cambria Math" w:cstheme="minorHAnsi"/>
            <w:sz w:val="18"/>
            <w:szCs w:val="18"/>
          </w:rPr>
          <m:t>=</m:t>
        </m:r>
        <m:sSub>
          <m:sSubPr>
            <m:ctrlPr>
              <w:rPr>
                <w:rFonts w:ascii="Cambria Math" w:hAnsi="Cambria Math" w:cstheme="minorHAnsi"/>
                <w:sz w:val="18"/>
                <w:szCs w:val="18"/>
              </w:rPr>
            </m:ctrlPr>
          </m:sSubPr>
          <m:e>
            <m:r>
              <w:rPr>
                <w:rFonts w:ascii="Cambria Math" w:hAnsi="Cambria Math" w:cstheme="minorHAnsi"/>
                <w:sz w:val="18"/>
                <w:szCs w:val="18"/>
              </w:rPr>
              <m:t>T</m:t>
            </m:r>
          </m:e>
          <m:sub>
            <m:r>
              <w:rPr>
                <w:rFonts w:ascii="Cambria Math" w:hAnsi="Cambria Math" w:cstheme="minorHAnsi"/>
                <w:sz w:val="18"/>
                <w:szCs w:val="18"/>
              </w:rPr>
              <m:t>j</m:t>
            </m:r>
            <m:r>
              <m:rPr>
                <m:sty m:val="p"/>
              </m:rPr>
              <w:rPr>
                <w:rFonts w:ascii="Cambria Math" w:hAnsi="Cambria Math" w:cstheme="minorHAnsi"/>
                <w:sz w:val="18"/>
                <w:szCs w:val="18"/>
              </w:rPr>
              <m:t xml:space="preserve">, </m:t>
            </m:r>
            <m:r>
              <w:rPr>
                <w:rFonts w:ascii="Cambria Math" w:hAnsi="Cambria Math" w:cstheme="minorHAnsi"/>
                <w:sz w:val="18"/>
                <w:szCs w:val="18"/>
              </w:rPr>
              <m:t>t</m:t>
            </m:r>
            <m:r>
              <m:rPr>
                <m:sty m:val="p"/>
              </m:rPr>
              <w:rPr>
                <w:rFonts w:ascii="Cambria Math" w:hAnsi="Cambria Math" w:cstheme="minorHAnsi"/>
                <w:sz w:val="18"/>
                <w:szCs w:val="18"/>
              </w:rPr>
              <m:t>-1</m:t>
            </m:r>
          </m:sub>
        </m:sSub>
        <m:r>
          <m:rPr>
            <m:sty m:val="p"/>
          </m:rPr>
          <w:rPr>
            <w:rFonts w:ascii="Cambria Math" w:hAnsi="Cambria Math" w:cstheme="minorHAnsi"/>
            <w:sz w:val="18"/>
            <w:szCs w:val="18"/>
          </w:rPr>
          <m:t>(1+</m:t>
        </m:r>
        <m:r>
          <w:rPr>
            <w:rFonts w:ascii="Cambria Math" w:hAnsi="Cambria Math" w:cstheme="minorHAnsi"/>
            <w:sz w:val="18"/>
            <w:szCs w:val="18"/>
          </w:rPr>
          <m:t>μ</m:t>
        </m:r>
        <m:r>
          <m:rPr>
            <m:sty m:val="p"/>
          </m:rPr>
          <w:rPr>
            <w:rFonts w:ascii="Cambria Math" w:hAnsi="Cambria Math" w:cstheme="minorHAnsi"/>
            <w:sz w:val="18"/>
            <w:szCs w:val="18"/>
          </w:rPr>
          <m:t>)</m:t>
        </m:r>
      </m:oMath>
      <w:r w:rsidRPr="00740142">
        <w:rPr>
          <w:rFonts w:asciiTheme="minorHAnsi" w:eastAsiaTheme="minorEastAsia" w:hAnsiTheme="minorHAnsi" w:cstheme="minorHAnsi"/>
          <w:i/>
          <w:sz w:val="18"/>
          <w:szCs w:val="18"/>
          <w:rtl/>
        </w:rPr>
        <w:t xml:space="preserve">. </w:t>
      </w:r>
      <w:r w:rsidRPr="00740142">
        <w:rPr>
          <w:rFonts w:asciiTheme="minorHAnsi" w:hAnsiTheme="minorHAnsi" w:cstheme="minorHAnsi"/>
          <w:sz w:val="18"/>
          <w:szCs w:val="18"/>
          <w:rtl/>
        </w:rPr>
        <w:t xml:space="preserve">כלל ההשפעה של המיסים ותשלומי ההעברה: </w:t>
      </w:r>
      <m:oMath>
        <m:sSubSup>
          <m:sSubSupPr>
            <m:ctrlPr>
              <w:rPr>
                <w:rFonts w:ascii="Cambria Math" w:hAnsi="Cambria Math" w:cstheme="minorHAnsi"/>
                <w:sz w:val="18"/>
                <w:szCs w:val="18"/>
              </w:rPr>
            </m:ctrlPr>
          </m:sSubSupPr>
          <m:e>
            <m:r>
              <w:rPr>
                <w:rFonts w:ascii="Cambria Math" w:hAnsi="Cambria Math" w:cstheme="minorHAnsi"/>
                <w:sz w:val="18"/>
                <w:szCs w:val="18"/>
              </w:rPr>
              <m:t>T</m:t>
            </m:r>
          </m:e>
          <m:sub>
            <m:r>
              <w:rPr>
                <w:rFonts w:ascii="Cambria Math" w:hAnsi="Cambria Math" w:cstheme="minorHAnsi"/>
                <w:sz w:val="18"/>
                <w:szCs w:val="18"/>
              </w:rPr>
              <m:t>t</m:t>
            </m:r>
          </m:sub>
          <m:sup>
            <m:r>
              <w:rPr>
                <w:rFonts w:ascii="Cambria Math" w:hAnsi="Cambria Math" w:cstheme="minorHAnsi"/>
                <w:sz w:val="18"/>
                <w:szCs w:val="18"/>
              </w:rPr>
              <m:t>C</m:t>
            </m:r>
          </m:sup>
        </m:sSubSup>
        <m:r>
          <m:rPr>
            <m:sty m:val="p"/>
          </m:rPr>
          <w:rPr>
            <w:rFonts w:ascii="Cambria Math" w:hAnsi="Cambria Math" w:cstheme="minorHAnsi"/>
            <w:sz w:val="18"/>
            <w:szCs w:val="18"/>
          </w:rPr>
          <m:t>=</m:t>
        </m:r>
        <m:nary>
          <m:naryPr>
            <m:chr m:val="∑"/>
            <m:limLoc m:val="undOvr"/>
            <m:ctrlPr>
              <w:rPr>
                <w:rFonts w:ascii="Cambria Math" w:hAnsi="Cambria Math" w:cstheme="minorHAnsi"/>
                <w:sz w:val="18"/>
                <w:szCs w:val="18"/>
              </w:rPr>
            </m:ctrlPr>
          </m:naryPr>
          <m:sub>
            <m:r>
              <w:rPr>
                <w:rFonts w:ascii="Cambria Math" w:hAnsi="Cambria Math" w:cstheme="minorHAnsi"/>
                <w:sz w:val="18"/>
                <w:szCs w:val="18"/>
              </w:rPr>
              <m:t>j</m:t>
            </m:r>
            <m:r>
              <m:rPr>
                <m:sty m:val="p"/>
              </m:rPr>
              <w:rPr>
                <w:rFonts w:ascii="Cambria Math" w:hAnsi="Cambria Math" w:cstheme="minorHAnsi"/>
                <w:sz w:val="18"/>
                <w:szCs w:val="18"/>
              </w:rPr>
              <m:t>=1</m:t>
            </m:r>
          </m:sub>
          <m:sup>
            <m:r>
              <m:rPr>
                <m:sty m:val="p"/>
              </m:rPr>
              <w:rPr>
                <w:rFonts w:ascii="Cambria Math" w:hAnsi="Cambria Math" w:cstheme="minorHAnsi"/>
                <w:sz w:val="18"/>
                <w:szCs w:val="18"/>
              </w:rPr>
              <m:t>3</m:t>
            </m:r>
          </m:sup>
          <m:e>
            <m:nary>
              <m:naryPr>
                <m:chr m:val="∑"/>
                <m:limLoc m:val="undOvr"/>
                <m:ctrlPr>
                  <w:rPr>
                    <w:rFonts w:ascii="Cambria Math" w:hAnsi="Cambria Math" w:cstheme="minorHAnsi"/>
                    <w:sz w:val="18"/>
                    <w:szCs w:val="18"/>
                  </w:rPr>
                </m:ctrlPr>
              </m:naryPr>
              <m:sub>
                <m:r>
                  <w:rPr>
                    <w:rFonts w:ascii="Cambria Math" w:hAnsi="Cambria Math" w:cstheme="minorHAnsi"/>
                    <w:sz w:val="18"/>
                    <w:szCs w:val="18"/>
                  </w:rPr>
                  <m:t>i</m:t>
                </m:r>
                <m:r>
                  <m:rPr>
                    <m:sty m:val="p"/>
                  </m:rPr>
                  <w:rPr>
                    <w:rFonts w:ascii="Cambria Math" w:hAnsi="Cambria Math" w:cstheme="minorHAnsi"/>
                    <w:sz w:val="18"/>
                    <w:szCs w:val="18"/>
                  </w:rPr>
                  <m:t>=0</m:t>
                </m:r>
              </m:sub>
              <m:sup>
                <m:r>
                  <w:rPr>
                    <w:rFonts w:ascii="Cambria Math" w:hAnsi="Cambria Math" w:cstheme="minorHAnsi"/>
                    <w:sz w:val="18"/>
                    <w:szCs w:val="18"/>
                  </w:rPr>
                  <m:t>n</m:t>
                </m:r>
              </m:sup>
              <m:e>
                <m:sSub>
                  <m:sSubPr>
                    <m:ctrlPr>
                      <w:rPr>
                        <w:rFonts w:ascii="Cambria Math" w:hAnsi="Cambria Math" w:cstheme="minorHAnsi"/>
                        <w:sz w:val="18"/>
                        <w:szCs w:val="18"/>
                      </w:rPr>
                    </m:ctrlPr>
                  </m:sSubPr>
                  <m:e>
                    <m:r>
                      <w:rPr>
                        <w:rFonts w:ascii="Cambria Math" w:hAnsi="Cambria Math" w:cstheme="minorHAnsi"/>
                        <w:sz w:val="18"/>
                        <w:szCs w:val="18"/>
                      </w:rPr>
                      <m:t>MPC</m:t>
                    </m:r>
                  </m:e>
                  <m:sub>
                    <m:r>
                      <w:rPr>
                        <w:rFonts w:ascii="Cambria Math" w:hAnsi="Cambria Math" w:cstheme="minorHAnsi"/>
                        <w:sz w:val="18"/>
                        <w:szCs w:val="18"/>
                      </w:rPr>
                      <m:t>j</m:t>
                    </m:r>
                    <m:r>
                      <m:rPr>
                        <m:sty m:val="p"/>
                      </m:rPr>
                      <w:rPr>
                        <w:rFonts w:ascii="Cambria Math" w:hAnsi="Cambria Math" w:cstheme="minorHAnsi"/>
                        <w:sz w:val="18"/>
                        <w:szCs w:val="18"/>
                      </w:rPr>
                      <m:t xml:space="preserve">, </m:t>
                    </m:r>
                    <m:r>
                      <w:rPr>
                        <w:rFonts w:ascii="Cambria Math" w:hAnsi="Cambria Math" w:cstheme="minorHAnsi"/>
                        <w:sz w:val="18"/>
                        <w:szCs w:val="18"/>
                      </w:rPr>
                      <m:t>t</m:t>
                    </m:r>
                    <m:r>
                      <m:rPr>
                        <m:sty m:val="p"/>
                      </m:rPr>
                      <w:rPr>
                        <w:rFonts w:ascii="Cambria Math" w:hAnsi="Cambria Math" w:cstheme="minorHAnsi"/>
                        <w:sz w:val="18"/>
                        <w:szCs w:val="18"/>
                      </w:rPr>
                      <m:t>-</m:t>
                    </m:r>
                    <m:r>
                      <w:rPr>
                        <w:rFonts w:ascii="Cambria Math" w:hAnsi="Cambria Math" w:cstheme="minorHAnsi"/>
                        <w:sz w:val="18"/>
                        <w:szCs w:val="18"/>
                      </w:rPr>
                      <m:t>i</m:t>
                    </m:r>
                  </m:sub>
                </m:sSub>
                <m:r>
                  <m:rPr>
                    <m:sty m:val="p"/>
                  </m:rPr>
                  <w:rPr>
                    <w:rFonts w:ascii="Cambria Math" w:hAnsi="Cambria Math" w:cstheme="minorHAnsi"/>
                    <w:sz w:val="18"/>
                    <w:szCs w:val="18"/>
                  </w:rPr>
                  <m:t>*(</m:t>
                </m:r>
                <m:sSub>
                  <m:sSubPr>
                    <m:ctrlPr>
                      <w:rPr>
                        <w:rFonts w:ascii="Cambria Math" w:hAnsi="Cambria Math" w:cstheme="minorHAnsi"/>
                        <w:sz w:val="18"/>
                        <w:szCs w:val="18"/>
                      </w:rPr>
                    </m:ctrlPr>
                  </m:sSubPr>
                  <m:e>
                    <m:r>
                      <w:rPr>
                        <w:rFonts w:ascii="Cambria Math" w:hAnsi="Cambria Math" w:cstheme="minorHAnsi"/>
                        <w:sz w:val="18"/>
                        <w:szCs w:val="18"/>
                      </w:rPr>
                      <m:t>T</m:t>
                    </m:r>
                  </m:e>
                  <m:sub>
                    <m:r>
                      <w:rPr>
                        <w:rFonts w:ascii="Cambria Math" w:hAnsi="Cambria Math" w:cstheme="minorHAnsi"/>
                        <w:sz w:val="18"/>
                        <w:szCs w:val="18"/>
                      </w:rPr>
                      <m:t>j</m:t>
                    </m:r>
                    <m:r>
                      <m:rPr>
                        <m:sty m:val="p"/>
                      </m:rPr>
                      <w:rPr>
                        <w:rFonts w:ascii="Cambria Math" w:hAnsi="Cambria Math" w:cstheme="minorHAnsi"/>
                        <w:sz w:val="18"/>
                        <w:szCs w:val="18"/>
                      </w:rPr>
                      <m:t>,</m:t>
                    </m:r>
                    <m:r>
                      <w:rPr>
                        <w:rFonts w:ascii="Cambria Math" w:hAnsi="Cambria Math" w:cstheme="minorHAnsi"/>
                        <w:sz w:val="18"/>
                        <w:szCs w:val="18"/>
                      </w:rPr>
                      <m:t>t</m:t>
                    </m:r>
                    <m:r>
                      <m:rPr>
                        <m:sty m:val="p"/>
                      </m:rPr>
                      <w:rPr>
                        <w:rFonts w:ascii="Cambria Math" w:hAnsi="Cambria Math" w:cstheme="minorHAnsi"/>
                        <w:sz w:val="18"/>
                        <w:szCs w:val="18"/>
                      </w:rPr>
                      <m:t>-</m:t>
                    </m:r>
                    <m:r>
                      <w:rPr>
                        <w:rFonts w:ascii="Cambria Math" w:hAnsi="Cambria Math" w:cstheme="minorHAnsi"/>
                        <w:sz w:val="18"/>
                        <w:szCs w:val="18"/>
                      </w:rPr>
                      <m:t>i</m:t>
                    </m:r>
                  </m:sub>
                </m:sSub>
                <m:r>
                  <m:rPr>
                    <m:sty m:val="p"/>
                  </m:rPr>
                  <w:rPr>
                    <w:rFonts w:ascii="Cambria Math" w:hAnsi="Cambria Math" w:cstheme="minorHAnsi"/>
                    <w:sz w:val="18"/>
                    <w:szCs w:val="18"/>
                  </w:rPr>
                  <m:t>-</m:t>
                </m:r>
                <m:sSub>
                  <m:sSubPr>
                    <m:ctrlPr>
                      <w:rPr>
                        <w:rFonts w:ascii="Cambria Math" w:hAnsi="Cambria Math" w:cstheme="minorHAnsi"/>
                        <w:sz w:val="18"/>
                        <w:szCs w:val="18"/>
                      </w:rPr>
                    </m:ctrlPr>
                  </m:sSubPr>
                  <m:e>
                    <m:acc>
                      <m:accPr>
                        <m:chr m:val="̃"/>
                        <m:ctrlPr>
                          <w:rPr>
                            <w:rFonts w:ascii="Cambria Math" w:hAnsi="Cambria Math" w:cstheme="minorHAnsi"/>
                            <w:sz w:val="18"/>
                            <w:szCs w:val="18"/>
                          </w:rPr>
                        </m:ctrlPr>
                      </m:accPr>
                      <m:e>
                        <m:r>
                          <w:rPr>
                            <w:rFonts w:ascii="Cambria Math" w:hAnsi="Cambria Math" w:cstheme="minorHAnsi"/>
                            <w:sz w:val="18"/>
                            <w:szCs w:val="18"/>
                          </w:rPr>
                          <m:t>T</m:t>
                        </m:r>
                      </m:e>
                    </m:acc>
                  </m:e>
                  <m:sub>
                    <m:r>
                      <w:rPr>
                        <w:rFonts w:ascii="Cambria Math" w:hAnsi="Cambria Math" w:cstheme="minorHAnsi"/>
                        <w:sz w:val="18"/>
                        <w:szCs w:val="18"/>
                      </w:rPr>
                      <m:t>j</m:t>
                    </m:r>
                    <m:r>
                      <m:rPr>
                        <m:sty m:val="p"/>
                      </m:rPr>
                      <w:rPr>
                        <w:rFonts w:ascii="Cambria Math" w:hAnsi="Cambria Math" w:cstheme="minorHAnsi"/>
                        <w:sz w:val="18"/>
                        <w:szCs w:val="18"/>
                      </w:rPr>
                      <m:t xml:space="preserve">, </m:t>
                    </m:r>
                    <m:r>
                      <w:rPr>
                        <w:rFonts w:ascii="Cambria Math" w:hAnsi="Cambria Math" w:cstheme="minorHAnsi"/>
                        <w:sz w:val="18"/>
                        <w:szCs w:val="18"/>
                      </w:rPr>
                      <m:t>t</m:t>
                    </m:r>
                    <m:r>
                      <m:rPr>
                        <m:sty m:val="p"/>
                      </m:rPr>
                      <w:rPr>
                        <w:rFonts w:ascii="Cambria Math" w:hAnsi="Cambria Math" w:cstheme="minorHAnsi"/>
                        <w:sz w:val="18"/>
                        <w:szCs w:val="18"/>
                      </w:rPr>
                      <m:t>-</m:t>
                    </m:r>
                    <m:r>
                      <w:rPr>
                        <w:rFonts w:ascii="Cambria Math" w:hAnsi="Cambria Math" w:cstheme="minorHAnsi"/>
                        <w:sz w:val="18"/>
                        <w:szCs w:val="18"/>
                      </w:rPr>
                      <m:t>i</m:t>
                    </m:r>
                  </m:sub>
                </m:sSub>
                <m:r>
                  <m:rPr>
                    <m:sty m:val="p"/>
                  </m:rPr>
                  <w:rPr>
                    <w:rFonts w:ascii="Cambria Math" w:hAnsi="Cambria Math" w:cstheme="minorHAnsi"/>
                    <w:sz w:val="18"/>
                    <w:szCs w:val="18"/>
                  </w:rPr>
                  <m:t>)</m:t>
                </m:r>
              </m:e>
            </m:nary>
          </m:e>
        </m:nary>
      </m:oMath>
      <w:r w:rsidRPr="00740142">
        <w:rPr>
          <w:rFonts w:asciiTheme="minorHAnsi" w:eastAsiaTheme="minorEastAsia" w:hAnsiTheme="minorHAnsi" w:cstheme="minorHAnsi"/>
          <w:sz w:val="18"/>
          <w:szCs w:val="18"/>
          <w:rtl/>
        </w:rPr>
        <w:t xml:space="preserve">. תרומת המיסים ותשלומי העברה ביחס לתוצר </w:t>
      </w:r>
      <w:r w:rsidRPr="00740142">
        <w:rPr>
          <w:rFonts w:asciiTheme="minorHAnsi" w:hAnsiTheme="minorHAnsi" w:cstheme="minorHAnsi"/>
          <w:sz w:val="18"/>
          <w:szCs w:val="18"/>
          <w:rtl/>
        </w:rPr>
        <w:t xml:space="preserve">של הרבעון הקודם: </w:t>
      </w:r>
      <m:oMath>
        <m:sSubSup>
          <m:sSubSupPr>
            <m:ctrlPr>
              <w:rPr>
                <w:rFonts w:ascii="Cambria Math" w:hAnsi="Cambria Math" w:cstheme="minorHAnsi"/>
                <w:sz w:val="18"/>
                <w:szCs w:val="18"/>
              </w:rPr>
            </m:ctrlPr>
          </m:sSubSupPr>
          <m:e>
            <m:r>
              <w:rPr>
                <w:rFonts w:ascii="Cambria Math" w:hAnsi="Cambria Math" w:cstheme="minorHAnsi"/>
                <w:sz w:val="18"/>
                <w:szCs w:val="18"/>
              </w:rPr>
              <m:t>FIM</m:t>
            </m:r>
          </m:e>
          <m:sub>
            <m:r>
              <w:rPr>
                <w:rFonts w:ascii="Cambria Math" w:hAnsi="Cambria Math" w:cstheme="minorHAnsi"/>
                <w:sz w:val="18"/>
                <w:szCs w:val="18"/>
              </w:rPr>
              <m:t>t</m:t>
            </m:r>
          </m:sub>
          <m:sup>
            <m:r>
              <w:rPr>
                <w:rFonts w:ascii="Cambria Math" w:hAnsi="Cambria Math" w:cstheme="minorHAnsi"/>
                <w:sz w:val="18"/>
                <w:szCs w:val="18"/>
              </w:rPr>
              <m:t>T</m:t>
            </m:r>
          </m:sup>
        </m:sSubSup>
        <m:r>
          <m:rPr>
            <m:sty m:val="p"/>
          </m:rPr>
          <w:rPr>
            <w:rFonts w:ascii="Cambria Math" w:hAnsi="Cambria Math" w:cstheme="minorHAnsi"/>
            <w:sz w:val="18"/>
            <w:szCs w:val="18"/>
          </w:rPr>
          <m:t>=</m:t>
        </m:r>
        <m:f>
          <m:fPr>
            <m:ctrlPr>
              <w:rPr>
                <w:rFonts w:ascii="Cambria Math" w:hAnsi="Cambria Math" w:cstheme="minorHAnsi"/>
                <w:sz w:val="18"/>
                <w:szCs w:val="18"/>
              </w:rPr>
            </m:ctrlPr>
          </m:fPr>
          <m:num>
            <m:sSubSup>
              <m:sSubSupPr>
                <m:ctrlPr>
                  <w:rPr>
                    <w:rFonts w:ascii="Cambria Math" w:hAnsi="Cambria Math" w:cstheme="minorHAnsi"/>
                    <w:sz w:val="18"/>
                    <w:szCs w:val="18"/>
                  </w:rPr>
                </m:ctrlPr>
              </m:sSubSupPr>
              <m:e>
                <m:r>
                  <w:rPr>
                    <w:rFonts w:ascii="Cambria Math" w:hAnsi="Cambria Math" w:cstheme="minorHAnsi"/>
                    <w:sz w:val="18"/>
                    <w:szCs w:val="18"/>
                  </w:rPr>
                  <m:t>T</m:t>
                </m:r>
              </m:e>
              <m:sub>
                <m:r>
                  <w:rPr>
                    <w:rFonts w:ascii="Cambria Math" w:hAnsi="Cambria Math" w:cstheme="minorHAnsi"/>
                    <w:sz w:val="18"/>
                    <w:szCs w:val="18"/>
                  </w:rPr>
                  <m:t>t</m:t>
                </m:r>
              </m:sub>
              <m:sup>
                <m:r>
                  <w:rPr>
                    <w:rFonts w:ascii="Cambria Math" w:hAnsi="Cambria Math" w:cstheme="minorHAnsi"/>
                    <w:sz w:val="18"/>
                    <w:szCs w:val="18"/>
                  </w:rPr>
                  <m:t>C</m:t>
                </m:r>
              </m:sup>
            </m:sSubSup>
          </m:num>
          <m:den>
            <m:sSub>
              <m:sSubPr>
                <m:ctrlPr>
                  <w:rPr>
                    <w:rFonts w:ascii="Cambria Math" w:hAnsi="Cambria Math" w:cstheme="minorHAnsi"/>
                    <w:sz w:val="18"/>
                    <w:szCs w:val="18"/>
                  </w:rPr>
                </m:ctrlPr>
              </m:sSubPr>
              <m:e>
                <m:r>
                  <w:rPr>
                    <w:rFonts w:ascii="Cambria Math" w:hAnsi="Cambria Math" w:cstheme="minorHAnsi"/>
                    <w:sz w:val="18"/>
                    <w:szCs w:val="18"/>
                  </w:rPr>
                  <m:t>Y</m:t>
                </m:r>
              </m:e>
              <m:sub>
                <m:r>
                  <w:rPr>
                    <w:rFonts w:ascii="Cambria Math" w:hAnsi="Cambria Math" w:cstheme="minorHAnsi"/>
                    <w:sz w:val="18"/>
                    <w:szCs w:val="18"/>
                  </w:rPr>
                  <m:t>t</m:t>
                </m:r>
                <m:r>
                  <m:rPr>
                    <m:sty m:val="p"/>
                  </m:rPr>
                  <w:rPr>
                    <w:rFonts w:ascii="Cambria Math" w:hAnsi="Cambria Math" w:cstheme="minorHAnsi"/>
                    <w:sz w:val="18"/>
                    <w:szCs w:val="18"/>
                  </w:rPr>
                  <m:t>-1</m:t>
                </m:r>
              </m:sub>
            </m:sSub>
          </m:den>
        </m:f>
      </m:oMath>
      <w:r w:rsidRPr="00740142">
        <w:rPr>
          <w:rFonts w:asciiTheme="minorHAnsi" w:hAnsiTheme="minorHAnsi" w:cstheme="minorHAnsi"/>
          <w:sz w:val="18"/>
          <w:szCs w:val="18"/>
          <w:rtl/>
        </w:rPr>
        <w:t xml:space="preserve">. כאשר: </w:t>
      </w:r>
      <w:r w:rsidRPr="00740142">
        <w:rPr>
          <w:rFonts w:asciiTheme="minorHAnsi" w:hAnsiTheme="minorHAnsi" w:cstheme="minorHAnsi"/>
          <w:sz w:val="18"/>
          <w:szCs w:val="18"/>
        </w:rPr>
        <w:t xml:space="preserve">- </w:t>
      </w:r>
      <m:oMath>
        <m:r>
          <w:rPr>
            <w:rFonts w:ascii="Cambria Math" w:hAnsi="Cambria Math" w:cstheme="minorHAnsi"/>
            <w:sz w:val="18"/>
            <w:szCs w:val="18"/>
          </w:rPr>
          <m:t>j</m:t>
        </m:r>
      </m:oMath>
      <w:r w:rsidRPr="00740142">
        <w:rPr>
          <w:rFonts w:asciiTheme="minorHAnsi" w:hAnsiTheme="minorHAnsi" w:cstheme="minorHAnsi"/>
          <w:sz w:val="18"/>
          <w:szCs w:val="18"/>
          <w:rtl/>
        </w:rPr>
        <w:t xml:space="preserve">סוג מס/תשלום העברה. המיסים מחולקים באופן הבא: 1. מס הכנסה בניכוי מס חברות ועוד מיסים עקיפים. 2. מס חברות. 3. תשלומי ההעברה כוללים גם העברות של הביטוח הלאומי וסובסידיות לייצור המקומי. הנתונים במונחים ריאליים ובניכוי עונתיות. </w:t>
      </w:r>
      <m:oMath>
        <m:r>
          <m:rPr>
            <m:sty m:val="p"/>
          </m:rPr>
          <w:rPr>
            <w:rFonts w:ascii="Cambria Math" w:hAnsi="Cambria Math" w:cstheme="minorHAnsi"/>
            <w:sz w:val="18"/>
            <w:szCs w:val="18"/>
          </w:rPr>
          <m:t xml:space="preserve"> </m:t>
        </m:r>
        <m:r>
          <w:rPr>
            <w:rFonts w:ascii="Cambria Math" w:hAnsi="Cambria Math" w:cstheme="minorHAnsi"/>
            <w:sz w:val="18"/>
            <w:szCs w:val="18"/>
          </w:rPr>
          <m:t>i</m:t>
        </m:r>
      </m:oMath>
      <w:r w:rsidRPr="00740142">
        <w:rPr>
          <w:rFonts w:asciiTheme="minorHAnsi" w:hAnsiTheme="minorHAnsi" w:cstheme="minorHAnsi"/>
          <w:sz w:val="18"/>
          <w:szCs w:val="18"/>
          <w:rtl/>
        </w:rPr>
        <w:t xml:space="preserve">- מספר רבעונים אחורה. </w:t>
      </w:r>
      <m:oMath>
        <m:sSub>
          <m:sSubPr>
            <m:ctrlPr>
              <w:rPr>
                <w:rFonts w:ascii="Cambria Math" w:hAnsi="Cambria Math" w:cstheme="minorHAnsi"/>
                <w:sz w:val="18"/>
                <w:szCs w:val="18"/>
              </w:rPr>
            </m:ctrlPr>
          </m:sSubPr>
          <m:e>
            <m:r>
              <w:rPr>
                <w:rFonts w:ascii="Cambria Math" w:hAnsi="Cambria Math" w:cstheme="minorHAnsi"/>
                <w:sz w:val="18"/>
                <w:szCs w:val="18"/>
              </w:rPr>
              <m:t>MPC</m:t>
            </m:r>
          </m:e>
          <m:sub>
            <m:r>
              <w:rPr>
                <w:rFonts w:ascii="Cambria Math" w:hAnsi="Cambria Math" w:cstheme="minorHAnsi"/>
                <w:sz w:val="18"/>
                <w:szCs w:val="18"/>
              </w:rPr>
              <m:t>j</m:t>
            </m:r>
            <m:r>
              <m:rPr>
                <m:sty m:val="p"/>
              </m:rPr>
              <w:rPr>
                <w:rFonts w:ascii="Cambria Math" w:hAnsi="Cambria Math" w:cstheme="minorHAnsi"/>
                <w:sz w:val="18"/>
                <w:szCs w:val="18"/>
              </w:rPr>
              <m:t xml:space="preserve">, </m:t>
            </m:r>
            <m:r>
              <w:rPr>
                <w:rFonts w:ascii="Cambria Math" w:hAnsi="Cambria Math" w:cstheme="minorHAnsi"/>
                <w:sz w:val="18"/>
                <w:szCs w:val="18"/>
              </w:rPr>
              <m:t>t</m:t>
            </m:r>
            <m:r>
              <m:rPr>
                <m:sty m:val="p"/>
              </m:rPr>
              <w:rPr>
                <w:rFonts w:ascii="Cambria Math" w:hAnsi="Cambria Math" w:cstheme="minorHAnsi"/>
                <w:sz w:val="18"/>
                <w:szCs w:val="18"/>
              </w:rPr>
              <m:t>-</m:t>
            </m:r>
            <m:r>
              <w:rPr>
                <w:rFonts w:ascii="Cambria Math" w:hAnsi="Cambria Math" w:cstheme="minorHAnsi"/>
                <w:sz w:val="18"/>
                <w:szCs w:val="18"/>
              </w:rPr>
              <m:t>i</m:t>
            </m:r>
          </m:sub>
        </m:sSub>
      </m:oMath>
      <w:r w:rsidRPr="00740142">
        <w:rPr>
          <w:rFonts w:asciiTheme="minorHAnsi" w:hAnsiTheme="minorHAnsi" w:cstheme="minorHAnsi"/>
          <w:sz w:val="18"/>
          <w:szCs w:val="18"/>
          <w:rtl/>
        </w:rPr>
        <w:t xml:space="preserve"> – נטייה שולית לצרוך, שהיא ספציפית  לרכיב </w:t>
      </w:r>
      <m:oMath>
        <m:r>
          <w:rPr>
            <w:rFonts w:ascii="Cambria Math" w:hAnsi="Cambria Math" w:cstheme="minorHAnsi"/>
            <w:sz w:val="18"/>
            <w:szCs w:val="18"/>
          </w:rPr>
          <m:t>j</m:t>
        </m:r>
      </m:oMath>
      <w:r w:rsidRPr="00740142">
        <w:rPr>
          <w:rFonts w:asciiTheme="minorHAnsi" w:hAnsiTheme="minorHAnsi" w:cstheme="minorHAnsi"/>
          <w:sz w:val="18"/>
          <w:szCs w:val="18"/>
          <w:rtl/>
        </w:rPr>
        <w:t xml:space="preserve"> ולזמן </w:t>
      </w:r>
      <m:oMath>
        <m:r>
          <w:rPr>
            <w:rFonts w:ascii="Cambria Math" w:hAnsi="Cambria Math" w:cstheme="minorHAnsi"/>
            <w:sz w:val="18"/>
            <w:szCs w:val="18"/>
          </w:rPr>
          <m:t>t</m:t>
        </m:r>
        <m:r>
          <m:rPr>
            <m:sty m:val="p"/>
          </m:rPr>
          <w:rPr>
            <w:rFonts w:ascii="Cambria Math" w:hAnsi="Cambria Math" w:cstheme="minorHAnsi"/>
            <w:sz w:val="18"/>
            <w:szCs w:val="18"/>
          </w:rPr>
          <m:t>-</m:t>
        </m:r>
        <m:r>
          <w:rPr>
            <w:rFonts w:ascii="Cambria Math" w:hAnsi="Cambria Math" w:cstheme="minorHAnsi"/>
            <w:sz w:val="18"/>
            <w:szCs w:val="18"/>
          </w:rPr>
          <m:t>i</m:t>
        </m:r>
      </m:oMath>
      <w:r w:rsidRPr="00740142">
        <w:rPr>
          <w:rFonts w:asciiTheme="minorHAnsi" w:hAnsiTheme="minorHAnsi" w:cstheme="minorHAnsi"/>
          <w:sz w:val="18"/>
          <w:szCs w:val="18"/>
          <w:rtl/>
        </w:rPr>
        <w:t xml:space="preserve">. </w:t>
      </w:r>
    </w:p>
  </w:footnote>
  <w:footnote w:id="4">
    <w:p w:rsidR="00A9492E" w:rsidRPr="00740142" w:rsidRDefault="00A9492E" w:rsidP="00435223">
      <w:pPr>
        <w:bidi/>
        <w:spacing w:line="360" w:lineRule="auto"/>
        <w:rPr>
          <w:rFonts w:asciiTheme="minorHAnsi" w:hAnsiTheme="minorHAnsi" w:cstheme="minorHAnsi"/>
          <w:sz w:val="18"/>
          <w:szCs w:val="18"/>
          <w:rtl/>
        </w:rPr>
      </w:pPr>
      <w:r w:rsidRPr="00740142">
        <w:rPr>
          <w:rStyle w:val="FootnoteReference"/>
          <w:rFonts w:asciiTheme="minorHAnsi" w:hAnsiTheme="minorHAnsi" w:cstheme="minorHAnsi"/>
          <w:sz w:val="18"/>
          <w:szCs w:val="18"/>
        </w:rPr>
        <w:footnoteRef/>
      </w:r>
      <w:r w:rsidRPr="00740142">
        <w:rPr>
          <w:rFonts w:asciiTheme="minorHAnsi" w:hAnsiTheme="minorHAnsi" w:cstheme="minorHAnsi"/>
          <w:sz w:val="18"/>
          <w:szCs w:val="18"/>
          <w:rtl/>
        </w:rPr>
        <w:t xml:space="preserve"> משוואת המדד הכולל: </w:t>
      </w:r>
      <m:oMath>
        <m:sSub>
          <m:sSubPr>
            <m:ctrlPr>
              <w:rPr>
                <w:rFonts w:ascii="Cambria Math" w:hAnsi="Cambria Math" w:cstheme="minorHAnsi"/>
                <w:i/>
                <w:sz w:val="18"/>
                <w:szCs w:val="18"/>
              </w:rPr>
            </m:ctrlPr>
          </m:sSubPr>
          <m:e>
            <m:r>
              <w:rPr>
                <w:rFonts w:ascii="Cambria Math" w:hAnsi="Cambria Math" w:cstheme="minorHAnsi"/>
                <w:sz w:val="18"/>
                <w:szCs w:val="18"/>
              </w:rPr>
              <m:t>FIM</m:t>
            </m:r>
          </m:e>
          <m:sub>
            <m:r>
              <w:rPr>
                <w:rFonts w:ascii="Cambria Math" w:hAnsi="Cambria Math" w:cstheme="minorHAnsi"/>
                <w:sz w:val="18"/>
                <w:szCs w:val="18"/>
              </w:rPr>
              <m:t>t</m:t>
            </m:r>
          </m:sub>
        </m:sSub>
        <m:r>
          <w:rPr>
            <w:rFonts w:ascii="Cambria Math" w:hAnsi="Cambria Math" w:cstheme="minorHAnsi"/>
            <w:sz w:val="18"/>
            <w:szCs w:val="18"/>
          </w:rPr>
          <m:t>=</m:t>
        </m:r>
        <m:sSubSup>
          <m:sSubSupPr>
            <m:ctrlPr>
              <w:rPr>
                <w:rFonts w:ascii="Cambria Math" w:hAnsi="Cambria Math" w:cstheme="minorHAnsi"/>
                <w:i/>
                <w:sz w:val="18"/>
                <w:szCs w:val="18"/>
              </w:rPr>
            </m:ctrlPr>
          </m:sSubSupPr>
          <m:e>
            <m:r>
              <w:rPr>
                <w:rFonts w:ascii="Cambria Math" w:hAnsi="Cambria Math" w:cstheme="minorHAnsi"/>
                <w:sz w:val="18"/>
                <w:szCs w:val="18"/>
              </w:rPr>
              <m:t>FIM</m:t>
            </m:r>
          </m:e>
          <m:sub>
            <m:r>
              <w:rPr>
                <w:rFonts w:ascii="Cambria Math" w:hAnsi="Cambria Math" w:cstheme="minorHAnsi"/>
                <w:sz w:val="18"/>
                <w:szCs w:val="18"/>
              </w:rPr>
              <m:t>t</m:t>
            </m:r>
          </m:sub>
          <m:sup>
            <m:r>
              <w:rPr>
                <w:rFonts w:ascii="Cambria Math" w:hAnsi="Cambria Math" w:cstheme="minorHAnsi"/>
                <w:sz w:val="18"/>
                <w:szCs w:val="18"/>
              </w:rPr>
              <m:t>G</m:t>
            </m:r>
          </m:sup>
        </m:sSubSup>
        <m:r>
          <w:rPr>
            <w:rFonts w:ascii="Cambria Math" w:hAnsi="Cambria Math" w:cstheme="minorHAnsi"/>
            <w:sz w:val="18"/>
            <w:szCs w:val="18"/>
          </w:rPr>
          <m:t>+</m:t>
        </m:r>
        <m:sSubSup>
          <m:sSubSupPr>
            <m:ctrlPr>
              <w:rPr>
                <w:rFonts w:ascii="Cambria Math" w:hAnsi="Cambria Math" w:cstheme="minorHAnsi"/>
                <w:i/>
                <w:sz w:val="18"/>
                <w:szCs w:val="18"/>
              </w:rPr>
            </m:ctrlPr>
          </m:sSubSupPr>
          <m:e>
            <m:r>
              <w:rPr>
                <w:rFonts w:ascii="Cambria Math" w:hAnsi="Cambria Math" w:cstheme="minorHAnsi"/>
                <w:sz w:val="18"/>
                <w:szCs w:val="18"/>
              </w:rPr>
              <m:t>FIM</m:t>
            </m:r>
          </m:e>
          <m:sub>
            <m:r>
              <w:rPr>
                <w:rFonts w:ascii="Cambria Math" w:hAnsi="Cambria Math" w:cstheme="minorHAnsi"/>
                <w:sz w:val="18"/>
                <w:szCs w:val="18"/>
              </w:rPr>
              <m:t>t</m:t>
            </m:r>
          </m:sub>
          <m:sup>
            <m:r>
              <w:rPr>
                <w:rFonts w:ascii="Cambria Math" w:hAnsi="Cambria Math" w:cstheme="minorHAnsi"/>
                <w:sz w:val="18"/>
                <w:szCs w:val="18"/>
              </w:rPr>
              <m:t>T</m:t>
            </m:r>
          </m:sup>
        </m:sSubSup>
      </m:oMath>
    </w:p>
    <w:p w:rsidR="00A9492E" w:rsidRDefault="00A9492E" w:rsidP="00A9492E">
      <w:pPr>
        <w:pStyle w:val="FootnoteText"/>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92607"/>
    <w:multiLevelType w:val="hybridMultilevel"/>
    <w:tmpl w:val="27DC9AEA"/>
    <w:lvl w:ilvl="0" w:tplc="87986CAE">
      <w:start w:val="1"/>
      <w:numFmt w:val="hebrew1"/>
      <w:lvlText w:val="%1."/>
      <w:lvlJc w:val="left"/>
      <w:pPr>
        <w:ind w:left="720" w:hanging="360"/>
      </w:pPr>
      <w:rPr>
        <w:rFonts w:ascii="Calibri" w:eastAsia="Calibri" w:hAnsi="Calibri" w:cs="Calibri" w:hint="default"/>
        <w:color w:val="4F81BD"/>
        <w:sz w:val="26"/>
        <w:u w:val="none"/>
      </w:rPr>
    </w:lvl>
    <w:lvl w:ilvl="1" w:tplc="C64E48A8" w:tentative="1">
      <w:start w:val="1"/>
      <w:numFmt w:val="lowerLetter"/>
      <w:lvlText w:val="%2."/>
      <w:lvlJc w:val="left"/>
      <w:pPr>
        <w:ind w:left="1440" w:hanging="360"/>
      </w:pPr>
    </w:lvl>
    <w:lvl w:ilvl="2" w:tplc="B6BCCB3E" w:tentative="1">
      <w:start w:val="1"/>
      <w:numFmt w:val="lowerRoman"/>
      <w:lvlText w:val="%3."/>
      <w:lvlJc w:val="right"/>
      <w:pPr>
        <w:ind w:left="2160" w:hanging="180"/>
      </w:pPr>
    </w:lvl>
    <w:lvl w:ilvl="3" w:tplc="8E34D520" w:tentative="1">
      <w:start w:val="1"/>
      <w:numFmt w:val="decimal"/>
      <w:lvlText w:val="%4."/>
      <w:lvlJc w:val="left"/>
      <w:pPr>
        <w:ind w:left="2880" w:hanging="360"/>
      </w:pPr>
    </w:lvl>
    <w:lvl w:ilvl="4" w:tplc="EB361C18" w:tentative="1">
      <w:start w:val="1"/>
      <w:numFmt w:val="lowerLetter"/>
      <w:lvlText w:val="%5."/>
      <w:lvlJc w:val="left"/>
      <w:pPr>
        <w:ind w:left="3600" w:hanging="360"/>
      </w:pPr>
    </w:lvl>
    <w:lvl w:ilvl="5" w:tplc="153AC028" w:tentative="1">
      <w:start w:val="1"/>
      <w:numFmt w:val="lowerRoman"/>
      <w:lvlText w:val="%6."/>
      <w:lvlJc w:val="right"/>
      <w:pPr>
        <w:ind w:left="4320" w:hanging="180"/>
      </w:pPr>
    </w:lvl>
    <w:lvl w:ilvl="6" w:tplc="66E0306A" w:tentative="1">
      <w:start w:val="1"/>
      <w:numFmt w:val="decimal"/>
      <w:lvlText w:val="%7."/>
      <w:lvlJc w:val="left"/>
      <w:pPr>
        <w:ind w:left="5040" w:hanging="360"/>
      </w:pPr>
    </w:lvl>
    <w:lvl w:ilvl="7" w:tplc="DC0A16C4" w:tentative="1">
      <w:start w:val="1"/>
      <w:numFmt w:val="lowerLetter"/>
      <w:lvlText w:val="%8."/>
      <w:lvlJc w:val="left"/>
      <w:pPr>
        <w:ind w:left="5760" w:hanging="360"/>
      </w:pPr>
    </w:lvl>
    <w:lvl w:ilvl="8" w:tplc="BF802DF8" w:tentative="1">
      <w:start w:val="1"/>
      <w:numFmt w:val="lowerRoman"/>
      <w:lvlText w:val="%9."/>
      <w:lvlJc w:val="right"/>
      <w:pPr>
        <w:ind w:left="6480" w:hanging="180"/>
      </w:p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abstractNum w:abstractNumId="7" w15:restartNumberingAfterBreak="0">
    <w:nsid w:val="7C5814B0"/>
    <w:multiLevelType w:val="hybridMultilevel"/>
    <w:tmpl w:val="973A19FE"/>
    <w:lvl w:ilvl="0" w:tplc="613CBC44">
      <w:numFmt w:val="bullet"/>
      <w:lvlText w:val=""/>
      <w:lvlJc w:val="left"/>
      <w:pPr>
        <w:ind w:left="630" w:hanging="360"/>
      </w:pPr>
      <w:rPr>
        <w:rFonts w:ascii="Symbol" w:eastAsiaTheme="minorHAnsi" w:hAnsi="Symbol" w:cstheme="minorHAnsi" w:hint="default"/>
      </w:rPr>
    </w:lvl>
    <w:lvl w:ilvl="1" w:tplc="07384EA6" w:tentative="1">
      <w:start w:val="1"/>
      <w:numFmt w:val="bullet"/>
      <w:lvlText w:val="o"/>
      <w:lvlJc w:val="left"/>
      <w:pPr>
        <w:ind w:left="1350" w:hanging="360"/>
      </w:pPr>
      <w:rPr>
        <w:rFonts w:ascii="Courier New" w:hAnsi="Courier New" w:cs="Courier New" w:hint="default"/>
      </w:rPr>
    </w:lvl>
    <w:lvl w:ilvl="2" w:tplc="8D8247D6" w:tentative="1">
      <w:start w:val="1"/>
      <w:numFmt w:val="bullet"/>
      <w:lvlText w:val=""/>
      <w:lvlJc w:val="left"/>
      <w:pPr>
        <w:ind w:left="2070" w:hanging="360"/>
      </w:pPr>
      <w:rPr>
        <w:rFonts w:ascii="Wingdings" w:hAnsi="Wingdings" w:hint="default"/>
      </w:rPr>
    </w:lvl>
    <w:lvl w:ilvl="3" w:tplc="2D1854A6" w:tentative="1">
      <w:start w:val="1"/>
      <w:numFmt w:val="bullet"/>
      <w:lvlText w:val=""/>
      <w:lvlJc w:val="left"/>
      <w:pPr>
        <w:ind w:left="2790" w:hanging="360"/>
      </w:pPr>
      <w:rPr>
        <w:rFonts w:ascii="Symbol" w:hAnsi="Symbol" w:hint="default"/>
      </w:rPr>
    </w:lvl>
    <w:lvl w:ilvl="4" w:tplc="DE4EDED8" w:tentative="1">
      <w:start w:val="1"/>
      <w:numFmt w:val="bullet"/>
      <w:lvlText w:val="o"/>
      <w:lvlJc w:val="left"/>
      <w:pPr>
        <w:ind w:left="3510" w:hanging="360"/>
      </w:pPr>
      <w:rPr>
        <w:rFonts w:ascii="Courier New" w:hAnsi="Courier New" w:cs="Courier New" w:hint="default"/>
      </w:rPr>
    </w:lvl>
    <w:lvl w:ilvl="5" w:tplc="AE509FB2" w:tentative="1">
      <w:start w:val="1"/>
      <w:numFmt w:val="bullet"/>
      <w:lvlText w:val=""/>
      <w:lvlJc w:val="left"/>
      <w:pPr>
        <w:ind w:left="4230" w:hanging="360"/>
      </w:pPr>
      <w:rPr>
        <w:rFonts w:ascii="Wingdings" w:hAnsi="Wingdings" w:hint="default"/>
      </w:rPr>
    </w:lvl>
    <w:lvl w:ilvl="6" w:tplc="E0827870" w:tentative="1">
      <w:start w:val="1"/>
      <w:numFmt w:val="bullet"/>
      <w:lvlText w:val=""/>
      <w:lvlJc w:val="left"/>
      <w:pPr>
        <w:ind w:left="4950" w:hanging="360"/>
      </w:pPr>
      <w:rPr>
        <w:rFonts w:ascii="Symbol" w:hAnsi="Symbol" w:hint="default"/>
      </w:rPr>
    </w:lvl>
    <w:lvl w:ilvl="7" w:tplc="C9623A64" w:tentative="1">
      <w:start w:val="1"/>
      <w:numFmt w:val="bullet"/>
      <w:lvlText w:val="o"/>
      <w:lvlJc w:val="left"/>
      <w:pPr>
        <w:ind w:left="5670" w:hanging="360"/>
      </w:pPr>
      <w:rPr>
        <w:rFonts w:ascii="Courier New" w:hAnsi="Courier New" w:cs="Courier New" w:hint="default"/>
      </w:rPr>
    </w:lvl>
    <w:lvl w:ilvl="8" w:tplc="9306D52C" w:tentative="1">
      <w:start w:val="1"/>
      <w:numFmt w:val="bullet"/>
      <w:lvlText w:val=""/>
      <w:lvlJc w:val="left"/>
      <w:pPr>
        <w:ind w:left="639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35223"/>
    <w:rsid w:val="00440E7F"/>
    <w:rsid w:val="004537A7"/>
    <w:rsid w:val="004561A3"/>
    <w:rsid w:val="00460DDF"/>
    <w:rsid w:val="00461C90"/>
    <w:rsid w:val="00471092"/>
    <w:rsid w:val="004A120F"/>
    <w:rsid w:val="004A32D7"/>
    <w:rsid w:val="004A59B4"/>
    <w:rsid w:val="004A6295"/>
    <w:rsid w:val="004C6182"/>
    <w:rsid w:val="004C7925"/>
    <w:rsid w:val="004F26A1"/>
    <w:rsid w:val="004F5E3C"/>
    <w:rsid w:val="00567B1A"/>
    <w:rsid w:val="00571971"/>
    <w:rsid w:val="0057422C"/>
    <w:rsid w:val="00575141"/>
    <w:rsid w:val="0059782C"/>
    <w:rsid w:val="005A52A2"/>
    <w:rsid w:val="005C5BF9"/>
    <w:rsid w:val="005D5F2B"/>
    <w:rsid w:val="005E28F6"/>
    <w:rsid w:val="005E366B"/>
    <w:rsid w:val="005F3F6B"/>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40142"/>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9492E"/>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5DC3"/>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85E3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פיסקת bullets,List Paragraph1,List Paragraph2,List Paragraph11,List Paragraph3"/>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פיסקת bullets Char,List Paragraph1 Char,List Paragraph2 Char,List Paragraph11 Char,List Paragraph3 Char"/>
    <w:basedOn w:val="DefaultParagraphFont"/>
    <w:link w:val="ListParagraph"/>
    <w:uiPriority w:val="34"/>
    <w:rsid w:val="00031A9D"/>
  </w:style>
  <w:style w:type="paragraph" w:styleId="NormalWeb">
    <w:name w:val="Normal (Web)"/>
    <w:basedOn w:val="Normal"/>
    <w:uiPriority w:val="99"/>
    <w:unhideWhenUsed/>
    <w:rsid w:val="00A9492E"/>
    <w:pPr>
      <w:spacing w:before="100" w:beforeAutospacing="1" w:after="100" w:afterAutospacing="1" w:line="240" w:lineRule="auto"/>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A9492E"/>
    <w:pPr>
      <w:bidi/>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9492E"/>
    <w:rPr>
      <w:sz w:val="20"/>
      <w:szCs w:val="20"/>
    </w:rPr>
  </w:style>
  <w:style w:type="character" w:styleId="FootnoteReference">
    <w:name w:val="footnote reference"/>
    <w:basedOn w:val="DefaultParagraphFont"/>
    <w:uiPriority w:val="99"/>
    <w:semiHidden/>
    <w:unhideWhenUsed/>
    <w:rsid w:val="00A94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ookings.edu/articles/the-hutchins-centers-fiscal-impact-measure/" TargetMode="External"/><Relationship Id="rId5" Type="http://schemas.openxmlformats.org/officeDocument/2006/relationships/footnotes" Target="footnotes.xml"/><Relationship Id="rId10" Type="http://schemas.openxmlformats.org/officeDocument/2006/relationships/hyperlink" Target="https://www.imf.org/en/News/Articles/2026/02/05/mcs-02052026-israel-staff-concluding-statement-of-the-2026-article-iv-mission"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vsrvyhmm\Vyhmm\MEHKARJR\Public%20Sector\&#1495;&#1508;&#1497;&#1508;&#1492;\&#1500;&#1493;&#1496;&#1501;\&#1491;&#1493;&#1495;%20&#1489;&#1504;&#1511;%20&#1497;&#1513;&#1512;&#1488;&#1500;\2025\&#1514;&#1497;&#1489;&#1492;%20&#1489;\&#1488;&#1497;&#1493;&#1512;&#1497;&#1501;%20&#1500;&#1514;&#1497;&#1489;&#1492;%20&#1489;-1%20&#1489;&#1491;&#1493;&#1495;%20&#1489;&#1504;&#1511;%20&#1497;&#1513;&#1512;&#1488;&#1500;%202026-'.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mvsrvyhmm\Vyhmm\MEHKARJR\Public%20Sector\&#1495;&#1508;&#1497;&#1508;&#1492;\&#1500;&#1493;&#1496;&#1501;\&#1491;&#1493;&#1495;%20&#1489;&#1504;&#1511;%20&#1497;&#1513;&#1512;&#1488;&#1500;\2025\&#1514;&#1497;&#1489;&#1492;%20&#1489;\&#1488;&#1497;&#1493;&#1512;&#1497;&#1501;%20&#1500;&#1514;&#1497;&#1489;&#1492;%20&#1489;-1%20&#1489;&#1491;&#1493;&#1495;%20&#1489;&#1504;&#1511;%20&#1497;&#1513;&#1512;&#1488;&#1500;%202026-'.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200" b="1" i="0" u="none" strike="noStrike" kern="1200" spc="0" baseline="0">
                <a:solidFill>
                  <a:srgbClr val="000000"/>
                </a:solidFill>
                <a:latin typeface="+mn-lt"/>
                <a:ea typeface="+mn-ea"/>
                <a:cs typeface="Calibri" panose="020F0502020204030204" pitchFamily="34" charset="0"/>
              </a:defRPr>
            </a:pPr>
            <a:r>
              <a:rPr lang="he-IL" sz="1200" b="1" i="0" baseline="0">
                <a:solidFill>
                  <a:srgbClr val="000000"/>
                </a:solidFill>
                <a:effectLst/>
                <a:cs typeface="Calibri" panose="020F0502020204030204" pitchFamily="34" charset="0"/>
              </a:rPr>
              <a:t>איור 1| </a:t>
            </a:r>
            <a:r>
              <a:rPr lang="en-US" sz="1200" b="1" i="0" baseline="0">
                <a:solidFill>
                  <a:srgbClr val="000000"/>
                </a:solidFill>
                <a:effectLst/>
                <a:cs typeface="Calibri" panose="020F0502020204030204" pitchFamily="34" charset="0"/>
              </a:rPr>
              <a:t>FIM</a:t>
            </a:r>
            <a:r>
              <a:rPr lang="he-IL" sz="1200" b="1" i="0" baseline="0">
                <a:solidFill>
                  <a:srgbClr val="000000"/>
                </a:solidFill>
                <a:effectLst/>
                <a:cs typeface="Calibri" panose="020F0502020204030204" pitchFamily="34" charset="0"/>
              </a:rPr>
              <a:t> בתקופת הקורונה</a:t>
            </a:r>
            <a:endParaRPr lang="he-IL" sz="1200" b="1">
              <a:solidFill>
                <a:srgbClr val="000000"/>
              </a:solidFill>
              <a:effectLst/>
              <a:cs typeface="Calibri" panose="020F0502020204030204" pitchFamily="34" charset="0"/>
            </a:endParaRPr>
          </a:p>
          <a:p>
            <a:pPr rtl="1">
              <a:defRPr sz="1200" b="1">
                <a:solidFill>
                  <a:srgbClr val="000000"/>
                </a:solidFill>
                <a:cs typeface="Calibri" panose="020F0502020204030204" pitchFamily="34" charset="0"/>
              </a:defRPr>
            </a:pPr>
            <a:r>
              <a:rPr lang="en-US" sz="1100" b="0" i="0" baseline="0">
                <a:solidFill>
                  <a:srgbClr val="000000"/>
                </a:solidFill>
                <a:effectLst/>
                <a:cs typeface="Calibri" panose="020F0502020204030204" pitchFamily="34" charset="0"/>
              </a:rPr>
              <a:t>2020:Q1</a:t>
            </a:r>
            <a:r>
              <a:rPr lang="he-IL" sz="1100" b="0" i="0" baseline="0">
                <a:solidFill>
                  <a:srgbClr val="000000"/>
                </a:solidFill>
                <a:effectLst/>
                <a:cs typeface="Calibri" panose="020F0502020204030204" pitchFamily="34" charset="0"/>
              </a:rPr>
              <a:t> עד</a:t>
            </a:r>
            <a:r>
              <a:rPr lang="en-US" sz="1100" b="0" i="0" baseline="0">
                <a:solidFill>
                  <a:srgbClr val="000000"/>
                </a:solidFill>
                <a:effectLst/>
                <a:cs typeface="Calibri" panose="020F0502020204030204" pitchFamily="34" charset="0"/>
              </a:rPr>
              <a:t>2022:Q4 </a:t>
            </a:r>
            <a:r>
              <a:rPr lang="he-IL" sz="1100" b="0" i="0" baseline="0">
                <a:solidFill>
                  <a:srgbClr val="000000"/>
                </a:solidFill>
                <a:effectLst/>
                <a:cs typeface="Calibri" panose="020F0502020204030204" pitchFamily="34" charset="0"/>
              </a:rPr>
              <a:t>– ביחס ל-</a:t>
            </a:r>
            <a:r>
              <a:rPr lang="en-US" sz="1100" b="0" i="0" baseline="0">
                <a:solidFill>
                  <a:srgbClr val="000000"/>
                </a:solidFill>
                <a:effectLst/>
                <a:cs typeface="Calibri" panose="020F0502020204030204" pitchFamily="34" charset="0"/>
              </a:rPr>
              <a:t>2020:Q1</a:t>
            </a:r>
            <a:r>
              <a:rPr lang="he-IL" sz="1100" b="0" i="0" baseline="0">
                <a:solidFill>
                  <a:srgbClr val="000000"/>
                </a:solidFill>
                <a:effectLst/>
                <a:cs typeface="Calibri" panose="020F0502020204030204" pitchFamily="34" charset="0"/>
              </a:rPr>
              <a:t>, מנוכה עונתיות</a:t>
            </a:r>
            <a:endParaRPr lang="he-IL" sz="1100" b="0">
              <a:solidFill>
                <a:srgbClr val="000000"/>
              </a:solidFill>
              <a:effectLst/>
              <a:cs typeface="Calibri" panose="020F0502020204030204" pitchFamily="34" charset="0"/>
            </a:endParaRPr>
          </a:p>
        </c:rich>
      </c:tx>
      <c:layout/>
      <c:overlay val="0"/>
      <c:spPr>
        <a:noFill/>
        <a:ln>
          <a:noFill/>
        </a:ln>
        <a:effectLst/>
      </c:spPr>
      <c:txPr>
        <a:bodyPr rot="0" spcFirstLastPara="1" vertOverflow="ellipsis" vert="horz" wrap="square" anchor="ctr" anchorCtr="1"/>
        <a:lstStyle/>
        <a:p>
          <a:pPr rtl="1">
            <a:defRPr sz="1200" b="1" i="0" u="none" strike="noStrike" kern="1200" spc="0" baseline="0">
              <a:solidFill>
                <a:srgbClr val="000000"/>
              </a:solidFill>
              <a:latin typeface="+mn-lt"/>
              <a:ea typeface="+mn-ea"/>
              <a:cs typeface="Calibri" panose="020F0502020204030204" pitchFamily="34" charset="0"/>
            </a:defRPr>
          </a:pPr>
          <a:endParaRPr lang="he-IL"/>
        </a:p>
      </c:txPr>
    </c:title>
    <c:autoTitleDeleted val="0"/>
    <c:plotArea>
      <c:layout>
        <c:manualLayout>
          <c:layoutTarget val="inner"/>
          <c:xMode val="edge"/>
          <c:yMode val="edge"/>
          <c:x val="0.12267592360045655"/>
          <c:y val="0.19577585284996257"/>
          <c:w val="0.87076721261805323"/>
          <c:h val="0.37407458331423682"/>
        </c:manualLayout>
      </c:layout>
      <c:barChart>
        <c:barDir val="col"/>
        <c:grouping val="stacked"/>
        <c:varyColors val="0"/>
        <c:ser>
          <c:idx val="0"/>
          <c:order val="0"/>
          <c:tx>
            <c:strRef>
              <c:f>'[איורים לתיבה ב-1 בדוח בנק ישראל 2026-''.xlsx]איור 1'!$B$1</c:f>
              <c:strCache>
                <c:ptCount val="1"/>
                <c:pt idx="0">
                  <c:v>מדד מיסים ללא תשלומי העברה</c:v>
                </c:pt>
              </c:strCache>
            </c:strRef>
          </c:tx>
          <c:spPr>
            <a:solidFill>
              <a:srgbClr val="6C63FF"/>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28F9-40A2-BCA4-07482327D0A2}"/>
                </c:ext>
              </c:extLst>
            </c:dLbl>
            <c:dLbl>
              <c:idx val="1"/>
              <c:delete val="1"/>
              <c:extLst>
                <c:ext xmlns:c15="http://schemas.microsoft.com/office/drawing/2012/chart" uri="{CE6537A1-D6FC-4f65-9D91-7224C49458BB}"/>
                <c:ext xmlns:c16="http://schemas.microsoft.com/office/drawing/2014/chart" uri="{C3380CC4-5D6E-409C-BE32-E72D297353CC}">
                  <c16:uniqueId val="{00000001-28F9-40A2-BCA4-07482327D0A2}"/>
                </c:ext>
              </c:extLst>
            </c:dLbl>
            <c:dLbl>
              <c:idx val="2"/>
              <c:delete val="1"/>
              <c:extLst>
                <c:ext xmlns:c15="http://schemas.microsoft.com/office/drawing/2012/chart" uri="{CE6537A1-D6FC-4f65-9D91-7224C49458BB}"/>
                <c:ext xmlns:c16="http://schemas.microsoft.com/office/drawing/2014/chart" uri="{C3380CC4-5D6E-409C-BE32-E72D297353CC}">
                  <c16:uniqueId val="{00000002-28F9-40A2-BCA4-07482327D0A2}"/>
                </c:ext>
              </c:extLst>
            </c:dLbl>
            <c:dLbl>
              <c:idx val="3"/>
              <c:delete val="1"/>
              <c:extLst>
                <c:ext xmlns:c15="http://schemas.microsoft.com/office/drawing/2012/chart" uri="{CE6537A1-D6FC-4f65-9D91-7224C49458BB}"/>
                <c:ext xmlns:c16="http://schemas.microsoft.com/office/drawing/2014/chart" uri="{C3380CC4-5D6E-409C-BE32-E72D297353CC}">
                  <c16:uniqueId val="{00000003-28F9-40A2-BCA4-07482327D0A2}"/>
                </c:ext>
              </c:extLst>
            </c:dLbl>
            <c:dLbl>
              <c:idx val="4"/>
              <c:delete val="1"/>
              <c:extLst>
                <c:ext xmlns:c15="http://schemas.microsoft.com/office/drawing/2012/chart" uri="{CE6537A1-D6FC-4f65-9D91-7224C49458BB}"/>
                <c:ext xmlns:c16="http://schemas.microsoft.com/office/drawing/2014/chart" uri="{C3380CC4-5D6E-409C-BE32-E72D297353CC}">
                  <c16:uniqueId val="{00000004-28F9-40A2-BCA4-07482327D0A2}"/>
                </c:ext>
              </c:extLst>
            </c:dLbl>
            <c:dLbl>
              <c:idx val="5"/>
              <c:delete val="1"/>
              <c:extLst>
                <c:ext xmlns:c15="http://schemas.microsoft.com/office/drawing/2012/chart" uri="{CE6537A1-D6FC-4f65-9D91-7224C49458BB}"/>
                <c:ext xmlns:c16="http://schemas.microsoft.com/office/drawing/2014/chart" uri="{C3380CC4-5D6E-409C-BE32-E72D297353CC}">
                  <c16:uniqueId val="{00000005-28F9-40A2-BCA4-07482327D0A2}"/>
                </c:ext>
              </c:extLst>
            </c:dLbl>
            <c:dLbl>
              <c:idx val="6"/>
              <c:delete val="1"/>
              <c:extLst>
                <c:ext xmlns:c15="http://schemas.microsoft.com/office/drawing/2012/chart" uri="{CE6537A1-D6FC-4f65-9D91-7224C49458BB}"/>
                <c:ext xmlns:c16="http://schemas.microsoft.com/office/drawing/2014/chart" uri="{C3380CC4-5D6E-409C-BE32-E72D297353CC}">
                  <c16:uniqueId val="{00000006-28F9-40A2-BCA4-07482327D0A2}"/>
                </c:ext>
              </c:extLst>
            </c:dLbl>
            <c:dLbl>
              <c:idx val="8"/>
              <c:layout>
                <c:manualLayout>
                  <c:x val="-7.2855579207591363E-3"/>
                  <c:y val="7.1140028920931185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8F9-40A2-BCA4-07482327D0A2}"/>
                </c:ext>
              </c:extLst>
            </c:dLbl>
            <c:dLbl>
              <c:idx val="11"/>
              <c:layout>
                <c:manualLayout>
                  <c:x val="-2.4285193069198902E-3"/>
                  <c:y val="9.1663229295568078E-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28F9-40A2-BCA4-07482327D0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mn-ea"/>
                    <a:cs typeface="Calibri" panose="020F0502020204030204" pitchFamily="34" charset="0"/>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'איור 2'!#REF!</c:f>
            </c:multiLvlStrRef>
          </c:cat>
          <c:val>
            <c:numRef>
              <c:f>'[איורים לתיבה ב-1 בדוח בנק ישראל 2026-''.xlsx]איור 1'!$B$2:$B$13</c:f>
              <c:numCache>
                <c:formatCode>_ * #,##0.0_ ;_ * \-#,##0.0_ ;_ * "-"??_ ;_ @_ </c:formatCode>
                <c:ptCount val="12"/>
                <c:pt idx="0" formatCode="#,##0.0_ ;\-#,##0.0\ ">
                  <c:v>0</c:v>
                </c:pt>
                <c:pt idx="1">
                  <c:v>0.10687533395395064</c:v>
                </c:pt>
                <c:pt idx="2">
                  <c:v>8.320800996396243E-3</c:v>
                </c:pt>
                <c:pt idx="3">
                  <c:v>-0.12009875842045117</c:v>
                </c:pt>
                <c:pt idx="4">
                  <c:v>-0.2727056413241214</c:v>
                </c:pt>
                <c:pt idx="5">
                  <c:v>-0.55964862923025493</c:v>
                </c:pt>
                <c:pt idx="6">
                  <c:v>-0.69717471558789657</c:v>
                </c:pt>
                <c:pt idx="7">
                  <c:v>-1.1791728845149179</c:v>
                </c:pt>
                <c:pt idx="8">
                  <c:v>-1.516546665800373</c:v>
                </c:pt>
                <c:pt idx="9">
                  <c:v>-1.8417645420632032</c:v>
                </c:pt>
                <c:pt idx="10">
                  <c:v>-1.5617841476920695</c:v>
                </c:pt>
                <c:pt idx="11">
                  <c:v>-1.4316409018242953</c:v>
                </c:pt>
              </c:numCache>
            </c:numRef>
          </c:val>
          <c:extLst>
            <c:ext xmlns:c16="http://schemas.microsoft.com/office/drawing/2014/chart" uri="{C3380CC4-5D6E-409C-BE32-E72D297353CC}">
              <c16:uniqueId val="{00000009-28F9-40A2-BCA4-07482327D0A2}"/>
            </c:ext>
          </c:extLst>
        </c:ser>
        <c:ser>
          <c:idx val="1"/>
          <c:order val="1"/>
          <c:tx>
            <c:strRef>
              <c:f>'[איורים לתיבה ב-1 בדוח בנק ישראל 2026-''.xlsx]איור 1'!$C$1</c:f>
              <c:strCache>
                <c:ptCount val="1"/>
                <c:pt idx="0">
                  <c:v>מדד תשלומי העברה</c:v>
                </c:pt>
              </c:strCache>
            </c:strRef>
          </c:tx>
          <c:spPr>
            <a:solidFill>
              <a:srgbClr val="DA8F32"/>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28F9-40A2-BCA4-07482327D0A2}"/>
                </c:ext>
              </c:extLst>
            </c:dLbl>
            <c:dLbl>
              <c:idx val="1"/>
              <c:delete val="1"/>
              <c:extLst>
                <c:ext xmlns:c15="http://schemas.microsoft.com/office/drawing/2012/chart" uri="{CE6537A1-D6FC-4f65-9D91-7224C49458BB}"/>
                <c:ext xmlns:c16="http://schemas.microsoft.com/office/drawing/2014/chart" uri="{C3380CC4-5D6E-409C-BE32-E72D297353CC}">
                  <c16:uniqueId val="{0000000B-28F9-40A2-BCA4-07482327D0A2}"/>
                </c:ext>
              </c:extLst>
            </c:dLbl>
            <c:dLbl>
              <c:idx val="8"/>
              <c:layout>
                <c:manualLayout>
                  <c:x val="8.9160001092858812E-17"/>
                  <c:y val="-1.15101497769568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28F9-40A2-BCA4-07482327D0A2}"/>
                </c:ext>
              </c:extLst>
            </c:dLbl>
            <c:dLbl>
              <c:idx val="10"/>
              <c:delete val="1"/>
              <c:extLst>
                <c:ext xmlns:c15="http://schemas.microsoft.com/office/drawing/2012/chart" uri="{CE6537A1-D6FC-4f65-9D91-7224C49458BB}"/>
                <c:ext xmlns:c16="http://schemas.microsoft.com/office/drawing/2014/chart" uri="{C3380CC4-5D6E-409C-BE32-E72D297353CC}">
                  <c16:uniqueId val="{0000000D-28F9-40A2-BCA4-07482327D0A2}"/>
                </c:ext>
              </c:extLst>
            </c:dLbl>
            <c:dLbl>
              <c:idx val="11"/>
              <c:delete val="1"/>
              <c:extLst>
                <c:ext xmlns:c15="http://schemas.microsoft.com/office/drawing/2012/chart" uri="{CE6537A1-D6FC-4f65-9D91-7224C49458BB}"/>
                <c:ext xmlns:c16="http://schemas.microsoft.com/office/drawing/2014/chart" uri="{C3380CC4-5D6E-409C-BE32-E72D297353CC}">
                  <c16:uniqueId val="{0000000E-28F9-40A2-BCA4-07482327D0A2}"/>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'איור 2'!#REF!</c:f>
            </c:multiLvlStrRef>
          </c:cat>
          <c:val>
            <c:numRef>
              <c:f>'[איורים לתיבה ב-1 בדוח בנק ישראל 2026-''.xlsx]איור 1'!$C$2:$C$13</c:f>
              <c:numCache>
                <c:formatCode>_ * #,##0.0_ ;_ * \-#,##0.0_ ;_ * "-"??_ ;_ @_ </c:formatCode>
                <c:ptCount val="12"/>
                <c:pt idx="0" formatCode="#,##0.0_ ;\-#,##0.0\ ">
                  <c:v>0</c:v>
                </c:pt>
                <c:pt idx="1">
                  <c:v>0.93832206937548512</c:v>
                </c:pt>
                <c:pt idx="2">
                  <c:v>2.3779993362733047</c:v>
                </c:pt>
                <c:pt idx="3">
                  <c:v>4.280306070337371</c:v>
                </c:pt>
                <c:pt idx="4">
                  <c:v>5.3686030432952414</c:v>
                </c:pt>
                <c:pt idx="5">
                  <c:v>5.1185833346320866</c:v>
                </c:pt>
                <c:pt idx="6">
                  <c:v>3.9643199043989155</c:v>
                </c:pt>
                <c:pt idx="7">
                  <c:v>3.0086096661440935</c:v>
                </c:pt>
                <c:pt idx="8">
                  <c:v>2.0397123911547022</c:v>
                </c:pt>
                <c:pt idx="9">
                  <c:v>1.5515289402776875</c:v>
                </c:pt>
                <c:pt idx="10">
                  <c:v>1.5700266030131784</c:v>
                </c:pt>
                <c:pt idx="11">
                  <c:v>0.8763462141582814</c:v>
                </c:pt>
              </c:numCache>
            </c:numRef>
          </c:val>
          <c:extLst>
            <c:ext xmlns:c16="http://schemas.microsoft.com/office/drawing/2014/chart" uri="{C3380CC4-5D6E-409C-BE32-E72D297353CC}">
              <c16:uniqueId val="{0000000F-28F9-40A2-BCA4-07482327D0A2}"/>
            </c:ext>
          </c:extLst>
        </c:ser>
        <c:ser>
          <c:idx val="2"/>
          <c:order val="2"/>
          <c:tx>
            <c:strRef>
              <c:f>'[איורים לתיבה ב-1 בדוח בנק ישראל 2026-''.xlsx]איור 1'!$D$1</c:f>
              <c:strCache>
                <c:ptCount val="1"/>
                <c:pt idx="0">
                  <c:v>מדד צריכה ציבורית ביטחונית ללא ייבוא</c:v>
                </c:pt>
              </c:strCache>
            </c:strRef>
          </c:tx>
          <c:spPr>
            <a:solidFill>
              <a:srgbClr val="66D1E3"/>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cat>
            <c:multiLvlStrRef>
              <c:f>'איור 2'!#REF!</c:f>
            </c:multiLvlStrRef>
          </c:cat>
          <c:val>
            <c:numRef>
              <c:f>'[איורים לתיבה ב-1 בדוח בנק ישראל 2026-''.xlsx]איור 1'!$D$2:$D$13</c:f>
              <c:numCache>
                <c:formatCode>_ * #,##0.0_ ;_ * \-#,##0.0_ ;_ * "-"??_ ;_ @_ </c:formatCode>
                <c:ptCount val="12"/>
                <c:pt idx="0" formatCode="#,##0.0_ ;\-#,##0.0\ ">
                  <c:v>0</c:v>
                </c:pt>
                <c:pt idx="1">
                  <c:v>0.11091498285059453</c:v>
                </c:pt>
                <c:pt idx="2">
                  <c:v>0.17286838471492011</c:v>
                </c:pt>
                <c:pt idx="3">
                  <c:v>0.27058307793773362</c:v>
                </c:pt>
                <c:pt idx="4">
                  <c:v>4.4919331635878718E-2</c:v>
                </c:pt>
                <c:pt idx="5">
                  <c:v>3.9116175571023995E-2</c:v>
                </c:pt>
                <c:pt idx="6">
                  <c:v>-3.6984136215464286E-2</c:v>
                </c:pt>
                <c:pt idx="7">
                  <c:v>0.23804111808072567</c:v>
                </c:pt>
                <c:pt idx="8">
                  <c:v>-6.99256854131379E-2</c:v>
                </c:pt>
                <c:pt idx="9">
                  <c:v>-0.30315919975861333</c:v>
                </c:pt>
                <c:pt idx="10">
                  <c:v>-0.15597256665754791</c:v>
                </c:pt>
                <c:pt idx="11">
                  <c:v>-0.16750857825871579</c:v>
                </c:pt>
              </c:numCache>
            </c:numRef>
          </c:val>
          <c:extLst>
            <c:ext xmlns:c16="http://schemas.microsoft.com/office/drawing/2014/chart" uri="{C3380CC4-5D6E-409C-BE32-E72D297353CC}">
              <c16:uniqueId val="{00000010-28F9-40A2-BCA4-07482327D0A2}"/>
            </c:ext>
          </c:extLst>
        </c:ser>
        <c:ser>
          <c:idx val="3"/>
          <c:order val="3"/>
          <c:tx>
            <c:strRef>
              <c:f>'[איורים לתיבה ב-1 בדוח בנק ישראל 2026-''.xlsx]איור 1'!$E$1</c:f>
              <c:strCache>
                <c:ptCount val="1"/>
                <c:pt idx="0">
                  <c:v>מדד צריכה ציבורית אזרחית</c:v>
                </c:pt>
              </c:strCache>
            </c:strRef>
          </c:tx>
          <c:spPr>
            <a:solidFill>
              <a:srgbClr val="357C32"/>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dLbl>
              <c:idx val="3"/>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28F9-40A2-BCA4-07482327D0A2}"/>
                </c:ext>
              </c:extLst>
            </c:dLbl>
            <c:dLbl>
              <c:idx val="7"/>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28F9-40A2-BCA4-07482327D0A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'איור 2'!#REF!</c:f>
            </c:multiLvlStrRef>
          </c:cat>
          <c:val>
            <c:numRef>
              <c:f>'[איורים לתיבה ב-1 בדוח בנק ישראל 2026-''.xlsx]איור 1'!$E$2:$E$13</c:f>
              <c:numCache>
                <c:formatCode>_ * #,##0.0_ ;_ * \-#,##0.0_ ;_ * "-"??_ ;_ @_ </c:formatCode>
                <c:ptCount val="12"/>
                <c:pt idx="0" formatCode="#,##0.0_ ;\-#,##0.0\ ">
                  <c:v>0</c:v>
                </c:pt>
                <c:pt idx="1">
                  <c:v>-0.48121489040594084</c:v>
                </c:pt>
                <c:pt idx="2">
                  <c:v>0.62335303202919734</c:v>
                </c:pt>
                <c:pt idx="3">
                  <c:v>1.2930412536650797</c:v>
                </c:pt>
                <c:pt idx="4">
                  <c:v>0.32646275853011453</c:v>
                </c:pt>
                <c:pt idx="5">
                  <c:v>0.58540314554064909</c:v>
                </c:pt>
                <c:pt idx="6">
                  <c:v>0.48283060356415419</c:v>
                </c:pt>
                <c:pt idx="7">
                  <c:v>1.5343504189613575</c:v>
                </c:pt>
                <c:pt idx="8">
                  <c:v>0.41217489209559899</c:v>
                </c:pt>
                <c:pt idx="9">
                  <c:v>0.35319161865384718</c:v>
                </c:pt>
                <c:pt idx="10">
                  <c:v>0.2785157404877408</c:v>
                </c:pt>
                <c:pt idx="11">
                  <c:v>0.8689450421429572</c:v>
                </c:pt>
              </c:numCache>
            </c:numRef>
          </c:val>
          <c:extLst>
            <c:ext xmlns:c16="http://schemas.microsoft.com/office/drawing/2014/chart" uri="{C3380CC4-5D6E-409C-BE32-E72D297353CC}">
              <c16:uniqueId val="{00000013-28F9-40A2-BCA4-07482327D0A2}"/>
            </c:ext>
          </c:extLst>
        </c:ser>
        <c:ser>
          <c:idx val="4"/>
          <c:order val="4"/>
          <c:tx>
            <c:strRef>
              <c:f>'[איורים לתיבה ב-1 בדוח בנק ישראל 2026-''.xlsx]איור 1'!$F$1</c:f>
              <c:strCache>
                <c:ptCount val="1"/>
                <c:pt idx="0">
                  <c:v>מדד השקעה ממשלתית</c:v>
                </c:pt>
              </c:strCache>
            </c:strRef>
          </c:tx>
          <c:spPr>
            <a:solidFill>
              <a:srgbClr val="E6BD41"/>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cat>
            <c:multiLvlStrRef>
              <c:f>'איור 2'!#REF!</c:f>
            </c:multiLvlStrRef>
          </c:cat>
          <c:val>
            <c:numRef>
              <c:f>'[איורים לתיבה ב-1 בדוח בנק ישראל 2026-''.xlsx]איור 1'!$F$2:$F$13</c:f>
              <c:numCache>
                <c:formatCode>_ * #,##0.0_ ;_ * \-#,##0.0_ ;_ * "-"??_ ;_ @_ </c:formatCode>
                <c:ptCount val="12"/>
                <c:pt idx="0" formatCode="#,##0.0_ ;\-#,##0.0\ ">
                  <c:v>0</c:v>
                </c:pt>
                <c:pt idx="1">
                  <c:v>0.25420550933436292</c:v>
                </c:pt>
                <c:pt idx="2">
                  <c:v>-0.13235241180042412</c:v>
                </c:pt>
                <c:pt idx="3">
                  <c:v>0.14829060460426724</c:v>
                </c:pt>
                <c:pt idx="4">
                  <c:v>-0.29684646010930221</c:v>
                </c:pt>
                <c:pt idx="5">
                  <c:v>-0.20158195740190354</c:v>
                </c:pt>
                <c:pt idx="6">
                  <c:v>-0.33861766983266428</c:v>
                </c:pt>
                <c:pt idx="7">
                  <c:v>6.1521304273592869E-2</c:v>
                </c:pt>
                <c:pt idx="8">
                  <c:v>-0.43976562669451541</c:v>
                </c:pt>
                <c:pt idx="9">
                  <c:v>-0.63803170951193611</c:v>
                </c:pt>
                <c:pt idx="10">
                  <c:v>0.64394922438393376</c:v>
                </c:pt>
                <c:pt idx="11">
                  <c:v>-2.3657496627241037E-2</c:v>
                </c:pt>
              </c:numCache>
            </c:numRef>
          </c:val>
          <c:extLst>
            <c:ext xmlns:c16="http://schemas.microsoft.com/office/drawing/2014/chart" uri="{C3380CC4-5D6E-409C-BE32-E72D297353CC}">
              <c16:uniqueId val="{00000014-28F9-40A2-BCA4-07482327D0A2}"/>
            </c:ext>
          </c:extLst>
        </c:ser>
        <c:dLbls>
          <c:showLegendKey val="0"/>
          <c:showVal val="0"/>
          <c:showCatName val="0"/>
          <c:showSerName val="0"/>
          <c:showPercent val="0"/>
          <c:showBubbleSize val="0"/>
        </c:dLbls>
        <c:gapWidth val="120"/>
        <c:overlap val="100"/>
        <c:axId val="1066403528"/>
        <c:axId val="1066403200"/>
      </c:barChart>
      <c:lineChart>
        <c:grouping val="standard"/>
        <c:varyColors val="0"/>
        <c:ser>
          <c:idx val="5"/>
          <c:order val="5"/>
          <c:tx>
            <c:strRef>
              <c:f>'[איורים לתיבה ב-1 בדוח בנק ישראל 2026-''.xlsx]איור 1'!$G$1</c:f>
              <c:strCache>
                <c:ptCount val="1"/>
                <c:pt idx="0">
                  <c:v>סה"כ</c:v>
                </c:pt>
              </c:strCache>
            </c:strRef>
          </c:tx>
          <c:spPr>
            <a:ln w="25400" cap="rnd" cmpd="sng" algn="ctr">
              <a:solidFill>
                <a:sysClr val="windowText" lastClr="000000"/>
              </a:solidFill>
              <a:prstDash val="solid"/>
              <a:round/>
              <a:headEnd type="none" w="med" len="med"/>
              <a:tailEnd type="none" w="med" len="med"/>
            </a:ln>
            <a:effectLst>
              <a:outerShdw sx="0" sy="0" rotWithShape="0">
                <a:scrgbClr r="0" g="0" b="0">
                  <a:alpha val="0"/>
                </a:scrgbClr>
              </a:outerShdw>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5-28F9-40A2-BCA4-07482327D0A2}"/>
                </c:ext>
              </c:extLst>
            </c:dLbl>
            <c:dLbl>
              <c:idx val="1"/>
              <c:layout>
                <c:manualLayout>
                  <c:x val="-3.9423408312846082E-2"/>
                  <c:y val="-5.9440407332418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28F9-40A2-BCA4-07482327D0A2}"/>
                </c:ext>
              </c:extLst>
            </c:dLbl>
            <c:dLbl>
              <c:idx val="4"/>
              <c:layout>
                <c:manualLayout>
                  <c:x val="-3.699174382893336E-2"/>
                  <c:y val="-5.944040733241856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28F9-40A2-BCA4-07482327D0A2}"/>
                </c:ext>
              </c:extLst>
            </c:dLbl>
            <c:dLbl>
              <c:idx val="5"/>
              <c:layout>
                <c:manualLayout>
                  <c:x val="-3.699174382893345E-2"/>
                  <c:y val="-5.560369074009961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28F9-40A2-BCA4-07482327D0A2}"/>
                </c:ext>
              </c:extLst>
            </c:dLbl>
            <c:dLbl>
              <c:idx val="6"/>
              <c:layout>
                <c:manualLayout>
                  <c:x val="-3.699174382893336E-2"/>
                  <c:y val="-7.478727370169438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28F9-40A2-BCA4-07482327D0A2}"/>
                </c:ext>
              </c:extLst>
            </c:dLbl>
            <c:dLbl>
              <c:idx val="7"/>
              <c:layout>
                <c:manualLayout>
                  <c:x val="-3.699174382893345E-2"/>
                  <c:y val="-6.711384051705647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28F9-40A2-BCA4-07482327D0A2}"/>
                </c:ext>
              </c:extLst>
            </c:dLbl>
            <c:dLbl>
              <c:idx val="8"/>
              <c:layout>
                <c:manualLayout>
                  <c:x val="-3.699174382893327E-2"/>
                  <c:y val="-0.10164428984792709"/>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28F9-40A2-BCA4-07482327D0A2}"/>
                </c:ext>
              </c:extLst>
            </c:dLbl>
            <c:dLbl>
              <c:idx val="9"/>
              <c:layout>
                <c:manualLayout>
                  <c:x val="-4.5201914380017492E-2"/>
                  <c:y val="-0.1231287172422327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28F9-40A2-BCA4-07482327D0A2}"/>
                </c:ext>
              </c:extLst>
            </c:dLbl>
            <c:dLbl>
              <c:idx val="10"/>
              <c:layout>
                <c:manualLayout>
                  <c:x val="-4.1849855855363056E-2"/>
                  <c:y val="-9.39122679517160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28F9-40A2-BCA4-07482327D0A2}"/>
                </c:ext>
              </c:extLst>
            </c:dLbl>
            <c:dLbl>
              <c:idx val="11"/>
              <c:layout>
                <c:manualLayout>
                  <c:x val="-1.6789590178373122E-2"/>
                  <c:y val="-8.246070688633225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28F9-40A2-BCA4-07482327D0A2}"/>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he-I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'[איורים לתיבה ב-1 בדוח בנק ישראל 2026-''.xlsx]איור 1'!$A$2:$A$13</c:f>
              <c:strCache>
                <c:ptCount val="12"/>
                <c:pt idx="0">
                  <c:v>2020:Q1</c:v>
                </c:pt>
                <c:pt idx="1">
                  <c:v>2020:Q2</c:v>
                </c:pt>
                <c:pt idx="2">
                  <c:v>2020:Q3</c:v>
                </c:pt>
                <c:pt idx="3">
                  <c:v>2020:Q4</c:v>
                </c:pt>
                <c:pt idx="4">
                  <c:v>2021:Q1</c:v>
                </c:pt>
                <c:pt idx="5">
                  <c:v>2021:Q2</c:v>
                </c:pt>
                <c:pt idx="6">
                  <c:v>2021:Q3</c:v>
                </c:pt>
                <c:pt idx="7">
                  <c:v>2021:Q4</c:v>
                </c:pt>
                <c:pt idx="8">
                  <c:v>2022:Q1</c:v>
                </c:pt>
                <c:pt idx="9">
                  <c:v>2022:Q2</c:v>
                </c:pt>
                <c:pt idx="10">
                  <c:v>2022:Q3</c:v>
                </c:pt>
                <c:pt idx="11">
                  <c:v>2022:Q4</c:v>
                </c:pt>
              </c:strCache>
            </c:strRef>
          </c:cat>
          <c:val>
            <c:numRef>
              <c:f>'[איורים לתיבה ב-1 בדוח בנק ישראל 2026-''.xlsx]איור 1'!$G$2:$G$13</c:f>
              <c:numCache>
                <c:formatCode>_ * #,##0.0_ ;_ * \-#,##0.0_ ;_ * "-"??_ ;_ @_ </c:formatCode>
                <c:ptCount val="12"/>
                <c:pt idx="0" formatCode="#,##0.0_ ;\-#,##0.0\ ">
                  <c:v>0</c:v>
                </c:pt>
                <c:pt idx="1">
                  <c:v>0.92910300510845245</c:v>
                </c:pt>
                <c:pt idx="2">
                  <c:v>3.050189142213394</c:v>
                </c:pt>
                <c:pt idx="3">
                  <c:v>5.8721222481240005</c:v>
                </c:pt>
                <c:pt idx="4">
                  <c:v>5.1704330320278116</c:v>
                </c:pt>
                <c:pt idx="5">
                  <c:v>4.981872069111601</c:v>
                </c:pt>
                <c:pt idx="6">
                  <c:v>3.3743739863270448</c:v>
                </c:pt>
                <c:pt idx="7">
                  <c:v>3.6633496229448514</c:v>
                </c:pt>
                <c:pt idx="8">
                  <c:v>0.42564930534227474</c:v>
                </c:pt>
                <c:pt idx="9">
                  <c:v>-0.87823489240221786</c:v>
                </c:pt>
                <c:pt idx="10">
                  <c:v>0.77473485353523541</c:v>
                </c:pt>
                <c:pt idx="11">
                  <c:v>0.12248427959098662</c:v>
                </c:pt>
              </c:numCache>
            </c:numRef>
          </c:val>
          <c:smooth val="0"/>
          <c:extLst>
            <c:ext xmlns:c16="http://schemas.microsoft.com/office/drawing/2014/chart" uri="{C3380CC4-5D6E-409C-BE32-E72D297353CC}">
              <c16:uniqueId val="{0000001F-28F9-40A2-BCA4-07482327D0A2}"/>
            </c:ext>
          </c:extLst>
        </c:ser>
        <c:dLbls>
          <c:showLegendKey val="0"/>
          <c:showVal val="0"/>
          <c:showCatName val="0"/>
          <c:showSerName val="0"/>
          <c:showPercent val="0"/>
          <c:showBubbleSize val="0"/>
        </c:dLbls>
        <c:marker val="1"/>
        <c:smooth val="0"/>
        <c:axId val="1066403528"/>
        <c:axId val="1066403200"/>
      </c:lineChart>
      <c:catAx>
        <c:axId val="1066403528"/>
        <c:scaling>
          <c:orientation val="minMax"/>
        </c:scaling>
        <c:delete val="0"/>
        <c:axPos val="b"/>
        <c:numFmt formatCode="General" sourceLinked="1"/>
        <c:majorTickMark val="none"/>
        <c:minorTickMark val="none"/>
        <c:tickLblPos val="low"/>
        <c:spPr>
          <a:noFill/>
          <a:ln w="6350" cap="flat" cmpd="sng" algn="ctr">
            <a:solidFill>
              <a:srgbClr val="000000"/>
            </a:solidFill>
            <a:prstDash val="solid"/>
            <a:round/>
          </a:ln>
          <a:effectLst/>
        </c:spPr>
        <c:txPr>
          <a:bodyPr rot="-270000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1066403200"/>
        <c:crosses val="autoZero"/>
        <c:auto val="1"/>
        <c:lblAlgn val="ctr"/>
        <c:lblOffset val="100"/>
        <c:noMultiLvlLbl val="0"/>
      </c:catAx>
      <c:valAx>
        <c:axId val="1066403200"/>
        <c:scaling>
          <c:orientation val="minMax"/>
          <c:max val="7"/>
          <c:min val="-3"/>
        </c:scaling>
        <c:delete val="0"/>
        <c:axPos val="l"/>
        <c:majorGridlines>
          <c:spPr>
            <a:ln w="6350" cap="flat" cmpd="sng" algn="ctr">
              <a:solidFill>
                <a:srgbClr val="D9D9D9"/>
              </a:solidFill>
              <a:prstDash val="solid"/>
              <a:round/>
            </a:ln>
            <a:effectLst/>
          </c:spPr>
        </c:majorGridlines>
        <c:title>
          <c:tx>
            <c:rich>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r>
                  <a:rPr lang="he-IL"/>
                  <a:t>אחוזי תוצר</a:t>
                </a:r>
              </a:p>
            </c:rich>
          </c:tx>
          <c:layout>
            <c:manualLayout>
              <c:xMode val="edge"/>
              <c:yMode val="edge"/>
              <c:x val="1.46456924186599E-2"/>
              <c:y val="0.10089066104465527"/>
            </c:manualLayout>
          </c:layout>
          <c:overlay val="0"/>
          <c:spPr>
            <a:noFill/>
            <a:ln>
              <a:noFill/>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title>
        <c:numFmt formatCode="#,##0.0_ ;\-#,##0.0\ " sourceLinked="1"/>
        <c:majorTickMark val="none"/>
        <c:minorTickMark val="none"/>
        <c:tickLblPos val="low"/>
        <c:spPr>
          <a:noFill/>
          <a:ln w="6350">
            <a:solidFill>
              <a:srgbClr val="000000"/>
            </a:solidFill>
            <a:prstDash val="soli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1066403528"/>
        <c:crosses val="autoZero"/>
        <c:crossBetween val="between"/>
        <c:majorUnit val="1"/>
      </c:valAx>
      <c:spPr>
        <a:solidFill>
          <a:schemeClr val="bg1"/>
        </a:solidFill>
        <a:ln>
          <a:noFill/>
        </a:ln>
        <a:effectLst/>
        <a:extLst/>
      </c:spPr>
    </c:plotArea>
    <c:legend>
      <c:legendPos val="b"/>
      <c:layout>
        <c:manualLayout>
          <c:xMode val="edge"/>
          <c:yMode val="edge"/>
          <c:x val="0"/>
          <c:y val="0.75597217242137127"/>
          <c:w val="0.99553073376227696"/>
          <c:h val="0.14181127202594013"/>
        </c:manualLayout>
      </c:layout>
      <c:overlay val="0"/>
      <c:spPr>
        <a:noFill/>
        <a:ln w="25400">
          <a:noFill/>
        </a:ln>
        <a:effectLst/>
      </c:spPr>
      <c:txPr>
        <a:bodyPr rot="0" spcFirstLastPara="1" vertOverflow="ellipsis" vert="horz" wrap="square" anchor="ctr" anchorCtr="1"/>
        <a:lstStyle/>
        <a:p>
          <a:pPr>
            <a:defRPr sz="1050" b="0" i="0" u="none" strike="noStrike" kern="1200" baseline="0">
              <a:solidFill>
                <a:srgbClr val="000000"/>
              </a:solidFill>
              <a:latin typeface="Calibri"/>
              <a:ea typeface="Calibri"/>
              <a:cs typeface="Calibri"/>
            </a:defRPr>
          </a:pPr>
          <a:endParaRPr lang="he-IL"/>
        </a:p>
      </c:txPr>
    </c:legend>
    <c:plotVisOnly val="1"/>
    <c:dispBlanksAs val="gap"/>
    <c:showDLblsOverMax val="0"/>
  </c:chart>
  <c:spPr>
    <a:noFill/>
    <a:ln w="9525" cap="flat" cmpd="sng" algn="ctr">
      <a:solidFill>
        <a:srgbClr val="000000"/>
      </a:solidFill>
      <a:prstDash val="solid"/>
      <a:round/>
    </a:ln>
    <a:effectLst/>
  </c:spPr>
  <c:txPr>
    <a:bodyPr/>
    <a:lstStyle/>
    <a:p>
      <a:pPr>
        <a:defRPr/>
      </a:pPr>
      <a:endParaRPr lang="he-I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200" b="1" i="0" u="none" strike="noStrike" kern="1200" spc="0" baseline="0">
                <a:solidFill>
                  <a:srgbClr val="000000"/>
                </a:solidFill>
                <a:latin typeface="+mn-lt"/>
                <a:ea typeface="+mn-ea"/>
                <a:cs typeface="Calibri" panose="020F0502020204030204" pitchFamily="34" charset="0"/>
              </a:defRPr>
            </a:pPr>
            <a:r>
              <a:rPr lang="he-IL" sz="1200" b="1" i="0" baseline="0">
                <a:solidFill>
                  <a:srgbClr val="000000"/>
                </a:solidFill>
                <a:effectLst/>
                <a:cs typeface="Calibri" panose="020F0502020204030204" pitchFamily="34" charset="0"/>
              </a:rPr>
              <a:t>איור 2| </a:t>
            </a:r>
            <a:r>
              <a:rPr lang="en-US" sz="1200" b="1" i="0" baseline="0">
                <a:solidFill>
                  <a:srgbClr val="000000"/>
                </a:solidFill>
                <a:effectLst/>
                <a:cs typeface="Calibri" panose="020F0502020204030204" pitchFamily="34" charset="0"/>
              </a:rPr>
              <a:t>FIM</a:t>
            </a:r>
            <a:r>
              <a:rPr lang="he-IL" sz="1200" b="1" i="0" baseline="0">
                <a:solidFill>
                  <a:srgbClr val="000000"/>
                </a:solidFill>
                <a:effectLst/>
                <a:cs typeface="Calibri" panose="020F0502020204030204" pitchFamily="34" charset="0"/>
              </a:rPr>
              <a:t> בתקופת המלחמה</a:t>
            </a:r>
            <a:endParaRPr lang="he-IL" sz="1200" b="1">
              <a:solidFill>
                <a:srgbClr val="000000"/>
              </a:solidFill>
              <a:effectLst/>
              <a:cs typeface="Calibri" panose="020F0502020204030204" pitchFamily="34" charset="0"/>
            </a:endParaRPr>
          </a:p>
          <a:p>
            <a:pPr rtl="1">
              <a:defRPr sz="1200" b="1">
                <a:solidFill>
                  <a:srgbClr val="000000"/>
                </a:solidFill>
                <a:cs typeface="Calibri" panose="020F0502020204030204" pitchFamily="34" charset="0"/>
              </a:defRPr>
            </a:pPr>
            <a:r>
              <a:rPr lang="en-US" sz="1100" b="0" i="0" baseline="0">
                <a:solidFill>
                  <a:srgbClr val="000000"/>
                </a:solidFill>
                <a:effectLst/>
                <a:cs typeface="Calibri" panose="020F0502020204030204" pitchFamily="34" charset="0"/>
              </a:rPr>
              <a:t>2023:Q3</a:t>
            </a:r>
            <a:r>
              <a:rPr lang="he-IL" sz="1100" b="0" i="0" baseline="0">
                <a:solidFill>
                  <a:srgbClr val="000000"/>
                </a:solidFill>
                <a:effectLst/>
                <a:cs typeface="Calibri" panose="020F0502020204030204" pitchFamily="34" charset="0"/>
              </a:rPr>
              <a:t> עד</a:t>
            </a:r>
            <a:r>
              <a:rPr lang="en-US" sz="1100" b="0" i="0" baseline="0">
                <a:solidFill>
                  <a:srgbClr val="000000"/>
                </a:solidFill>
                <a:effectLst/>
                <a:cs typeface="Calibri" panose="020F0502020204030204" pitchFamily="34" charset="0"/>
              </a:rPr>
              <a:t>2025:Q4 </a:t>
            </a:r>
            <a:r>
              <a:rPr lang="he-IL" sz="1100" b="0" i="0" baseline="0">
                <a:solidFill>
                  <a:srgbClr val="000000"/>
                </a:solidFill>
                <a:effectLst/>
                <a:cs typeface="Calibri" panose="020F0502020204030204" pitchFamily="34" charset="0"/>
              </a:rPr>
              <a:t>– ביחס ל-</a:t>
            </a:r>
            <a:r>
              <a:rPr lang="en-US" sz="1100" b="0" i="0" baseline="0">
                <a:solidFill>
                  <a:srgbClr val="000000"/>
                </a:solidFill>
                <a:effectLst/>
                <a:cs typeface="Calibri" panose="020F0502020204030204" pitchFamily="34" charset="0"/>
              </a:rPr>
              <a:t>2023:Q3</a:t>
            </a:r>
            <a:r>
              <a:rPr lang="he-IL" sz="1100" b="0" i="0" baseline="0">
                <a:solidFill>
                  <a:srgbClr val="000000"/>
                </a:solidFill>
                <a:effectLst/>
                <a:cs typeface="Calibri" panose="020F0502020204030204" pitchFamily="34" charset="0"/>
              </a:rPr>
              <a:t>, מנוכה עונתיות</a:t>
            </a:r>
            <a:endParaRPr lang="he-IL" sz="1100" b="0">
              <a:solidFill>
                <a:srgbClr val="000000"/>
              </a:solidFill>
              <a:effectLst/>
              <a:cs typeface="Calibri" panose="020F0502020204030204" pitchFamily="34" charset="0"/>
            </a:endParaRPr>
          </a:p>
        </c:rich>
      </c:tx>
      <c:layout/>
      <c:overlay val="0"/>
      <c:spPr>
        <a:noFill/>
        <a:ln>
          <a:noFill/>
        </a:ln>
        <a:effectLst/>
      </c:spPr>
      <c:txPr>
        <a:bodyPr rot="0" spcFirstLastPara="1" vertOverflow="ellipsis" vert="horz" wrap="square" anchor="ctr" anchorCtr="1"/>
        <a:lstStyle/>
        <a:p>
          <a:pPr rtl="1">
            <a:defRPr sz="1200" b="1" i="0" u="none" strike="noStrike" kern="1200" spc="0" baseline="0">
              <a:solidFill>
                <a:srgbClr val="000000"/>
              </a:solidFill>
              <a:latin typeface="+mn-lt"/>
              <a:ea typeface="+mn-ea"/>
              <a:cs typeface="Calibri" panose="020F0502020204030204" pitchFamily="34" charset="0"/>
            </a:defRPr>
          </a:pPr>
          <a:endParaRPr lang="he-IL"/>
        </a:p>
      </c:txPr>
    </c:title>
    <c:autoTitleDeleted val="0"/>
    <c:plotArea>
      <c:layout>
        <c:manualLayout>
          <c:layoutTarget val="inner"/>
          <c:xMode val="edge"/>
          <c:yMode val="edge"/>
          <c:x val="0.10242751380632284"/>
          <c:y val="0.19355926036570414"/>
          <c:w val="0.87076725250576958"/>
          <c:h val="0.34806599664941912"/>
        </c:manualLayout>
      </c:layout>
      <c:barChart>
        <c:barDir val="col"/>
        <c:grouping val="stacked"/>
        <c:varyColors val="0"/>
        <c:ser>
          <c:idx val="0"/>
          <c:order val="0"/>
          <c:tx>
            <c:strRef>
              <c:f>'[איורים לתיבה ב-1 בדוח בנק ישראל 2026-''.xlsx]איור 2'!$B$1</c:f>
              <c:strCache>
                <c:ptCount val="1"/>
                <c:pt idx="0">
                  <c:v>מדד מיסים ללא תשלומי העברה</c:v>
                </c:pt>
              </c:strCache>
            </c:strRef>
          </c:tx>
          <c:spPr>
            <a:solidFill>
              <a:srgbClr val="6C63FF"/>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3D9-470B-BB04-CCBC5E97B243}"/>
                </c:ext>
              </c:extLst>
            </c:dLbl>
            <c:dLbl>
              <c:idx val="1"/>
              <c:delete val="1"/>
              <c:extLst>
                <c:ext xmlns:c15="http://schemas.microsoft.com/office/drawing/2012/chart" uri="{CE6537A1-D6FC-4f65-9D91-7224C49458BB}"/>
                <c:ext xmlns:c16="http://schemas.microsoft.com/office/drawing/2014/chart" uri="{C3380CC4-5D6E-409C-BE32-E72D297353CC}">
                  <c16:uniqueId val="{00000001-33D9-470B-BB04-CCBC5E97B243}"/>
                </c:ext>
              </c:extLst>
            </c:dLbl>
            <c:dLbl>
              <c:idx val="2"/>
              <c:delete val="1"/>
              <c:extLst>
                <c:ext xmlns:c15="http://schemas.microsoft.com/office/drawing/2012/chart" uri="{CE6537A1-D6FC-4f65-9D91-7224C49458BB}"/>
                <c:ext xmlns:c16="http://schemas.microsoft.com/office/drawing/2014/chart" uri="{C3380CC4-5D6E-409C-BE32-E72D297353CC}">
                  <c16:uniqueId val="{00000002-33D9-470B-BB04-CCBC5E97B243}"/>
                </c:ext>
              </c:extLst>
            </c:dLbl>
            <c:dLbl>
              <c:idx val="3"/>
              <c:delete val="1"/>
              <c:extLst>
                <c:ext xmlns:c15="http://schemas.microsoft.com/office/drawing/2012/chart" uri="{CE6537A1-D6FC-4f65-9D91-7224C49458BB}"/>
                <c:ext xmlns:c16="http://schemas.microsoft.com/office/drawing/2014/chart" uri="{C3380CC4-5D6E-409C-BE32-E72D297353CC}">
                  <c16:uniqueId val="{00000003-33D9-470B-BB04-CCBC5E97B243}"/>
                </c:ext>
              </c:extLst>
            </c:dLbl>
            <c:dLbl>
              <c:idx val="4"/>
              <c:delete val="1"/>
              <c:extLst>
                <c:ext xmlns:c15="http://schemas.microsoft.com/office/drawing/2012/chart" uri="{CE6537A1-D6FC-4f65-9D91-7224C49458BB}"/>
                <c:ext xmlns:c16="http://schemas.microsoft.com/office/drawing/2014/chart" uri="{C3380CC4-5D6E-409C-BE32-E72D297353CC}">
                  <c16:uniqueId val="{00000004-33D9-470B-BB04-CCBC5E97B243}"/>
                </c:ext>
              </c:extLst>
            </c:dLbl>
            <c:dLbl>
              <c:idx val="9"/>
              <c:layout>
                <c:manualLayout>
                  <c:x val="0"/>
                  <c:y val="1.165253427328404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3D9-470B-BB04-CCBC5E97B24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Calibri" panose="020F0502020204030204" pitchFamily="34" charset="0"/>
                    <a:ea typeface="+mn-ea"/>
                    <a:cs typeface="Calibri" panose="020F0502020204030204" pitchFamily="34" charset="0"/>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'[איורים לתיבה ב-1 בדוח בנק ישראל 2026-''.xlsx]איור 2'!$A$2:$A$11</c:f>
              <c:strCache>
                <c:ptCount val="10"/>
                <c:pt idx="0">
                  <c:v>2023:Q3</c:v>
                </c:pt>
                <c:pt idx="1">
                  <c:v>2023:Q4</c:v>
                </c:pt>
                <c:pt idx="2">
                  <c:v>2024:Q1</c:v>
                </c:pt>
                <c:pt idx="3">
                  <c:v>2024:Q2</c:v>
                </c:pt>
                <c:pt idx="4">
                  <c:v>2024:Q3</c:v>
                </c:pt>
                <c:pt idx="5">
                  <c:v>2024:Q4</c:v>
                </c:pt>
                <c:pt idx="6">
                  <c:v>2025:Q1</c:v>
                </c:pt>
                <c:pt idx="7">
                  <c:v>2025:Q2</c:v>
                </c:pt>
                <c:pt idx="8">
                  <c:v>2025:Q3</c:v>
                </c:pt>
                <c:pt idx="9">
                  <c:v>2025:Q4</c:v>
                </c:pt>
              </c:strCache>
            </c:strRef>
          </c:cat>
          <c:val>
            <c:numRef>
              <c:f>'[איורים לתיבה ב-1 בדוח בנק ישראל 2026-''.xlsx]איור 2'!$B$2:$B$11</c:f>
              <c:numCache>
                <c:formatCode>_ * #,##0.0_ ;_ * \-#,##0.0_ ;_ * "-"??_ ;_ @_ </c:formatCode>
                <c:ptCount val="10"/>
                <c:pt idx="0" formatCode="#,##0.0_ ;\-#,##0.0\ ">
                  <c:v>0</c:v>
                </c:pt>
                <c:pt idx="1">
                  <c:v>9.7031970131121872E-2</c:v>
                </c:pt>
                <c:pt idx="2">
                  <c:v>3.7333756273371731E-2</c:v>
                </c:pt>
                <c:pt idx="3">
                  <c:v>-6.4468786457294536E-2</c:v>
                </c:pt>
                <c:pt idx="4">
                  <c:v>-0.12715088139727132</c:v>
                </c:pt>
                <c:pt idx="5">
                  <c:v>-0.36015054452212042</c:v>
                </c:pt>
                <c:pt idx="6">
                  <c:v>-0.5807198851222336</c:v>
                </c:pt>
                <c:pt idx="7">
                  <c:v>-0.62150578755476937</c:v>
                </c:pt>
                <c:pt idx="8">
                  <c:v>-0.78247255126635562</c:v>
                </c:pt>
                <c:pt idx="9">
                  <c:v>-1.3386933809249031</c:v>
                </c:pt>
              </c:numCache>
            </c:numRef>
          </c:val>
          <c:extLst>
            <c:ext xmlns:c16="http://schemas.microsoft.com/office/drawing/2014/chart" uri="{C3380CC4-5D6E-409C-BE32-E72D297353CC}">
              <c16:uniqueId val="{00000006-33D9-470B-BB04-CCBC5E97B243}"/>
            </c:ext>
          </c:extLst>
        </c:ser>
        <c:ser>
          <c:idx val="1"/>
          <c:order val="1"/>
          <c:tx>
            <c:strRef>
              <c:f>'[איורים לתיבה ב-1 בדוח בנק ישראל 2026-''.xlsx]איור 2'!$C$1</c:f>
              <c:strCache>
                <c:ptCount val="1"/>
                <c:pt idx="0">
                  <c:v>מדד תשלומי העברה</c:v>
                </c:pt>
              </c:strCache>
            </c:strRef>
          </c:tx>
          <c:spPr>
            <a:solidFill>
              <a:srgbClr val="DA8F32"/>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cat>
            <c:strRef>
              <c:f>'[איורים לתיבה ב-1 בדוח בנק ישראל 2026-''.xlsx]איור 2'!$A$2:$A$11</c:f>
              <c:strCache>
                <c:ptCount val="10"/>
                <c:pt idx="0">
                  <c:v>2023:Q3</c:v>
                </c:pt>
                <c:pt idx="1">
                  <c:v>2023:Q4</c:v>
                </c:pt>
                <c:pt idx="2">
                  <c:v>2024:Q1</c:v>
                </c:pt>
                <c:pt idx="3">
                  <c:v>2024:Q2</c:v>
                </c:pt>
                <c:pt idx="4">
                  <c:v>2024:Q3</c:v>
                </c:pt>
                <c:pt idx="5">
                  <c:v>2024:Q4</c:v>
                </c:pt>
                <c:pt idx="6">
                  <c:v>2025:Q1</c:v>
                </c:pt>
                <c:pt idx="7">
                  <c:v>2025:Q2</c:v>
                </c:pt>
                <c:pt idx="8">
                  <c:v>2025:Q3</c:v>
                </c:pt>
                <c:pt idx="9">
                  <c:v>2025:Q4</c:v>
                </c:pt>
              </c:strCache>
            </c:strRef>
          </c:cat>
          <c:val>
            <c:numRef>
              <c:f>'[איורים לתיבה ב-1 בדוח בנק ישראל 2026-''.xlsx]איור 2'!$C$2:$C$11</c:f>
              <c:numCache>
                <c:formatCode>_ * #,##0.0_ ;_ * \-#,##0.0_ ;_ * "-"??_ ;_ @_ </c:formatCode>
                <c:ptCount val="10"/>
                <c:pt idx="0" formatCode="#,##0.0_ ;\-#,##0.0\ ">
                  <c:v>0</c:v>
                </c:pt>
                <c:pt idx="1">
                  <c:v>9.9384613798632532E-2</c:v>
                </c:pt>
                <c:pt idx="2">
                  <c:v>0.26469471345919737</c:v>
                </c:pt>
                <c:pt idx="3">
                  <c:v>0.33996883863620286</c:v>
                </c:pt>
                <c:pt idx="4">
                  <c:v>0.37770804941411718</c:v>
                </c:pt>
                <c:pt idx="5">
                  <c:v>0.29889435308185242</c:v>
                </c:pt>
                <c:pt idx="6">
                  <c:v>0.18499872185720417</c:v>
                </c:pt>
                <c:pt idx="7">
                  <c:v>0.19409478633681709</c:v>
                </c:pt>
                <c:pt idx="8">
                  <c:v>0.17259817088380031</c:v>
                </c:pt>
                <c:pt idx="9">
                  <c:v>0.14815721542292806</c:v>
                </c:pt>
              </c:numCache>
            </c:numRef>
          </c:val>
          <c:extLst>
            <c:ext xmlns:c16="http://schemas.microsoft.com/office/drawing/2014/chart" uri="{C3380CC4-5D6E-409C-BE32-E72D297353CC}">
              <c16:uniqueId val="{00000007-33D9-470B-BB04-CCBC5E97B243}"/>
            </c:ext>
          </c:extLst>
        </c:ser>
        <c:ser>
          <c:idx val="2"/>
          <c:order val="2"/>
          <c:tx>
            <c:strRef>
              <c:f>'[איורים לתיבה ב-1 בדוח בנק ישראל 2026-''.xlsx]איור 2'!$D$1</c:f>
              <c:strCache>
                <c:ptCount val="1"/>
                <c:pt idx="0">
                  <c:v>מדד צריכה ציבורית ביטחונית ללא ייבוא</c:v>
                </c:pt>
              </c:strCache>
            </c:strRef>
          </c:tx>
          <c:spPr>
            <a:solidFill>
              <a:srgbClr val="66D1E3"/>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33D9-470B-BB04-CCBC5E97B243}"/>
                </c:ext>
              </c:extLst>
            </c:dLbl>
            <c:dLbl>
              <c:idx val="7"/>
              <c:layout>
                <c:manualLayout>
                  <c:x val="-1.785832561911507E-16"/>
                  <c:y val="1.14414414414414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33D9-470B-BB04-CCBC5E97B24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'[איורים לתיבה ב-1 בדוח בנק ישראל 2026-''.xlsx]איור 2'!$A$2:$A$11</c:f>
              <c:strCache>
                <c:ptCount val="10"/>
                <c:pt idx="0">
                  <c:v>2023:Q3</c:v>
                </c:pt>
                <c:pt idx="1">
                  <c:v>2023:Q4</c:v>
                </c:pt>
                <c:pt idx="2">
                  <c:v>2024:Q1</c:v>
                </c:pt>
                <c:pt idx="3">
                  <c:v>2024:Q2</c:v>
                </c:pt>
                <c:pt idx="4">
                  <c:v>2024:Q3</c:v>
                </c:pt>
                <c:pt idx="5">
                  <c:v>2024:Q4</c:v>
                </c:pt>
                <c:pt idx="6">
                  <c:v>2025:Q1</c:v>
                </c:pt>
                <c:pt idx="7">
                  <c:v>2025:Q2</c:v>
                </c:pt>
                <c:pt idx="8">
                  <c:v>2025:Q3</c:v>
                </c:pt>
                <c:pt idx="9">
                  <c:v>2025:Q4</c:v>
                </c:pt>
              </c:strCache>
            </c:strRef>
          </c:cat>
          <c:val>
            <c:numRef>
              <c:f>'[איורים לתיבה ב-1 בדוח בנק ישראל 2026-''.xlsx]איור 2'!$D$2:$D$11</c:f>
              <c:numCache>
                <c:formatCode>_ * #,##0.0_ ;_ * \-#,##0.0_ ;_ * "-"??_ ;_ @_ </c:formatCode>
                <c:ptCount val="10"/>
                <c:pt idx="0" formatCode="#,##0.0_ ;\-#,##0.0\ ">
                  <c:v>0</c:v>
                </c:pt>
                <c:pt idx="1">
                  <c:v>2.6156438553444592</c:v>
                </c:pt>
                <c:pt idx="2">
                  <c:v>2.0878233557105985</c:v>
                </c:pt>
                <c:pt idx="3">
                  <c:v>1.1531424691851775</c:v>
                </c:pt>
                <c:pt idx="4">
                  <c:v>1.1075687977511264</c:v>
                </c:pt>
                <c:pt idx="5">
                  <c:v>1.9457078405161023</c:v>
                </c:pt>
                <c:pt idx="6">
                  <c:v>1.2314032062444298</c:v>
                </c:pt>
                <c:pt idx="7">
                  <c:v>1.3087413627941367</c:v>
                </c:pt>
                <c:pt idx="8">
                  <c:v>1.5126156013720757</c:v>
                </c:pt>
                <c:pt idx="9">
                  <c:v>1.4016262358397276</c:v>
                </c:pt>
              </c:numCache>
            </c:numRef>
          </c:val>
          <c:extLst>
            <c:ext xmlns:c16="http://schemas.microsoft.com/office/drawing/2014/chart" uri="{C3380CC4-5D6E-409C-BE32-E72D297353CC}">
              <c16:uniqueId val="{0000000A-33D9-470B-BB04-CCBC5E97B243}"/>
            </c:ext>
          </c:extLst>
        </c:ser>
        <c:ser>
          <c:idx val="3"/>
          <c:order val="3"/>
          <c:tx>
            <c:strRef>
              <c:f>'[איורים לתיבה ב-1 בדוח בנק ישראל 2026-''.xlsx]איור 2'!$E$1</c:f>
              <c:strCache>
                <c:ptCount val="1"/>
                <c:pt idx="0">
                  <c:v>מדד צריכה ציבורית אזרחית</c:v>
                </c:pt>
              </c:strCache>
            </c:strRef>
          </c:tx>
          <c:spPr>
            <a:solidFill>
              <a:srgbClr val="357C32"/>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B-33D9-470B-BB04-CCBC5E97B243}"/>
                </c:ext>
              </c:extLst>
            </c:dLbl>
            <c:dLbl>
              <c:idx val="2"/>
              <c:delete val="1"/>
              <c:extLst>
                <c:ext xmlns:c15="http://schemas.microsoft.com/office/drawing/2012/chart" uri="{CE6537A1-D6FC-4f65-9D91-7224C49458BB}"/>
                <c:ext xmlns:c16="http://schemas.microsoft.com/office/drawing/2014/chart" uri="{C3380CC4-5D6E-409C-BE32-E72D297353CC}">
                  <c16:uniqueId val="{0000000C-33D9-470B-BB04-CCBC5E97B243}"/>
                </c:ext>
              </c:extLst>
            </c:dLbl>
            <c:dLbl>
              <c:idx val="3"/>
              <c:delete val="1"/>
              <c:extLst>
                <c:ext xmlns:c15="http://schemas.microsoft.com/office/drawing/2012/chart" uri="{CE6537A1-D6FC-4f65-9D91-7224C49458BB}"/>
                <c:ext xmlns:c16="http://schemas.microsoft.com/office/drawing/2014/chart" uri="{C3380CC4-5D6E-409C-BE32-E72D297353CC}">
                  <c16:uniqueId val="{0000000D-33D9-470B-BB04-CCBC5E97B243}"/>
                </c:ext>
              </c:extLst>
            </c:dLbl>
            <c:dLbl>
              <c:idx val="4"/>
              <c:delete val="1"/>
              <c:extLst>
                <c:ext xmlns:c15="http://schemas.microsoft.com/office/drawing/2012/chart" uri="{CE6537A1-D6FC-4f65-9D91-7224C49458BB}"/>
                <c:ext xmlns:c16="http://schemas.microsoft.com/office/drawing/2014/chart" uri="{C3380CC4-5D6E-409C-BE32-E72D297353CC}">
                  <c16:uniqueId val="{0000000E-33D9-470B-BB04-CCBC5E97B243}"/>
                </c:ext>
              </c:extLst>
            </c:dLbl>
            <c:dLbl>
              <c:idx val="6"/>
              <c:delete val="1"/>
              <c:extLst>
                <c:ext xmlns:c15="http://schemas.microsoft.com/office/drawing/2012/chart" uri="{CE6537A1-D6FC-4f65-9D91-7224C49458BB}"/>
                <c:ext xmlns:c16="http://schemas.microsoft.com/office/drawing/2014/chart" uri="{C3380CC4-5D6E-409C-BE32-E72D297353CC}">
                  <c16:uniqueId val="{0000000F-33D9-470B-BB04-CCBC5E97B243}"/>
                </c:ext>
              </c:extLst>
            </c:dLbl>
            <c:dLbl>
              <c:idx val="7"/>
              <c:delete val="1"/>
              <c:extLst>
                <c:ext xmlns:c15="http://schemas.microsoft.com/office/drawing/2012/chart" uri="{CE6537A1-D6FC-4f65-9D91-7224C49458BB}"/>
                <c:ext xmlns:c16="http://schemas.microsoft.com/office/drawing/2014/chart" uri="{C3380CC4-5D6E-409C-BE32-E72D297353CC}">
                  <c16:uniqueId val="{00000010-33D9-470B-BB04-CCBC5E97B243}"/>
                </c:ext>
              </c:extLst>
            </c:dLbl>
            <c:dLbl>
              <c:idx val="8"/>
              <c:delete val="1"/>
              <c:extLst>
                <c:ext xmlns:c15="http://schemas.microsoft.com/office/drawing/2012/chart" uri="{CE6537A1-D6FC-4f65-9D91-7224C49458BB}"/>
                <c:ext xmlns:c16="http://schemas.microsoft.com/office/drawing/2014/chart" uri="{C3380CC4-5D6E-409C-BE32-E72D297353CC}">
                  <c16:uniqueId val="{00000011-33D9-470B-BB04-CCBC5E97B24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Calibri" panose="020F0502020204030204" pitchFamily="34" charset="0"/>
                    <a:ea typeface="+mn-ea"/>
                    <a:cs typeface="Calibri" panose="020F0502020204030204" pitchFamily="34" charset="0"/>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'[איורים לתיבה ב-1 בדוח בנק ישראל 2026-''.xlsx]איור 2'!$A$2:$A$11</c:f>
              <c:strCache>
                <c:ptCount val="10"/>
                <c:pt idx="0">
                  <c:v>2023:Q3</c:v>
                </c:pt>
                <c:pt idx="1">
                  <c:v>2023:Q4</c:v>
                </c:pt>
                <c:pt idx="2">
                  <c:v>2024:Q1</c:v>
                </c:pt>
                <c:pt idx="3">
                  <c:v>2024:Q2</c:v>
                </c:pt>
                <c:pt idx="4">
                  <c:v>2024:Q3</c:v>
                </c:pt>
                <c:pt idx="5">
                  <c:v>2024:Q4</c:v>
                </c:pt>
                <c:pt idx="6">
                  <c:v>2025:Q1</c:v>
                </c:pt>
                <c:pt idx="7">
                  <c:v>2025:Q2</c:v>
                </c:pt>
                <c:pt idx="8">
                  <c:v>2025:Q3</c:v>
                </c:pt>
                <c:pt idx="9">
                  <c:v>2025:Q4</c:v>
                </c:pt>
              </c:strCache>
            </c:strRef>
          </c:cat>
          <c:val>
            <c:numRef>
              <c:f>'[איורים לתיבה ב-1 בדוח בנק ישראל 2026-''.xlsx]איור 2'!$E$2:$E$11</c:f>
              <c:numCache>
                <c:formatCode>_ * #,##0.0_ ;_ * \-#,##0.0_ ;_ * "-"??_ ;_ @_ </c:formatCode>
                <c:ptCount val="10"/>
                <c:pt idx="0" formatCode="#,##0.0_ ;\-#,##0.0\ ">
                  <c:v>0</c:v>
                </c:pt>
                <c:pt idx="1">
                  <c:v>1.6895753494334027</c:v>
                </c:pt>
                <c:pt idx="2">
                  <c:v>0.20348439469582247</c:v>
                </c:pt>
                <c:pt idx="3">
                  <c:v>8.5448221372179042E-2</c:v>
                </c:pt>
                <c:pt idx="4">
                  <c:v>0.20045103964953981</c:v>
                </c:pt>
                <c:pt idx="5">
                  <c:v>0.88471886029702507</c:v>
                </c:pt>
                <c:pt idx="6">
                  <c:v>3.8416067052509995E-2</c:v>
                </c:pt>
                <c:pt idx="7">
                  <c:v>-0.20264951990559585</c:v>
                </c:pt>
                <c:pt idx="8">
                  <c:v>0.3051478252598514</c:v>
                </c:pt>
                <c:pt idx="9">
                  <c:v>0.96280597587209316</c:v>
                </c:pt>
              </c:numCache>
            </c:numRef>
          </c:val>
          <c:extLst>
            <c:ext xmlns:c16="http://schemas.microsoft.com/office/drawing/2014/chart" uri="{C3380CC4-5D6E-409C-BE32-E72D297353CC}">
              <c16:uniqueId val="{00000012-33D9-470B-BB04-CCBC5E97B243}"/>
            </c:ext>
          </c:extLst>
        </c:ser>
        <c:ser>
          <c:idx val="4"/>
          <c:order val="4"/>
          <c:tx>
            <c:strRef>
              <c:f>'[איורים לתיבה ב-1 בדוח בנק ישראל 2026-''.xlsx]איור 2'!$F$1</c:f>
              <c:strCache>
                <c:ptCount val="1"/>
                <c:pt idx="0">
                  <c:v>מדד השקעה ממשלתית</c:v>
                </c:pt>
              </c:strCache>
            </c:strRef>
          </c:tx>
          <c:spPr>
            <a:solidFill>
              <a:srgbClr val="E6BD41"/>
            </a:solidFill>
            <a:ln>
              <a:noFill/>
            </a:ln>
            <a:effectLst>
              <a:outerShdw sx="0" sy="0" rotWithShape="0">
                <a:scrgbClr r="0" g="0" b="0">
                  <a:alpha val="0"/>
                </a:scrgbClr>
              </a:outerShdw>
            </a:effectLst>
            <a:scene3d>
              <a:camera prst="orthographicFront"/>
              <a:lightRig rig="flat" dir="t"/>
            </a:scene3d>
            <a:extLst>
              <a:ext uri="{91240B29-F687-4F45-9708-019B960494DF}">
                <a14:hiddenLine xmlns:a14="http://schemas.microsoft.com/office/drawing/2010/main">
                  <a:noFill/>
                </a14:hiddenLine>
              </a:ext>
            </a:ex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3-33D9-470B-BB04-CCBC5E97B243}"/>
                </c:ext>
              </c:extLst>
            </c:dLbl>
            <c:dLbl>
              <c:idx val="1"/>
              <c:delete val="1"/>
              <c:extLst>
                <c:ext xmlns:c15="http://schemas.microsoft.com/office/drawing/2012/chart" uri="{CE6537A1-D6FC-4f65-9D91-7224C49458BB}"/>
                <c:ext xmlns:c16="http://schemas.microsoft.com/office/drawing/2014/chart" uri="{C3380CC4-5D6E-409C-BE32-E72D297353CC}">
                  <c16:uniqueId val="{00000014-33D9-470B-BB04-CCBC5E97B243}"/>
                </c:ext>
              </c:extLst>
            </c:dLbl>
            <c:dLbl>
              <c:idx val="2"/>
              <c:delete val="1"/>
              <c:extLst>
                <c:ext xmlns:c15="http://schemas.microsoft.com/office/drawing/2012/chart" uri="{CE6537A1-D6FC-4f65-9D91-7224C49458BB}"/>
                <c:ext xmlns:c16="http://schemas.microsoft.com/office/drawing/2014/chart" uri="{C3380CC4-5D6E-409C-BE32-E72D297353CC}">
                  <c16:uniqueId val="{00000015-33D9-470B-BB04-CCBC5E97B243}"/>
                </c:ext>
              </c:extLst>
            </c:dLbl>
            <c:dLbl>
              <c:idx val="3"/>
              <c:delete val="1"/>
              <c:extLst>
                <c:ext xmlns:c15="http://schemas.microsoft.com/office/drawing/2012/chart" uri="{CE6537A1-D6FC-4f65-9D91-7224C49458BB}"/>
                <c:ext xmlns:c16="http://schemas.microsoft.com/office/drawing/2014/chart" uri="{C3380CC4-5D6E-409C-BE32-E72D297353CC}">
                  <c16:uniqueId val="{00000016-33D9-470B-BB04-CCBC5E97B243}"/>
                </c:ext>
              </c:extLst>
            </c:dLbl>
            <c:dLbl>
              <c:idx val="4"/>
              <c:delete val="1"/>
              <c:extLst>
                <c:ext xmlns:c15="http://schemas.microsoft.com/office/drawing/2012/chart" uri="{CE6537A1-D6FC-4f65-9D91-7224C49458BB}"/>
                <c:ext xmlns:c16="http://schemas.microsoft.com/office/drawing/2014/chart" uri="{C3380CC4-5D6E-409C-BE32-E72D297353CC}">
                  <c16:uniqueId val="{00000017-33D9-470B-BB04-CCBC5E97B243}"/>
                </c:ext>
              </c:extLst>
            </c:dLbl>
            <c:dLbl>
              <c:idx val="5"/>
              <c:delete val="1"/>
              <c:extLst>
                <c:ext xmlns:c15="http://schemas.microsoft.com/office/drawing/2012/chart" uri="{CE6537A1-D6FC-4f65-9D91-7224C49458BB}"/>
                <c:ext xmlns:c16="http://schemas.microsoft.com/office/drawing/2014/chart" uri="{C3380CC4-5D6E-409C-BE32-E72D297353CC}">
                  <c16:uniqueId val="{00000018-33D9-470B-BB04-CCBC5E97B243}"/>
                </c:ext>
              </c:extLst>
            </c:dLbl>
            <c:dLbl>
              <c:idx val="6"/>
              <c:delete val="1"/>
              <c:extLst>
                <c:ext xmlns:c15="http://schemas.microsoft.com/office/drawing/2012/chart" uri="{CE6537A1-D6FC-4f65-9D91-7224C49458BB}"/>
                <c:ext xmlns:c16="http://schemas.microsoft.com/office/drawing/2014/chart" uri="{C3380CC4-5D6E-409C-BE32-E72D297353CC}">
                  <c16:uniqueId val="{00000019-33D9-470B-BB04-CCBC5E97B243}"/>
                </c:ext>
              </c:extLst>
            </c:dLbl>
            <c:dLbl>
              <c:idx val="7"/>
              <c:delete val="1"/>
              <c:extLst>
                <c:ext xmlns:c15="http://schemas.microsoft.com/office/drawing/2012/chart" uri="{CE6537A1-D6FC-4f65-9D91-7224C49458BB}"/>
                <c:ext xmlns:c16="http://schemas.microsoft.com/office/drawing/2014/chart" uri="{C3380CC4-5D6E-409C-BE32-E72D297353CC}">
                  <c16:uniqueId val="{0000001A-33D9-470B-BB04-CCBC5E97B24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'[איורים לתיבה ב-1 בדוח בנק ישראל 2026-''.xlsx]איור 2'!$A$2:$A$11</c:f>
              <c:strCache>
                <c:ptCount val="10"/>
                <c:pt idx="0">
                  <c:v>2023:Q3</c:v>
                </c:pt>
                <c:pt idx="1">
                  <c:v>2023:Q4</c:v>
                </c:pt>
                <c:pt idx="2">
                  <c:v>2024:Q1</c:v>
                </c:pt>
                <c:pt idx="3">
                  <c:v>2024:Q2</c:v>
                </c:pt>
                <c:pt idx="4">
                  <c:v>2024:Q3</c:v>
                </c:pt>
                <c:pt idx="5">
                  <c:v>2024:Q4</c:v>
                </c:pt>
                <c:pt idx="6">
                  <c:v>2025:Q1</c:v>
                </c:pt>
                <c:pt idx="7">
                  <c:v>2025:Q2</c:v>
                </c:pt>
                <c:pt idx="8">
                  <c:v>2025:Q3</c:v>
                </c:pt>
                <c:pt idx="9">
                  <c:v>2025:Q4</c:v>
                </c:pt>
              </c:strCache>
            </c:strRef>
          </c:cat>
          <c:val>
            <c:numRef>
              <c:f>'[איורים לתיבה ב-1 בדוח בנק ישראל 2026-''.xlsx]איור 2'!$F$2:$F$11</c:f>
              <c:numCache>
                <c:formatCode>_ * #,##0.0_ ;_ * \-#,##0.0_ ;_ * "-"??_ ;_ @_ </c:formatCode>
                <c:ptCount val="10"/>
                <c:pt idx="0" formatCode="#,##0.0_ ;\-#,##0.0\ ">
                  <c:v>0</c:v>
                </c:pt>
                <c:pt idx="1">
                  <c:v>-0.29898286949594532</c:v>
                </c:pt>
                <c:pt idx="2">
                  <c:v>0.35722932420528941</c:v>
                </c:pt>
                <c:pt idx="3">
                  <c:v>-8.7206497601428568E-2</c:v>
                </c:pt>
                <c:pt idx="4">
                  <c:v>-0.23536097163644923</c:v>
                </c:pt>
                <c:pt idx="5">
                  <c:v>-0.14420140768881934</c:v>
                </c:pt>
                <c:pt idx="6">
                  <c:v>0.21802277198119596</c:v>
                </c:pt>
                <c:pt idx="7">
                  <c:v>0.18680539762016807</c:v>
                </c:pt>
                <c:pt idx="8">
                  <c:v>0.4867241214250817</c:v>
                </c:pt>
                <c:pt idx="9">
                  <c:v>0.47319849084210674</c:v>
                </c:pt>
              </c:numCache>
            </c:numRef>
          </c:val>
          <c:extLst>
            <c:ext xmlns:c16="http://schemas.microsoft.com/office/drawing/2014/chart" uri="{C3380CC4-5D6E-409C-BE32-E72D297353CC}">
              <c16:uniqueId val="{0000001B-33D9-470B-BB04-CCBC5E97B243}"/>
            </c:ext>
          </c:extLst>
        </c:ser>
        <c:dLbls>
          <c:showLegendKey val="0"/>
          <c:showVal val="0"/>
          <c:showCatName val="0"/>
          <c:showSerName val="0"/>
          <c:showPercent val="0"/>
          <c:showBubbleSize val="0"/>
        </c:dLbls>
        <c:gapWidth val="150"/>
        <c:overlap val="100"/>
        <c:axId val="640682840"/>
        <c:axId val="640683496"/>
      </c:barChart>
      <c:lineChart>
        <c:grouping val="standard"/>
        <c:varyColors val="0"/>
        <c:ser>
          <c:idx val="5"/>
          <c:order val="5"/>
          <c:tx>
            <c:strRef>
              <c:f>'[איורים לתיבה ב-1 בדוח בנק ישראל 2026-''.xlsx]איור 2'!$G$1</c:f>
              <c:strCache>
                <c:ptCount val="1"/>
                <c:pt idx="0">
                  <c:v>סה"כ</c:v>
                </c:pt>
              </c:strCache>
            </c:strRef>
          </c:tx>
          <c:spPr>
            <a:ln w="28575" cap="rnd">
              <a:solidFill>
                <a:sysClr val="windowText" lastClr="000000"/>
              </a:solidFill>
              <a:round/>
            </a:ln>
            <a:effectLst>
              <a:outerShdw sx="0" sy="0" rotWithShape="0">
                <a:scrgbClr r="0" g="0" b="0">
                  <a:alpha val="0"/>
                </a:scrgbClr>
              </a:outerShdw>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C-33D9-470B-BB04-CCBC5E97B243}"/>
                </c:ext>
              </c:extLst>
            </c:dLbl>
            <c:dLbl>
              <c:idx val="3"/>
              <c:layout>
                <c:manualLayout>
                  <c:x val="-3.7078952671886295E-2"/>
                  <c:y val="-4.822405896610516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33D9-470B-BB04-CCBC5E97B243}"/>
                </c:ext>
              </c:extLst>
            </c:dLbl>
            <c:dLbl>
              <c:idx val="4"/>
              <c:layout>
                <c:manualLayout>
                  <c:x val="-4.1949461377345433E-2"/>
                  <c:y val="-5.981481339888521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33D9-470B-BB04-CCBC5E97B243}"/>
                </c:ext>
              </c:extLst>
            </c:dLbl>
            <c:dLbl>
              <c:idx val="5"/>
              <c:layout>
                <c:manualLayout>
                  <c:x val="-4.194946137734535E-2"/>
                  <c:y val="-5.59924151482945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33D9-470B-BB04-CCBC5E97B243}"/>
                </c:ext>
              </c:extLst>
            </c:dLbl>
            <c:dLbl>
              <c:idx val="6"/>
              <c:layout>
                <c:manualLayout>
                  <c:x val="-4.4382606454651252E-2"/>
                  <c:y val="-7.923570385435861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33D9-470B-BB04-CCBC5E97B243}"/>
                </c:ext>
              </c:extLst>
            </c:dLbl>
            <c:dLbl>
              <c:idx val="7"/>
              <c:layout>
                <c:manualLayout>
                  <c:x val="-4.1949461377345433E-2"/>
                  <c:y val="-7.52481515746977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33D9-470B-BB04-CCBC5E97B243}"/>
                </c:ext>
              </c:extLst>
            </c:dLbl>
            <c:dLbl>
              <c:idx val="8"/>
              <c:layout>
                <c:manualLayout>
                  <c:x val="-4.4384715730074874E-2"/>
                  <c:y val="-8.30373049309182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33D9-470B-BB04-CCBC5E97B243}"/>
                </c:ext>
              </c:extLst>
            </c:dLbl>
            <c:dLbl>
              <c:idx val="9"/>
              <c:layout>
                <c:manualLayout>
                  <c:x val="-4.0681019838502371E-2"/>
                  <c:y val="-0.11541819905648115"/>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3-33D9-470B-BB04-CCBC5E97B24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he-IL"/>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'[איורים לתיבה ב-1 בדוח בנק ישראל 2026-''.xlsx]איור 2'!$A$2:$A$11</c:f>
              <c:strCache>
                <c:ptCount val="10"/>
                <c:pt idx="0">
                  <c:v>2023:Q3</c:v>
                </c:pt>
                <c:pt idx="1">
                  <c:v>2023:Q4</c:v>
                </c:pt>
                <c:pt idx="2">
                  <c:v>2024:Q1</c:v>
                </c:pt>
                <c:pt idx="3">
                  <c:v>2024:Q2</c:v>
                </c:pt>
                <c:pt idx="4">
                  <c:v>2024:Q3</c:v>
                </c:pt>
                <c:pt idx="5">
                  <c:v>2024:Q4</c:v>
                </c:pt>
                <c:pt idx="6">
                  <c:v>2025:Q1</c:v>
                </c:pt>
                <c:pt idx="7">
                  <c:v>2025:Q2</c:v>
                </c:pt>
                <c:pt idx="8">
                  <c:v>2025:Q3</c:v>
                </c:pt>
                <c:pt idx="9">
                  <c:v>2025:Q4</c:v>
                </c:pt>
              </c:strCache>
            </c:strRef>
          </c:cat>
          <c:val>
            <c:numRef>
              <c:f>'[איורים לתיבה ב-1 בדוח בנק ישראל 2026-''.xlsx]איור 2'!$G$2:$G$11</c:f>
              <c:numCache>
                <c:formatCode>_ * #,##0.0_ ;_ * \-#,##0.0_ ;_ * "-"??_ ;_ @_ </c:formatCode>
                <c:ptCount val="10"/>
                <c:pt idx="0" formatCode="#,##0.0_ ;\-#,##0.0\ ">
                  <c:v>0</c:v>
                </c:pt>
                <c:pt idx="1">
                  <c:v>4.2026529192116708</c:v>
                </c:pt>
                <c:pt idx="2">
                  <c:v>2.9505655443442795</c:v>
                </c:pt>
                <c:pt idx="3">
                  <c:v>1.4268842451348362</c:v>
                </c:pt>
                <c:pt idx="4">
                  <c:v>1.3232160337810628</c:v>
                </c:pt>
                <c:pt idx="5">
                  <c:v>2.6249691016840404</c:v>
                </c:pt>
                <c:pt idx="6">
                  <c:v>1.0921208820131065</c:v>
                </c:pt>
                <c:pt idx="7">
                  <c:v>0.86548623929075674</c:v>
                </c:pt>
                <c:pt idx="8">
                  <c:v>1.6946131676744534</c:v>
                </c:pt>
                <c:pt idx="9">
                  <c:v>1.6470945370519525</c:v>
                </c:pt>
              </c:numCache>
            </c:numRef>
          </c:val>
          <c:smooth val="0"/>
          <c:extLst>
            <c:ext xmlns:c16="http://schemas.microsoft.com/office/drawing/2014/chart" uri="{C3380CC4-5D6E-409C-BE32-E72D297353CC}">
              <c16:uniqueId val="{00000024-33D9-470B-BB04-CCBC5E97B243}"/>
            </c:ext>
          </c:extLst>
        </c:ser>
        <c:dLbls>
          <c:showLegendKey val="0"/>
          <c:showVal val="0"/>
          <c:showCatName val="0"/>
          <c:showSerName val="0"/>
          <c:showPercent val="0"/>
          <c:showBubbleSize val="0"/>
        </c:dLbls>
        <c:marker val="1"/>
        <c:smooth val="0"/>
        <c:axId val="640682840"/>
        <c:axId val="640683496"/>
      </c:lineChart>
      <c:catAx>
        <c:axId val="640682840"/>
        <c:scaling>
          <c:orientation val="minMax"/>
        </c:scaling>
        <c:delete val="0"/>
        <c:axPos val="b"/>
        <c:numFmt formatCode="General" sourceLinked="1"/>
        <c:majorTickMark val="none"/>
        <c:minorTickMark val="none"/>
        <c:tickLblPos val="low"/>
        <c:spPr>
          <a:noFill/>
          <a:ln w="6350" cap="flat" cmpd="sng" algn="ctr">
            <a:solidFill>
              <a:srgbClr val="000000"/>
            </a:solidFill>
            <a:prstDash val="solid"/>
            <a:round/>
          </a:ln>
          <a:effectLst/>
        </c:spPr>
        <c:txPr>
          <a:bodyPr rot="-270000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640683496"/>
        <c:crosses val="autoZero"/>
        <c:auto val="1"/>
        <c:lblAlgn val="ctr"/>
        <c:lblOffset val="100"/>
        <c:noMultiLvlLbl val="0"/>
      </c:catAx>
      <c:valAx>
        <c:axId val="640683496"/>
        <c:scaling>
          <c:orientation val="minMax"/>
          <c:min val="-1"/>
        </c:scaling>
        <c:delete val="0"/>
        <c:axPos val="l"/>
        <c:majorGridlines>
          <c:spPr>
            <a:ln w="6350" cap="flat" cmpd="sng" algn="ctr">
              <a:solidFill>
                <a:srgbClr val="D9D9D9"/>
              </a:solidFill>
              <a:prstDash val="solid"/>
              <a:round/>
            </a:ln>
            <a:effectLst/>
          </c:spPr>
        </c:majorGridlines>
        <c:title>
          <c:tx>
            <c:rich>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r>
                  <a:rPr lang="he-IL"/>
                  <a:t>אחוזי תוצר</a:t>
                </a:r>
              </a:p>
            </c:rich>
          </c:tx>
          <c:layout>
            <c:manualLayout>
              <c:xMode val="edge"/>
              <c:yMode val="edge"/>
              <c:x val="1.7055642719713653E-2"/>
              <c:y val="0.11117999913602655"/>
            </c:manualLayout>
          </c:layout>
          <c:overlay val="0"/>
          <c:spPr>
            <a:noFill/>
            <a:ln>
              <a:noFill/>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title>
        <c:numFmt formatCode="#,##0.0_ ;\-#,##0.0\ " sourceLinked="1"/>
        <c:majorTickMark val="none"/>
        <c:minorTickMark val="none"/>
        <c:tickLblPos val="low"/>
        <c:spPr>
          <a:noFill/>
          <a:ln w="6350">
            <a:solidFill>
              <a:srgbClr val="000000"/>
            </a:solidFill>
            <a:prstDash val="soli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640682840"/>
        <c:crosses val="autoZero"/>
        <c:crossBetween val="between"/>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legend>
      <c:legendPos val="b"/>
      <c:layout>
        <c:manualLayout>
          <c:xMode val="edge"/>
          <c:yMode val="edge"/>
          <c:x val="0"/>
          <c:y val="0.74029971227740077"/>
          <c:w val="0.99553073376227696"/>
          <c:h val="0.1573309907955478"/>
        </c:manualLayout>
      </c:layout>
      <c:overlay val="0"/>
      <c:spPr>
        <a:noFill/>
        <a:ln w="25400">
          <a:noFill/>
        </a:ln>
        <a:effectLst/>
      </c:spPr>
      <c:txPr>
        <a:bodyPr rot="0" spcFirstLastPara="1" vertOverflow="ellipsis" vert="horz" wrap="square" anchor="ctr" anchorCtr="1"/>
        <a:lstStyle/>
        <a:p>
          <a:pPr>
            <a:defRPr sz="1050" b="0" i="0" u="none" strike="noStrike" kern="1200" baseline="0">
              <a:solidFill>
                <a:srgbClr val="000000"/>
              </a:solidFill>
              <a:latin typeface="Calibri"/>
              <a:ea typeface="Calibri"/>
              <a:cs typeface="Calibri"/>
            </a:defRPr>
          </a:pPr>
          <a:endParaRPr lang="he-IL"/>
        </a:p>
      </c:txPr>
    </c:legend>
    <c:plotVisOnly val="1"/>
    <c:dispBlanksAs val="gap"/>
    <c:showDLblsOverMax val="0"/>
  </c:chart>
  <c:spPr>
    <a:noFill/>
    <a:ln w="9525" cap="flat" cmpd="sng" algn="ctr">
      <a:solidFill>
        <a:srgbClr val="000000"/>
      </a:solidFill>
      <a:prstDash val="solid"/>
      <a:round/>
    </a:ln>
    <a:effectLst/>
  </c:spPr>
  <c:txPr>
    <a:bodyPr/>
    <a:lstStyle/>
    <a:p>
      <a:pPr>
        <a:defRPr/>
      </a:pPr>
      <a:endParaRPr lang="he-I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0.91705</cdr:y>
    </cdr:from>
    <cdr:to>
      <cdr:x>1</cdr:x>
      <cdr:y>1</cdr:y>
    </cdr:to>
    <cdr:sp macro="" textlink="">
      <cdr:nvSpPr>
        <cdr:cNvPr id="2" name="TextBox 1"/>
        <cdr:cNvSpPr txBox="1"/>
      </cdr:nvSpPr>
      <cdr:spPr>
        <a:xfrm xmlns:a="http://schemas.openxmlformats.org/drawingml/2006/main">
          <a:off x="0" y="3012281"/>
          <a:ext cx="5210475" cy="272475"/>
        </a:xfrm>
        <a:prstGeom xmlns:a="http://schemas.openxmlformats.org/drawingml/2006/main" prst="rect">
          <a:avLst/>
        </a:prstGeom>
      </cdr:spPr>
      <cdr:txBody>
        <a:bodyPr xmlns:a="http://schemas.openxmlformats.org/drawingml/2006/main" vertOverflow="clip" vert="horz" rtlCol="1"/>
        <a:lstStyle xmlns:a="http://schemas.openxmlformats.org/drawingml/2006/main"/>
        <a:p xmlns:a="http://schemas.openxmlformats.org/drawingml/2006/main">
          <a:pPr rtl="1"/>
          <a:r>
            <a:rPr lang="he-IL" sz="900" b="1" i="0">
              <a:solidFill>
                <a:srgbClr val="000000"/>
              </a:solidFill>
              <a:effectLst/>
              <a:latin typeface="+mn-lt"/>
              <a:ea typeface="+mn-ea"/>
              <a:cs typeface="Calibri" panose="020F0502020204030204" pitchFamily="34" charset="0"/>
            </a:rPr>
            <a:t>המקור:</a:t>
          </a:r>
          <a:r>
            <a:rPr lang="he-IL" sz="900" b="0" i="0">
              <a:solidFill>
                <a:srgbClr val="000000"/>
              </a:solidFill>
              <a:effectLst/>
              <a:latin typeface="+mn-lt"/>
              <a:ea typeface="+mn-ea"/>
              <a:cs typeface="Calibri" panose="020F0502020204030204" pitchFamily="34" charset="0"/>
            </a:rPr>
            <a:t> הלשכה המרכזית לסטטיסטיקה, משרד האוצר, רשות המיסים ועיבודי בנק ישראל.</a:t>
          </a:r>
          <a:endParaRPr lang="he-IL" sz="900">
            <a:solidFill>
              <a:srgbClr val="000000"/>
            </a:solidFill>
            <a:effectLst/>
            <a:cs typeface="Calibri" panose="020F050202020403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0.91</cdr:y>
    </cdr:from>
    <cdr:to>
      <cdr:x>1</cdr:x>
      <cdr:y>1</cdr:y>
    </cdr:to>
    <cdr:sp macro="" textlink="">
      <cdr:nvSpPr>
        <cdr:cNvPr id="2" name="TextBox 1"/>
        <cdr:cNvSpPr txBox="1"/>
      </cdr:nvSpPr>
      <cdr:spPr>
        <a:xfrm xmlns:a="http://schemas.openxmlformats.org/drawingml/2006/main">
          <a:off x="0" y="3066317"/>
          <a:ext cx="5243446" cy="303248"/>
        </a:xfrm>
        <a:prstGeom xmlns:a="http://schemas.openxmlformats.org/drawingml/2006/main" prst="rect">
          <a:avLst/>
        </a:prstGeom>
      </cdr:spPr>
      <cdr:txBody>
        <a:bodyPr xmlns:a="http://schemas.openxmlformats.org/drawingml/2006/main" vertOverflow="clip" vert="horz" rtlCol="1"/>
        <a:lstStyle xmlns:a="http://schemas.openxmlformats.org/drawingml/2006/main"/>
        <a:p xmlns:a="http://schemas.openxmlformats.org/drawingml/2006/main">
          <a:pPr rtl="1"/>
          <a:r>
            <a:rPr lang="he-IL" sz="900" b="1" i="0">
              <a:solidFill>
                <a:srgbClr val="000000"/>
              </a:solidFill>
              <a:effectLst/>
              <a:latin typeface="+mn-lt"/>
              <a:ea typeface="+mn-ea"/>
              <a:cs typeface="Calibri" panose="020F0502020204030204" pitchFamily="34" charset="0"/>
            </a:rPr>
            <a:t>המקור:</a:t>
          </a:r>
          <a:r>
            <a:rPr lang="he-IL" sz="900" b="0" i="0">
              <a:solidFill>
                <a:srgbClr val="000000"/>
              </a:solidFill>
              <a:effectLst/>
              <a:latin typeface="+mn-lt"/>
              <a:ea typeface="+mn-ea"/>
              <a:cs typeface="Calibri" panose="020F0502020204030204" pitchFamily="34" charset="0"/>
            </a:rPr>
            <a:t> הלשכה המרכזית לסטטיסטיקה, משרד האוצר, רשות המיסים ועיבודי בנק ישראל.</a:t>
          </a:r>
          <a:endParaRPr lang="he-IL" sz="900">
            <a:solidFill>
              <a:srgbClr val="000000"/>
            </a:solidFill>
            <a:effectLst/>
            <a:cs typeface="Calibri" panose="020F0502020204030204" pitchFamily="34" charset="0"/>
          </a:endParaRP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3895</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2026-03-17T08:13:00Z</dcterms:created>
  <dcterms:modified xsi:type="dcterms:W3CDTF">2026-03-17T11:13:00Z</dcterms:modified>
</cp:coreProperties>
</file>