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0105E584" w:rsidR="00650B9A" w:rsidRPr="00DC05C1" w:rsidRDefault="00125AB8" w:rsidP="00A60E0E">
      <w:pPr>
        <w:pStyle w:val="regpar"/>
        <w:spacing w:line="300" w:lineRule="atLeast"/>
        <w:ind w:firstLine="0"/>
        <w:jc w:val="center"/>
        <w:rPr>
          <w:rFonts w:ascii="Segoe UI" w:hAnsi="Segoe UI" w:cs="Segoe UI"/>
          <w:bCs/>
        </w:rPr>
      </w:pPr>
      <w:r w:rsidRPr="00DC05C1">
        <w:rPr>
          <w:rFonts w:ascii="Segoe UI" w:hAnsi="Segoe UI" w:cs="Segoe UI"/>
          <w:noProof/>
        </w:rPr>
        <w:drawing>
          <wp:inline distT="0" distB="0" distL="0" distR="0" wp14:anchorId="48CFD75F" wp14:editId="68863E03">
            <wp:extent cx="2924175" cy="9715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4175" cy="971550"/>
                    </a:xfrm>
                    <a:prstGeom prst="rect">
                      <a:avLst/>
                    </a:prstGeom>
                    <a:noFill/>
                    <a:ln>
                      <a:noFill/>
                    </a:ln>
                  </pic:spPr>
                </pic:pic>
              </a:graphicData>
            </a:graphic>
          </wp:inline>
        </w:drawing>
      </w:r>
    </w:p>
    <w:p w14:paraId="5A42A60F" w14:textId="77777777" w:rsidR="00125AB8" w:rsidRPr="00DC05C1" w:rsidRDefault="00125AB8" w:rsidP="00A60E0E">
      <w:pPr>
        <w:pStyle w:val="regpar"/>
        <w:spacing w:line="300" w:lineRule="atLeast"/>
        <w:ind w:firstLine="0"/>
        <w:jc w:val="center"/>
        <w:rPr>
          <w:rFonts w:ascii="Segoe UI" w:hAnsi="Segoe UI" w:cs="Segoe UI"/>
          <w:bCs/>
        </w:rPr>
      </w:pPr>
    </w:p>
    <w:p w14:paraId="5FEC0092" w14:textId="77777777" w:rsidR="00650B9A" w:rsidRPr="00DC05C1" w:rsidRDefault="00650B9A" w:rsidP="00A60E0E">
      <w:pPr>
        <w:pStyle w:val="regpar"/>
        <w:spacing w:line="300" w:lineRule="atLeast"/>
        <w:ind w:firstLine="0"/>
        <w:jc w:val="center"/>
        <w:rPr>
          <w:rFonts w:ascii="Segoe UI" w:hAnsi="Segoe UI" w:cs="Segoe UI"/>
          <w:bCs/>
          <w:sz w:val="22"/>
          <w:szCs w:val="22"/>
        </w:rPr>
      </w:pPr>
      <w:r w:rsidRPr="00DC05C1">
        <w:rPr>
          <w:rFonts w:ascii="Segoe UI" w:hAnsi="Segoe UI" w:cs="Segoe UI"/>
          <w:bCs/>
          <w:sz w:val="22"/>
          <w:szCs w:val="22"/>
        </w:rPr>
        <w:t>BANK OF ISRAEL</w:t>
      </w:r>
    </w:p>
    <w:p w14:paraId="7BDED074" w14:textId="1F140308" w:rsidR="00650B9A" w:rsidRPr="00DC05C1" w:rsidRDefault="00650B9A" w:rsidP="0009048D">
      <w:pPr>
        <w:pStyle w:val="regpar"/>
        <w:spacing w:line="300" w:lineRule="atLeast"/>
        <w:ind w:firstLine="0"/>
        <w:jc w:val="center"/>
        <w:rPr>
          <w:rFonts w:ascii="Segoe UI" w:hAnsi="Segoe UI" w:cs="Segoe UI"/>
          <w:sz w:val="22"/>
          <w:szCs w:val="22"/>
        </w:rPr>
      </w:pPr>
      <w:r w:rsidRPr="00DC05C1">
        <w:rPr>
          <w:rFonts w:ascii="Segoe UI" w:hAnsi="Segoe UI" w:cs="Segoe UI"/>
          <w:sz w:val="22"/>
          <w:szCs w:val="22"/>
        </w:rPr>
        <w:t xml:space="preserve">Office of the </w:t>
      </w:r>
      <w:r w:rsidR="0009048D" w:rsidRPr="00DC05C1">
        <w:rPr>
          <w:rFonts w:ascii="Segoe UI" w:hAnsi="Segoe UI" w:cs="Segoe UI"/>
          <w:sz w:val="22"/>
          <w:szCs w:val="22"/>
        </w:rPr>
        <w:t>Spokesperson and Economic Information</w:t>
      </w:r>
    </w:p>
    <w:p w14:paraId="5DC516B5" w14:textId="6D04FE8F" w:rsidR="0009048D" w:rsidRPr="00DC05C1" w:rsidRDefault="0009048D" w:rsidP="0009048D">
      <w:pPr>
        <w:pStyle w:val="regpar"/>
        <w:spacing w:line="300" w:lineRule="atLeast"/>
        <w:ind w:firstLine="0"/>
        <w:jc w:val="center"/>
        <w:rPr>
          <w:rFonts w:ascii="Segoe UI" w:hAnsi="Segoe UI" w:cs="Segoe UI"/>
          <w:sz w:val="22"/>
          <w:szCs w:val="22"/>
        </w:rPr>
      </w:pPr>
    </w:p>
    <w:p w14:paraId="73A6A7DC" w14:textId="3569AD15" w:rsidR="0009048D" w:rsidRPr="00DC05C1" w:rsidRDefault="0009048D" w:rsidP="0009048D">
      <w:pPr>
        <w:pStyle w:val="regpar"/>
        <w:spacing w:line="300" w:lineRule="atLeast"/>
        <w:ind w:firstLine="0"/>
        <w:jc w:val="center"/>
        <w:rPr>
          <w:rFonts w:ascii="Segoe UI" w:hAnsi="Segoe UI" w:cs="Segoe UI"/>
          <w:sz w:val="22"/>
          <w:szCs w:val="22"/>
        </w:rPr>
      </w:pPr>
      <w:r w:rsidRPr="00DC05C1">
        <w:rPr>
          <w:rFonts w:ascii="Segoe UI" w:hAnsi="Segoe UI" w:cs="Segoe UI"/>
          <w:sz w:val="22"/>
          <w:szCs w:val="22"/>
        </w:rPr>
        <w:t>Press release</w:t>
      </w:r>
    </w:p>
    <w:p w14:paraId="2DEFF62A" w14:textId="77777777" w:rsidR="00DD0AB5" w:rsidRPr="00DC05C1" w:rsidRDefault="00DD0AB5" w:rsidP="00A60E0E">
      <w:pPr>
        <w:pStyle w:val="regpar"/>
        <w:spacing w:line="300" w:lineRule="atLeast"/>
        <w:ind w:firstLine="0"/>
        <w:jc w:val="center"/>
        <w:rPr>
          <w:rFonts w:ascii="Segoe UI" w:hAnsi="Segoe UI" w:cs="Segoe UI"/>
          <w:b/>
          <w:sz w:val="22"/>
          <w:szCs w:val="22"/>
        </w:rPr>
      </w:pPr>
    </w:p>
    <w:p w14:paraId="0CD9A423" w14:textId="6FE467B7" w:rsidR="007617BD" w:rsidRPr="00DC05C1" w:rsidRDefault="00DC05C1" w:rsidP="00651EE8">
      <w:pPr>
        <w:pStyle w:val="regpar"/>
        <w:jc w:val="right"/>
        <w:rPr>
          <w:rFonts w:ascii="Segoe UI" w:hAnsi="Segoe UI" w:cs="Segoe UI"/>
          <w:sz w:val="22"/>
          <w:szCs w:val="22"/>
        </w:rPr>
      </w:pPr>
      <w:r w:rsidRPr="00DC05C1">
        <w:rPr>
          <w:rFonts w:ascii="Segoe UI" w:hAnsi="Segoe UI" w:cs="Segoe UI"/>
          <w:sz w:val="22"/>
          <w:szCs w:val="22"/>
        </w:rPr>
        <w:t>April 9</w:t>
      </w:r>
      <w:r w:rsidR="00443EB3" w:rsidRPr="00DC05C1">
        <w:rPr>
          <w:rFonts w:ascii="Segoe UI" w:hAnsi="Segoe UI" w:cs="Segoe UI"/>
          <w:sz w:val="22"/>
          <w:szCs w:val="22"/>
        </w:rPr>
        <w:t>, 2025</w:t>
      </w:r>
    </w:p>
    <w:p w14:paraId="22D7AE78" w14:textId="3BEA9B84" w:rsidR="00F23C43" w:rsidRPr="00DC05C1" w:rsidRDefault="00F23C43" w:rsidP="00F23C43">
      <w:pPr>
        <w:pStyle w:val="regpar"/>
        <w:rPr>
          <w:rFonts w:ascii="Segoe UI" w:hAnsi="Segoe UI" w:cs="Segoe UI"/>
          <w:sz w:val="22"/>
          <w:szCs w:val="22"/>
        </w:rPr>
      </w:pPr>
    </w:p>
    <w:p w14:paraId="325CE029" w14:textId="30104A21" w:rsidR="00D00CF7" w:rsidRPr="00DC05C1" w:rsidRDefault="00D00CF7" w:rsidP="00D00CF7">
      <w:pPr>
        <w:pStyle w:val="regpar"/>
        <w:jc w:val="center"/>
        <w:rPr>
          <w:rFonts w:ascii="Segoe UI" w:hAnsi="Segoe UI" w:cs="Segoe UI"/>
          <w:b/>
          <w:bCs/>
          <w:sz w:val="22"/>
          <w:szCs w:val="22"/>
        </w:rPr>
      </w:pPr>
    </w:p>
    <w:p w14:paraId="7BF8A788" w14:textId="223326B3" w:rsidR="00D00CF7" w:rsidRPr="00DC05C1" w:rsidRDefault="00DC05C1" w:rsidP="00DC05C1">
      <w:pPr>
        <w:pStyle w:val="regpar"/>
        <w:ind w:firstLine="0"/>
        <w:jc w:val="center"/>
        <w:rPr>
          <w:rFonts w:ascii="Segoe UI" w:hAnsi="Segoe UI" w:cs="Segoe UI"/>
          <w:b/>
          <w:bCs/>
        </w:rPr>
      </w:pPr>
      <w:r>
        <w:rPr>
          <w:rFonts w:ascii="Segoe UI" w:hAnsi="Segoe UI" w:cs="Segoe UI"/>
          <w:b/>
          <w:bCs/>
        </w:rPr>
        <w:t>Main findings of the Bank of Israel</w:t>
      </w:r>
      <w:r w:rsidR="006A34D5">
        <w:rPr>
          <w:rFonts w:ascii="Segoe UI" w:hAnsi="Segoe UI" w:cs="Segoe UI"/>
          <w:b/>
          <w:bCs/>
        </w:rPr>
        <w:t>’</w:t>
      </w:r>
      <w:r>
        <w:rPr>
          <w:rFonts w:ascii="Segoe UI" w:hAnsi="Segoe UI" w:cs="Segoe UI"/>
          <w:b/>
          <w:bCs/>
        </w:rPr>
        <w:t>s Credit Officers Survey for the first quarter of 2025</w:t>
      </w:r>
    </w:p>
    <w:p w14:paraId="57364676" w14:textId="4D29DBB7" w:rsidR="00477DE2" w:rsidRPr="00DC05C1" w:rsidRDefault="00477DE2" w:rsidP="00477DE2">
      <w:pPr>
        <w:pStyle w:val="regpar"/>
        <w:ind w:firstLine="0"/>
        <w:jc w:val="center"/>
        <w:rPr>
          <w:rFonts w:ascii="Segoe UI" w:hAnsi="Segoe UI" w:cs="Segoe UI"/>
          <w:b/>
          <w:bCs/>
          <w:sz w:val="22"/>
          <w:szCs w:val="22"/>
        </w:rPr>
      </w:pPr>
    </w:p>
    <w:p w14:paraId="3AEB6BB7" w14:textId="68AF168F" w:rsidR="00DC05C1" w:rsidRPr="00AB7916" w:rsidRDefault="00DC05C1" w:rsidP="00DC05C1">
      <w:pPr>
        <w:spacing w:before="100" w:beforeAutospacing="1" w:after="100" w:afterAutospacing="1"/>
        <w:jc w:val="both"/>
        <w:rPr>
          <w:rFonts w:ascii="Segoe UI" w:hAnsi="Segoe UI" w:cs="Segoe UI"/>
          <w:sz w:val="22"/>
          <w:szCs w:val="22"/>
        </w:rPr>
      </w:pPr>
      <w:r w:rsidRPr="00AB7916">
        <w:rPr>
          <w:rFonts w:ascii="Segoe UI" w:hAnsi="Segoe UI" w:cs="Segoe UI"/>
          <w:sz w:val="22"/>
          <w:szCs w:val="22"/>
        </w:rPr>
        <w:t xml:space="preserve">In the third quarter of 2024, the Bank of Israel initiated a Credit Officers Survey </w:t>
      </w:r>
      <w:r>
        <w:rPr>
          <w:rFonts w:ascii="Segoe UI" w:hAnsi="Segoe UI" w:cs="Segoe UI"/>
          <w:sz w:val="22"/>
          <w:szCs w:val="22"/>
        </w:rPr>
        <w:t>in</w:t>
      </w:r>
      <w:r w:rsidRPr="00AB7916">
        <w:rPr>
          <w:rFonts w:ascii="Segoe UI" w:hAnsi="Segoe UI" w:cs="Segoe UI"/>
          <w:sz w:val="22"/>
          <w:szCs w:val="22"/>
        </w:rPr>
        <w:t xml:space="preserve"> the banking system in Israel. The purpose of this survey is to obtain direct and </w:t>
      </w:r>
      <w:r>
        <w:rPr>
          <w:rFonts w:ascii="Segoe UI" w:hAnsi="Segoe UI" w:cs="Segoe UI"/>
          <w:sz w:val="22"/>
          <w:szCs w:val="22"/>
        </w:rPr>
        <w:t>current</w:t>
      </w:r>
      <w:r w:rsidRPr="00AB7916">
        <w:rPr>
          <w:rFonts w:ascii="Segoe UI" w:hAnsi="Segoe UI" w:cs="Segoe UI"/>
          <w:sz w:val="22"/>
          <w:szCs w:val="22"/>
        </w:rPr>
        <w:t xml:space="preserve"> qualitative information from banking corporations about developments in the credit market in Israel. This information will contribute to a deeper understanding of credit market trends, aiding the decision-making processes at the Bank of Israel, including interest rate discussions, risk assessments in the financial system, credit accessibility, and more.</w:t>
      </w:r>
    </w:p>
    <w:p w14:paraId="749017E8" w14:textId="77777777" w:rsidR="00DC05C1" w:rsidRPr="00AB7916" w:rsidRDefault="00DC05C1" w:rsidP="00DC05C1">
      <w:pPr>
        <w:spacing w:before="100" w:beforeAutospacing="1" w:after="100" w:afterAutospacing="1"/>
        <w:jc w:val="both"/>
        <w:outlineLvl w:val="2"/>
        <w:rPr>
          <w:rFonts w:ascii="Segoe UI" w:hAnsi="Segoe UI" w:cs="Segoe UI"/>
          <w:b/>
          <w:bCs/>
          <w:sz w:val="22"/>
          <w:szCs w:val="22"/>
        </w:rPr>
      </w:pPr>
      <w:r w:rsidRPr="00AB7916">
        <w:rPr>
          <w:rFonts w:ascii="Segoe UI" w:hAnsi="Segoe UI" w:cs="Segoe UI"/>
          <w:b/>
          <w:bCs/>
          <w:sz w:val="22"/>
          <w:szCs w:val="22"/>
        </w:rPr>
        <w:t>Survey Format</w:t>
      </w:r>
    </w:p>
    <w:p w14:paraId="56F2039C" w14:textId="22BAEE82" w:rsidR="00DC05C1" w:rsidRDefault="00DC05C1" w:rsidP="00DC05C1">
      <w:pPr>
        <w:spacing w:before="100" w:beforeAutospacing="1" w:after="100" w:afterAutospacing="1"/>
        <w:jc w:val="both"/>
        <w:rPr>
          <w:rFonts w:ascii="Segoe UI" w:hAnsi="Segoe UI" w:cs="Segoe UI"/>
          <w:sz w:val="22"/>
          <w:szCs w:val="22"/>
        </w:rPr>
      </w:pPr>
      <w:r w:rsidRPr="00AB7916">
        <w:rPr>
          <w:rFonts w:ascii="Segoe UI" w:hAnsi="Segoe UI" w:cs="Segoe UI"/>
          <w:sz w:val="22"/>
          <w:szCs w:val="22"/>
        </w:rPr>
        <w:t xml:space="preserve">The format of the Credit Officers Survey is based on similar surveys conducted by leading central banks worldwide, including the Federal Reserve, the European Central Bank, the Bank of England, and others. The survey is conducted quarterly and contains 22 questions addressing various aspects of household credit for housing and consumer </w:t>
      </w:r>
      <w:r>
        <w:rPr>
          <w:rFonts w:ascii="Segoe UI" w:hAnsi="Segoe UI" w:cs="Segoe UI"/>
          <w:sz w:val="22"/>
          <w:szCs w:val="22"/>
        </w:rPr>
        <w:t>purposes</w:t>
      </w:r>
      <w:r w:rsidRPr="00AB7916">
        <w:rPr>
          <w:rFonts w:ascii="Segoe UI" w:hAnsi="Segoe UI" w:cs="Segoe UI"/>
          <w:sz w:val="22"/>
          <w:szCs w:val="22"/>
        </w:rPr>
        <w:t xml:space="preserve">, as well as business credit categorized by business size, with special attention to credit in the construction and real estate </w:t>
      </w:r>
      <w:r>
        <w:rPr>
          <w:rFonts w:ascii="Segoe UI" w:hAnsi="Segoe UI" w:cs="Segoe UI"/>
          <w:sz w:val="22"/>
          <w:szCs w:val="22"/>
        </w:rPr>
        <w:t>industries</w:t>
      </w:r>
      <w:r w:rsidRPr="00AB7916">
        <w:rPr>
          <w:rFonts w:ascii="Segoe UI" w:hAnsi="Segoe UI" w:cs="Segoe UI"/>
          <w:sz w:val="22"/>
          <w:szCs w:val="22"/>
        </w:rPr>
        <w:t>. The questions in the survey pertain to actual developments in the last quarter and the banks</w:t>
      </w:r>
      <w:r w:rsidR="006A34D5">
        <w:rPr>
          <w:rFonts w:ascii="Segoe UI" w:hAnsi="Segoe UI" w:cs="Segoe UI"/>
          <w:sz w:val="22"/>
          <w:szCs w:val="22"/>
        </w:rPr>
        <w:t>’</w:t>
      </w:r>
      <w:r w:rsidRPr="00AB7916">
        <w:rPr>
          <w:rFonts w:ascii="Segoe UI" w:hAnsi="Segoe UI" w:cs="Segoe UI"/>
          <w:sz w:val="22"/>
          <w:szCs w:val="22"/>
        </w:rPr>
        <w:t xml:space="preserve"> expectations for the upcoming quarter, covering areas such as credit provision policies, credit terms </w:t>
      </w:r>
      <w:r w:rsidR="0076212D">
        <w:rPr>
          <w:rFonts w:ascii="Segoe UI" w:hAnsi="Segoe UI" w:cs="Segoe UI"/>
          <w:sz w:val="22"/>
          <w:szCs w:val="22"/>
        </w:rPr>
        <w:t xml:space="preserve">and conditions </w:t>
      </w:r>
      <w:r w:rsidRPr="00AB7916">
        <w:rPr>
          <w:rFonts w:ascii="Segoe UI" w:hAnsi="Segoe UI" w:cs="Segoe UI"/>
          <w:sz w:val="22"/>
          <w:szCs w:val="22"/>
        </w:rPr>
        <w:t>offered, and the demand for credit from the banking system. Additionally, it addresses factors influencing the supply and demand for credit.</w:t>
      </w:r>
    </w:p>
    <w:p w14:paraId="42CED030" w14:textId="77777777" w:rsidR="002070FB" w:rsidRPr="00B73AB9" w:rsidRDefault="002070FB" w:rsidP="002070FB">
      <w:pPr>
        <w:rPr>
          <w:rFonts w:ascii="Segoe UI" w:hAnsi="Segoe UI" w:cs="Segoe UI"/>
          <w:sz w:val="22"/>
          <w:szCs w:val="22"/>
        </w:rPr>
      </w:pPr>
      <w:r w:rsidRPr="00B73AB9">
        <w:rPr>
          <w:rFonts w:ascii="Segoe UI" w:hAnsi="Segoe UI" w:cs="Segoe UI"/>
          <w:sz w:val="22"/>
          <w:szCs w:val="22"/>
        </w:rPr>
        <w:t>The survey was sent to all the banking corporations in Israel (10 banks), and it was filled out by the banks' credit departments.</w:t>
      </w:r>
    </w:p>
    <w:p w14:paraId="785CB389" w14:textId="77777777" w:rsidR="002070FB" w:rsidRPr="002070FB" w:rsidRDefault="002070FB" w:rsidP="00B73AB9">
      <w:pPr>
        <w:pStyle w:val="regpar"/>
        <w:rPr>
          <w:rFonts w:ascii="Segoe UI" w:hAnsi="Segoe UI" w:cs="Segoe UI"/>
          <w:sz w:val="22"/>
          <w:szCs w:val="22"/>
        </w:rPr>
      </w:pPr>
    </w:p>
    <w:p w14:paraId="1D8159E8" w14:textId="77777777" w:rsidR="00DC05C1" w:rsidRPr="00AB7916" w:rsidRDefault="00DC05C1" w:rsidP="00DC05C1">
      <w:pPr>
        <w:spacing w:before="100" w:beforeAutospacing="1" w:after="100" w:afterAutospacing="1"/>
        <w:jc w:val="both"/>
        <w:outlineLvl w:val="2"/>
        <w:rPr>
          <w:rFonts w:ascii="Segoe UI" w:hAnsi="Segoe UI" w:cs="Segoe UI"/>
          <w:b/>
          <w:bCs/>
          <w:sz w:val="22"/>
          <w:szCs w:val="22"/>
        </w:rPr>
      </w:pPr>
      <w:r w:rsidRPr="00AB7916">
        <w:rPr>
          <w:rFonts w:ascii="Segoe UI" w:hAnsi="Segoe UI" w:cs="Segoe UI"/>
          <w:b/>
          <w:bCs/>
          <w:sz w:val="22"/>
          <w:szCs w:val="22"/>
        </w:rPr>
        <w:t>Key Findings</w:t>
      </w:r>
    </w:p>
    <w:p w14:paraId="0662D1C8" w14:textId="0E547477" w:rsidR="00DC05C1" w:rsidRPr="00AB7916" w:rsidRDefault="00DC05C1" w:rsidP="009D7071">
      <w:pPr>
        <w:spacing w:before="100" w:beforeAutospacing="1" w:after="100" w:afterAutospacing="1"/>
        <w:jc w:val="both"/>
        <w:rPr>
          <w:rFonts w:ascii="Segoe UI" w:hAnsi="Segoe UI" w:cs="Segoe UI"/>
          <w:sz w:val="22"/>
          <w:szCs w:val="22"/>
        </w:rPr>
      </w:pPr>
      <w:r w:rsidRPr="00AB7916">
        <w:rPr>
          <w:rFonts w:ascii="Segoe UI" w:hAnsi="Segoe UI" w:cs="Segoe UI"/>
          <w:sz w:val="22"/>
          <w:szCs w:val="22"/>
        </w:rPr>
        <w:t xml:space="preserve">The findings published here are aggregated and pertain to </w:t>
      </w:r>
      <w:r w:rsidR="009D7071">
        <w:rPr>
          <w:rFonts w:ascii="Segoe UI" w:hAnsi="Segoe UI" w:cs="Segoe UI"/>
          <w:sz w:val="22"/>
          <w:szCs w:val="22"/>
        </w:rPr>
        <w:t>the</w:t>
      </w:r>
      <w:r w:rsidRPr="00AB7916">
        <w:rPr>
          <w:rFonts w:ascii="Segoe UI" w:hAnsi="Segoe UI" w:cs="Segoe UI"/>
          <w:sz w:val="22"/>
          <w:szCs w:val="22"/>
        </w:rPr>
        <w:t xml:space="preserve"> banking corporations</w:t>
      </w:r>
      <w:r w:rsidR="009D7071">
        <w:rPr>
          <w:rFonts w:ascii="Segoe UI" w:hAnsi="Segoe UI" w:cs="Segoe UI"/>
          <w:sz w:val="22"/>
          <w:szCs w:val="22"/>
        </w:rPr>
        <w:t xml:space="preserve"> as a whole</w:t>
      </w:r>
      <w:r w:rsidRPr="00AB7916">
        <w:rPr>
          <w:rFonts w:ascii="Segoe UI" w:hAnsi="Segoe UI" w:cs="Segoe UI"/>
          <w:sz w:val="22"/>
          <w:szCs w:val="22"/>
        </w:rPr>
        <w:t>. They are presented using weighted net balances</w:t>
      </w:r>
      <w:r w:rsidR="009D7071">
        <w:rPr>
          <w:rStyle w:val="FootnoteReference"/>
          <w:rFonts w:ascii="Segoe UI" w:hAnsi="Segoe UI" w:cs="Segoe UI"/>
        </w:rPr>
        <w:footnoteReference w:id="1"/>
      </w:r>
      <w:r w:rsidRPr="00AB7916">
        <w:rPr>
          <w:rFonts w:ascii="Segoe UI" w:hAnsi="Segoe UI" w:cs="Segoe UI"/>
          <w:sz w:val="22"/>
          <w:szCs w:val="22"/>
        </w:rPr>
        <w:t xml:space="preserve">, summarizing the change that </w:t>
      </w:r>
      <w:r w:rsidRPr="00AB7916">
        <w:rPr>
          <w:rFonts w:ascii="Segoe UI" w:hAnsi="Segoe UI" w:cs="Segoe UI"/>
          <w:sz w:val="22"/>
          <w:szCs w:val="22"/>
        </w:rPr>
        <w:lastRenderedPageBreak/>
        <w:t>occurred in the surveyed quarter compared to the previous quarter, or the expected change in the upcoming quarter compared to the surveyed quarter. The data in the survey were collected from banking corporations during the second half of March 2025.</w:t>
      </w:r>
    </w:p>
    <w:p w14:paraId="1A0F76F1" w14:textId="77777777" w:rsidR="009D7071" w:rsidRDefault="00DC05C1" w:rsidP="009D7071">
      <w:pPr>
        <w:pStyle w:val="ListParagraph"/>
        <w:numPr>
          <w:ilvl w:val="0"/>
          <w:numId w:val="19"/>
        </w:numPr>
        <w:spacing w:before="100" w:beforeAutospacing="1" w:after="100" w:afterAutospacing="1"/>
        <w:jc w:val="both"/>
        <w:rPr>
          <w:rFonts w:ascii="Segoe UI" w:hAnsi="Segoe UI" w:cs="Segoe UI"/>
          <w:sz w:val="22"/>
          <w:szCs w:val="22"/>
        </w:rPr>
      </w:pPr>
      <w:r w:rsidRPr="009D7071">
        <w:rPr>
          <w:rFonts w:ascii="Segoe UI" w:hAnsi="Segoe UI" w:cs="Segoe UI"/>
          <w:sz w:val="22"/>
          <w:szCs w:val="22"/>
        </w:rPr>
        <w:t>In the first quarter of the year, the growth of demand for credit among micro and small businesses</w:t>
      </w:r>
      <w:r w:rsidR="009D7071">
        <w:rPr>
          <w:rFonts w:ascii="Segoe UI" w:hAnsi="Segoe UI" w:cs="Segoe UI"/>
          <w:sz w:val="22"/>
          <w:szCs w:val="22"/>
        </w:rPr>
        <w:t xml:space="preserve"> moderated</w:t>
      </w:r>
      <w:r w:rsidRPr="009D7071">
        <w:rPr>
          <w:rFonts w:ascii="Segoe UI" w:hAnsi="Segoe UI" w:cs="Segoe UI"/>
          <w:sz w:val="22"/>
          <w:szCs w:val="22"/>
        </w:rPr>
        <w:t>, with an expectation of increased demand in the next quarter.</w:t>
      </w:r>
    </w:p>
    <w:p w14:paraId="29C802CD" w14:textId="77777777" w:rsidR="009D7071" w:rsidRDefault="00DC05C1" w:rsidP="009D7071">
      <w:pPr>
        <w:pStyle w:val="ListParagraph"/>
        <w:numPr>
          <w:ilvl w:val="0"/>
          <w:numId w:val="19"/>
        </w:numPr>
        <w:spacing w:before="100" w:beforeAutospacing="1" w:after="100" w:afterAutospacing="1"/>
        <w:jc w:val="both"/>
        <w:rPr>
          <w:rFonts w:ascii="Segoe UI" w:hAnsi="Segoe UI" w:cs="Segoe UI"/>
          <w:sz w:val="22"/>
          <w:szCs w:val="22"/>
        </w:rPr>
      </w:pPr>
      <w:r w:rsidRPr="009D7071">
        <w:rPr>
          <w:rFonts w:ascii="Segoe UI" w:hAnsi="Segoe UI" w:cs="Segoe UI"/>
          <w:sz w:val="22"/>
          <w:szCs w:val="22"/>
        </w:rPr>
        <w:t xml:space="preserve">The </w:t>
      </w:r>
      <w:r w:rsidR="009D7071">
        <w:rPr>
          <w:rFonts w:ascii="Segoe UI" w:hAnsi="Segoe UI" w:cs="Segoe UI"/>
          <w:sz w:val="22"/>
          <w:szCs w:val="22"/>
        </w:rPr>
        <w:t>expectation is that</w:t>
      </w:r>
      <w:r w:rsidRPr="009D7071">
        <w:rPr>
          <w:rFonts w:ascii="Segoe UI" w:hAnsi="Segoe UI" w:cs="Segoe UI"/>
          <w:sz w:val="22"/>
          <w:szCs w:val="22"/>
        </w:rPr>
        <w:t xml:space="preserve"> demand for credit in the real estate </w:t>
      </w:r>
      <w:r w:rsidR="009D7071">
        <w:rPr>
          <w:rFonts w:ascii="Segoe UI" w:hAnsi="Segoe UI" w:cs="Segoe UI"/>
          <w:sz w:val="22"/>
          <w:szCs w:val="22"/>
        </w:rPr>
        <w:t>industry will decline</w:t>
      </w:r>
      <w:r w:rsidRPr="009D7071">
        <w:rPr>
          <w:rFonts w:ascii="Segoe UI" w:hAnsi="Segoe UI" w:cs="Segoe UI"/>
          <w:sz w:val="22"/>
          <w:szCs w:val="22"/>
        </w:rPr>
        <w:t xml:space="preserve"> and </w:t>
      </w:r>
      <w:r w:rsidR="009D7071">
        <w:rPr>
          <w:rFonts w:ascii="Segoe UI" w:hAnsi="Segoe UI" w:cs="Segoe UI"/>
          <w:sz w:val="22"/>
          <w:szCs w:val="22"/>
        </w:rPr>
        <w:t>demand</w:t>
      </w:r>
      <w:r w:rsidRPr="009D7071">
        <w:rPr>
          <w:rFonts w:ascii="Segoe UI" w:hAnsi="Segoe UI" w:cs="Segoe UI"/>
          <w:sz w:val="22"/>
          <w:szCs w:val="22"/>
        </w:rPr>
        <w:t xml:space="preserve"> in the construction </w:t>
      </w:r>
      <w:r w:rsidR="009D7071">
        <w:rPr>
          <w:rFonts w:ascii="Segoe UI" w:hAnsi="Segoe UI" w:cs="Segoe UI"/>
          <w:sz w:val="22"/>
          <w:szCs w:val="22"/>
        </w:rPr>
        <w:t>industry</w:t>
      </w:r>
      <w:r w:rsidRPr="009D7071">
        <w:rPr>
          <w:rFonts w:ascii="Segoe UI" w:hAnsi="Segoe UI" w:cs="Segoe UI"/>
          <w:sz w:val="22"/>
          <w:szCs w:val="22"/>
        </w:rPr>
        <w:t xml:space="preserve"> </w:t>
      </w:r>
      <w:r w:rsidR="009D7071">
        <w:rPr>
          <w:rFonts w:ascii="Segoe UI" w:hAnsi="Segoe UI" w:cs="Segoe UI"/>
          <w:sz w:val="22"/>
          <w:szCs w:val="22"/>
        </w:rPr>
        <w:t xml:space="preserve">will increase </w:t>
      </w:r>
      <w:r w:rsidRPr="009D7071">
        <w:rPr>
          <w:rFonts w:ascii="Segoe UI" w:hAnsi="Segoe UI" w:cs="Segoe UI"/>
          <w:sz w:val="22"/>
          <w:szCs w:val="22"/>
        </w:rPr>
        <w:t xml:space="preserve">in the second quarter. </w:t>
      </w:r>
    </w:p>
    <w:p w14:paraId="43BC6FA0" w14:textId="77777777" w:rsidR="00C97EAE" w:rsidRDefault="009D7071" w:rsidP="00C97EAE">
      <w:pPr>
        <w:pStyle w:val="ListParagraph"/>
        <w:numPr>
          <w:ilvl w:val="0"/>
          <w:numId w:val="19"/>
        </w:numPr>
        <w:spacing w:before="100" w:beforeAutospacing="1" w:after="100" w:afterAutospacing="1"/>
        <w:jc w:val="both"/>
        <w:rPr>
          <w:rFonts w:ascii="Segoe UI" w:hAnsi="Segoe UI" w:cs="Segoe UI"/>
          <w:sz w:val="22"/>
          <w:szCs w:val="22"/>
        </w:rPr>
      </w:pPr>
      <w:r>
        <w:rPr>
          <w:rFonts w:ascii="Segoe UI" w:hAnsi="Segoe UI" w:cs="Segoe UI"/>
          <w:sz w:val="22"/>
          <w:szCs w:val="22"/>
        </w:rPr>
        <w:t>D</w:t>
      </w:r>
      <w:r w:rsidR="00DC05C1" w:rsidRPr="009D7071">
        <w:rPr>
          <w:rFonts w:ascii="Segoe UI" w:hAnsi="Segoe UI" w:cs="Segoe UI"/>
          <w:sz w:val="22"/>
          <w:szCs w:val="22"/>
        </w:rPr>
        <w:t>emand for consumer credit and housing credit</w:t>
      </w:r>
      <w:r>
        <w:rPr>
          <w:rFonts w:ascii="Segoe UI" w:hAnsi="Segoe UI" w:cs="Segoe UI"/>
          <w:sz w:val="22"/>
          <w:szCs w:val="22"/>
        </w:rPr>
        <w:t xml:space="preserve"> increased in the first quarter</w:t>
      </w:r>
      <w:r w:rsidR="00DC05C1" w:rsidRPr="009D7071">
        <w:rPr>
          <w:rFonts w:ascii="Segoe UI" w:hAnsi="Segoe UI" w:cs="Segoe UI"/>
          <w:sz w:val="22"/>
          <w:szCs w:val="22"/>
        </w:rPr>
        <w:t xml:space="preserve">. The expectation is for continued growth in demand for consumer credit and stabilization in </w:t>
      </w:r>
      <w:r w:rsidR="00C97EAE">
        <w:rPr>
          <w:rFonts w:ascii="Segoe UI" w:hAnsi="Segoe UI" w:cs="Segoe UI"/>
          <w:sz w:val="22"/>
          <w:szCs w:val="22"/>
        </w:rPr>
        <w:t xml:space="preserve">demand for </w:t>
      </w:r>
      <w:r w:rsidR="00DC05C1" w:rsidRPr="009D7071">
        <w:rPr>
          <w:rFonts w:ascii="Segoe UI" w:hAnsi="Segoe UI" w:cs="Segoe UI"/>
          <w:sz w:val="22"/>
          <w:szCs w:val="22"/>
        </w:rPr>
        <w:t xml:space="preserve">housing credit in the second quarter. </w:t>
      </w:r>
    </w:p>
    <w:p w14:paraId="7E25452A" w14:textId="77777777" w:rsidR="00C97EAE" w:rsidRDefault="00DC05C1" w:rsidP="00C97EAE">
      <w:pPr>
        <w:pStyle w:val="ListParagraph"/>
        <w:numPr>
          <w:ilvl w:val="0"/>
          <w:numId w:val="19"/>
        </w:numPr>
        <w:spacing w:before="100" w:beforeAutospacing="1" w:after="100" w:afterAutospacing="1"/>
        <w:jc w:val="both"/>
        <w:rPr>
          <w:rFonts w:ascii="Segoe UI" w:hAnsi="Segoe UI" w:cs="Segoe UI"/>
          <w:sz w:val="22"/>
          <w:szCs w:val="22"/>
        </w:rPr>
      </w:pPr>
      <w:r w:rsidRPr="009D7071">
        <w:rPr>
          <w:rFonts w:ascii="Segoe UI" w:hAnsi="Segoe UI" w:cs="Segoe UI"/>
          <w:sz w:val="22"/>
          <w:szCs w:val="22"/>
        </w:rPr>
        <w:t xml:space="preserve">In the first quarter of the year, there was an increase in the </w:t>
      </w:r>
      <w:r w:rsidR="00C97EAE">
        <w:rPr>
          <w:rFonts w:ascii="Segoe UI" w:hAnsi="Segoe UI" w:cs="Segoe UI"/>
          <w:sz w:val="22"/>
          <w:szCs w:val="22"/>
        </w:rPr>
        <w:t>hardening</w:t>
      </w:r>
      <w:r w:rsidRPr="009D7071">
        <w:rPr>
          <w:rFonts w:ascii="Segoe UI" w:hAnsi="Segoe UI" w:cs="Segoe UI"/>
          <w:sz w:val="22"/>
          <w:szCs w:val="22"/>
        </w:rPr>
        <w:t xml:space="preserve"> of </w:t>
      </w:r>
      <w:r w:rsidR="00C97EAE">
        <w:rPr>
          <w:rFonts w:ascii="Segoe UI" w:hAnsi="Segoe UI" w:cs="Segoe UI"/>
          <w:sz w:val="22"/>
          <w:szCs w:val="22"/>
        </w:rPr>
        <w:t>margins</w:t>
      </w:r>
      <w:r w:rsidRPr="009D7071">
        <w:rPr>
          <w:rFonts w:ascii="Segoe UI" w:hAnsi="Segoe UI" w:cs="Segoe UI"/>
          <w:sz w:val="22"/>
          <w:szCs w:val="22"/>
        </w:rPr>
        <w:t xml:space="preserve"> (increase in </w:t>
      </w:r>
      <w:r w:rsidR="00C97EAE">
        <w:rPr>
          <w:rFonts w:ascii="Segoe UI" w:hAnsi="Segoe UI" w:cs="Segoe UI"/>
          <w:sz w:val="22"/>
          <w:szCs w:val="22"/>
        </w:rPr>
        <w:t>margins</w:t>
      </w:r>
      <w:r w:rsidRPr="009D7071">
        <w:rPr>
          <w:rFonts w:ascii="Segoe UI" w:hAnsi="Segoe UI" w:cs="Segoe UI"/>
          <w:sz w:val="22"/>
          <w:szCs w:val="22"/>
        </w:rPr>
        <w:t xml:space="preserve">) in high-risk housing credit. </w:t>
      </w:r>
    </w:p>
    <w:p w14:paraId="0BA6D856" w14:textId="78950AA8" w:rsidR="00C97EAE" w:rsidRDefault="00DC05C1" w:rsidP="00C97EAE">
      <w:pPr>
        <w:pStyle w:val="ListParagraph"/>
        <w:numPr>
          <w:ilvl w:val="0"/>
          <w:numId w:val="19"/>
        </w:numPr>
        <w:spacing w:before="100" w:beforeAutospacing="1" w:after="100" w:afterAutospacing="1"/>
        <w:jc w:val="both"/>
        <w:rPr>
          <w:rFonts w:ascii="Segoe UI" w:hAnsi="Segoe UI" w:cs="Segoe UI"/>
          <w:sz w:val="22"/>
          <w:szCs w:val="22"/>
        </w:rPr>
      </w:pPr>
      <w:r w:rsidRPr="009D7071">
        <w:rPr>
          <w:rFonts w:ascii="Segoe UI" w:hAnsi="Segoe UI" w:cs="Segoe UI"/>
          <w:sz w:val="22"/>
          <w:szCs w:val="22"/>
        </w:rPr>
        <w:t xml:space="preserve">There </w:t>
      </w:r>
      <w:proofErr w:type="gramStart"/>
      <w:r w:rsidRPr="009D7071">
        <w:rPr>
          <w:rFonts w:ascii="Segoe UI" w:hAnsi="Segoe UI" w:cs="Segoe UI"/>
          <w:sz w:val="22"/>
          <w:szCs w:val="22"/>
        </w:rPr>
        <w:t>was continued</w:t>
      </w:r>
      <w:proofErr w:type="gramEnd"/>
      <w:r w:rsidRPr="009D7071">
        <w:rPr>
          <w:rFonts w:ascii="Segoe UI" w:hAnsi="Segoe UI" w:cs="Segoe UI"/>
          <w:sz w:val="22"/>
          <w:szCs w:val="22"/>
        </w:rPr>
        <w:t xml:space="preserve"> easing in credit terms </w:t>
      </w:r>
      <w:r w:rsidR="00591282">
        <w:rPr>
          <w:rFonts w:ascii="Segoe UI" w:hAnsi="Segoe UI" w:cs="Segoe UI"/>
          <w:sz w:val="22"/>
          <w:szCs w:val="22"/>
        </w:rPr>
        <w:t xml:space="preserve">and conditions </w:t>
      </w:r>
      <w:r w:rsidRPr="009D7071">
        <w:rPr>
          <w:rFonts w:ascii="Segoe UI" w:hAnsi="Segoe UI" w:cs="Segoe UI"/>
          <w:sz w:val="22"/>
          <w:szCs w:val="22"/>
        </w:rPr>
        <w:t xml:space="preserve">across most </w:t>
      </w:r>
      <w:r w:rsidR="00C97EAE">
        <w:rPr>
          <w:rFonts w:ascii="Segoe UI" w:hAnsi="Segoe UI" w:cs="Segoe UI"/>
          <w:sz w:val="22"/>
          <w:szCs w:val="22"/>
        </w:rPr>
        <w:t>segments</w:t>
      </w:r>
      <w:r w:rsidRPr="009D7071">
        <w:rPr>
          <w:rFonts w:ascii="Segoe UI" w:hAnsi="Segoe UI" w:cs="Segoe UI"/>
          <w:sz w:val="22"/>
          <w:szCs w:val="22"/>
        </w:rPr>
        <w:t xml:space="preserve">, mainly reflected in </w:t>
      </w:r>
      <w:r w:rsidR="00C97EAE">
        <w:rPr>
          <w:rFonts w:ascii="Segoe UI" w:hAnsi="Segoe UI" w:cs="Segoe UI"/>
          <w:sz w:val="22"/>
          <w:szCs w:val="22"/>
        </w:rPr>
        <w:t>the margins in</w:t>
      </w:r>
      <w:r w:rsidRPr="009D7071">
        <w:rPr>
          <w:rFonts w:ascii="Segoe UI" w:hAnsi="Segoe UI" w:cs="Segoe UI"/>
          <w:sz w:val="22"/>
          <w:szCs w:val="22"/>
        </w:rPr>
        <w:t xml:space="preserve"> non-risky credit. </w:t>
      </w:r>
    </w:p>
    <w:p w14:paraId="1816977D" w14:textId="37A578A9" w:rsidR="00DC05C1" w:rsidRPr="009D7071" w:rsidRDefault="00DC05C1" w:rsidP="00C97EAE">
      <w:pPr>
        <w:pStyle w:val="ListParagraph"/>
        <w:numPr>
          <w:ilvl w:val="0"/>
          <w:numId w:val="19"/>
        </w:numPr>
        <w:spacing w:before="100" w:beforeAutospacing="1" w:after="100" w:afterAutospacing="1"/>
        <w:jc w:val="both"/>
        <w:rPr>
          <w:rFonts w:ascii="Segoe UI" w:hAnsi="Segoe UI" w:cs="Segoe UI"/>
          <w:sz w:val="22"/>
          <w:szCs w:val="22"/>
        </w:rPr>
      </w:pPr>
      <w:r w:rsidRPr="009D7071">
        <w:rPr>
          <w:rFonts w:ascii="Segoe UI" w:hAnsi="Segoe UI" w:cs="Segoe UI"/>
          <w:sz w:val="22"/>
          <w:szCs w:val="22"/>
        </w:rPr>
        <w:t xml:space="preserve">Competition in the credit market and high capital ratios were the main factors contributing to the easing of </w:t>
      </w:r>
      <w:r w:rsidR="00C97EAE">
        <w:rPr>
          <w:rFonts w:ascii="Segoe UI" w:hAnsi="Segoe UI" w:cs="Segoe UI"/>
          <w:sz w:val="22"/>
          <w:szCs w:val="22"/>
        </w:rPr>
        <w:t>margins</w:t>
      </w:r>
      <w:r w:rsidRPr="009D7071">
        <w:rPr>
          <w:rFonts w:ascii="Segoe UI" w:hAnsi="Segoe UI" w:cs="Segoe UI"/>
          <w:sz w:val="22"/>
          <w:szCs w:val="22"/>
        </w:rPr>
        <w:t>.</w:t>
      </w:r>
    </w:p>
    <w:p w14:paraId="35BE41DF" w14:textId="457BB761" w:rsidR="00DC05C1" w:rsidRPr="00AB7916" w:rsidRDefault="00C97EAE" w:rsidP="00DC05C1">
      <w:pPr>
        <w:spacing w:before="100" w:beforeAutospacing="1" w:after="100" w:afterAutospacing="1"/>
        <w:jc w:val="both"/>
        <w:outlineLvl w:val="3"/>
        <w:rPr>
          <w:rFonts w:ascii="Segoe UI" w:hAnsi="Segoe UI" w:cs="Segoe UI"/>
          <w:b/>
          <w:bCs/>
          <w:sz w:val="22"/>
          <w:szCs w:val="22"/>
        </w:rPr>
      </w:pPr>
      <w:proofErr w:type="gramStart"/>
      <w:r>
        <w:rPr>
          <w:rFonts w:ascii="Segoe UI" w:hAnsi="Segoe UI" w:cs="Segoe UI"/>
          <w:b/>
          <w:bCs/>
          <w:sz w:val="22"/>
          <w:szCs w:val="22"/>
        </w:rPr>
        <w:t>a</w:t>
      </w:r>
      <w:proofErr w:type="gramEnd"/>
      <w:r w:rsidR="00DC05C1" w:rsidRPr="00AB7916">
        <w:rPr>
          <w:rFonts w:ascii="Segoe UI" w:hAnsi="Segoe UI" w:cs="Segoe UI"/>
          <w:b/>
          <w:bCs/>
          <w:sz w:val="22"/>
          <w:szCs w:val="22"/>
        </w:rPr>
        <w:t>. Demand for Credit</w:t>
      </w:r>
    </w:p>
    <w:p w14:paraId="5EF1C8F9" w14:textId="7EFB58D0" w:rsidR="00DC05C1" w:rsidRDefault="00DC05C1" w:rsidP="006A34D5">
      <w:pPr>
        <w:spacing w:before="100" w:beforeAutospacing="1" w:after="100" w:afterAutospacing="1"/>
        <w:jc w:val="both"/>
        <w:rPr>
          <w:rFonts w:ascii="Segoe UI" w:hAnsi="Segoe UI" w:cs="Segoe UI"/>
          <w:sz w:val="22"/>
          <w:szCs w:val="22"/>
        </w:rPr>
      </w:pPr>
      <w:r w:rsidRPr="00AB7916">
        <w:rPr>
          <w:rFonts w:ascii="Segoe UI" w:hAnsi="Segoe UI" w:cs="Segoe UI"/>
          <w:sz w:val="22"/>
          <w:szCs w:val="22"/>
        </w:rPr>
        <w:t>The demand for consumer credit and housing credit increased in the first quarter of 2025, with expectations for continued growth in</w:t>
      </w:r>
      <w:r w:rsidR="00C97EAE">
        <w:rPr>
          <w:rFonts w:ascii="Segoe UI" w:hAnsi="Segoe UI" w:cs="Segoe UI"/>
          <w:sz w:val="22"/>
          <w:szCs w:val="22"/>
        </w:rPr>
        <w:t xml:space="preserve"> demand for</w:t>
      </w:r>
      <w:r w:rsidRPr="00AB7916">
        <w:rPr>
          <w:rFonts w:ascii="Segoe UI" w:hAnsi="Segoe UI" w:cs="Segoe UI"/>
          <w:sz w:val="22"/>
          <w:szCs w:val="22"/>
        </w:rPr>
        <w:t xml:space="preserve"> consumer credit and stabilization in </w:t>
      </w:r>
      <w:r w:rsidR="00C97EAE">
        <w:rPr>
          <w:rFonts w:ascii="Segoe UI" w:hAnsi="Segoe UI" w:cs="Segoe UI"/>
          <w:sz w:val="22"/>
          <w:szCs w:val="22"/>
        </w:rPr>
        <w:t xml:space="preserve">demand for </w:t>
      </w:r>
      <w:r w:rsidRPr="00AB7916">
        <w:rPr>
          <w:rFonts w:ascii="Segoe UI" w:hAnsi="Segoe UI" w:cs="Segoe UI"/>
          <w:sz w:val="22"/>
          <w:szCs w:val="22"/>
        </w:rPr>
        <w:t xml:space="preserve">housing credit in the next quarter. In the business </w:t>
      </w:r>
      <w:r w:rsidR="00C97EAE">
        <w:rPr>
          <w:rFonts w:ascii="Segoe UI" w:hAnsi="Segoe UI" w:cs="Segoe UI"/>
          <w:sz w:val="22"/>
          <w:szCs w:val="22"/>
        </w:rPr>
        <w:t>segment</w:t>
      </w:r>
      <w:r w:rsidRPr="00AB7916">
        <w:rPr>
          <w:rFonts w:ascii="Segoe UI" w:hAnsi="Segoe UI" w:cs="Segoe UI"/>
          <w:sz w:val="22"/>
          <w:szCs w:val="22"/>
        </w:rPr>
        <w:t xml:space="preserve">, the growth </w:t>
      </w:r>
      <w:r w:rsidR="006A34D5">
        <w:rPr>
          <w:rFonts w:ascii="Segoe UI" w:hAnsi="Segoe UI" w:cs="Segoe UI"/>
          <w:sz w:val="22"/>
          <w:szCs w:val="22"/>
        </w:rPr>
        <w:t>in</w:t>
      </w:r>
      <w:r w:rsidRPr="00AB7916">
        <w:rPr>
          <w:rFonts w:ascii="Segoe UI" w:hAnsi="Segoe UI" w:cs="Segoe UI"/>
          <w:sz w:val="22"/>
          <w:szCs w:val="22"/>
        </w:rPr>
        <w:t xml:space="preserve"> demand for credit among small and micro businesses</w:t>
      </w:r>
      <w:r w:rsidR="006A34D5">
        <w:rPr>
          <w:rFonts w:ascii="Segoe UI" w:hAnsi="Segoe UI" w:cs="Segoe UI"/>
          <w:sz w:val="22"/>
          <w:szCs w:val="22"/>
        </w:rPr>
        <w:t xml:space="preserve"> moderated</w:t>
      </w:r>
      <w:r w:rsidRPr="00AB7916">
        <w:rPr>
          <w:rFonts w:ascii="Segoe UI" w:hAnsi="Segoe UI" w:cs="Segoe UI"/>
          <w:sz w:val="22"/>
          <w:szCs w:val="22"/>
        </w:rPr>
        <w:t xml:space="preserve">, with banks expecting a return to growth in the next quarter. Banks anticipate continued growth in demand for credit in the construction </w:t>
      </w:r>
      <w:r w:rsidR="006A34D5">
        <w:rPr>
          <w:rFonts w:ascii="Segoe UI" w:hAnsi="Segoe UI" w:cs="Segoe UI"/>
          <w:sz w:val="22"/>
          <w:szCs w:val="22"/>
        </w:rPr>
        <w:t>industry</w:t>
      </w:r>
      <w:r w:rsidRPr="00AB7916">
        <w:rPr>
          <w:rFonts w:ascii="Segoe UI" w:hAnsi="Segoe UI" w:cs="Segoe UI"/>
          <w:sz w:val="22"/>
          <w:szCs w:val="22"/>
        </w:rPr>
        <w:t xml:space="preserve"> and a </w:t>
      </w:r>
      <w:r w:rsidR="006A34D5">
        <w:rPr>
          <w:rFonts w:ascii="Segoe UI" w:hAnsi="Segoe UI" w:cs="Segoe UI"/>
          <w:sz w:val="22"/>
          <w:szCs w:val="22"/>
        </w:rPr>
        <w:t>decline</w:t>
      </w:r>
      <w:r w:rsidRPr="00AB7916">
        <w:rPr>
          <w:rFonts w:ascii="Segoe UI" w:hAnsi="Segoe UI" w:cs="Segoe UI"/>
          <w:sz w:val="22"/>
          <w:szCs w:val="22"/>
        </w:rPr>
        <w:t xml:space="preserve"> in the real estate </w:t>
      </w:r>
      <w:r w:rsidR="006A34D5">
        <w:rPr>
          <w:rFonts w:ascii="Segoe UI" w:hAnsi="Segoe UI" w:cs="Segoe UI"/>
          <w:sz w:val="22"/>
          <w:szCs w:val="22"/>
        </w:rPr>
        <w:t>industry</w:t>
      </w:r>
      <w:r w:rsidR="006A34D5">
        <w:rPr>
          <w:rStyle w:val="FootnoteReference"/>
          <w:rFonts w:ascii="Segoe UI" w:hAnsi="Segoe UI" w:cs="Segoe UI"/>
        </w:rPr>
        <w:footnoteReference w:id="2"/>
      </w:r>
      <w:r w:rsidRPr="00AB7916">
        <w:rPr>
          <w:rFonts w:ascii="Segoe UI" w:hAnsi="Segoe UI" w:cs="Segoe UI"/>
          <w:sz w:val="22"/>
          <w:szCs w:val="22"/>
        </w:rPr>
        <w:t xml:space="preserve"> in the second quarter </w:t>
      </w:r>
      <w:r w:rsidRPr="00C4454E">
        <w:rPr>
          <w:rFonts w:ascii="Segoe UI" w:hAnsi="Segoe UI" w:cs="Segoe UI"/>
          <w:sz w:val="22"/>
          <w:szCs w:val="22"/>
        </w:rPr>
        <w:t>(Figure 1)</w:t>
      </w:r>
      <w:r w:rsidRPr="00AB7916">
        <w:rPr>
          <w:rFonts w:ascii="Segoe UI" w:hAnsi="Segoe UI" w:cs="Segoe UI"/>
          <w:sz w:val="22"/>
          <w:szCs w:val="22"/>
        </w:rPr>
        <w:t>.</w:t>
      </w:r>
    </w:p>
    <w:p w14:paraId="5A4D84CF" w14:textId="1E39F053" w:rsidR="00C4454E" w:rsidRDefault="00B2410F" w:rsidP="00C4454E">
      <w:pPr>
        <w:pStyle w:val="NormalWeb"/>
        <w:spacing w:before="0" w:beforeAutospacing="0" w:after="0" w:afterAutospacing="0"/>
        <w:jc w:val="both"/>
        <w:rPr>
          <w:rFonts w:ascii="Segoe UI" w:eastAsia="Times New Roman" w:hAnsi="Segoe UI" w:cs="Segoe UI"/>
          <w:b/>
          <w:bCs/>
          <w:sz w:val="22"/>
          <w:szCs w:val="22"/>
        </w:rPr>
      </w:pPr>
      <w:r w:rsidRPr="00B73AB9">
        <w:rPr>
          <w:rFonts w:ascii="Segoe UI" w:eastAsia="Times New Roman" w:hAnsi="Segoe UI" w:cs="Segoe UI"/>
          <w:b/>
          <w:bCs/>
          <w:sz w:val="22"/>
          <w:szCs w:val="22"/>
        </w:rPr>
        <w:t>Figure 1</w:t>
      </w:r>
      <w:r w:rsidR="00C4454E">
        <w:rPr>
          <w:rFonts w:ascii="Segoe UI" w:eastAsia="Times New Roman" w:hAnsi="Segoe UI" w:cs="Segoe UI"/>
          <w:b/>
          <w:bCs/>
          <w:sz w:val="22"/>
          <w:szCs w:val="22"/>
        </w:rPr>
        <w:t>.</w:t>
      </w:r>
      <w:r w:rsidR="00C4454E" w:rsidRPr="00C4454E">
        <w:rPr>
          <w:rFonts w:ascii="Segoe UI" w:hAnsi="Segoe UI" w:cs="Segoe UI"/>
          <w:b/>
          <w:bCs/>
          <w:sz w:val="22"/>
          <w:szCs w:val="22"/>
        </w:rPr>
        <w:t xml:space="preserve"> </w:t>
      </w:r>
      <w:r w:rsidR="00C4454E" w:rsidRPr="00B73AB9">
        <w:rPr>
          <w:rFonts w:ascii="Segoe UI" w:eastAsia="Times New Roman" w:hAnsi="Segoe UI" w:cs="Segoe UI"/>
          <w:b/>
          <w:bCs/>
          <w:sz w:val="22"/>
          <w:szCs w:val="22"/>
        </w:rPr>
        <w:t>Net balances* of the change in demand for credit (dashed lines denote expectations</w:t>
      </w:r>
      <w:r w:rsidR="00C4454E">
        <w:rPr>
          <w:rFonts w:ascii="Segoe UI" w:eastAsia="Times New Roman" w:hAnsi="Segoe UI" w:cs="Segoe UI"/>
          <w:b/>
          <w:bCs/>
          <w:sz w:val="22"/>
          <w:szCs w:val="22"/>
        </w:rPr>
        <w:t>)</w:t>
      </w:r>
    </w:p>
    <w:p w14:paraId="011BD84C" w14:textId="53EF6EF8" w:rsidR="00B2410F" w:rsidRPr="00B73AB9" w:rsidRDefault="00B2410F" w:rsidP="00B73AB9">
      <w:pPr>
        <w:pStyle w:val="NormalWeb"/>
        <w:spacing w:before="0" w:beforeAutospacing="0" w:after="0" w:afterAutospacing="0"/>
        <w:jc w:val="both"/>
        <w:rPr>
          <w:rFonts w:ascii="Segoe UI" w:eastAsia="Times New Roman" w:hAnsi="Segoe UI" w:cs="Segoe UI"/>
          <w:b/>
          <w:bCs/>
          <w:sz w:val="22"/>
          <w:szCs w:val="22"/>
        </w:rPr>
      </w:pPr>
    </w:p>
    <w:p w14:paraId="35EB1230" w14:textId="77777777" w:rsidR="00C4454E" w:rsidRDefault="00C4454E" w:rsidP="00B73AB9">
      <w:pPr>
        <w:pStyle w:val="NormalWeb"/>
        <w:spacing w:before="0" w:beforeAutospacing="0" w:after="0" w:afterAutospacing="0"/>
        <w:jc w:val="both"/>
        <w:rPr>
          <w:rFonts w:ascii="Segoe UI" w:eastAsia="Times New Roman" w:hAnsi="Segoe UI" w:cs="Segoe UI"/>
          <w:b/>
          <w:bCs/>
          <w:sz w:val="22"/>
          <w:szCs w:val="22"/>
        </w:rPr>
      </w:pPr>
    </w:p>
    <w:p w14:paraId="3933299B" w14:textId="16688305" w:rsidR="00C4454E" w:rsidRDefault="00C4454E" w:rsidP="00B73AB9">
      <w:pPr>
        <w:pStyle w:val="NormalWeb"/>
        <w:spacing w:before="0" w:beforeAutospacing="0" w:after="0" w:afterAutospacing="0"/>
        <w:jc w:val="both"/>
        <w:rPr>
          <w:rFonts w:ascii="Segoe UI" w:eastAsia="Times New Roman" w:hAnsi="Segoe UI" w:cs="Segoe UI"/>
          <w:b/>
          <w:bCs/>
          <w:sz w:val="22"/>
          <w:szCs w:val="22"/>
        </w:rPr>
      </w:pPr>
      <w:r w:rsidRPr="00E60776">
        <w:rPr>
          <w:noProof/>
        </w:rPr>
        <w:drawing>
          <wp:inline distT="0" distB="0" distL="0" distR="0" wp14:anchorId="42770306" wp14:editId="03B7D2EC">
            <wp:extent cx="5084064" cy="3059274"/>
            <wp:effectExtent l="0" t="0" r="2540" b="8255"/>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79072" cy="3116444"/>
                    </a:xfrm>
                    <a:prstGeom prst="rect">
                      <a:avLst/>
                    </a:prstGeom>
                    <a:noFill/>
                    <a:ln>
                      <a:noFill/>
                    </a:ln>
                  </pic:spPr>
                </pic:pic>
              </a:graphicData>
            </a:graphic>
          </wp:inline>
        </w:drawing>
      </w:r>
    </w:p>
    <w:p w14:paraId="16EF3FFB" w14:textId="77777777" w:rsidR="00C4454E" w:rsidRDefault="00C4454E" w:rsidP="00B73AB9">
      <w:pPr>
        <w:pStyle w:val="NormalWeb"/>
        <w:spacing w:before="0" w:beforeAutospacing="0" w:after="0" w:afterAutospacing="0"/>
        <w:jc w:val="both"/>
        <w:rPr>
          <w:rFonts w:ascii="Segoe UI" w:eastAsia="Times New Roman" w:hAnsi="Segoe UI" w:cs="Segoe UI"/>
          <w:b/>
          <w:bCs/>
          <w:sz w:val="22"/>
          <w:szCs w:val="22"/>
        </w:rPr>
      </w:pPr>
    </w:p>
    <w:p w14:paraId="399C373E" w14:textId="09B75BE8" w:rsidR="00E60776" w:rsidRDefault="00E60776" w:rsidP="00C4454E">
      <w:pPr>
        <w:pStyle w:val="NormalWeb"/>
        <w:spacing w:before="0" w:beforeAutospacing="0" w:after="0" w:afterAutospacing="0"/>
        <w:jc w:val="both"/>
        <w:rPr>
          <w:rFonts w:ascii="Segoe UI" w:eastAsia="Times New Roman" w:hAnsi="Segoe UI" w:cs="Segoe UI"/>
          <w:sz w:val="22"/>
          <w:szCs w:val="22"/>
        </w:rPr>
      </w:pPr>
      <w:r w:rsidRPr="00E60776">
        <w:rPr>
          <w:noProof/>
        </w:rPr>
        <w:lastRenderedPageBreak/>
        <w:drawing>
          <wp:inline distT="0" distB="0" distL="0" distR="0" wp14:anchorId="6E3A7753" wp14:editId="1C5861E8">
            <wp:extent cx="5215737" cy="3669030"/>
            <wp:effectExtent l="0" t="0" r="4445" b="762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44738" cy="3689431"/>
                    </a:xfrm>
                    <a:prstGeom prst="rect">
                      <a:avLst/>
                    </a:prstGeom>
                    <a:noFill/>
                    <a:ln>
                      <a:noFill/>
                    </a:ln>
                  </pic:spPr>
                </pic:pic>
              </a:graphicData>
            </a:graphic>
          </wp:inline>
        </w:drawing>
      </w:r>
    </w:p>
    <w:p w14:paraId="452779A4" w14:textId="3C12F11F" w:rsidR="00B2410F" w:rsidRPr="00B73AB9" w:rsidRDefault="00B2410F" w:rsidP="00B73AB9">
      <w:pPr>
        <w:pStyle w:val="NormalWeb"/>
        <w:rPr>
          <w:rFonts w:asciiTheme="minorBidi" w:eastAsia="Calibri" w:hAnsiTheme="minorBidi" w:cstheme="minorBidi"/>
          <w:sz w:val="22"/>
          <w:szCs w:val="22"/>
        </w:rPr>
      </w:pPr>
      <w:r w:rsidRPr="00B73AB9">
        <w:rPr>
          <w:rFonts w:asciiTheme="minorBidi" w:eastAsia="Calibri" w:hAnsiTheme="minorBidi" w:cstheme="minorBidi"/>
          <w:sz w:val="22"/>
          <w:szCs w:val="22"/>
        </w:rPr>
        <w:t>*A positive value denotes growth in demand for credit, and vice-versa</w:t>
      </w:r>
      <w:r w:rsidR="00D24307">
        <w:rPr>
          <w:rFonts w:asciiTheme="minorBidi" w:eastAsia="Calibri" w:hAnsiTheme="minorBidi" w:cstheme="minorBidi"/>
          <w:sz w:val="22"/>
          <w:szCs w:val="22"/>
        </w:rPr>
        <w:t>.</w:t>
      </w:r>
    </w:p>
    <w:p w14:paraId="66F3B6D3" w14:textId="77777777" w:rsidR="005838A2" w:rsidRDefault="005838A2" w:rsidP="00B73AB9">
      <w:pPr>
        <w:jc w:val="both"/>
        <w:rPr>
          <w:rFonts w:ascii="Segoe UI" w:hAnsi="Segoe UI" w:cs="Segoe UI"/>
          <w:sz w:val="22"/>
          <w:szCs w:val="22"/>
        </w:rPr>
      </w:pPr>
    </w:p>
    <w:p w14:paraId="79030760" w14:textId="4BC1DACD" w:rsidR="00DC05C1" w:rsidRDefault="00DC05C1" w:rsidP="00B73AB9">
      <w:pPr>
        <w:jc w:val="both"/>
        <w:rPr>
          <w:rFonts w:ascii="Segoe UI" w:hAnsi="Segoe UI" w:cs="Segoe UI"/>
          <w:sz w:val="22"/>
          <w:szCs w:val="22"/>
        </w:rPr>
      </w:pPr>
      <w:r w:rsidRPr="00DC05C1">
        <w:rPr>
          <w:rFonts w:ascii="Segoe UI" w:hAnsi="Segoe UI" w:cs="Segoe UI"/>
          <w:sz w:val="22"/>
          <w:szCs w:val="22"/>
        </w:rPr>
        <w:t xml:space="preserve">In terms of the impact of different factors on </w:t>
      </w:r>
      <w:r w:rsidR="006A34D5">
        <w:rPr>
          <w:rFonts w:ascii="Segoe UI" w:hAnsi="Segoe UI" w:cs="Segoe UI"/>
          <w:sz w:val="22"/>
          <w:szCs w:val="22"/>
        </w:rPr>
        <w:t xml:space="preserve">demand for </w:t>
      </w:r>
      <w:r w:rsidRPr="00DC05C1">
        <w:rPr>
          <w:rFonts w:ascii="Segoe UI" w:hAnsi="Segoe UI" w:cs="Segoe UI"/>
          <w:sz w:val="22"/>
          <w:szCs w:val="22"/>
        </w:rPr>
        <w:t>credit</w:t>
      </w:r>
      <w:r w:rsidR="006A34D5">
        <w:rPr>
          <w:rFonts w:ascii="Segoe UI" w:hAnsi="Segoe UI" w:cs="Segoe UI"/>
          <w:sz w:val="22"/>
          <w:szCs w:val="22"/>
        </w:rPr>
        <w:t>,</w:t>
      </w:r>
      <w:r w:rsidRPr="00DC05C1">
        <w:rPr>
          <w:rFonts w:ascii="Segoe UI" w:hAnsi="Segoe UI" w:cs="Segoe UI"/>
          <w:sz w:val="22"/>
          <w:szCs w:val="22"/>
        </w:rPr>
        <w:t xml:space="preserve"> it appears that the increase in inventory and working capital, indicating cash flow issues for businesses, continues to be the primary driver of increased </w:t>
      </w:r>
      <w:r w:rsidR="006A34D5">
        <w:rPr>
          <w:rFonts w:ascii="Segoe UI" w:hAnsi="Segoe UI" w:cs="Segoe UI"/>
          <w:sz w:val="22"/>
          <w:szCs w:val="22"/>
        </w:rPr>
        <w:t xml:space="preserve">demand for </w:t>
      </w:r>
      <w:r w:rsidRPr="00DC05C1">
        <w:rPr>
          <w:rFonts w:ascii="Segoe UI" w:hAnsi="Segoe UI" w:cs="Segoe UI"/>
          <w:sz w:val="22"/>
          <w:szCs w:val="22"/>
        </w:rPr>
        <w:t>credi</w:t>
      </w:r>
      <w:r w:rsidR="006A34D5">
        <w:rPr>
          <w:rFonts w:ascii="Segoe UI" w:hAnsi="Segoe UI" w:cs="Segoe UI"/>
          <w:sz w:val="22"/>
          <w:szCs w:val="22"/>
        </w:rPr>
        <w:t>t</w:t>
      </w:r>
      <w:r w:rsidRPr="00DC05C1">
        <w:rPr>
          <w:rFonts w:ascii="Segoe UI" w:hAnsi="Segoe UI" w:cs="Segoe UI"/>
          <w:sz w:val="22"/>
          <w:szCs w:val="22"/>
        </w:rPr>
        <w:t xml:space="preserve"> among small and micro businesses. In the construction </w:t>
      </w:r>
      <w:r w:rsidR="006A34D5">
        <w:rPr>
          <w:rFonts w:ascii="Segoe UI" w:hAnsi="Segoe UI" w:cs="Segoe UI"/>
          <w:sz w:val="22"/>
          <w:szCs w:val="22"/>
        </w:rPr>
        <w:t>industry</w:t>
      </w:r>
      <w:r w:rsidRPr="00DC05C1">
        <w:rPr>
          <w:rFonts w:ascii="Segoe UI" w:hAnsi="Segoe UI" w:cs="Segoe UI"/>
          <w:sz w:val="22"/>
          <w:szCs w:val="22"/>
        </w:rPr>
        <w:t xml:space="preserve">, the main factor driving the increase in </w:t>
      </w:r>
      <w:r w:rsidR="006A34D5">
        <w:rPr>
          <w:rFonts w:ascii="Segoe UI" w:hAnsi="Segoe UI" w:cs="Segoe UI"/>
          <w:sz w:val="22"/>
          <w:szCs w:val="22"/>
        </w:rPr>
        <w:t xml:space="preserve">demand for </w:t>
      </w:r>
      <w:r w:rsidRPr="00DC05C1">
        <w:rPr>
          <w:rFonts w:ascii="Segoe UI" w:hAnsi="Segoe UI" w:cs="Segoe UI"/>
          <w:sz w:val="22"/>
          <w:szCs w:val="22"/>
        </w:rPr>
        <w:t>credit</w:t>
      </w:r>
      <w:r w:rsidR="006A34D5">
        <w:rPr>
          <w:rFonts w:ascii="Segoe UI" w:hAnsi="Segoe UI" w:cs="Segoe UI"/>
          <w:sz w:val="22"/>
          <w:szCs w:val="22"/>
        </w:rPr>
        <w:t xml:space="preserve"> </w:t>
      </w:r>
      <w:r w:rsidRPr="00DC05C1">
        <w:rPr>
          <w:rFonts w:ascii="Segoe UI" w:hAnsi="Segoe UI" w:cs="Segoe UI"/>
          <w:sz w:val="22"/>
          <w:szCs w:val="22"/>
        </w:rPr>
        <w:t xml:space="preserve">was the financing of projects with closed-end financing </w:t>
      </w:r>
      <w:r w:rsidRPr="00964A3B">
        <w:rPr>
          <w:rFonts w:ascii="Segoe UI" w:hAnsi="Segoe UI" w:cs="Segoe UI"/>
          <w:sz w:val="22"/>
          <w:szCs w:val="22"/>
        </w:rPr>
        <w:t>(Figure 2)</w:t>
      </w:r>
      <w:r w:rsidRPr="00DC05C1">
        <w:rPr>
          <w:rFonts w:ascii="Segoe UI" w:hAnsi="Segoe UI" w:cs="Segoe UI"/>
          <w:sz w:val="22"/>
          <w:szCs w:val="22"/>
        </w:rPr>
        <w:t>.</w:t>
      </w:r>
    </w:p>
    <w:p w14:paraId="468D6F5A" w14:textId="77777777" w:rsidR="00B2410F" w:rsidRDefault="00B2410F" w:rsidP="00B73AB9">
      <w:pPr>
        <w:pStyle w:val="NormalWeb"/>
        <w:spacing w:before="0" w:beforeAutospacing="0" w:after="0" w:afterAutospacing="0"/>
        <w:jc w:val="both"/>
        <w:rPr>
          <w:rFonts w:asciiTheme="minorBidi" w:eastAsia="Calibri" w:hAnsiTheme="minorBidi" w:cstheme="minorBidi"/>
        </w:rPr>
      </w:pPr>
    </w:p>
    <w:p w14:paraId="3188A5D0" w14:textId="4472C08F" w:rsidR="00B2410F" w:rsidRDefault="00B2410F" w:rsidP="00964A3B">
      <w:pPr>
        <w:pStyle w:val="NormalWeb"/>
        <w:spacing w:before="0" w:beforeAutospacing="0" w:after="0" w:afterAutospacing="0"/>
        <w:jc w:val="both"/>
        <w:rPr>
          <w:rFonts w:asciiTheme="minorBidi" w:eastAsia="Calibri" w:hAnsiTheme="minorBidi" w:cstheme="minorBidi"/>
          <w:b/>
          <w:bCs/>
          <w:sz w:val="22"/>
          <w:szCs w:val="22"/>
        </w:rPr>
      </w:pPr>
      <w:r w:rsidRPr="00B73AB9">
        <w:rPr>
          <w:rFonts w:asciiTheme="minorBidi" w:eastAsia="Calibri" w:hAnsiTheme="minorBidi" w:cstheme="minorBidi"/>
          <w:b/>
          <w:bCs/>
          <w:sz w:val="22"/>
          <w:szCs w:val="22"/>
        </w:rPr>
        <w:t>Figure 2</w:t>
      </w:r>
      <w:r w:rsidR="00964A3B">
        <w:rPr>
          <w:rFonts w:asciiTheme="minorBidi" w:eastAsia="Calibri" w:hAnsiTheme="minorBidi" w:cstheme="minorBidi"/>
          <w:b/>
          <w:bCs/>
          <w:sz w:val="22"/>
          <w:szCs w:val="22"/>
        </w:rPr>
        <w:t xml:space="preserve">. </w:t>
      </w:r>
      <w:r w:rsidRPr="00B73AB9">
        <w:rPr>
          <w:rFonts w:asciiTheme="minorBidi" w:eastAsia="Calibri" w:hAnsiTheme="minorBidi" w:cstheme="minorBidi"/>
          <w:b/>
          <w:bCs/>
          <w:sz w:val="22"/>
          <w:szCs w:val="22"/>
        </w:rPr>
        <w:t>Net balance</w:t>
      </w:r>
      <w:r w:rsidR="00B9505D">
        <w:rPr>
          <w:rFonts w:asciiTheme="minorBidi" w:eastAsia="Calibri" w:hAnsiTheme="minorBidi" w:cstheme="minorBidi"/>
          <w:b/>
          <w:bCs/>
          <w:sz w:val="22"/>
          <w:szCs w:val="22"/>
        </w:rPr>
        <w:t>s</w:t>
      </w:r>
      <w:r w:rsidRPr="00B73AB9">
        <w:rPr>
          <w:rFonts w:asciiTheme="minorBidi" w:eastAsia="Calibri" w:hAnsiTheme="minorBidi" w:cstheme="minorBidi"/>
          <w:b/>
          <w:bCs/>
          <w:sz w:val="22"/>
          <w:szCs w:val="22"/>
        </w:rPr>
        <w:t xml:space="preserve">* of the change in </w:t>
      </w:r>
      <w:r w:rsidR="00D9466A">
        <w:rPr>
          <w:rFonts w:asciiTheme="minorBidi" w:eastAsia="Calibri" w:hAnsiTheme="minorBidi" w:cstheme="minorBidi"/>
          <w:b/>
          <w:bCs/>
          <w:sz w:val="22"/>
          <w:szCs w:val="22"/>
        </w:rPr>
        <w:t>impact</w:t>
      </w:r>
      <w:r w:rsidRPr="00B73AB9">
        <w:rPr>
          <w:rFonts w:asciiTheme="minorBidi" w:eastAsia="Calibri" w:hAnsiTheme="minorBidi" w:cstheme="minorBidi"/>
          <w:b/>
          <w:bCs/>
          <w:sz w:val="22"/>
          <w:szCs w:val="22"/>
        </w:rPr>
        <w:t xml:space="preserve"> of various factors on demand for credit</w:t>
      </w:r>
    </w:p>
    <w:p w14:paraId="0151FA4E" w14:textId="77777777" w:rsidR="00964A3B" w:rsidRPr="00B73AB9" w:rsidRDefault="00964A3B" w:rsidP="00964A3B">
      <w:pPr>
        <w:pStyle w:val="NormalWeb"/>
        <w:spacing w:before="0" w:beforeAutospacing="0" w:after="0" w:afterAutospacing="0"/>
        <w:jc w:val="both"/>
        <w:rPr>
          <w:rFonts w:asciiTheme="minorBidi" w:eastAsia="Calibri" w:hAnsiTheme="minorBidi" w:cstheme="minorBidi"/>
          <w:b/>
          <w:bCs/>
          <w:sz w:val="22"/>
          <w:szCs w:val="22"/>
        </w:rPr>
      </w:pPr>
    </w:p>
    <w:p w14:paraId="6C7B0A31" w14:textId="1C254D51" w:rsidR="00996B5F" w:rsidRDefault="00996B5F" w:rsidP="00B73AB9">
      <w:pPr>
        <w:pStyle w:val="NormalWeb"/>
        <w:spacing w:before="0" w:beforeAutospacing="0" w:after="0" w:afterAutospacing="0"/>
        <w:jc w:val="both"/>
        <w:rPr>
          <w:rFonts w:asciiTheme="minorBidi" w:eastAsia="Calibri" w:hAnsiTheme="minorBidi" w:cstheme="minorBidi"/>
          <w:sz w:val="22"/>
          <w:szCs w:val="22"/>
        </w:rPr>
      </w:pPr>
      <w:r w:rsidDel="00996B5F">
        <w:rPr>
          <w:rFonts w:asciiTheme="minorBidi" w:eastAsia="Calibri" w:hAnsiTheme="minorBidi" w:cstheme="minorBidi"/>
          <w:sz w:val="22"/>
          <w:szCs w:val="22"/>
        </w:rPr>
        <w:t xml:space="preserve"> </w:t>
      </w:r>
      <w:r w:rsidRPr="00996B5F">
        <w:rPr>
          <w:noProof/>
        </w:rPr>
        <w:drawing>
          <wp:inline distT="0" distB="0" distL="0" distR="0" wp14:anchorId="63CED138" wp14:editId="5A9978D6">
            <wp:extent cx="5252313" cy="3484245"/>
            <wp:effectExtent l="0" t="0" r="5715" b="1905"/>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97405" cy="3514158"/>
                    </a:xfrm>
                    <a:prstGeom prst="rect">
                      <a:avLst/>
                    </a:prstGeom>
                    <a:noFill/>
                    <a:ln>
                      <a:noFill/>
                    </a:ln>
                  </pic:spPr>
                </pic:pic>
              </a:graphicData>
            </a:graphic>
          </wp:inline>
        </w:drawing>
      </w:r>
    </w:p>
    <w:p w14:paraId="0D83F080" w14:textId="59A4795A" w:rsidR="00996B5F" w:rsidRPr="00B73AB9" w:rsidRDefault="00996B5F" w:rsidP="00B73AB9">
      <w:pPr>
        <w:pStyle w:val="NormalWeb"/>
        <w:spacing w:before="0" w:beforeAutospacing="0" w:after="0" w:afterAutospacing="0"/>
        <w:jc w:val="both"/>
        <w:rPr>
          <w:rFonts w:asciiTheme="minorBidi" w:eastAsia="Calibri" w:hAnsiTheme="minorBidi" w:cstheme="minorBidi"/>
          <w:sz w:val="22"/>
          <w:szCs w:val="22"/>
          <w:rtl/>
        </w:rPr>
      </w:pPr>
      <w:r w:rsidRPr="00996B5F">
        <w:rPr>
          <w:noProof/>
        </w:rPr>
        <w:lastRenderedPageBreak/>
        <w:drawing>
          <wp:inline distT="0" distB="0" distL="0" distR="0" wp14:anchorId="7F85AA99" wp14:editId="45C8D3D1">
            <wp:extent cx="5186476" cy="3571728"/>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97991" cy="3579658"/>
                    </a:xfrm>
                    <a:prstGeom prst="rect">
                      <a:avLst/>
                    </a:prstGeom>
                    <a:noFill/>
                    <a:ln>
                      <a:noFill/>
                    </a:ln>
                  </pic:spPr>
                </pic:pic>
              </a:graphicData>
            </a:graphic>
          </wp:inline>
        </w:drawing>
      </w:r>
    </w:p>
    <w:p w14:paraId="625FC004" w14:textId="27305829" w:rsidR="00B2410F" w:rsidRDefault="00B2410F" w:rsidP="00B2410F">
      <w:pPr>
        <w:pStyle w:val="NormalWeb"/>
        <w:rPr>
          <w:rFonts w:asciiTheme="minorBidi" w:eastAsia="Calibri" w:hAnsiTheme="minorBidi" w:cstheme="minorBidi"/>
          <w:sz w:val="22"/>
          <w:szCs w:val="22"/>
        </w:rPr>
      </w:pPr>
      <w:r w:rsidRPr="001D5B10">
        <w:rPr>
          <w:rFonts w:asciiTheme="minorBidi" w:eastAsia="Calibri" w:hAnsiTheme="minorBidi" w:cstheme="minorBidi"/>
          <w:sz w:val="22"/>
          <w:szCs w:val="22"/>
        </w:rPr>
        <w:t>*A positive value denotes growth in demand for credit, and vice-versa</w:t>
      </w:r>
      <w:r w:rsidR="00D24307">
        <w:rPr>
          <w:rFonts w:asciiTheme="minorBidi" w:eastAsia="Calibri" w:hAnsiTheme="minorBidi" w:cstheme="minorBidi"/>
          <w:sz w:val="22"/>
          <w:szCs w:val="22"/>
        </w:rPr>
        <w:t>.</w:t>
      </w:r>
    </w:p>
    <w:p w14:paraId="04B2D984" w14:textId="77777777" w:rsidR="00964A3B" w:rsidRPr="001D5B10" w:rsidRDefault="00964A3B" w:rsidP="00B2410F">
      <w:pPr>
        <w:pStyle w:val="NormalWeb"/>
        <w:rPr>
          <w:rFonts w:asciiTheme="minorBidi" w:eastAsia="Calibri" w:hAnsiTheme="minorBidi" w:cstheme="minorBidi"/>
          <w:sz w:val="22"/>
          <w:szCs w:val="22"/>
        </w:rPr>
      </w:pPr>
    </w:p>
    <w:p w14:paraId="39D352E0" w14:textId="370BCC36" w:rsidR="00DC05C1" w:rsidRDefault="006A34D5" w:rsidP="00B73AB9">
      <w:pPr>
        <w:pStyle w:val="regpar"/>
        <w:ind w:firstLine="0"/>
        <w:rPr>
          <w:rFonts w:ascii="Segoe UI" w:hAnsi="Segoe UI" w:cs="Segoe UI"/>
          <w:b/>
          <w:bCs/>
          <w:sz w:val="22"/>
          <w:szCs w:val="22"/>
        </w:rPr>
      </w:pPr>
      <w:r>
        <w:rPr>
          <w:rFonts w:ascii="Segoe UI" w:hAnsi="Segoe UI" w:cs="Segoe UI"/>
          <w:b/>
          <w:bCs/>
          <w:sz w:val="22"/>
          <w:szCs w:val="22"/>
        </w:rPr>
        <w:t>b</w:t>
      </w:r>
      <w:r w:rsidR="00DC05C1" w:rsidRPr="00DC05C1">
        <w:rPr>
          <w:rFonts w:ascii="Segoe UI" w:hAnsi="Segoe UI" w:cs="Segoe UI"/>
          <w:b/>
          <w:bCs/>
          <w:sz w:val="22"/>
          <w:szCs w:val="22"/>
        </w:rPr>
        <w:t>. Credit Supply</w:t>
      </w:r>
    </w:p>
    <w:p w14:paraId="5AA604D7" w14:textId="77777777" w:rsidR="00DC2A7D" w:rsidRPr="00DC05C1" w:rsidRDefault="00DC2A7D" w:rsidP="00B73AB9">
      <w:pPr>
        <w:pStyle w:val="regpar"/>
        <w:ind w:firstLine="0"/>
        <w:rPr>
          <w:rFonts w:ascii="Segoe UI" w:hAnsi="Segoe UI" w:cs="Segoe UI"/>
          <w:b/>
          <w:bCs/>
          <w:sz w:val="22"/>
          <w:szCs w:val="22"/>
        </w:rPr>
      </w:pPr>
    </w:p>
    <w:p w14:paraId="7B1F1C1C" w14:textId="7DC88D2F" w:rsidR="00DC05C1" w:rsidRDefault="00DC05C1" w:rsidP="00B73AB9">
      <w:pPr>
        <w:jc w:val="both"/>
        <w:rPr>
          <w:rFonts w:ascii="Segoe UI" w:hAnsi="Segoe UI" w:cs="Segoe UI"/>
          <w:sz w:val="22"/>
          <w:szCs w:val="22"/>
        </w:rPr>
      </w:pPr>
      <w:r w:rsidRPr="00DC05C1">
        <w:rPr>
          <w:rFonts w:ascii="Segoe UI" w:hAnsi="Segoe UI" w:cs="Segoe UI"/>
          <w:sz w:val="22"/>
          <w:szCs w:val="22"/>
        </w:rPr>
        <w:t xml:space="preserve">The easing of credit terms </w:t>
      </w:r>
      <w:r w:rsidR="00E00DD0">
        <w:rPr>
          <w:rFonts w:ascii="Segoe UI" w:hAnsi="Segoe UI" w:cs="Segoe UI"/>
          <w:sz w:val="22"/>
          <w:szCs w:val="22"/>
        </w:rPr>
        <w:t xml:space="preserve">and conditions </w:t>
      </w:r>
      <w:r w:rsidRPr="00DC05C1">
        <w:rPr>
          <w:rFonts w:ascii="Segoe UI" w:hAnsi="Segoe UI" w:cs="Segoe UI"/>
          <w:sz w:val="22"/>
          <w:szCs w:val="22"/>
        </w:rPr>
        <w:t xml:space="preserve">continued in the first quarter of the year across most credit </w:t>
      </w:r>
      <w:r w:rsidR="006A34D5">
        <w:rPr>
          <w:rFonts w:ascii="Segoe UI" w:hAnsi="Segoe UI" w:cs="Segoe UI"/>
          <w:sz w:val="22"/>
          <w:szCs w:val="22"/>
        </w:rPr>
        <w:t>segments</w:t>
      </w:r>
      <w:r w:rsidRPr="00DC05C1">
        <w:rPr>
          <w:rFonts w:ascii="Segoe UI" w:hAnsi="Segoe UI" w:cs="Segoe UI"/>
          <w:sz w:val="22"/>
          <w:szCs w:val="22"/>
        </w:rPr>
        <w:t xml:space="preserve">, primarily reflected in the credit </w:t>
      </w:r>
      <w:r w:rsidR="006A34D5">
        <w:rPr>
          <w:rFonts w:ascii="Segoe UI" w:hAnsi="Segoe UI" w:cs="Segoe UI"/>
          <w:sz w:val="22"/>
          <w:szCs w:val="22"/>
        </w:rPr>
        <w:t>margins</w:t>
      </w:r>
      <w:r w:rsidRPr="00DC05C1">
        <w:rPr>
          <w:rFonts w:ascii="Segoe UI" w:hAnsi="Segoe UI" w:cs="Segoe UI"/>
          <w:sz w:val="22"/>
          <w:szCs w:val="22"/>
        </w:rPr>
        <w:t xml:space="preserve"> for medium-risk levels. However, there was a noticeable tightening in the credit </w:t>
      </w:r>
      <w:r w:rsidR="006A34D5">
        <w:rPr>
          <w:rFonts w:ascii="Segoe UI" w:hAnsi="Segoe UI" w:cs="Segoe UI"/>
          <w:sz w:val="22"/>
          <w:szCs w:val="22"/>
        </w:rPr>
        <w:t>margins</w:t>
      </w:r>
      <w:r w:rsidRPr="00DC05C1">
        <w:rPr>
          <w:rFonts w:ascii="Segoe UI" w:hAnsi="Segoe UI" w:cs="Segoe UI"/>
          <w:sz w:val="22"/>
          <w:szCs w:val="22"/>
        </w:rPr>
        <w:t xml:space="preserve"> for high-risk housing credit </w:t>
      </w:r>
      <w:r w:rsidRPr="001F342C">
        <w:rPr>
          <w:rFonts w:ascii="Segoe UI" w:hAnsi="Segoe UI" w:cs="Segoe UI"/>
          <w:sz w:val="22"/>
          <w:szCs w:val="22"/>
        </w:rPr>
        <w:t>(Figure 3)</w:t>
      </w:r>
      <w:r w:rsidRPr="00DC05C1">
        <w:rPr>
          <w:rFonts w:ascii="Segoe UI" w:hAnsi="Segoe UI" w:cs="Segoe UI"/>
          <w:sz w:val="22"/>
          <w:szCs w:val="22"/>
        </w:rPr>
        <w:t>.</w:t>
      </w:r>
    </w:p>
    <w:p w14:paraId="21936A47" w14:textId="77777777" w:rsidR="00FD2967" w:rsidRDefault="00FD2967" w:rsidP="00B73AB9">
      <w:pPr>
        <w:pStyle w:val="NormalWeb"/>
        <w:spacing w:before="0" w:beforeAutospacing="0" w:after="0" w:afterAutospacing="0"/>
        <w:jc w:val="both"/>
        <w:rPr>
          <w:rFonts w:asciiTheme="minorBidi" w:eastAsia="Calibri" w:hAnsiTheme="minorBidi" w:cstheme="minorBidi"/>
        </w:rPr>
      </w:pPr>
    </w:p>
    <w:p w14:paraId="26CAD70D" w14:textId="55A5598D" w:rsidR="00FD2967" w:rsidRDefault="00FD2967" w:rsidP="001F342C">
      <w:pPr>
        <w:pStyle w:val="NormalWeb"/>
        <w:spacing w:before="0" w:beforeAutospacing="0" w:after="0" w:afterAutospacing="0"/>
        <w:jc w:val="both"/>
        <w:rPr>
          <w:rFonts w:asciiTheme="minorBidi" w:eastAsia="Calibri" w:hAnsiTheme="minorBidi" w:cstheme="minorBidi"/>
        </w:rPr>
      </w:pPr>
      <w:r w:rsidRPr="00B73AB9">
        <w:rPr>
          <w:rFonts w:asciiTheme="minorBidi" w:eastAsia="Calibri" w:hAnsiTheme="minorBidi" w:cstheme="minorBidi"/>
          <w:b/>
          <w:bCs/>
        </w:rPr>
        <w:t>Figure 3</w:t>
      </w:r>
      <w:r w:rsidR="001F342C">
        <w:rPr>
          <w:rFonts w:asciiTheme="minorBidi" w:eastAsia="Calibri" w:hAnsiTheme="minorBidi" w:cstheme="minorBidi"/>
          <w:b/>
          <w:bCs/>
        </w:rPr>
        <w:t xml:space="preserve">. </w:t>
      </w:r>
      <w:r w:rsidRPr="00B73AB9">
        <w:rPr>
          <w:rFonts w:asciiTheme="minorBidi" w:eastAsia="Calibri" w:hAnsiTheme="minorBidi" w:cstheme="minorBidi"/>
          <w:b/>
          <w:bCs/>
        </w:rPr>
        <w:t>Net balance</w:t>
      </w:r>
      <w:r w:rsidR="00B9505D">
        <w:rPr>
          <w:rFonts w:asciiTheme="minorBidi" w:eastAsia="Calibri" w:hAnsiTheme="minorBidi" w:cstheme="minorBidi"/>
          <w:b/>
          <w:bCs/>
        </w:rPr>
        <w:t>s</w:t>
      </w:r>
      <w:r w:rsidRPr="00B73AB9">
        <w:rPr>
          <w:rFonts w:asciiTheme="minorBidi" w:eastAsia="Calibri" w:hAnsiTheme="minorBidi" w:cstheme="minorBidi"/>
          <w:b/>
          <w:bCs/>
        </w:rPr>
        <w:t xml:space="preserve">* of changes in credit terms </w:t>
      </w:r>
      <w:r w:rsidR="000D5298">
        <w:rPr>
          <w:rFonts w:asciiTheme="minorBidi" w:eastAsia="Calibri" w:hAnsiTheme="minorBidi" w:cstheme="minorBidi"/>
          <w:b/>
          <w:bCs/>
        </w:rPr>
        <w:t xml:space="preserve">and conditions </w:t>
      </w:r>
      <w:r w:rsidRPr="00B73AB9">
        <w:rPr>
          <w:rFonts w:asciiTheme="minorBidi" w:eastAsia="Calibri" w:hAnsiTheme="minorBidi" w:cstheme="minorBidi"/>
          <w:b/>
          <w:bCs/>
        </w:rPr>
        <w:t>for new requests for credit</w:t>
      </w:r>
    </w:p>
    <w:p w14:paraId="71478605" w14:textId="6C67EDFA" w:rsidR="000D5298" w:rsidRDefault="000D5298" w:rsidP="00B73AB9">
      <w:pPr>
        <w:pStyle w:val="NormalWeb"/>
        <w:spacing w:before="0" w:beforeAutospacing="0" w:after="0" w:afterAutospacing="0"/>
        <w:jc w:val="both"/>
        <w:rPr>
          <w:rFonts w:asciiTheme="minorBidi" w:eastAsia="Calibri" w:hAnsiTheme="minorBidi" w:cstheme="minorBidi"/>
        </w:rPr>
      </w:pPr>
      <w:r w:rsidRPr="000D5298">
        <w:rPr>
          <w:noProof/>
        </w:rPr>
        <w:drawing>
          <wp:inline distT="0" distB="0" distL="0" distR="0" wp14:anchorId="0253B577" wp14:editId="303D3906">
            <wp:extent cx="5647334" cy="3373884"/>
            <wp:effectExtent l="0" t="0" r="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56801" cy="3379540"/>
                    </a:xfrm>
                    <a:prstGeom prst="rect">
                      <a:avLst/>
                    </a:prstGeom>
                    <a:noFill/>
                    <a:ln>
                      <a:noFill/>
                    </a:ln>
                  </pic:spPr>
                </pic:pic>
              </a:graphicData>
            </a:graphic>
          </wp:inline>
        </w:drawing>
      </w:r>
    </w:p>
    <w:p w14:paraId="6A217605" w14:textId="05576FCD" w:rsidR="00162B33" w:rsidRPr="0084093E" w:rsidRDefault="00162B33" w:rsidP="00B73AB9">
      <w:pPr>
        <w:pStyle w:val="NormalWeb"/>
        <w:spacing w:before="0" w:beforeAutospacing="0" w:after="0" w:afterAutospacing="0"/>
        <w:jc w:val="both"/>
        <w:rPr>
          <w:rFonts w:asciiTheme="minorBidi" w:eastAsia="Calibri" w:hAnsiTheme="minorBidi" w:cstheme="minorBidi"/>
          <w:rtl/>
        </w:rPr>
      </w:pPr>
      <w:r w:rsidRPr="00162B33">
        <w:rPr>
          <w:noProof/>
        </w:rPr>
        <w:lastRenderedPageBreak/>
        <w:drawing>
          <wp:inline distT="0" distB="0" distL="0" distR="0" wp14:anchorId="5DD90EA3" wp14:editId="1A6D6219">
            <wp:extent cx="5435193" cy="3614852"/>
            <wp:effectExtent l="0" t="0" r="0" b="508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58441" cy="3630314"/>
                    </a:xfrm>
                    <a:prstGeom prst="rect">
                      <a:avLst/>
                    </a:prstGeom>
                    <a:noFill/>
                    <a:ln>
                      <a:noFill/>
                    </a:ln>
                  </pic:spPr>
                </pic:pic>
              </a:graphicData>
            </a:graphic>
          </wp:inline>
        </w:drawing>
      </w:r>
    </w:p>
    <w:p w14:paraId="5604FDD9" w14:textId="71592176" w:rsidR="00B9505D" w:rsidRPr="001D5B10" w:rsidRDefault="00B9505D" w:rsidP="00B9505D">
      <w:pPr>
        <w:pStyle w:val="NormalWeb"/>
        <w:rPr>
          <w:rFonts w:asciiTheme="minorBidi" w:eastAsia="Calibri" w:hAnsiTheme="minorBidi" w:cstheme="minorBidi"/>
          <w:sz w:val="22"/>
          <w:szCs w:val="22"/>
        </w:rPr>
      </w:pPr>
      <w:r w:rsidRPr="001D5B10">
        <w:rPr>
          <w:rFonts w:asciiTheme="minorBidi" w:eastAsia="Calibri" w:hAnsiTheme="minorBidi" w:cstheme="minorBidi"/>
          <w:sz w:val="22"/>
          <w:szCs w:val="22"/>
        </w:rPr>
        <w:t>*A positive value denotes growth in demand for credit, and vice-versa</w:t>
      </w:r>
      <w:r w:rsidR="00D24307">
        <w:rPr>
          <w:rFonts w:asciiTheme="minorBidi" w:eastAsia="Calibri" w:hAnsiTheme="minorBidi" w:cstheme="minorBidi"/>
          <w:sz w:val="22"/>
          <w:szCs w:val="22"/>
        </w:rPr>
        <w:t>.</w:t>
      </w:r>
    </w:p>
    <w:p w14:paraId="26FBC289" w14:textId="77777777" w:rsidR="00FD2967" w:rsidRPr="006A34D5" w:rsidRDefault="00FD2967" w:rsidP="006A34D5">
      <w:pPr>
        <w:pStyle w:val="regpar"/>
        <w:ind w:firstLine="0"/>
      </w:pPr>
    </w:p>
    <w:p w14:paraId="36CF7A47" w14:textId="216D1236" w:rsidR="00DC05C1" w:rsidRPr="006B5F06" w:rsidRDefault="00DC05C1">
      <w:pPr>
        <w:pStyle w:val="regpar"/>
        <w:ind w:firstLine="0"/>
        <w:rPr>
          <w:rStyle w:val="ui-provider"/>
          <w:rFonts w:ascii="Segoe UI" w:hAnsi="Segoe UI" w:cs="Segoe UI"/>
          <w:sz w:val="22"/>
          <w:szCs w:val="22"/>
        </w:rPr>
      </w:pPr>
      <w:r w:rsidRPr="006B5F06">
        <w:rPr>
          <w:rStyle w:val="ui-provider"/>
          <w:rFonts w:ascii="Segoe UI" w:hAnsi="Segoe UI" w:cs="Segoe UI"/>
          <w:sz w:val="22"/>
          <w:szCs w:val="22"/>
        </w:rPr>
        <w:t xml:space="preserve">The main factors contributing to the easing of credit </w:t>
      </w:r>
      <w:r w:rsidR="006A34D5" w:rsidRPr="006B5F06">
        <w:rPr>
          <w:rStyle w:val="ui-provider"/>
          <w:rFonts w:ascii="Segoe UI" w:hAnsi="Segoe UI" w:cs="Segoe UI"/>
          <w:sz w:val="22"/>
          <w:szCs w:val="22"/>
        </w:rPr>
        <w:t>margins</w:t>
      </w:r>
      <w:r w:rsidRPr="006B5F06">
        <w:rPr>
          <w:rStyle w:val="ui-provider"/>
          <w:rFonts w:ascii="Segoe UI" w:hAnsi="Segoe UI" w:cs="Segoe UI"/>
          <w:sz w:val="22"/>
          <w:szCs w:val="22"/>
        </w:rPr>
        <w:t xml:space="preserve"> continued to be competitive pressures and high capital ratios </w:t>
      </w:r>
      <w:r w:rsidRPr="00C46705">
        <w:rPr>
          <w:rStyle w:val="ui-provider"/>
          <w:rFonts w:ascii="Segoe UI" w:hAnsi="Segoe UI" w:cs="Segoe UI"/>
          <w:sz w:val="22"/>
          <w:szCs w:val="22"/>
        </w:rPr>
        <w:t>(Figure 4)</w:t>
      </w:r>
      <w:r w:rsidRPr="006B5F06">
        <w:rPr>
          <w:rStyle w:val="ui-provider"/>
          <w:rFonts w:ascii="Segoe UI" w:hAnsi="Segoe UI" w:cs="Segoe UI"/>
          <w:sz w:val="22"/>
          <w:szCs w:val="22"/>
        </w:rPr>
        <w:t>.</w:t>
      </w:r>
    </w:p>
    <w:p w14:paraId="70605983" w14:textId="3B56E3C3" w:rsidR="006A34D5" w:rsidRPr="006B5F06" w:rsidRDefault="006A34D5">
      <w:pPr>
        <w:pStyle w:val="regpar"/>
        <w:ind w:firstLine="0"/>
        <w:rPr>
          <w:rStyle w:val="ui-provider"/>
          <w:rFonts w:ascii="Segoe UI" w:hAnsi="Segoe UI" w:cs="Segoe UI"/>
          <w:sz w:val="22"/>
          <w:szCs w:val="22"/>
        </w:rPr>
      </w:pPr>
    </w:p>
    <w:p w14:paraId="596E4ECC" w14:textId="639C6533" w:rsidR="006B5F06" w:rsidRPr="00B73AB9" w:rsidRDefault="006B5F06" w:rsidP="00C46705">
      <w:pPr>
        <w:pStyle w:val="NormalWeb"/>
        <w:spacing w:before="0" w:beforeAutospacing="0" w:after="0" w:afterAutospacing="0"/>
        <w:jc w:val="both"/>
        <w:rPr>
          <w:rFonts w:asciiTheme="minorBidi" w:eastAsia="Calibri" w:hAnsiTheme="minorBidi" w:cstheme="minorBidi"/>
          <w:b/>
          <w:bCs/>
          <w:sz w:val="22"/>
          <w:szCs w:val="22"/>
        </w:rPr>
      </w:pPr>
      <w:r w:rsidRPr="00B73AB9">
        <w:rPr>
          <w:rFonts w:asciiTheme="minorBidi" w:eastAsia="Calibri" w:hAnsiTheme="minorBidi" w:cstheme="minorBidi"/>
          <w:b/>
          <w:bCs/>
          <w:sz w:val="22"/>
          <w:szCs w:val="22"/>
        </w:rPr>
        <w:t>Figure 4</w:t>
      </w:r>
      <w:r w:rsidR="00C46705">
        <w:rPr>
          <w:rFonts w:asciiTheme="minorBidi" w:eastAsia="Calibri" w:hAnsiTheme="minorBidi" w:cstheme="minorBidi"/>
          <w:b/>
          <w:bCs/>
          <w:sz w:val="22"/>
          <w:szCs w:val="22"/>
        </w:rPr>
        <w:t xml:space="preserve">. </w:t>
      </w:r>
      <w:r w:rsidRPr="00B73AB9">
        <w:rPr>
          <w:rFonts w:asciiTheme="minorBidi" w:eastAsia="Calibri" w:hAnsiTheme="minorBidi" w:cstheme="minorBidi"/>
          <w:b/>
          <w:bCs/>
          <w:sz w:val="22"/>
          <w:szCs w:val="22"/>
        </w:rPr>
        <w:t>Net balance</w:t>
      </w:r>
      <w:r w:rsidR="00B9505D">
        <w:rPr>
          <w:rFonts w:asciiTheme="minorBidi" w:eastAsia="Calibri" w:hAnsiTheme="minorBidi" w:cstheme="minorBidi"/>
          <w:b/>
          <w:bCs/>
          <w:sz w:val="22"/>
          <w:szCs w:val="22"/>
        </w:rPr>
        <w:t>s</w:t>
      </w:r>
      <w:r w:rsidRPr="00B73AB9">
        <w:rPr>
          <w:rFonts w:asciiTheme="minorBidi" w:eastAsia="Calibri" w:hAnsiTheme="minorBidi" w:cstheme="minorBidi"/>
          <w:b/>
          <w:bCs/>
          <w:sz w:val="22"/>
          <w:szCs w:val="22"/>
        </w:rPr>
        <w:t xml:space="preserve">* of changes in the effect of various factors on the change in credit </w:t>
      </w:r>
      <w:r w:rsidR="00D725B0">
        <w:rPr>
          <w:rFonts w:asciiTheme="minorBidi" w:eastAsia="Calibri" w:hAnsiTheme="minorBidi" w:cstheme="minorBidi"/>
          <w:b/>
          <w:bCs/>
          <w:sz w:val="22"/>
          <w:szCs w:val="22"/>
        </w:rPr>
        <w:t>margins</w:t>
      </w:r>
    </w:p>
    <w:p w14:paraId="612ADE9A" w14:textId="033CAA3E" w:rsidR="00C46705" w:rsidRDefault="002C21D7" w:rsidP="00C46705">
      <w:pPr>
        <w:pStyle w:val="NormalWeb"/>
        <w:rPr>
          <w:rFonts w:asciiTheme="minorBidi" w:eastAsia="Calibri" w:hAnsiTheme="minorBidi" w:cstheme="minorBidi"/>
          <w:sz w:val="22"/>
          <w:szCs w:val="22"/>
        </w:rPr>
      </w:pPr>
      <w:r w:rsidRPr="002C21D7">
        <w:rPr>
          <w:noProof/>
        </w:rPr>
        <w:drawing>
          <wp:inline distT="0" distB="0" distL="0" distR="0" wp14:anchorId="08FF6E82" wp14:editId="29027FCB">
            <wp:extent cx="4988966" cy="3303905"/>
            <wp:effectExtent l="0" t="0" r="2540" b="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38032" cy="3336399"/>
                    </a:xfrm>
                    <a:prstGeom prst="rect">
                      <a:avLst/>
                    </a:prstGeom>
                    <a:noFill/>
                    <a:ln>
                      <a:noFill/>
                    </a:ln>
                  </pic:spPr>
                </pic:pic>
              </a:graphicData>
            </a:graphic>
          </wp:inline>
        </w:drawing>
      </w:r>
      <w:r w:rsidR="00C46705" w:rsidRPr="001D5B10">
        <w:rPr>
          <w:rFonts w:asciiTheme="minorBidi" w:eastAsia="Calibri" w:hAnsiTheme="minorBidi" w:cstheme="minorBidi"/>
          <w:sz w:val="22"/>
          <w:szCs w:val="22"/>
        </w:rPr>
        <w:t xml:space="preserve"> </w:t>
      </w:r>
    </w:p>
    <w:p w14:paraId="495BB416" w14:textId="3D72EC57" w:rsidR="002C21D7" w:rsidRDefault="002C21D7" w:rsidP="00C46705">
      <w:pPr>
        <w:pStyle w:val="NormalWeb"/>
        <w:rPr>
          <w:rFonts w:asciiTheme="minorBidi" w:eastAsia="Calibri" w:hAnsiTheme="minorBidi" w:cstheme="minorBidi"/>
          <w:sz w:val="22"/>
          <w:szCs w:val="22"/>
        </w:rPr>
      </w:pPr>
      <w:bookmarkStart w:id="0" w:name="_GoBack"/>
      <w:r w:rsidRPr="002C21D7">
        <w:rPr>
          <w:noProof/>
        </w:rPr>
        <w:lastRenderedPageBreak/>
        <w:drawing>
          <wp:inline distT="0" distB="0" distL="0" distR="0" wp14:anchorId="7833747A" wp14:editId="442C468F">
            <wp:extent cx="5032857" cy="4057015"/>
            <wp:effectExtent l="0" t="0" r="0" b="635"/>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53512" cy="4073665"/>
                    </a:xfrm>
                    <a:prstGeom prst="rect">
                      <a:avLst/>
                    </a:prstGeom>
                    <a:noFill/>
                    <a:ln>
                      <a:noFill/>
                    </a:ln>
                  </pic:spPr>
                </pic:pic>
              </a:graphicData>
            </a:graphic>
          </wp:inline>
        </w:drawing>
      </w:r>
      <w:bookmarkEnd w:id="0"/>
    </w:p>
    <w:p w14:paraId="7CE18ECF" w14:textId="51380409" w:rsidR="002C21D7" w:rsidRDefault="002C21D7" w:rsidP="00C46705">
      <w:pPr>
        <w:pStyle w:val="NormalWeb"/>
        <w:rPr>
          <w:rFonts w:asciiTheme="minorBidi" w:eastAsia="Calibri" w:hAnsiTheme="minorBidi" w:cstheme="minorBidi"/>
          <w:sz w:val="22"/>
          <w:szCs w:val="22"/>
        </w:rPr>
      </w:pPr>
      <w:r w:rsidRPr="002C21D7">
        <w:rPr>
          <w:noProof/>
        </w:rPr>
        <w:drawing>
          <wp:inline distT="0" distB="0" distL="0" distR="0" wp14:anchorId="6A4A9AAA" wp14:editId="2D944F6D">
            <wp:extent cx="5098694" cy="3752034"/>
            <wp:effectExtent l="0" t="0" r="6985" b="1270"/>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26544" cy="3772528"/>
                    </a:xfrm>
                    <a:prstGeom prst="rect">
                      <a:avLst/>
                    </a:prstGeom>
                    <a:noFill/>
                    <a:ln>
                      <a:noFill/>
                    </a:ln>
                  </pic:spPr>
                </pic:pic>
              </a:graphicData>
            </a:graphic>
          </wp:inline>
        </w:drawing>
      </w:r>
    </w:p>
    <w:p w14:paraId="328B802F" w14:textId="065760D7" w:rsidR="00B9505D" w:rsidRPr="001D5B10" w:rsidRDefault="00B9505D" w:rsidP="00C46705">
      <w:pPr>
        <w:pStyle w:val="NormalWeb"/>
        <w:rPr>
          <w:rFonts w:asciiTheme="minorBidi" w:eastAsia="Calibri" w:hAnsiTheme="minorBidi" w:cstheme="minorBidi"/>
          <w:sz w:val="22"/>
          <w:szCs w:val="22"/>
        </w:rPr>
      </w:pPr>
      <w:r w:rsidRPr="001D5B10">
        <w:rPr>
          <w:rFonts w:asciiTheme="minorBidi" w:eastAsia="Calibri" w:hAnsiTheme="minorBidi" w:cstheme="minorBidi"/>
          <w:sz w:val="22"/>
          <w:szCs w:val="22"/>
        </w:rPr>
        <w:t>*A positive value denotes growth in demand for credit, and vice-versa</w:t>
      </w:r>
      <w:r w:rsidR="00D24307">
        <w:rPr>
          <w:rFonts w:asciiTheme="minorBidi" w:eastAsia="Calibri" w:hAnsiTheme="minorBidi" w:cstheme="minorBidi"/>
          <w:sz w:val="22"/>
          <w:szCs w:val="22"/>
        </w:rPr>
        <w:t>.</w:t>
      </w:r>
    </w:p>
    <w:p w14:paraId="59DEE32E" w14:textId="77777777" w:rsidR="00DC05C1" w:rsidRPr="00DC05C1" w:rsidRDefault="00DC05C1" w:rsidP="00B73AB9">
      <w:pPr>
        <w:pStyle w:val="regpar"/>
        <w:ind w:firstLine="0"/>
        <w:rPr>
          <w:rFonts w:ascii="Segoe UI" w:hAnsi="Segoe UI" w:cs="Segoe UI"/>
          <w:b/>
          <w:bCs/>
          <w:sz w:val="22"/>
          <w:szCs w:val="22"/>
        </w:rPr>
      </w:pPr>
    </w:p>
    <w:sectPr w:rsidR="00DC05C1" w:rsidRPr="00DC05C1" w:rsidSect="004F5A85">
      <w:headerReference w:type="default" r:id="rId21"/>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456DF" w14:textId="77777777" w:rsidR="00E94F34" w:rsidRDefault="00E94F34">
      <w:r>
        <w:separator/>
      </w:r>
    </w:p>
  </w:endnote>
  <w:endnote w:type="continuationSeparator" w:id="0">
    <w:p w14:paraId="22C6AB7D" w14:textId="77777777" w:rsidR="00E94F34" w:rsidRDefault="00E94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43792" w14:textId="77777777" w:rsidR="00E94F34" w:rsidRDefault="00E94F34">
      <w:pPr>
        <w:spacing w:line="160" w:lineRule="exact"/>
      </w:pPr>
    </w:p>
  </w:footnote>
  <w:footnote w:type="continuationSeparator" w:id="0">
    <w:p w14:paraId="1095DC93" w14:textId="77777777" w:rsidR="00E94F34" w:rsidRDefault="00E94F34">
      <w:pPr>
        <w:pStyle w:val="rule"/>
      </w:pPr>
      <w:r>
        <w:t>–––––––––––––––––––––––––––</w:t>
      </w:r>
    </w:p>
    <w:p w14:paraId="603BB9D5" w14:textId="77777777" w:rsidR="00E94F34" w:rsidRDefault="00E94F34">
      <w:pPr>
        <w:pStyle w:val="noteseparator"/>
      </w:pPr>
    </w:p>
  </w:footnote>
  <w:footnote w:id="1">
    <w:p w14:paraId="5904B1E8" w14:textId="709CA900" w:rsidR="009D7071" w:rsidRPr="009D7071" w:rsidRDefault="009D7071" w:rsidP="00B73AB9">
      <w:pPr>
        <w:pStyle w:val="FootnoteText"/>
        <w:jc w:val="both"/>
        <w:rPr>
          <w:rFonts w:ascii="Segoe UI" w:hAnsi="Segoe UI" w:cs="Segoe UI"/>
        </w:rPr>
      </w:pPr>
      <w:r w:rsidRPr="009D7071">
        <w:rPr>
          <w:rStyle w:val="FootnoteReference"/>
          <w:rFonts w:ascii="Segoe UI" w:hAnsi="Segoe UI" w:cs="Segoe UI"/>
          <w:sz w:val="20"/>
          <w:szCs w:val="20"/>
        </w:rPr>
        <w:footnoteRef/>
      </w:r>
      <w:r w:rsidRPr="009D7071">
        <w:rPr>
          <w:rFonts w:ascii="Segoe UI" w:hAnsi="Segoe UI" w:cs="Segoe UI"/>
        </w:rPr>
        <w:t xml:space="preserve"> </w:t>
      </w:r>
      <w:r w:rsidRPr="009D7071">
        <w:rPr>
          <w:rStyle w:val="ui-provider"/>
          <w:rFonts w:ascii="Segoe UI" w:hAnsi="Segoe UI" w:cs="Segoe UI"/>
        </w:rPr>
        <w:t xml:space="preserve">The net balance is calculated as the difference between the percentage of positive responses and the percentage of negative responses. For questions regarding </w:t>
      </w:r>
      <w:r w:rsidR="006A34D5">
        <w:rPr>
          <w:rStyle w:val="ui-provider"/>
          <w:rFonts w:ascii="Segoe UI" w:hAnsi="Segoe UI" w:cs="Segoe UI"/>
        </w:rPr>
        <w:t xml:space="preserve">demand for </w:t>
      </w:r>
      <w:r w:rsidRPr="009D7071">
        <w:rPr>
          <w:rStyle w:val="ui-provider"/>
          <w:rFonts w:ascii="Segoe UI" w:hAnsi="Segoe UI" w:cs="Segoe UI"/>
        </w:rPr>
        <w:t xml:space="preserve">credit, the responses </w:t>
      </w:r>
      <w:r w:rsidR="006A34D5">
        <w:rPr>
          <w:rStyle w:val="ui-provider"/>
          <w:rFonts w:ascii="Segoe UI" w:hAnsi="Segoe UI" w:cs="Segoe UI"/>
        </w:rPr>
        <w:t>“</w:t>
      </w:r>
      <w:r w:rsidRPr="009D7071">
        <w:rPr>
          <w:rStyle w:val="ui-provider"/>
          <w:rFonts w:ascii="Segoe UI" w:hAnsi="Segoe UI" w:cs="Segoe UI"/>
        </w:rPr>
        <w:t>increased/increased significantly</w:t>
      </w:r>
      <w:r w:rsidR="006A34D5">
        <w:rPr>
          <w:rStyle w:val="ui-provider"/>
          <w:rFonts w:ascii="Segoe UI" w:hAnsi="Segoe UI" w:cs="Segoe UI"/>
        </w:rPr>
        <w:t>”</w:t>
      </w:r>
      <w:r w:rsidRPr="009D7071">
        <w:rPr>
          <w:rStyle w:val="ui-provider"/>
          <w:rFonts w:ascii="Segoe UI" w:hAnsi="Segoe UI" w:cs="Segoe UI"/>
        </w:rPr>
        <w:t xml:space="preserve"> are defined as positive, and the responses </w:t>
      </w:r>
      <w:r w:rsidR="006A34D5">
        <w:rPr>
          <w:rStyle w:val="ui-provider"/>
          <w:rFonts w:ascii="Segoe UI" w:hAnsi="Segoe UI" w:cs="Segoe UI"/>
        </w:rPr>
        <w:t>“</w:t>
      </w:r>
      <w:r w:rsidRPr="009D7071">
        <w:rPr>
          <w:rStyle w:val="ui-provider"/>
          <w:rFonts w:ascii="Segoe UI" w:hAnsi="Segoe UI" w:cs="Segoe UI"/>
        </w:rPr>
        <w:t>decreased/decreased significantly</w:t>
      </w:r>
      <w:r w:rsidR="006A34D5">
        <w:rPr>
          <w:rStyle w:val="ui-provider"/>
          <w:rFonts w:ascii="Segoe UI" w:hAnsi="Segoe UI" w:cs="Segoe UI"/>
        </w:rPr>
        <w:t>”</w:t>
      </w:r>
      <w:r w:rsidRPr="009D7071">
        <w:rPr>
          <w:rStyle w:val="ui-provider"/>
          <w:rFonts w:ascii="Segoe UI" w:hAnsi="Segoe UI" w:cs="Segoe UI"/>
        </w:rPr>
        <w:t xml:space="preserve"> are defined as negative, so a positive net balance reflects an increase in </w:t>
      </w:r>
      <w:r w:rsidR="006A34D5">
        <w:rPr>
          <w:rStyle w:val="ui-provider"/>
          <w:rFonts w:ascii="Segoe UI" w:hAnsi="Segoe UI" w:cs="Segoe UI"/>
        </w:rPr>
        <w:t xml:space="preserve">demand for </w:t>
      </w:r>
      <w:r w:rsidRPr="009D7071">
        <w:rPr>
          <w:rStyle w:val="ui-provider"/>
          <w:rFonts w:ascii="Segoe UI" w:hAnsi="Segoe UI" w:cs="Segoe UI"/>
        </w:rPr>
        <w:t>credit, and vice</w:t>
      </w:r>
      <w:r w:rsidR="006A34D5">
        <w:rPr>
          <w:rStyle w:val="ui-provider"/>
          <w:rFonts w:ascii="Segoe UI" w:hAnsi="Segoe UI" w:cs="Segoe UI"/>
        </w:rPr>
        <w:t>-</w:t>
      </w:r>
      <w:r w:rsidRPr="009D7071">
        <w:rPr>
          <w:rStyle w:val="ui-provider"/>
          <w:rFonts w:ascii="Segoe UI" w:hAnsi="Segoe UI" w:cs="Segoe UI"/>
        </w:rPr>
        <w:t>versa. For questions regarding credit supply, i.e., credit provision policies and credit terms</w:t>
      </w:r>
      <w:r w:rsidR="00CE6F60">
        <w:rPr>
          <w:rStyle w:val="ui-provider"/>
          <w:rFonts w:ascii="Segoe UI" w:hAnsi="Segoe UI" w:cs="Segoe UI"/>
        </w:rPr>
        <w:t xml:space="preserve"> and conditions</w:t>
      </w:r>
      <w:r w:rsidRPr="009D7071">
        <w:rPr>
          <w:rStyle w:val="ui-provider"/>
          <w:rFonts w:ascii="Segoe UI" w:hAnsi="Segoe UI" w:cs="Segoe UI"/>
        </w:rPr>
        <w:t xml:space="preserve">, the responses </w:t>
      </w:r>
      <w:r w:rsidR="006A34D5">
        <w:rPr>
          <w:rStyle w:val="ui-provider"/>
          <w:rFonts w:ascii="Segoe UI" w:hAnsi="Segoe UI" w:cs="Segoe UI"/>
        </w:rPr>
        <w:t>“</w:t>
      </w:r>
      <w:r w:rsidRPr="009D7071">
        <w:rPr>
          <w:rStyle w:val="ui-provider"/>
          <w:rFonts w:ascii="Segoe UI" w:hAnsi="Segoe UI" w:cs="Segoe UI"/>
        </w:rPr>
        <w:t>significant tightening/some tightening</w:t>
      </w:r>
      <w:r w:rsidR="006A34D5">
        <w:rPr>
          <w:rStyle w:val="ui-provider"/>
          <w:rFonts w:ascii="Segoe UI" w:hAnsi="Segoe UI" w:cs="Segoe UI"/>
        </w:rPr>
        <w:t>”</w:t>
      </w:r>
      <w:r w:rsidRPr="009D7071">
        <w:rPr>
          <w:rStyle w:val="ui-provider"/>
          <w:rFonts w:ascii="Segoe UI" w:hAnsi="Segoe UI" w:cs="Segoe UI"/>
        </w:rPr>
        <w:t xml:space="preserve"> are defined as positive, and the responses </w:t>
      </w:r>
      <w:r w:rsidR="006A34D5">
        <w:rPr>
          <w:rStyle w:val="ui-provider"/>
          <w:rFonts w:ascii="Segoe UI" w:hAnsi="Segoe UI" w:cs="Segoe UI"/>
        </w:rPr>
        <w:t>“</w:t>
      </w:r>
      <w:r w:rsidRPr="009D7071">
        <w:rPr>
          <w:rStyle w:val="ui-provider"/>
          <w:rFonts w:ascii="Segoe UI" w:hAnsi="Segoe UI" w:cs="Segoe UI"/>
        </w:rPr>
        <w:t>some easing/significant easing</w:t>
      </w:r>
      <w:r w:rsidR="006A34D5">
        <w:rPr>
          <w:rStyle w:val="ui-provider"/>
          <w:rFonts w:ascii="Segoe UI" w:hAnsi="Segoe UI" w:cs="Segoe UI"/>
        </w:rPr>
        <w:t>”</w:t>
      </w:r>
      <w:r w:rsidRPr="009D7071">
        <w:rPr>
          <w:rStyle w:val="ui-provider"/>
          <w:rFonts w:ascii="Segoe UI" w:hAnsi="Segoe UI" w:cs="Segoe UI"/>
        </w:rPr>
        <w:t xml:space="preserve"> are defined as negative, so a positive net balance reflects tightening in policy or credit terms</w:t>
      </w:r>
      <w:r w:rsidR="00CE6F60">
        <w:rPr>
          <w:rStyle w:val="ui-provider"/>
          <w:rFonts w:ascii="Segoe UI" w:hAnsi="Segoe UI" w:cs="Segoe UI"/>
        </w:rPr>
        <w:t xml:space="preserve"> and conditions</w:t>
      </w:r>
      <w:r w:rsidRPr="009D7071">
        <w:rPr>
          <w:rStyle w:val="ui-provider"/>
          <w:rFonts w:ascii="Segoe UI" w:hAnsi="Segoe UI" w:cs="Segoe UI"/>
        </w:rPr>
        <w:t>, and vice</w:t>
      </w:r>
      <w:r w:rsidR="006A34D5">
        <w:rPr>
          <w:rStyle w:val="ui-provider"/>
          <w:rFonts w:ascii="Segoe UI" w:hAnsi="Segoe UI" w:cs="Segoe UI"/>
        </w:rPr>
        <w:t>-</w:t>
      </w:r>
      <w:r w:rsidRPr="009D7071">
        <w:rPr>
          <w:rStyle w:val="ui-provider"/>
          <w:rFonts w:ascii="Segoe UI" w:hAnsi="Segoe UI" w:cs="Segoe UI"/>
        </w:rPr>
        <w:t>versa. The responses were weighted according to each bank</w:t>
      </w:r>
      <w:r w:rsidR="006A34D5">
        <w:rPr>
          <w:rStyle w:val="ui-provider"/>
          <w:rFonts w:ascii="Segoe UI" w:hAnsi="Segoe UI" w:cs="Segoe UI"/>
        </w:rPr>
        <w:t>’</w:t>
      </w:r>
      <w:r w:rsidRPr="009D7071">
        <w:rPr>
          <w:rStyle w:val="ui-provider"/>
          <w:rFonts w:ascii="Segoe UI" w:hAnsi="Segoe UI" w:cs="Segoe UI"/>
        </w:rPr>
        <w:t>s share in each credit segment.</w:t>
      </w:r>
    </w:p>
  </w:footnote>
  <w:footnote w:id="2">
    <w:p w14:paraId="3B7146F2" w14:textId="038129A1" w:rsidR="006A34D5" w:rsidRPr="006A34D5" w:rsidRDefault="006A34D5" w:rsidP="00C4454E">
      <w:pPr>
        <w:pStyle w:val="FootnoteText"/>
        <w:jc w:val="both"/>
        <w:rPr>
          <w:rFonts w:ascii="Segoe UI" w:hAnsi="Segoe UI" w:cs="Segoe UI"/>
        </w:rPr>
      </w:pPr>
      <w:r w:rsidRPr="006A34D5">
        <w:rPr>
          <w:rStyle w:val="FootnoteReference"/>
          <w:rFonts w:ascii="Segoe UI" w:hAnsi="Segoe UI" w:cs="Segoe UI"/>
          <w:sz w:val="20"/>
          <w:szCs w:val="20"/>
        </w:rPr>
        <w:footnoteRef/>
      </w:r>
      <w:r w:rsidRPr="006A34D5">
        <w:rPr>
          <w:rFonts w:ascii="Segoe UI" w:hAnsi="Segoe UI" w:cs="Segoe UI"/>
        </w:rPr>
        <w:t xml:space="preserve"> </w:t>
      </w:r>
      <w:r w:rsidRPr="00AB7916">
        <w:rPr>
          <w:rFonts w:ascii="Segoe UI" w:hAnsi="Segoe UI" w:cs="Segoe UI"/>
        </w:rPr>
        <w:t xml:space="preserve">The definitions of the construction and real estate </w:t>
      </w:r>
      <w:r>
        <w:rPr>
          <w:rFonts w:ascii="Segoe UI" w:hAnsi="Segoe UI" w:cs="Segoe UI"/>
        </w:rPr>
        <w:t>industries</w:t>
      </w:r>
      <w:r w:rsidRPr="00AB7916">
        <w:rPr>
          <w:rFonts w:ascii="Segoe UI" w:hAnsi="Segoe UI" w:cs="Segoe UI"/>
        </w:rPr>
        <w:t xml:space="preserve"> are according to the Central Bureau of Statistics</w:t>
      </w:r>
      <w:r>
        <w:rPr>
          <w:rFonts w:ascii="Segoe UI" w:hAnsi="Segoe UI" w:cs="Segoe UI"/>
        </w:rPr>
        <w:t xml:space="preserve"> </w:t>
      </w:r>
      <w:r w:rsidRPr="00AB7916">
        <w:rPr>
          <w:rFonts w:ascii="Segoe UI" w:hAnsi="Segoe UI" w:cs="Segoe UI"/>
        </w:rPr>
        <w:t xml:space="preserve">Standard Industrial Classification. The construction </w:t>
      </w:r>
      <w:r w:rsidR="005C5333">
        <w:rPr>
          <w:rFonts w:ascii="Segoe UI" w:hAnsi="Segoe UI" w:cs="Segoe UI"/>
        </w:rPr>
        <w:t>industry</w:t>
      </w:r>
      <w:r w:rsidRPr="00AB7916">
        <w:rPr>
          <w:rFonts w:ascii="Segoe UI" w:hAnsi="Segoe UI" w:cs="Segoe UI"/>
        </w:rPr>
        <w:t xml:space="preserve"> (Section F) mainly includes</w:t>
      </w:r>
      <w:r w:rsidR="005C5333">
        <w:rPr>
          <w:rFonts w:ascii="Segoe UI" w:hAnsi="Segoe UI" w:cs="Segoe UI"/>
        </w:rPr>
        <w:t xml:space="preserve"> the construction of</w:t>
      </w:r>
      <w:r w:rsidRPr="00AB7916">
        <w:rPr>
          <w:rFonts w:ascii="Segoe UI" w:hAnsi="Segoe UI" w:cs="Segoe UI"/>
        </w:rPr>
        <w:t xml:space="preserve"> building</w:t>
      </w:r>
      <w:r w:rsidR="005C5333">
        <w:rPr>
          <w:rFonts w:ascii="Segoe UI" w:hAnsi="Segoe UI" w:cs="Segoe UI"/>
        </w:rPr>
        <w:t>s</w:t>
      </w:r>
      <w:r w:rsidRPr="00AB7916">
        <w:rPr>
          <w:rFonts w:ascii="Segoe UI" w:hAnsi="Segoe UI" w:cs="Segoe UI"/>
        </w:rPr>
        <w:t xml:space="preserve"> and infrastructure, while the real estate </w:t>
      </w:r>
      <w:r w:rsidR="005C5333">
        <w:rPr>
          <w:rFonts w:ascii="Segoe UI" w:hAnsi="Segoe UI" w:cs="Segoe UI"/>
        </w:rPr>
        <w:t>industry</w:t>
      </w:r>
      <w:r w:rsidRPr="00AB7916">
        <w:rPr>
          <w:rFonts w:ascii="Segoe UI" w:hAnsi="Segoe UI" w:cs="Segoe UI"/>
        </w:rPr>
        <w:t xml:space="preserve"> (Section L) includes real estate activities, mainly buying, selling, renting, and operating real estate. It does not include the development of construction projects for sale.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EF1559"/>
    <w:multiLevelType w:val="hybridMultilevel"/>
    <w:tmpl w:val="56BA8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4"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3"/>
  </w:num>
  <w:num w:numId="4">
    <w:abstractNumId w:val="14"/>
  </w:num>
  <w:num w:numId="5">
    <w:abstractNumId w:val="1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4"/>
  </w:num>
  <w:num w:numId="10">
    <w:abstractNumId w:val="16"/>
  </w:num>
  <w:num w:numId="11">
    <w:abstractNumId w:val="12"/>
  </w:num>
  <w:num w:numId="12">
    <w:abstractNumId w:val="9"/>
  </w:num>
  <w:num w:numId="13">
    <w:abstractNumId w:val="3"/>
  </w:num>
  <w:num w:numId="14">
    <w:abstractNumId w:val="2"/>
  </w:num>
  <w:num w:numId="15">
    <w:abstractNumId w:val="11"/>
  </w:num>
  <w:num w:numId="16">
    <w:abstractNumId w:val="1"/>
  </w:num>
  <w:num w:numId="17">
    <w:abstractNumId w:val="17"/>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13FB"/>
    <w:rsid w:val="000B2451"/>
    <w:rsid w:val="000B5143"/>
    <w:rsid w:val="000B6617"/>
    <w:rsid w:val="000C1242"/>
    <w:rsid w:val="000C4140"/>
    <w:rsid w:val="000C46E3"/>
    <w:rsid w:val="000D3201"/>
    <w:rsid w:val="000D3F79"/>
    <w:rsid w:val="000D5298"/>
    <w:rsid w:val="000E08B9"/>
    <w:rsid w:val="000E2EB0"/>
    <w:rsid w:val="000F4D42"/>
    <w:rsid w:val="00104F58"/>
    <w:rsid w:val="0010545F"/>
    <w:rsid w:val="001116D7"/>
    <w:rsid w:val="00114F59"/>
    <w:rsid w:val="001172A8"/>
    <w:rsid w:val="00121BED"/>
    <w:rsid w:val="001239DD"/>
    <w:rsid w:val="0012431B"/>
    <w:rsid w:val="00124970"/>
    <w:rsid w:val="00124AB5"/>
    <w:rsid w:val="00124ED8"/>
    <w:rsid w:val="00125AB8"/>
    <w:rsid w:val="00126370"/>
    <w:rsid w:val="00127549"/>
    <w:rsid w:val="00130460"/>
    <w:rsid w:val="00130873"/>
    <w:rsid w:val="00143F0D"/>
    <w:rsid w:val="0014603A"/>
    <w:rsid w:val="001550A7"/>
    <w:rsid w:val="00160123"/>
    <w:rsid w:val="00161743"/>
    <w:rsid w:val="00162B33"/>
    <w:rsid w:val="00162F9E"/>
    <w:rsid w:val="0016621D"/>
    <w:rsid w:val="00166ECD"/>
    <w:rsid w:val="00181A09"/>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342C"/>
    <w:rsid w:val="001F51F4"/>
    <w:rsid w:val="00203B3D"/>
    <w:rsid w:val="00204300"/>
    <w:rsid w:val="002070FB"/>
    <w:rsid w:val="00210F11"/>
    <w:rsid w:val="00212EBE"/>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B7BF4"/>
    <w:rsid w:val="002C21D7"/>
    <w:rsid w:val="002C31A2"/>
    <w:rsid w:val="002D0B04"/>
    <w:rsid w:val="002D180A"/>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6023"/>
    <w:rsid w:val="00376976"/>
    <w:rsid w:val="00380012"/>
    <w:rsid w:val="003814C4"/>
    <w:rsid w:val="0038232A"/>
    <w:rsid w:val="00384C99"/>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43EB3"/>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AC0"/>
    <w:rsid w:val="0055658B"/>
    <w:rsid w:val="0056099E"/>
    <w:rsid w:val="00562B0B"/>
    <w:rsid w:val="005676E1"/>
    <w:rsid w:val="00572E97"/>
    <w:rsid w:val="00581AE6"/>
    <w:rsid w:val="005838A2"/>
    <w:rsid w:val="00590949"/>
    <w:rsid w:val="00591171"/>
    <w:rsid w:val="00591282"/>
    <w:rsid w:val="00592585"/>
    <w:rsid w:val="00594895"/>
    <w:rsid w:val="005A5253"/>
    <w:rsid w:val="005B0C33"/>
    <w:rsid w:val="005B5BFC"/>
    <w:rsid w:val="005B6B00"/>
    <w:rsid w:val="005C1FAF"/>
    <w:rsid w:val="005C274D"/>
    <w:rsid w:val="005C5333"/>
    <w:rsid w:val="005C5CA6"/>
    <w:rsid w:val="005C635F"/>
    <w:rsid w:val="005C76FF"/>
    <w:rsid w:val="005D175A"/>
    <w:rsid w:val="005D225E"/>
    <w:rsid w:val="005E1AD6"/>
    <w:rsid w:val="005E23D5"/>
    <w:rsid w:val="006031D8"/>
    <w:rsid w:val="00605EBE"/>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4066"/>
    <w:rsid w:val="00696506"/>
    <w:rsid w:val="006A29C7"/>
    <w:rsid w:val="006A2E45"/>
    <w:rsid w:val="006A34D5"/>
    <w:rsid w:val="006A36A4"/>
    <w:rsid w:val="006B03B7"/>
    <w:rsid w:val="006B39E9"/>
    <w:rsid w:val="006B5F06"/>
    <w:rsid w:val="006C17E0"/>
    <w:rsid w:val="006D10C5"/>
    <w:rsid w:val="006D738F"/>
    <w:rsid w:val="006E30C1"/>
    <w:rsid w:val="006E33B5"/>
    <w:rsid w:val="006E35F9"/>
    <w:rsid w:val="006E4E37"/>
    <w:rsid w:val="006F331D"/>
    <w:rsid w:val="007012E2"/>
    <w:rsid w:val="00701620"/>
    <w:rsid w:val="007064D7"/>
    <w:rsid w:val="00706A01"/>
    <w:rsid w:val="0071317E"/>
    <w:rsid w:val="00730C23"/>
    <w:rsid w:val="00730F15"/>
    <w:rsid w:val="007342CE"/>
    <w:rsid w:val="007369BA"/>
    <w:rsid w:val="00740582"/>
    <w:rsid w:val="007414E1"/>
    <w:rsid w:val="00741B11"/>
    <w:rsid w:val="0074580C"/>
    <w:rsid w:val="00760F71"/>
    <w:rsid w:val="007617BD"/>
    <w:rsid w:val="0076212D"/>
    <w:rsid w:val="00770D80"/>
    <w:rsid w:val="00772339"/>
    <w:rsid w:val="0078710E"/>
    <w:rsid w:val="00787F4C"/>
    <w:rsid w:val="007917B0"/>
    <w:rsid w:val="007A1A5F"/>
    <w:rsid w:val="007A34C9"/>
    <w:rsid w:val="007A6C5D"/>
    <w:rsid w:val="007A7425"/>
    <w:rsid w:val="007A7980"/>
    <w:rsid w:val="007B04FD"/>
    <w:rsid w:val="007B59CC"/>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6845"/>
    <w:rsid w:val="00836D7A"/>
    <w:rsid w:val="00841E41"/>
    <w:rsid w:val="0084331E"/>
    <w:rsid w:val="00843E13"/>
    <w:rsid w:val="00843F4B"/>
    <w:rsid w:val="0084597D"/>
    <w:rsid w:val="00850D4E"/>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0CD2"/>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4ECF"/>
    <w:rsid w:val="00946CAD"/>
    <w:rsid w:val="00951190"/>
    <w:rsid w:val="00964A3B"/>
    <w:rsid w:val="00970925"/>
    <w:rsid w:val="00987141"/>
    <w:rsid w:val="00991A2A"/>
    <w:rsid w:val="009937AE"/>
    <w:rsid w:val="00996B5F"/>
    <w:rsid w:val="009A2328"/>
    <w:rsid w:val="009A374A"/>
    <w:rsid w:val="009B0072"/>
    <w:rsid w:val="009B01E1"/>
    <w:rsid w:val="009B5ABC"/>
    <w:rsid w:val="009C2CE3"/>
    <w:rsid w:val="009D5B6B"/>
    <w:rsid w:val="009D6B3B"/>
    <w:rsid w:val="009D7071"/>
    <w:rsid w:val="009D71A3"/>
    <w:rsid w:val="009E1CDE"/>
    <w:rsid w:val="009E5610"/>
    <w:rsid w:val="009F3027"/>
    <w:rsid w:val="009F4C02"/>
    <w:rsid w:val="009F5C01"/>
    <w:rsid w:val="00A06CAC"/>
    <w:rsid w:val="00A10C60"/>
    <w:rsid w:val="00A176D5"/>
    <w:rsid w:val="00A2357F"/>
    <w:rsid w:val="00A2557F"/>
    <w:rsid w:val="00A27711"/>
    <w:rsid w:val="00A30E4A"/>
    <w:rsid w:val="00A326F3"/>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4655"/>
    <w:rsid w:val="00B158CF"/>
    <w:rsid w:val="00B23E71"/>
    <w:rsid w:val="00B2410F"/>
    <w:rsid w:val="00B269CD"/>
    <w:rsid w:val="00B3068E"/>
    <w:rsid w:val="00B3103B"/>
    <w:rsid w:val="00B37BBE"/>
    <w:rsid w:val="00B46F7B"/>
    <w:rsid w:val="00B476CC"/>
    <w:rsid w:val="00B52957"/>
    <w:rsid w:val="00B552D1"/>
    <w:rsid w:val="00B5736D"/>
    <w:rsid w:val="00B57F69"/>
    <w:rsid w:val="00B6764F"/>
    <w:rsid w:val="00B73AB9"/>
    <w:rsid w:val="00B76579"/>
    <w:rsid w:val="00B81305"/>
    <w:rsid w:val="00B9505D"/>
    <w:rsid w:val="00B9723D"/>
    <w:rsid w:val="00BA3A63"/>
    <w:rsid w:val="00BA589A"/>
    <w:rsid w:val="00BA78B9"/>
    <w:rsid w:val="00BC05E1"/>
    <w:rsid w:val="00BC46DE"/>
    <w:rsid w:val="00BC6BBA"/>
    <w:rsid w:val="00BD570C"/>
    <w:rsid w:val="00BE50DA"/>
    <w:rsid w:val="00BF0276"/>
    <w:rsid w:val="00BF78A3"/>
    <w:rsid w:val="00C00CE9"/>
    <w:rsid w:val="00C02B2F"/>
    <w:rsid w:val="00C042B1"/>
    <w:rsid w:val="00C15E1F"/>
    <w:rsid w:val="00C17405"/>
    <w:rsid w:val="00C178D0"/>
    <w:rsid w:val="00C2256F"/>
    <w:rsid w:val="00C23F8F"/>
    <w:rsid w:val="00C24EB5"/>
    <w:rsid w:val="00C25A28"/>
    <w:rsid w:val="00C26787"/>
    <w:rsid w:val="00C3065F"/>
    <w:rsid w:val="00C34862"/>
    <w:rsid w:val="00C34F28"/>
    <w:rsid w:val="00C3506B"/>
    <w:rsid w:val="00C36FE1"/>
    <w:rsid w:val="00C40F50"/>
    <w:rsid w:val="00C4244A"/>
    <w:rsid w:val="00C4454E"/>
    <w:rsid w:val="00C46705"/>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97EAE"/>
    <w:rsid w:val="00CA4BB8"/>
    <w:rsid w:val="00CA68B3"/>
    <w:rsid w:val="00CB474B"/>
    <w:rsid w:val="00CC0F35"/>
    <w:rsid w:val="00CC493C"/>
    <w:rsid w:val="00CC4D2D"/>
    <w:rsid w:val="00CC598E"/>
    <w:rsid w:val="00CC59FC"/>
    <w:rsid w:val="00CC65CD"/>
    <w:rsid w:val="00CD51D2"/>
    <w:rsid w:val="00CE1CDD"/>
    <w:rsid w:val="00CE65D4"/>
    <w:rsid w:val="00CE6F60"/>
    <w:rsid w:val="00CE7A79"/>
    <w:rsid w:val="00CF4492"/>
    <w:rsid w:val="00D00CF7"/>
    <w:rsid w:val="00D038A8"/>
    <w:rsid w:val="00D0407A"/>
    <w:rsid w:val="00D043CC"/>
    <w:rsid w:val="00D14E29"/>
    <w:rsid w:val="00D24307"/>
    <w:rsid w:val="00D25B51"/>
    <w:rsid w:val="00D3284B"/>
    <w:rsid w:val="00D33F84"/>
    <w:rsid w:val="00D3751C"/>
    <w:rsid w:val="00D424D1"/>
    <w:rsid w:val="00D44CFE"/>
    <w:rsid w:val="00D463F8"/>
    <w:rsid w:val="00D54F0D"/>
    <w:rsid w:val="00D56394"/>
    <w:rsid w:val="00D56CA9"/>
    <w:rsid w:val="00D56FEA"/>
    <w:rsid w:val="00D61443"/>
    <w:rsid w:val="00D621C1"/>
    <w:rsid w:val="00D638AE"/>
    <w:rsid w:val="00D6747A"/>
    <w:rsid w:val="00D725B0"/>
    <w:rsid w:val="00D776C6"/>
    <w:rsid w:val="00D77FC6"/>
    <w:rsid w:val="00D85592"/>
    <w:rsid w:val="00D866ED"/>
    <w:rsid w:val="00D907F6"/>
    <w:rsid w:val="00D93E87"/>
    <w:rsid w:val="00D9466A"/>
    <w:rsid w:val="00D94C50"/>
    <w:rsid w:val="00DA4139"/>
    <w:rsid w:val="00DA5C83"/>
    <w:rsid w:val="00DA6F1C"/>
    <w:rsid w:val="00DC05C1"/>
    <w:rsid w:val="00DC192C"/>
    <w:rsid w:val="00DC2A7D"/>
    <w:rsid w:val="00DD0AB5"/>
    <w:rsid w:val="00DD1273"/>
    <w:rsid w:val="00DD20B4"/>
    <w:rsid w:val="00DE121E"/>
    <w:rsid w:val="00DE76BB"/>
    <w:rsid w:val="00E00DD0"/>
    <w:rsid w:val="00E03DAD"/>
    <w:rsid w:val="00E042D4"/>
    <w:rsid w:val="00E1087D"/>
    <w:rsid w:val="00E305A3"/>
    <w:rsid w:val="00E3258A"/>
    <w:rsid w:val="00E33F37"/>
    <w:rsid w:val="00E37EA3"/>
    <w:rsid w:val="00E40792"/>
    <w:rsid w:val="00E41A33"/>
    <w:rsid w:val="00E448BF"/>
    <w:rsid w:val="00E50A6B"/>
    <w:rsid w:val="00E52DD0"/>
    <w:rsid w:val="00E60776"/>
    <w:rsid w:val="00E645EE"/>
    <w:rsid w:val="00E6497E"/>
    <w:rsid w:val="00E65CA7"/>
    <w:rsid w:val="00E67A70"/>
    <w:rsid w:val="00E701BC"/>
    <w:rsid w:val="00E74B20"/>
    <w:rsid w:val="00E82EFF"/>
    <w:rsid w:val="00E878FC"/>
    <w:rsid w:val="00E9221F"/>
    <w:rsid w:val="00E927A6"/>
    <w:rsid w:val="00E94F34"/>
    <w:rsid w:val="00EA1D70"/>
    <w:rsid w:val="00EA2EEA"/>
    <w:rsid w:val="00EA2FB0"/>
    <w:rsid w:val="00EA3CE9"/>
    <w:rsid w:val="00EB1022"/>
    <w:rsid w:val="00EB2AB7"/>
    <w:rsid w:val="00EC6A3B"/>
    <w:rsid w:val="00ED1987"/>
    <w:rsid w:val="00ED1A90"/>
    <w:rsid w:val="00ED576F"/>
    <w:rsid w:val="00ED6F4E"/>
    <w:rsid w:val="00EE4F43"/>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46603"/>
    <w:rsid w:val="00F5404C"/>
    <w:rsid w:val="00F56652"/>
    <w:rsid w:val="00F573B0"/>
    <w:rsid w:val="00F6266E"/>
    <w:rsid w:val="00F74B4E"/>
    <w:rsid w:val="00F74CC8"/>
    <w:rsid w:val="00F767E1"/>
    <w:rsid w:val="00F863B6"/>
    <w:rsid w:val="00F9199C"/>
    <w:rsid w:val="00F92BBC"/>
    <w:rsid w:val="00F95623"/>
    <w:rsid w:val="00F96CE5"/>
    <w:rsid w:val="00FA0F55"/>
    <w:rsid w:val="00FA1547"/>
    <w:rsid w:val="00FA16BE"/>
    <w:rsid w:val="00FA18C6"/>
    <w:rsid w:val="00FA427D"/>
    <w:rsid w:val="00FA46BE"/>
    <w:rsid w:val="00FA4BC3"/>
    <w:rsid w:val="00FA58F7"/>
    <w:rsid w:val="00FA5FFA"/>
    <w:rsid w:val="00FA67CD"/>
    <w:rsid w:val="00FC1161"/>
    <w:rsid w:val="00FC7294"/>
    <w:rsid w:val="00FD2967"/>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regpar"/>
    <w:qFormat/>
    <w:rPr>
      <w:rFonts w:ascii="Times" w:hAnsi="Times" w:cs="Times"/>
      <w:sz w:val="24"/>
      <w:szCs w:val="24"/>
    </w:rPr>
  </w:style>
  <w:style w:type="paragraph" w:styleId="Heading3">
    <w:name w:val="heading 3"/>
    <w:basedOn w:val="Normal"/>
    <w:link w:val="Heading3Char"/>
    <w:uiPriority w:val="9"/>
    <w:qFormat/>
    <w:rsid w:val="00DC05C1"/>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par">
    <w:name w:val="regpar"/>
    <w:basedOn w:val="Normal"/>
    <w:pPr>
      <w:ind w:firstLine="2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200"/>
        <w:tab w:val="right" w:pos="8400"/>
      </w:tabs>
    </w:pPr>
  </w:style>
  <w:style w:type="character" w:styleId="FootnoteReference">
    <w:name w:val="footnote reference"/>
    <w:rPr>
      <w:position w:val="6"/>
      <w:sz w:val="14"/>
      <w:szCs w:val="14"/>
    </w:rPr>
  </w:style>
  <w:style w:type="paragraph" w:styleId="FootnoteText">
    <w:name w:val="footnote text"/>
    <w:basedOn w:val="regpar"/>
    <w:link w:val="FootnoteTextChar"/>
    <w:pPr>
      <w:spacing w:line="240" w:lineRule="exact"/>
    </w:pPr>
    <w:rPr>
      <w:sz w:val="20"/>
      <w:szCs w:val="20"/>
    </w:rPr>
  </w:style>
  <w:style w:type="character" w:styleId="PageNumber">
    <w:name w:val="page number"/>
    <w:basedOn w:val="DefaultParagraphFont"/>
  </w:style>
  <w:style w:type="paragraph" w:customStyle="1" w:styleId="ER-text86">
    <w:name w:val="*ER-text 86%"/>
    <w:basedOn w:val="Normal"/>
  </w:style>
  <w:style w:type="paragraph" w:customStyle="1" w:styleId="abstract">
    <w:name w:val="abstract"/>
    <w:basedOn w:val="Normal"/>
    <w:next w:val="Normal"/>
    <w:pPr>
      <w:spacing w:line="260" w:lineRule="exact"/>
      <w:ind w:left="480" w:right="480"/>
    </w:pPr>
    <w:rPr>
      <w:sz w:val="22"/>
      <w:szCs w:val="22"/>
    </w:rPr>
  </w:style>
  <w:style w:type="paragraph" w:customStyle="1" w:styleId="author">
    <w:name w:val="author"/>
    <w:basedOn w:val="Normal"/>
    <w:next w:val="abstract"/>
    <w:pPr>
      <w:jc w:val="center"/>
    </w:pPr>
    <w:rPr>
      <w:smallCaps/>
    </w:rPr>
  </w:style>
  <w:style w:type="paragraph" w:customStyle="1" w:styleId="1">
    <w:name w:val="כותרת טקסט1"/>
    <w:basedOn w:val="Normal"/>
    <w:next w:val="author"/>
    <w:pPr>
      <w:jc w:val="center"/>
    </w:pPr>
    <w:rPr>
      <w:caps/>
      <w:sz w:val="28"/>
      <w:szCs w:val="28"/>
    </w:rPr>
  </w:style>
  <w:style w:type="paragraph" w:customStyle="1" w:styleId="Ahead">
    <w:name w:val="A head"/>
    <w:basedOn w:val="Normal"/>
    <w:next w:val="Normal"/>
    <w:rPr>
      <w:caps/>
      <w:sz w:val="22"/>
      <w:szCs w:val="22"/>
    </w:rPr>
  </w:style>
  <w:style w:type="paragraph" w:customStyle="1" w:styleId="Bhead">
    <w:name w:val="B head"/>
    <w:basedOn w:val="Normal"/>
    <w:next w:val="Normal"/>
    <w:rPr>
      <w:b/>
      <w:bCs/>
    </w:rPr>
  </w:style>
  <w:style w:type="paragraph" w:customStyle="1" w:styleId="rule">
    <w:name w:val="rule"/>
    <w:basedOn w:val="Normal"/>
    <w:pPr>
      <w:spacing w:line="120" w:lineRule="exact"/>
    </w:pPr>
    <w:rPr>
      <w:spacing w:val="-20"/>
      <w:sz w:val="12"/>
      <w:szCs w:val="12"/>
    </w:rPr>
  </w:style>
  <w:style w:type="paragraph" w:customStyle="1" w:styleId="noteseparator">
    <w:name w:val="note separator"/>
    <w:basedOn w:val="Normal"/>
    <w:next w:val="FootnoteText"/>
    <w:pPr>
      <w:spacing w:line="160" w:lineRule="exact"/>
    </w:pPr>
  </w:style>
  <w:style w:type="paragraph" w:customStyle="1" w:styleId="runninghead">
    <w:name w:val="running head"/>
    <w:basedOn w:val="Header"/>
    <w:rPr>
      <w:smallCaps/>
    </w:rPr>
  </w:style>
  <w:style w:type="paragraph" w:customStyle="1" w:styleId="eq">
    <w:name w:val="eq"/>
    <w:basedOn w:val="Normal"/>
    <w:pPr>
      <w:tabs>
        <w:tab w:val="center" w:pos="4320"/>
        <w:tab w:val="right" w:pos="8400"/>
      </w:tabs>
      <w:spacing w:line="300" w:lineRule="atLeast"/>
    </w:pPr>
  </w:style>
  <w:style w:type="paragraph" w:customStyle="1" w:styleId="Chead">
    <w:name w:val="C head"/>
    <w:basedOn w:val="Normal"/>
    <w:next w:val="Normal"/>
    <w:rPr>
      <w:i/>
      <w:iCs/>
    </w:rPr>
  </w:style>
  <w:style w:type="paragraph" w:customStyle="1" w:styleId="ARtext">
    <w:name w:val="*AR text"/>
    <w:basedOn w:val="Normal"/>
  </w:style>
  <w:style w:type="paragraph" w:customStyle="1" w:styleId="quotes">
    <w:name w:val="quotes"/>
    <w:basedOn w:val="Normal"/>
    <w:next w:val="Normal"/>
    <w:pPr>
      <w:spacing w:line="260" w:lineRule="exact"/>
      <w:ind w:left="480" w:right="480"/>
    </w:pPr>
    <w:rPr>
      <w:sz w:val="22"/>
      <w:szCs w:val="22"/>
    </w:rPr>
  </w:style>
  <w:style w:type="paragraph" w:customStyle="1" w:styleId="chapter">
    <w:name w:val="chapter"/>
    <w:basedOn w:val="Normal"/>
    <w:next w:val="1"/>
    <w:pPr>
      <w:spacing w:line="560" w:lineRule="atLeast"/>
    </w:pPr>
    <w:rPr>
      <w:i/>
      <w:iCs/>
      <w:sz w:val="36"/>
      <w:szCs w:val="36"/>
    </w:rPr>
  </w:style>
  <w:style w:type="paragraph" w:styleId="BodyTextIndent">
    <w:name w:val="Body Text Indent"/>
    <w:basedOn w:val="Normal"/>
    <w:pPr>
      <w:widowControl w:val="0"/>
      <w:ind w:left="284" w:hanging="284"/>
    </w:pPr>
  </w:style>
  <w:style w:type="character" w:styleId="Hyperlink">
    <w:name w:val="Hyperlink"/>
    <w:rPr>
      <w:color w:val="0000FF"/>
      <w:u w:val="single"/>
    </w:rPr>
  </w:style>
  <w:style w:type="paragraph" w:styleId="Date">
    <w:name w:val="Date"/>
    <w:basedOn w:val="Normal"/>
    <w:next w:val="Normal"/>
    <w:rsid w:val="00E03DAD"/>
  </w:style>
  <w:style w:type="table" w:styleId="TableGrid">
    <w:name w:val="Table Grid"/>
    <w:basedOn w:val="TableNormal"/>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BalloonText">
    <w:name w:val="Balloon Text"/>
    <w:basedOn w:val="Normal"/>
    <w:link w:val="BalloonTextChar"/>
    <w:uiPriority w:val="99"/>
    <w:semiHidden/>
    <w:unhideWhenUsed/>
    <w:rsid w:val="00EC6A3B"/>
    <w:rPr>
      <w:rFonts w:ascii="Tahoma" w:hAnsi="Tahoma" w:cs="Tahoma"/>
      <w:sz w:val="16"/>
      <w:szCs w:val="16"/>
    </w:rPr>
  </w:style>
  <w:style w:type="character" w:customStyle="1" w:styleId="BalloonTextChar">
    <w:name w:val="Balloon Text Char"/>
    <w:link w:val="BalloonText"/>
    <w:uiPriority w:val="99"/>
    <w:semiHidden/>
    <w:rsid w:val="00EC6A3B"/>
    <w:rPr>
      <w:rFonts w:ascii="Tahoma" w:hAnsi="Tahoma" w:cs="Tahoma"/>
      <w:sz w:val="16"/>
      <w:szCs w:val="16"/>
    </w:rPr>
  </w:style>
  <w:style w:type="paragraph" w:styleId="Revision">
    <w:name w:val="Revision"/>
    <w:hidden/>
    <w:uiPriority w:val="99"/>
    <w:semiHidden/>
    <w:rsid w:val="00C81F0F"/>
    <w:rPr>
      <w:rFonts w:ascii="Times" w:hAnsi="Times" w:cs="Times"/>
      <w:sz w:val="24"/>
      <w:szCs w:val="24"/>
    </w:rPr>
  </w:style>
  <w:style w:type="paragraph" w:styleId="PlainText">
    <w:name w:val="Plain Text"/>
    <w:basedOn w:val="Normal"/>
    <w:link w:val="PlainTextChar"/>
    <w:uiPriority w:val="99"/>
    <w:semiHidden/>
    <w:unhideWhenUsed/>
    <w:rsid w:val="00E52DD0"/>
    <w:rPr>
      <w:rFonts w:ascii="Calibri" w:eastAsia="Calibri" w:hAnsi="Calibri" w:cs="Arial"/>
      <w:sz w:val="22"/>
      <w:szCs w:val="21"/>
    </w:rPr>
  </w:style>
  <w:style w:type="character" w:customStyle="1" w:styleId="PlainTextChar">
    <w:name w:val="Plain Text Char"/>
    <w:link w:val="PlainText"/>
    <w:uiPriority w:val="99"/>
    <w:semiHidden/>
    <w:rsid w:val="00E52DD0"/>
    <w:rPr>
      <w:rFonts w:ascii="Calibri" w:eastAsia="Calibri" w:hAnsi="Calibri" w:cs="Arial"/>
      <w:sz w:val="22"/>
      <w:szCs w:val="21"/>
    </w:rPr>
  </w:style>
  <w:style w:type="paragraph" w:styleId="ListParagraph">
    <w:name w:val="List Paragraph"/>
    <w:basedOn w:val="Normal"/>
    <w:uiPriority w:val="34"/>
    <w:qFormat/>
    <w:rsid w:val="00C96635"/>
    <w:pPr>
      <w:ind w:left="720"/>
      <w:contextualSpacing/>
    </w:pPr>
  </w:style>
  <w:style w:type="character" w:customStyle="1" w:styleId="FooterChar">
    <w:name w:val="Footer Char"/>
    <w:basedOn w:val="DefaultParagraphFont"/>
    <w:link w:val="Footer"/>
    <w:uiPriority w:val="99"/>
    <w:rsid w:val="008F0C79"/>
    <w:rPr>
      <w:rFonts w:ascii="Times" w:hAnsi="Times" w:cs="Times"/>
      <w:sz w:val="24"/>
      <w:szCs w:val="24"/>
    </w:rPr>
  </w:style>
  <w:style w:type="character" w:customStyle="1" w:styleId="FootnoteTextChar">
    <w:name w:val="Footnote Text Char"/>
    <w:basedOn w:val="DefaultParagraphFont"/>
    <w:link w:val="FootnoteText"/>
    <w:rsid w:val="00A27711"/>
    <w:rPr>
      <w:rFonts w:ascii="Times" w:hAnsi="Times" w:cs="Times"/>
    </w:rPr>
  </w:style>
  <w:style w:type="character" w:styleId="CommentReference">
    <w:name w:val="annotation reference"/>
    <w:basedOn w:val="DefaultParagraphFont"/>
    <w:uiPriority w:val="99"/>
    <w:semiHidden/>
    <w:unhideWhenUsed/>
    <w:rsid w:val="008D2340"/>
    <w:rPr>
      <w:sz w:val="16"/>
      <w:szCs w:val="16"/>
    </w:rPr>
  </w:style>
  <w:style w:type="paragraph" w:styleId="CommentText">
    <w:name w:val="annotation text"/>
    <w:basedOn w:val="Normal"/>
    <w:link w:val="CommentTextChar"/>
    <w:uiPriority w:val="99"/>
    <w:semiHidden/>
    <w:unhideWhenUsed/>
    <w:rsid w:val="008D2340"/>
    <w:rPr>
      <w:sz w:val="20"/>
      <w:szCs w:val="20"/>
    </w:rPr>
  </w:style>
  <w:style w:type="character" w:customStyle="1" w:styleId="CommentTextChar">
    <w:name w:val="Comment Text Char"/>
    <w:basedOn w:val="DefaultParagraphFont"/>
    <w:link w:val="CommentText"/>
    <w:uiPriority w:val="99"/>
    <w:semiHidden/>
    <w:rsid w:val="008D2340"/>
    <w:rPr>
      <w:rFonts w:ascii="Times" w:hAnsi="Times" w:cs="Times"/>
    </w:rPr>
  </w:style>
  <w:style w:type="paragraph" w:styleId="CommentSubject">
    <w:name w:val="annotation subject"/>
    <w:basedOn w:val="CommentText"/>
    <w:next w:val="CommentText"/>
    <w:link w:val="CommentSubjectChar"/>
    <w:uiPriority w:val="99"/>
    <w:semiHidden/>
    <w:unhideWhenUsed/>
    <w:rsid w:val="008D2340"/>
    <w:rPr>
      <w:b/>
      <w:bCs/>
    </w:rPr>
  </w:style>
  <w:style w:type="character" w:customStyle="1" w:styleId="CommentSubjectChar">
    <w:name w:val="Comment Subject Char"/>
    <w:basedOn w:val="CommentTextChar"/>
    <w:link w:val="CommentSubject"/>
    <w:uiPriority w:val="99"/>
    <w:semiHidden/>
    <w:rsid w:val="008D2340"/>
    <w:rPr>
      <w:rFonts w:ascii="Times" w:hAnsi="Times" w:cs="Times"/>
      <w:b/>
      <w:bCs/>
    </w:rPr>
  </w:style>
  <w:style w:type="paragraph" w:styleId="NormalWeb">
    <w:name w:val="Normal (Web)"/>
    <w:basedOn w:val="Normal"/>
    <w:uiPriority w:val="99"/>
    <w:unhideWhenUsed/>
    <w:rsid w:val="000C46E3"/>
    <w:pPr>
      <w:spacing w:before="100" w:beforeAutospacing="1" w:after="100" w:afterAutospacing="1"/>
    </w:pPr>
    <w:rPr>
      <w:rFonts w:ascii="Times New Roman" w:eastAsiaTheme="minorEastAsia" w:hAnsi="Times New Roman" w:cs="Times New Roman"/>
    </w:rPr>
  </w:style>
  <w:style w:type="character" w:customStyle="1" w:styleId="Heading3Char">
    <w:name w:val="Heading 3 Char"/>
    <w:basedOn w:val="DefaultParagraphFont"/>
    <w:link w:val="Heading3"/>
    <w:uiPriority w:val="9"/>
    <w:rsid w:val="00DC05C1"/>
    <w:rPr>
      <w:rFonts w:ascii="Times New Roman" w:hAnsi="Times New Roman"/>
      <w:b/>
      <w:bCs/>
      <w:sz w:val="27"/>
      <w:szCs w:val="27"/>
    </w:rPr>
  </w:style>
  <w:style w:type="character" w:customStyle="1" w:styleId="ui-provider">
    <w:name w:val="ui-provider"/>
    <w:basedOn w:val="DefaultParagraphFont"/>
    <w:rsid w:val="00DC0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67909489">
      <w:bodyDiv w:val="1"/>
      <w:marLeft w:val="0"/>
      <w:marRight w:val="0"/>
      <w:marTop w:val="0"/>
      <w:marBottom w:val="0"/>
      <w:divBdr>
        <w:top w:val="none" w:sz="0" w:space="0" w:color="auto"/>
        <w:left w:val="none" w:sz="0" w:space="0" w:color="auto"/>
        <w:bottom w:val="none" w:sz="0" w:space="0" w:color="auto"/>
        <w:right w:val="none" w:sz="0" w:space="0" w:color="auto"/>
      </w:divBdr>
    </w:div>
    <w:div w:id="971906680">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309285154">
      <w:bodyDiv w:val="1"/>
      <w:marLeft w:val="0"/>
      <w:marRight w:val="0"/>
      <w:marTop w:val="0"/>
      <w:marBottom w:val="0"/>
      <w:divBdr>
        <w:top w:val="none" w:sz="0" w:space="0" w:color="auto"/>
        <w:left w:val="none" w:sz="0" w:space="0" w:color="auto"/>
        <w:bottom w:val="none" w:sz="0" w:space="0" w:color="auto"/>
        <w:right w:val="none" w:sz="0" w:space="0" w:color="auto"/>
      </w:divBdr>
    </w:div>
    <w:div w:id="210109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3AD7-C05B-4FB1-A8D2-B75B3DAE7EF1}">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4.xml><?xml version="1.0" encoding="utf-8"?>
<ds:datastoreItem xmlns:ds="http://schemas.openxmlformats.org/officeDocument/2006/customXml" ds:itemID="{0633E475-50CF-429C-BBBE-DD1F4DA1F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820</Words>
  <Characters>4394</Characters>
  <Application>Microsoft Office Word</Application>
  <DocSecurity>4</DocSecurity>
  <Lines>36</Lines>
  <Paragraphs>10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2025-04-09T09:25:00Z</dcterms:created>
  <dcterms:modified xsi:type="dcterms:W3CDTF">2025-04-09T09:25:00Z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