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theme/themeOverride1.xml" ContentType="application/vnd.openxmlformats-officedocument.themeOverride+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Caption w:val="בנק ישראל"/>
        <w:tblDescription w:val="דוברות והסברה כללית"/>
      </w:tblPr>
      <w:tblGrid>
        <w:gridCol w:w="3392"/>
        <w:gridCol w:w="2596"/>
        <w:gridCol w:w="3084"/>
      </w:tblGrid>
      <w:tr w:rsidR="00A07416" w:rsidRPr="002A7488" w:rsidTr="00D6486B">
        <w:trPr>
          <w:cantSplit/>
        </w:trPr>
        <w:tc>
          <w:tcPr>
            <w:tcW w:w="3392" w:type="dxa"/>
            <w:tcBorders>
              <w:top w:val="nil"/>
              <w:left w:val="nil"/>
              <w:bottom w:val="nil"/>
              <w:right w:val="nil"/>
            </w:tcBorders>
            <w:vAlign w:val="center"/>
          </w:tcPr>
          <w:p w:rsidR="00A07416" w:rsidRPr="002A7488" w:rsidRDefault="00A07416" w:rsidP="00D6486B">
            <w:pPr>
              <w:spacing w:line="360" w:lineRule="auto"/>
              <w:ind w:left="360"/>
              <w:contextualSpacing/>
              <w:jc w:val="both"/>
              <w:rPr>
                <w:rFonts w:ascii="David" w:eastAsia="Times New Roman" w:hAnsi="David" w:cs="David"/>
                <w:b/>
                <w:bCs/>
                <w:sz w:val="24"/>
                <w:szCs w:val="24"/>
              </w:rPr>
            </w:pPr>
            <w:r w:rsidRPr="002A7488">
              <w:rPr>
                <w:rFonts w:ascii="David" w:eastAsia="Times New Roman" w:hAnsi="David" w:cs="David"/>
                <w:b/>
                <w:bCs/>
                <w:sz w:val="24"/>
                <w:szCs w:val="24"/>
                <w:rtl/>
              </w:rPr>
              <w:t>בנק ישראל</w:t>
            </w:r>
          </w:p>
          <w:p w:rsidR="00A07416" w:rsidRPr="002A7488" w:rsidRDefault="00A07416" w:rsidP="00D6486B">
            <w:pPr>
              <w:spacing w:line="360" w:lineRule="auto"/>
              <w:ind w:left="360"/>
              <w:contextualSpacing/>
              <w:jc w:val="both"/>
              <w:rPr>
                <w:rFonts w:ascii="David" w:eastAsia="Times New Roman" w:hAnsi="David" w:cs="David"/>
                <w:sz w:val="24"/>
                <w:szCs w:val="24"/>
              </w:rPr>
            </w:pPr>
            <w:r w:rsidRPr="002A7488">
              <w:rPr>
                <w:rFonts w:ascii="David" w:eastAsia="Times New Roman" w:hAnsi="David" w:cs="David"/>
                <w:sz w:val="24"/>
                <w:szCs w:val="24"/>
                <w:rtl/>
              </w:rPr>
              <w:t>דוברות והסברה כלכלית</w:t>
            </w:r>
          </w:p>
        </w:tc>
        <w:tc>
          <w:tcPr>
            <w:tcW w:w="2596" w:type="dxa"/>
            <w:tcBorders>
              <w:top w:val="nil"/>
              <w:left w:val="nil"/>
              <w:bottom w:val="nil"/>
              <w:right w:val="nil"/>
            </w:tcBorders>
          </w:tcPr>
          <w:p w:rsidR="00A07416" w:rsidRPr="002A7488" w:rsidRDefault="00A07416" w:rsidP="00D6486B">
            <w:pPr>
              <w:spacing w:line="360" w:lineRule="auto"/>
              <w:ind w:left="360"/>
              <w:contextualSpacing/>
              <w:jc w:val="both"/>
              <w:rPr>
                <w:rFonts w:ascii="David" w:eastAsia="Times New Roman" w:hAnsi="David" w:cs="David"/>
                <w:sz w:val="24"/>
                <w:szCs w:val="24"/>
              </w:rPr>
            </w:pPr>
            <w:r w:rsidRPr="002A7488">
              <w:rPr>
                <w:rFonts w:ascii="David" w:eastAsia="Times New Roman" w:hAnsi="David" w:cs="David"/>
                <w:sz w:val="24"/>
                <w:szCs w:val="24"/>
              </w:rPr>
              <w:drawing>
                <wp:inline distT="0" distB="0" distL="0" distR="0" wp14:anchorId="5F429E67" wp14:editId="19C3C630">
                  <wp:extent cx="769501" cy="771525"/>
                  <wp:effectExtent l="0" t="0" r="0" b="9525"/>
                  <wp:docPr id="3" name="תמונה 2" descr="בנק ישראל" title="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985" cy="77152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A07416" w:rsidRPr="002A7488" w:rsidRDefault="00A07416" w:rsidP="00D6486B">
            <w:pPr>
              <w:spacing w:line="360" w:lineRule="auto"/>
              <w:ind w:left="360"/>
              <w:contextualSpacing/>
              <w:jc w:val="both"/>
              <w:rPr>
                <w:rFonts w:ascii="David" w:eastAsia="Times New Roman" w:hAnsi="David" w:cs="David"/>
                <w:sz w:val="24"/>
                <w:szCs w:val="24"/>
                <w:rtl/>
              </w:rPr>
            </w:pPr>
            <w:r w:rsidRPr="002A7488">
              <w:rPr>
                <w:rFonts w:ascii="David" w:eastAsia="Times New Roman" w:hAnsi="David" w:cs="David"/>
                <w:sz w:val="24"/>
                <w:szCs w:val="24"/>
                <w:rtl/>
              </w:rPr>
              <w:t>‏ירושלים, ‏‏</w:t>
            </w:r>
            <w:r w:rsidRPr="002A7488">
              <w:rPr>
                <w:rFonts w:ascii="David" w:eastAsia="Times New Roman" w:hAnsi="David" w:cs="David"/>
                <w:sz w:val="24"/>
                <w:szCs w:val="24"/>
                <w:rtl/>
              </w:rPr>
              <w:fldChar w:fldCharType="begin"/>
            </w:r>
            <w:r w:rsidRPr="002A7488">
              <w:rPr>
                <w:rFonts w:ascii="David" w:eastAsia="Times New Roman" w:hAnsi="David" w:cs="David"/>
                <w:sz w:val="24"/>
                <w:szCs w:val="24"/>
                <w:rtl/>
              </w:rPr>
              <w:instrText xml:space="preserve"> </w:instrText>
            </w:r>
            <w:r w:rsidRPr="002A7488">
              <w:rPr>
                <w:rFonts w:ascii="David" w:eastAsia="Times New Roman" w:hAnsi="David" w:cs="David"/>
                <w:sz w:val="24"/>
                <w:szCs w:val="24"/>
              </w:rPr>
              <w:instrText>DATE</w:instrText>
            </w:r>
            <w:r w:rsidRPr="002A7488">
              <w:rPr>
                <w:rFonts w:ascii="David" w:eastAsia="Times New Roman" w:hAnsi="David" w:cs="David"/>
                <w:sz w:val="24"/>
                <w:szCs w:val="24"/>
                <w:rtl/>
              </w:rPr>
              <w:instrText xml:space="preserve"> \@ "</w:instrText>
            </w:r>
            <w:r w:rsidRPr="002A7488">
              <w:rPr>
                <w:rFonts w:ascii="David" w:eastAsia="Times New Roman" w:hAnsi="David" w:cs="David"/>
                <w:sz w:val="24"/>
                <w:szCs w:val="24"/>
              </w:rPr>
              <w:instrText>d MMMM, yyyy" \h</w:instrText>
            </w:r>
            <w:r w:rsidRPr="002A7488">
              <w:rPr>
                <w:rFonts w:ascii="David" w:eastAsia="Times New Roman" w:hAnsi="David" w:cs="David"/>
                <w:sz w:val="24"/>
                <w:szCs w:val="24"/>
                <w:rtl/>
              </w:rPr>
              <w:instrText xml:space="preserve"> </w:instrText>
            </w:r>
            <w:r w:rsidRPr="002A7488">
              <w:rPr>
                <w:rFonts w:ascii="David" w:eastAsia="Times New Roman" w:hAnsi="David" w:cs="David"/>
                <w:sz w:val="24"/>
                <w:szCs w:val="24"/>
                <w:rtl/>
              </w:rPr>
              <w:fldChar w:fldCharType="separate"/>
            </w:r>
            <w:r w:rsidRPr="002A7488">
              <w:rPr>
                <w:rFonts w:ascii="David" w:eastAsia="Times New Roman" w:hAnsi="David" w:cs="David"/>
                <w:sz w:val="24"/>
                <w:szCs w:val="24"/>
                <w:rtl/>
              </w:rPr>
              <w:t xml:space="preserve">‏ז' אב, </w:t>
            </w:r>
            <w:proofErr w:type="spellStart"/>
            <w:r w:rsidRPr="002A7488">
              <w:rPr>
                <w:rFonts w:ascii="David" w:eastAsia="Times New Roman" w:hAnsi="David" w:cs="David"/>
                <w:sz w:val="24"/>
                <w:szCs w:val="24"/>
                <w:rtl/>
              </w:rPr>
              <w:t>תש"ף</w:t>
            </w:r>
            <w:proofErr w:type="spellEnd"/>
            <w:r w:rsidRPr="002A7488">
              <w:rPr>
                <w:rFonts w:ascii="David" w:eastAsia="Times New Roman" w:hAnsi="David" w:cs="David"/>
                <w:sz w:val="24"/>
                <w:szCs w:val="24"/>
                <w:rtl/>
              </w:rPr>
              <w:fldChar w:fldCharType="end"/>
            </w:r>
          </w:p>
          <w:p w:rsidR="00A07416" w:rsidRPr="002A7488" w:rsidRDefault="00A07416" w:rsidP="00D6486B">
            <w:pPr>
              <w:spacing w:line="360" w:lineRule="auto"/>
              <w:ind w:left="360"/>
              <w:contextualSpacing/>
              <w:jc w:val="both"/>
              <w:rPr>
                <w:rFonts w:ascii="David" w:eastAsia="Times New Roman" w:hAnsi="David" w:cs="David"/>
                <w:sz w:val="24"/>
                <w:szCs w:val="24"/>
              </w:rPr>
            </w:pPr>
            <w:r w:rsidRPr="002A7488">
              <w:rPr>
                <w:rFonts w:ascii="David" w:eastAsia="Times New Roman" w:hAnsi="David" w:cs="David"/>
                <w:sz w:val="24"/>
                <w:szCs w:val="24"/>
                <w:rtl/>
              </w:rPr>
              <w:t>‏‏‏‏</w:t>
            </w:r>
            <w:r w:rsidRPr="002A7488">
              <w:rPr>
                <w:rFonts w:ascii="David" w:eastAsia="Times New Roman" w:hAnsi="David" w:cs="David"/>
                <w:sz w:val="24"/>
                <w:szCs w:val="24"/>
                <w:rtl/>
              </w:rPr>
              <w:fldChar w:fldCharType="begin"/>
            </w:r>
            <w:r w:rsidRPr="002A7488">
              <w:rPr>
                <w:rFonts w:ascii="David" w:eastAsia="Times New Roman" w:hAnsi="David" w:cs="David"/>
                <w:sz w:val="24"/>
                <w:szCs w:val="24"/>
                <w:rtl/>
              </w:rPr>
              <w:instrText xml:space="preserve"> </w:instrText>
            </w:r>
            <w:r w:rsidRPr="002A7488">
              <w:rPr>
                <w:rFonts w:ascii="David" w:eastAsia="Times New Roman" w:hAnsi="David" w:cs="David"/>
                <w:sz w:val="24"/>
                <w:szCs w:val="24"/>
              </w:rPr>
              <w:instrText>DATE</w:instrText>
            </w:r>
            <w:r w:rsidRPr="002A7488">
              <w:rPr>
                <w:rFonts w:ascii="David" w:eastAsia="Times New Roman" w:hAnsi="David" w:cs="David"/>
                <w:sz w:val="24"/>
                <w:szCs w:val="24"/>
                <w:rtl/>
              </w:rPr>
              <w:instrText xml:space="preserve"> \@ "</w:instrText>
            </w:r>
            <w:r w:rsidRPr="002A7488">
              <w:rPr>
                <w:rFonts w:ascii="David" w:eastAsia="Times New Roman" w:hAnsi="David" w:cs="David"/>
                <w:sz w:val="24"/>
                <w:szCs w:val="24"/>
              </w:rPr>
              <w:instrText>d MMMM, yyyy</w:instrText>
            </w:r>
            <w:r w:rsidRPr="002A7488">
              <w:rPr>
                <w:rFonts w:ascii="David" w:eastAsia="Times New Roman" w:hAnsi="David" w:cs="David"/>
                <w:sz w:val="24"/>
                <w:szCs w:val="24"/>
                <w:rtl/>
              </w:rPr>
              <w:instrText xml:space="preserve">" </w:instrText>
            </w:r>
            <w:r w:rsidRPr="002A7488">
              <w:rPr>
                <w:rFonts w:ascii="David" w:eastAsia="Times New Roman" w:hAnsi="David" w:cs="David"/>
                <w:sz w:val="24"/>
                <w:szCs w:val="24"/>
                <w:rtl/>
              </w:rPr>
              <w:fldChar w:fldCharType="separate"/>
            </w:r>
            <w:r w:rsidRPr="002A7488">
              <w:rPr>
                <w:rFonts w:ascii="David" w:eastAsia="Times New Roman" w:hAnsi="David" w:cs="David"/>
                <w:sz w:val="24"/>
                <w:szCs w:val="24"/>
                <w:rtl/>
              </w:rPr>
              <w:t>‏28 יולי, 2020</w:t>
            </w:r>
            <w:r w:rsidRPr="002A7488">
              <w:rPr>
                <w:rFonts w:ascii="David" w:eastAsia="Times New Roman" w:hAnsi="David" w:cs="David"/>
                <w:sz w:val="24"/>
                <w:szCs w:val="24"/>
                <w:rtl/>
              </w:rPr>
              <w:fldChar w:fldCharType="end"/>
            </w:r>
          </w:p>
        </w:tc>
      </w:tr>
    </w:tbl>
    <w:p w:rsidR="00A07416" w:rsidRPr="002A7488" w:rsidRDefault="00A07416" w:rsidP="00A07416">
      <w:pPr>
        <w:spacing w:line="360" w:lineRule="auto"/>
        <w:ind w:left="360"/>
        <w:contextualSpacing/>
        <w:jc w:val="both"/>
        <w:rPr>
          <w:rFonts w:ascii="David" w:eastAsia="Times New Roman" w:hAnsi="David" w:cs="David"/>
          <w:sz w:val="24"/>
          <w:szCs w:val="24"/>
          <w:rtl/>
        </w:rPr>
      </w:pPr>
    </w:p>
    <w:p w:rsidR="00A07416" w:rsidRPr="002A7488" w:rsidRDefault="00A07416" w:rsidP="00A07416">
      <w:pPr>
        <w:spacing w:line="360" w:lineRule="auto"/>
        <w:ind w:left="360"/>
        <w:contextualSpacing/>
        <w:jc w:val="both"/>
        <w:rPr>
          <w:rFonts w:ascii="David" w:eastAsia="Times New Roman" w:hAnsi="David" w:cs="David"/>
          <w:sz w:val="24"/>
          <w:szCs w:val="24"/>
          <w:rtl/>
        </w:rPr>
      </w:pPr>
      <w:r w:rsidRPr="002A7488">
        <w:rPr>
          <w:rFonts w:ascii="David" w:eastAsia="Times New Roman" w:hAnsi="David" w:cs="David"/>
          <w:sz w:val="24"/>
          <w:szCs w:val="24"/>
          <w:rtl/>
        </w:rPr>
        <w:t>הודעה לעיתונות:</w:t>
      </w:r>
    </w:p>
    <w:p w:rsidR="00A07416" w:rsidRDefault="00A07416" w:rsidP="00A07416">
      <w:pPr>
        <w:spacing w:line="360" w:lineRule="auto"/>
        <w:ind w:left="360"/>
        <w:contextualSpacing/>
        <w:jc w:val="both"/>
        <w:rPr>
          <w:rFonts w:ascii="David" w:eastAsia="Times New Roman" w:hAnsi="David" w:cs="David"/>
          <w:sz w:val="24"/>
          <w:szCs w:val="24"/>
          <w:rtl/>
        </w:rPr>
      </w:pPr>
    </w:p>
    <w:p w:rsidR="00A07416" w:rsidRDefault="00A07416" w:rsidP="00A07416">
      <w:pPr>
        <w:spacing w:line="360" w:lineRule="auto"/>
        <w:ind w:left="360"/>
        <w:contextualSpacing/>
        <w:jc w:val="both"/>
        <w:rPr>
          <w:rFonts w:ascii="David" w:eastAsia="Times New Roman" w:hAnsi="David" w:cs="David"/>
          <w:sz w:val="24"/>
          <w:szCs w:val="24"/>
          <w:rtl/>
        </w:rPr>
      </w:pPr>
    </w:p>
    <w:p w:rsidR="00A07416" w:rsidRPr="002A7488" w:rsidRDefault="00A07416" w:rsidP="00A07416">
      <w:pPr>
        <w:spacing w:line="360" w:lineRule="auto"/>
        <w:ind w:left="360"/>
        <w:contextualSpacing/>
        <w:jc w:val="center"/>
        <w:rPr>
          <w:rFonts w:ascii="David" w:eastAsia="Times New Roman" w:hAnsi="David" w:cs="David"/>
          <w:b/>
          <w:bCs/>
          <w:sz w:val="28"/>
          <w:szCs w:val="28"/>
          <w:rtl/>
        </w:rPr>
      </w:pPr>
      <w:r w:rsidRPr="002A7488">
        <w:rPr>
          <w:rFonts w:ascii="David" w:eastAsia="Times New Roman" w:hAnsi="David" w:cs="David" w:hint="cs"/>
          <w:b/>
          <w:bCs/>
          <w:sz w:val="28"/>
          <w:szCs w:val="28"/>
          <w:rtl/>
        </w:rPr>
        <w:t>ניתוח</w:t>
      </w:r>
      <w:r w:rsidRPr="002A7488">
        <w:rPr>
          <w:rFonts w:ascii="David" w:eastAsia="Times New Roman" w:hAnsi="David" w:cs="David"/>
          <w:b/>
          <w:bCs/>
          <w:sz w:val="28"/>
          <w:szCs w:val="28"/>
          <w:rtl/>
        </w:rPr>
        <w:t xml:space="preserve"> </w:t>
      </w:r>
      <w:r w:rsidRPr="002A7488">
        <w:rPr>
          <w:rFonts w:ascii="David" w:eastAsia="Times New Roman" w:hAnsi="David" w:cs="David" w:hint="cs"/>
          <w:b/>
          <w:bCs/>
          <w:sz w:val="28"/>
          <w:szCs w:val="28"/>
          <w:rtl/>
        </w:rPr>
        <w:t>מתוך</w:t>
      </w:r>
      <w:r w:rsidRPr="002A7488">
        <w:rPr>
          <w:rFonts w:ascii="David" w:eastAsia="Times New Roman" w:hAnsi="David" w:cs="David"/>
          <w:b/>
          <w:bCs/>
          <w:sz w:val="28"/>
          <w:szCs w:val="28"/>
          <w:rtl/>
        </w:rPr>
        <w:t xml:space="preserve"> </w:t>
      </w:r>
      <w:r w:rsidRPr="002A7488">
        <w:rPr>
          <w:rFonts w:ascii="David" w:eastAsia="Times New Roman" w:hAnsi="David" w:cs="David" w:hint="cs"/>
          <w:b/>
          <w:bCs/>
          <w:sz w:val="28"/>
          <w:szCs w:val="28"/>
          <w:rtl/>
        </w:rPr>
        <w:t>דוח</w:t>
      </w:r>
      <w:r w:rsidRPr="002A7488">
        <w:rPr>
          <w:rFonts w:ascii="David" w:eastAsia="Times New Roman" w:hAnsi="David" w:cs="David"/>
          <w:b/>
          <w:bCs/>
          <w:sz w:val="28"/>
          <w:szCs w:val="28"/>
          <w:rtl/>
        </w:rPr>
        <w:t xml:space="preserve"> </w:t>
      </w:r>
      <w:r w:rsidRPr="002A7488">
        <w:rPr>
          <w:rFonts w:ascii="David" w:eastAsia="Times New Roman" w:hAnsi="David" w:cs="David" w:hint="cs"/>
          <w:b/>
          <w:bCs/>
          <w:sz w:val="28"/>
          <w:szCs w:val="28"/>
          <w:rtl/>
        </w:rPr>
        <w:t>היציבות</w:t>
      </w:r>
      <w:r w:rsidRPr="002A7488">
        <w:rPr>
          <w:rFonts w:ascii="David" w:eastAsia="Times New Roman" w:hAnsi="David" w:cs="David"/>
          <w:b/>
          <w:bCs/>
          <w:sz w:val="28"/>
          <w:szCs w:val="28"/>
          <w:rtl/>
        </w:rPr>
        <w:t xml:space="preserve"> </w:t>
      </w:r>
      <w:r w:rsidRPr="002A7488">
        <w:rPr>
          <w:rFonts w:ascii="David" w:eastAsia="Times New Roman" w:hAnsi="David" w:cs="David" w:hint="cs"/>
          <w:b/>
          <w:bCs/>
          <w:sz w:val="28"/>
          <w:szCs w:val="28"/>
          <w:rtl/>
        </w:rPr>
        <w:t>הפיננסית</w:t>
      </w:r>
      <w:r w:rsidRPr="002A7488">
        <w:rPr>
          <w:rFonts w:ascii="David" w:eastAsia="Times New Roman" w:hAnsi="David" w:cs="David"/>
          <w:b/>
          <w:bCs/>
          <w:sz w:val="28"/>
          <w:szCs w:val="28"/>
          <w:rtl/>
        </w:rPr>
        <w:t xml:space="preserve"> </w:t>
      </w:r>
      <w:r w:rsidRPr="002A7488">
        <w:rPr>
          <w:rFonts w:ascii="David" w:eastAsia="Times New Roman" w:hAnsi="David" w:cs="David" w:hint="cs"/>
          <w:b/>
          <w:bCs/>
          <w:sz w:val="28"/>
          <w:szCs w:val="28"/>
          <w:rtl/>
        </w:rPr>
        <w:t>שיפורסם</w:t>
      </w:r>
      <w:r w:rsidRPr="002A7488">
        <w:rPr>
          <w:rFonts w:ascii="David" w:eastAsia="Times New Roman" w:hAnsi="David" w:cs="David"/>
          <w:b/>
          <w:bCs/>
          <w:sz w:val="28"/>
          <w:szCs w:val="28"/>
          <w:rtl/>
        </w:rPr>
        <w:t xml:space="preserve"> </w:t>
      </w:r>
      <w:r w:rsidRPr="002A7488">
        <w:rPr>
          <w:rFonts w:ascii="David" w:eastAsia="Times New Roman" w:hAnsi="David" w:cs="David" w:hint="cs"/>
          <w:b/>
          <w:bCs/>
          <w:sz w:val="28"/>
          <w:szCs w:val="28"/>
          <w:rtl/>
        </w:rPr>
        <w:t>בקרוב</w:t>
      </w:r>
      <w:r w:rsidRPr="002A7488">
        <w:rPr>
          <w:rFonts w:ascii="David" w:eastAsia="Times New Roman" w:hAnsi="David" w:cs="David"/>
          <w:b/>
          <w:bCs/>
          <w:sz w:val="28"/>
          <w:szCs w:val="28"/>
          <w:rtl/>
        </w:rPr>
        <w:t xml:space="preserve">: </w:t>
      </w:r>
      <w:r w:rsidRPr="002A7488">
        <w:rPr>
          <w:rFonts w:ascii="David" w:eastAsia="Times New Roman" w:hAnsi="David" w:cs="David" w:hint="cs"/>
          <w:b/>
          <w:bCs/>
          <w:sz w:val="28"/>
          <w:szCs w:val="28"/>
          <w:rtl/>
        </w:rPr>
        <w:t>ניתוח</w:t>
      </w:r>
      <w:r w:rsidRPr="002A7488">
        <w:rPr>
          <w:rFonts w:ascii="David" w:eastAsia="Times New Roman" w:hAnsi="David" w:cs="David"/>
          <w:b/>
          <w:bCs/>
          <w:sz w:val="28"/>
          <w:szCs w:val="28"/>
          <w:rtl/>
        </w:rPr>
        <w:t xml:space="preserve"> </w:t>
      </w:r>
      <w:r w:rsidRPr="002A7488">
        <w:rPr>
          <w:rFonts w:ascii="David" w:eastAsia="Times New Roman" w:hAnsi="David" w:cs="David" w:hint="cs"/>
          <w:b/>
          <w:bCs/>
          <w:sz w:val="28"/>
          <w:szCs w:val="28"/>
          <w:rtl/>
        </w:rPr>
        <w:t>עמידות</w:t>
      </w:r>
      <w:r w:rsidRPr="002A7488">
        <w:rPr>
          <w:rFonts w:ascii="David" w:eastAsia="Times New Roman" w:hAnsi="David" w:cs="David"/>
          <w:b/>
          <w:bCs/>
          <w:sz w:val="28"/>
          <w:szCs w:val="28"/>
          <w:rtl/>
        </w:rPr>
        <w:t xml:space="preserve"> </w:t>
      </w:r>
      <w:r w:rsidRPr="002A7488">
        <w:rPr>
          <w:rFonts w:ascii="David" w:eastAsia="Times New Roman" w:hAnsi="David" w:cs="David" w:hint="cs"/>
          <w:b/>
          <w:bCs/>
          <w:sz w:val="28"/>
          <w:szCs w:val="28"/>
          <w:rtl/>
        </w:rPr>
        <w:t>חברות</w:t>
      </w:r>
      <w:r w:rsidRPr="002A7488">
        <w:rPr>
          <w:rFonts w:ascii="David" w:eastAsia="Times New Roman" w:hAnsi="David" w:cs="David"/>
          <w:b/>
          <w:bCs/>
          <w:sz w:val="28"/>
          <w:szCs w:val="28"/>
          <w:rtl/>
        </w:rPr>
        <w:t xml:space="preserve"> </w:t>
      </w:r>
      <w:r w:rsidRPr="002A7488">
        <w:rPr>
          <w:rFonts w:ascii="David" w:eastAsia="Times New Roman" w:hAnsi="David" w:cs="David" w:hint="cs"/>
          <w:b/>
          <w:bCs/>
          <w:sz w:val="28"/>
          <w:szCs w:val="28"/>
          <w:rtl/>
        </w:rPr>
        <w:t>ציבוריות</w:t>
      </w:r>
    </w:p>
    <w:p w:rsidR="003E788F" w:rsidRPr="003E788F" w:rsidRDefault="003E788F" w:rsidP="003E788F">
      <w:pPr>
        <w:spacing w:line="360" w:lineRule="auto"/>
        <w:ind w:left="360"/>
        <w:contextualSpacing/>
        <w:jc w:val="both"/>
        <w:rPr>
          <w:rFonts w:ascii="David" w:eastAsia="Times New Roman" w:hAnsi="David" w:cs="David"/>
          <w:sz w:val="24"/>
          <w:szCs w:val="24"/>
        </w:rPr>
      </w:pPr>
      <w:bookmarkStart w:id="0" w:name="_GoBack"/>
      <w:bookmarkEnd w:id="0"/>
    </w:p>
    <w:p w:rsidR="003E788F" w:rsidRPr="003E788F" w:rsidRDefault="003E788F" w:rsidP="003E788F">
      <w:pPr>
        <w:numPr>
          <w:ilvl w:val="0"/>
          <w:numId w:val="3"/>
        </w:numPr>
        <w:spacing w:after="120" w:line="360" w:lineRule="auto"/>
        <w:contextualSpacing/>
        <w:jc w:val="both"/>
        <w:rPr>
          <w:rFonts w:ascii="David" w:eastAsia="Times New Roman" w:hAnsi="David" w:cs="David"/>
          <w:sz w:val="24"/>
          <w:szCs w:val="24"/>
        </w:rPr>
      </w:pPr>
      <w:r w:rsidRPr="003E788F">
        <w:rPr>
          <w:rFonts w:ascii="David" w:eastAsia="Times New Roman" w:hAnsi="David" w:cs="David" w:hint="cs"/>
          <w:sz w:val="24"/>
          <w:szCs w:val="24"/>
          <w:rtl/>
        </w:rPr>
        <w:t>בתיבה זו אנו מציעים כלי שבאמצעותו ניתן לאמוד את האיתנות הפיננסית והנזילות של הפירמות הנסחרות בבורסה בטווח של שנה קדימה. זאת בהינתן הנחות שונות, לרבות מגבלות שהממשלה מטילה על הפעילות הכלכלית.</w:t>
      </w:r>
    </w:p>
    <w:p w:rsidR="003E788F" w:rsidRPr="003E788F" w:rsidRDefault="004B0493" w:rsidP="003E788F">
      <w:pPr>
        <w:numPr>
          <w:ilvl w:val="0"/>
          <w:numId w:val="3"/>
        </w:numPr>
        <w:spacing w:after="120" w:line="360" w:lineRule="auto"/>
        <w:contextualSpacing/>
        <w:jc w:val="both"/>
        <w:rPr>
          <w:rFonts w:ascii="David" w:eastAsia="Times New Roman" w:hAnsi="David" w:cs="David"/>
          <w:sz w:val="24"/>
          <w:szCs w:val="24"/>
        </w:rPr>
      </w:pPr>
      <w:r>
        <w:rPr>
          <w:rFonts w:ascii="David" w:eastAsia="Times New Roman" w:hAnsi="David" w:cs="David" w:hint="cs"/>
          <w:sz w:val="24"/>
          <w:szCs w:val="24"/>
          <w:rtl/>
        </w:rPr>
        <w:t>יישום המתודולוגיה המוצגת בתיבה בתרחיש מחמיר</w:t>
      </w:r>
      <w:r w:rsidR="003E788F" w:rsidRPr="003E788F">
        <w:rPr>
          <w:rFonts w:ascii="David" w:eastAsia="Times New Roman" w:hAnsi="David" w:cs="David" w:hint="cs"/>
          <w:sz w:val="24"/>
          <w:szCs w:val="24"/>
          <w:rtl/>
        </w:rPr>
        <w:t xml:space="preserve">, הכולל בין היתר עלייה בעלויות המימון של החברות בעקבות המשבר והחזרת מגבלות התנועה </w:t>
      </w:r>
      <w:r w:rsidR="009546C0">
        <w:rPr>
          <w:rFonts w:ascii="David" w:eastAsia="Times New Roman" w:hAnsi="David" w:cs="David" w:hint="cs"/>
          <w:sz w:val="24"/>
          <w:szCs w:val="24"/>
          <w:rtl/>
        </w:rPr>
        <w:t>בסתיו</w:t>
      </w:r>
      <w:r w:rsidR="00083ADC">
        <w:rPr>
          <w:rFonts w:ascii="David" w:eastAsia="Times New Roman" w:hAnsi="David" w:cs="David" w:hint="cs"/>
          <w:sz w:val="24"/>
          <w:szCs w:val="24"/>
          <w:rtl/>
        </w:rPr>
        <w:t>,</w:t>
      </w:r>
      <w:r w:rsidR="009546C0">
        <w:rPr>
          <w:rFonts w:ascii="David" w:eastAsia="Times New Roman" w:hAnsi="David" w:cs="David" w:hint="cs"/>
          <w:sz w:val="24"/>
          <w:szCs w:val="24"/>
          <w:rtl/>
        </w:rPr>
        <w:t xml:space="preserve"> בדומה לאל</w:t>
      </w:r>
      <w:r w:rsidR="004166AF">
        <w:rPr>
          <w:rFonts w:ascii="David" w:eastAsia="Times New Roman" w:hAnsi="David" w:cs="David" w:hint="cs"/>
          <w:sz w:val="24"/>
          <w:szCs w:val="24"/>
          <w:rtl/>
        </w:rPr>
        <w:t>ו שהיו בתחילת המשבר</w:t>
      </w:r>
      <w:r w:rsidR="003E788F" w:rsidRPr="003E788F">
        <w:rPr>
          <w:rFonts w:ascii="David" w:eastAsia="Times New Roman" w:hAnsi="David" w:cs="David" w:hint="cs"/>
          <w:sz w:val="24"/>
          <w:szCs w:val="24"/>
          <w:rtl/>
        </w:rPr>
        <w:t xml:space="preserve">, </w:t>
      </w:r>
      <w:r>
        <w:rPr>
          <w:rFonts w:ascii="David" w:eastAsia="Times New Roman" w:hAnsi="David" w:cs="David" w:hint="cs"/>
          <w:sz w:val="24"/>
          <w:szCs w:val="24"/>
          <w:rtl/>
        </w:rPr>
        <w:t>מעלה את</w:t>
      </w:r>
      <w:r w:rsidR="003E788F" w:rsidRPr="003E788F">
        <w:rPr>
          <w:rFonts w:ascii="David" w:eastAsia="Times New Roman" w:hAnsi="David" w:cs="David" w:hint="cs"/>
          <w:sz w:val="24"/>
          <w:szCs w:val="24"/>
          <w:rtl/>
        </w:rPr>
        <w:t xml:space="preserve"> התחזיות הבאות:</w:t>
      </w:r>
    </w:p>
    <w:p w:rsidR="003E788F" w:rsidRPr="003E788F" w:rsidRDefault="003E788F" w:rsidP="003E788F">
      <w:pPr>
        <w:numPr>
          <w:ilvl w:val="1"/>
          <w:numId w:val="3"/>
        </w:numPr>
        <w:spacing w:after="120" w:line="360" w:lineRule="auto"/>
        <w:contextualSpacing/>
        <w:jc w:val="both"/>
        <w:rPr>
          <w:rFonts w:ascii="David" w:eastAsia="Times New Roman" w:hAnsi="David" w:cs="David"/>
          <w:sz w:val="24"/>
          <w:szCs w:val="24"/>
        </w:rPr>
      </w:pPr>
      <w:r w:rsidRPr="003E788F">
        <w:rPr>
          <w:rFonts w:ascii="David" w:eastAsia="Times New Roman" w:hAnsi="David" w:cs="David" w:hint="cs"/>
          <w:sz w:val="24"/>
          <w:szCs w:val="24"/>
          <w:rtl/>
        </w:rPr>
        <w:t>ההסתברות של חברה להיקלע לקשיי תזרים וקשיים בהון בשנת 2020 עולה ככל שהחברה קטנה יותר, ממונפת יותר וככל ששווי השוק היחסי שלה נמוך יותר.</w:t>
      </w:r>
    </w:p>
    <w:p w:rsidR="003E788F" w:rsidRPr="003E788F" w:rsidRDefault="003E788F" w:rsidP="003E788F">
      <w:pPr>
        <w:numPr>
          <w:ilvl w:val="1"/>
          <w:numId w:val="3"/>
        </w:numPr>
        <w:spacing w:after="120" w:line="360" w:lineRule="auto"/>
        <w:contextualSpacing/>
        <w:jc w:val="both"/>
        <w:rPr>
          <w:rFonts w:ascii="David" w:eastAsia="Times New Roman" w:hAnsi="David" w:cs="David"/>
          <w:sz w:val="24"/>
          <w:szCs w:val="24"/>
        </w:rPr>
      </w:pPr>
      <w:r w:rsidRPr="003E788F">
        <w:rPr>
          <w:rFonts w:ascii="David" w:eastAsia="Times New Roman" w:hAnsi="David" w:cs="David" w:hint="cs"/>
          <w:sz w:val="24"/>
          <w:szCs w:val="24"/>
          <w:rtl/>
        </w:rPr>
        <w:t>כ</w:t>
      </w:r>
      <w:r w:rsidRPr="003E788F">
        <w:rPr>
          <w:rFonts w:ascii="David" w:eastAsia="Times New Roman" w:hAnsi="David" w:cs="David"/>
          <w:sz w:val="24"/>
          <w:szCs w:val="24"/>
          <w:rtl/>
        </w:rPr>
        <w:t xml:space="preserve">-70% מהחברות הציבוריות שניתחנו לא צפויות להיתקל בקושי </w:t>
      </w:r>
      <w:proofErr w:type="spellStart"/>
      <w:r w:rsidRPr="003E788F">
        <w:rPr>
          <w:rFonts w:ascii="David" w:eastAsia="Times New Roman" w:hAnsi="David" w:cs="David" w:hint="cs"/>
          <w:sz w:val="24"/>
          <w:szCs w:val="24"/>
          <w:rtl/>
        </w:rPr>
        <w:t>ב</w:t>
      </w:r>
      <w:r w:rsidRPr="003E788F">
        <w:rPr>
          <w:rFonts w:ascii="David" w:eastAsia="Times New Roman" w:hAnsi="David" w:cs="David"/>
          <w:sz w:val="24"/>
          <w:szCs w:val="24"/>
          <w:rtl/>
        </w:rPr>
        <w:t>תזרי</w:t>
      </w:r>
      <w:r w:rsidRPr="003E788F">
        <w:rPr>
          <w:rFonts w:ascii="David" w:eastAsia="Times New Roman" w:hAnsi="David" w:cs="David" w:hint="cs"/>
          <w:sz w:val="24"/>
          <w:szCs w:val="24"/>
          <w:rtl/>
        </w:rPr>
        <w:t>ם</w:t>
      </w:r>
      <w:proofErr w:type="spellEnd"/>
      <w:r w:rsidRPr="003E788F">
        <w:rPr>
          <w:rFonts w:ascii="David" w:eastAsia="Times New Roman" w:hAnsi="David" w:cs="David"/>
          <w:sz w:val="24"/>
          <w:szCs w:val="24"/>
          <w:rtl/>
        </w:rPr>
        <w:t xml:space="preserve"> ו/או פגיעה</w:t>
      </w:r>
      <w:r w:rsidRPr="003E788F">
        <w:rPr>
          <w:rFonts w:ascii="David" w:eastAsia="Times New Roman" w:hAnsi="David" w:cs="David" w:hint="cs"/>
          <w:sz w:val="24"/>
          <w:szCs w:val="24"/>
          <w:rtl/>
        </w:rPr>
        <w:t xml:space="preserve"> משמעותית</w:t>
      </w:r>
      <w:r w:rsidRPr="003E788F">
        <w:rPr>
          <w:rFonts w:ascii="David" w:eastAsia="Times New Roman" w:hAnsi="David" w:cs="David"/>
          <w:sz w:val="24"/>
          <w:szCs w:val="24"/>
          <w:rtl/>
        </w:rPr>
        <w:t xml:space="preserve"> בהון</w:t>
      </w:r>
      <w:r w:rsidRPr="003E788F">
        <w:rPr>
          <w:rFonts w:ascii="David" w:eastAsia="Times New Roman" w:hAnsi="David" w:cs="David" w:hint="cs"/>
          <w:sz w:val="24"/>
          <w:szCs w:val="24"/>
          <w:rtl/>
        </w:rPr>
        <w:t xml:space="preserve"> בשנת 2020 גם בתרחיש של חזרה לרמת המגבלות המחמירות ששררו במשק בתחילת המגיפה</w:t>
      </w:r>
      <w:r w:rsidRPr="003E788F">
        <w:rPr>
          <w:rFonts w:ascii="David" w:eastAsia="Times New Roman" w:hAnsi="David" w:cs="David"/>
          <w:sz w:val="24"/>
          <w:szCs w:val="24"/>
          <w:rtl/>
        </w:rPr>
        <w:t xml:space="preserve">. </w:t>
      </w:r>
    </w:p>
    <w:p w:rsidR="003E788F" w:rsidRPr="003E788F" w:rsidRDefault="003E788F" w:rsidP="00977EC1">
      <w:pPr>
        <w:numPr>
          <w:ilvl w:val="1"/>
          <w:numId w:val="3"/>
        </w:numPr>
        <w:spacing w:after="120" w:line="360" w:lineRule="auto"/>
        <w:contextualSpacing/>
        <w:jc w:val="both"/>
        <w:rPr>
          <w:rFonts w:ascii="David" w:eastAsia="Times New Roman" w:hAnsi="David" w:cs="David"/>
          <w:sz w:val="24"/>
          <w:szCs w:val="24"/>
        </w:rPr>
      </w:pPr>
      <w:r w:rsidRPr="003E788F">
        <w:rPr>
          <w:rFonts w:ascii="David" w:eastAsia="Times New Roman" w:hAnsi="David" w:cs="David" w:hint="cs"/>
          <w:sz w:val="24"/>
          <w:szCs w:val="24"/>
          <w:rtl/>
        </w:rPr>
        <w:t>ל</w:t>
      </w:r>
      <w:r w:rsidRPr="003E788F">
        <w:rPr>
          <w:rFonts w:ascii="David" w:eastAsia="Times New Roman" w:hAnsi="David" w:cs="David"/>
          <w:sz w:val="24"/>
          <w:szCs w:val="24"/>
          <w:rtl/>
        </w:rPr>
        <w:t>חברות ש</w:t>
      </w:r>
      <w:r w:rsidR="004166AF">
        <w:rPr>
          <w:rFonts w:ascii="David" w:eastAsia="Times New Roman" w:hAnsi="David" w:cs="David" w:hint="cs"/>
          <w:sz w:val="24"/>
          <w:szCs w:val="24"/>
          <w:rtl/>
        </w:rPr>
        <w:t>עלולות</w:t>
      </w:r>
      <w:r w:rsidRPr="003E788F">
        <w:rPr>
          <w:rFonts w:ascii="David" w:eastAsia="Times New Roman" w:hAnsi="David" w:cs="David" w:hint="cs"/>
          <w:sz w:val="24"/>
          <w:szCs w:val="24"/>
          <w:rtl/>
        </w:rPr>
        <w:t xml:space="preserve"> להיתקל בקשיי נזילות או בפגיעה משמעותית </w:t>
      </w:r>
      <w:r w:rsidRPr="003E788F">
        <w:rPr>
          <w:rFonts w:ascii="David" w:eastAsia="Times New Roman" w:hAnsi="David" w:cs="David"/>
          <w:sz w:val="24"/>
          <w:szCs w:val="24"/>
          <w:rtl/>
        </w:rPr>
        <w:t>בהון</w:t>
      </w:r>
      <w:r w:rsidR="004166AF">
        <w:rPr>
          <w:rFonts w:ascii="David" w:eastAsia="Times New Roman" w:hAnsi="David" w:cs="David" w:hint="cs"/>
          <w:sz w:val="24"/>
          <w:szCs w:val="24"/>
          <w:rtl/>
        </w:rPr>
        <w:t xml:space="preserve">, במידה והתרחיש </w:t>
      </w:r>
      <w:r w:rsidR="00977EC1">
        <w:rPr>
          <w:rFonts w:ascii="David" w:eastAsia="Times New Roman" w:hAnsi="David" w:cs="David" w:hint="cs"/>
          <w:sz w:val="24"/>
          <w:szCs w:val="24"/>
          <w:rtl/>
        </w:rPr>
        <w:t xml:space="preserve">שמוצג בתיבה לצורך תיקוף המודל </w:t>
      </w:r>
      <w:r w:rsidR="004166AF">
        <w:rPr>
          <w:rFonts w:ascii="David" w:eastAsia="Times New Roman" w:hAnsi="David" w:cs="David" w:hint="cs"/>
          <w:sz w:val="24"/>
          <w:szCs w:val="24"/>
          <w:rtl/>
        </w:rPr>
        <w:t>יתממש,</w:t>
      </w:r>
      <w:r w:rsidRPr="003E788F">
        <w:rPr>
          <w:rFonts w:ascii="David" w:eastAsia="Times New Roman" w:hAnsi="David" w:cs="David" w:hint="cs"/>
          <w:sz w:val="24"/>
          <w:szCs w:val="24"/>
          <w:rtl/>
        </w:rPr>
        <w:t xml:space="preserve"> יש </w:t>
      </w:r>
      <w:r w:rsidRPr="003E788F">
        <w:rPr>
          <w:rFonts w:ascii="David" w:eastAsia="Times New Roman" w:hAnsi="David" w:cs="David"/>
          <w:sz w:val="24"/>
          <w:szCs w:val="24"/>
          <w:rtl/>
        </w:rPr>
        <w:t xml:space="preserve">חוב פיננסי </w:t>
      </w:r>
      <w:r w:rsidRPr="003E788F">
        <w:rPr>
          <w:rFonts w:ascii="David" w:eastAsia="Times New Roman" w:hAnsi="David" w:cs="David" w:hint="cs"/>
          <w:sz w:val="24"/>
          <w:szCs w:val="24"/>
          <w:rtl/>
        </w:rPr>
        <w:t xml:space="preserve">בסכום של </w:t>
      </w:r>
      <w:r w:rsidRPr="003E788F">
        <w:rPr>
          <w:rFonts w:ascii="David" w:eastAsia="Times New Roman" w:hAnsi="David" w:cs="David"/>
          <w:sz w:val="24"/>
          <w:szCs w:val="24"/>
          <w:rtl/>
        </w:rPr>
        <w:t xml:space="preserve">כ-50 מיליארד </w:t>
      </w:r>
      <w:r w:rsidRPr="003E788F">
        <w:rPr>
          <w:rFonts w:ascii="David" w:eastAsia="Times New Roman" w:hAnsi="David" w:cs="David" w:hint="cs"/>
          <w:sz w:val="24"/>
          <w:szCs w:val="24"/>
          <w:rtl/>
        </w:rPr>
        <w:t xml:space="preserve">ש"ח (כ-18% מסך החוב הפיננסי של החברות שניתחנו). </w:t>
      </w:r>
      <w:r w:rsidR="008C16FF">
        <w:rPr>
          <w:rFonts w:cs="David" w:hint="cs"/>
          <w:sz w:val="24"/>
          <w:szCs w:val="24"/>
          <w:rtl/>
        </w:rPr>
        <w:t xml:space="preserve">עם זאת, צעדים שינקטו החברות </w:t>
      </w:r>
      <w:r w:rsidR="008C16FF" w:rsidRPr="00972FFB">
        <w:rPr>
          <w:rFonts w:cs="David" w:hint="cs"/>
          <w:sz w:val="24"/>
          <w:szCs w:val="24"/>
          <w:rtl/>
        </w:rPr>
        <w:t xml:space="preserve"> כגון מימוש נכסים</w:t>
      </w:r>
      <w:r w:rsidR="008C16FF">
        <w:rPr>
          <w:rFonts w:cs="David" w:hint="cs"/>
          <w:sz w:val="24"/>
          <w:szCs w:val="24"/>
          <w:rtl/>
        </w:rPr>
        <w:t xml:space="preserve"> והזרמת הון צפויים למתן את</w:t>
      </w:r>
      <w:r w:rsidR="008C16FF" w:rsidRPr="00972FFB">
        <w:rPr>
          <w:rFonts w:cs="David" w:hint="cs"/>
          <w:sz w:val="24"/>
          <w:szCs w:val="24"/>
          <w:rtl/>
        </w:rPr>
        <w:t xml:space="preserve"> האפקט השלילי של המשבר </w:t>
      </w:r>
      <w:r w:rsidR="008C16FF">
        <w:rPr>
          <w:rFonts w:cs="David" w:hint="cs"/>
          <w:sz w:val="24"/>
          <w:szCs w:val="24"/>
          <w:rtl/>
        </w:rPr>
        <w:t>על כושר ההחזר שלהן</w:t>
      </w:r>
      <w:r w:rsidR="008C16FF" w:rsidRPr="00972FFB">
        <w:rPr>
          <w:rFonts w:cs="David" w:hint="cs"/>
          <w:sz w:val="24"/>
          <w:szCs w:val="24"/>
          <w:rtl/>
        </w:rPr>
        <w:t>.</w:t>
      </w:r>
    </w:p>
    <w:p w:rsidR="003E788F" w:rsidRPr="003E788F" w:rsidRDefault="003E788F" w:rsidP="003E788F">
      <w:pPr>
        <w:numPr>
          <w:ilvl w:val="0"/>
          <w:numId w:val="3"/>
        </w:numPr>
        <w:spacing w:after="120" w:line="360" w:lineRule="auto"/>
        <w:contextualSpacing/>
        <w:jc w:val="both"/>
        <w:rPr>
          <w:rFonts w:ascii="David" w:eastAsia="Times New Roman" w:hAnsi="David" w:cs="David"/>
          <w:sz w:val="24"/>
          <w:szCs w:val="24"/>
        </w:rPr>
      </w:pPr>
      <w:r w:rsidRPr="003E788F">
        <w:rPr>
          <w:rFonts w:ascii="David" w:eastAsia="Times New Roman" w:hAnsi="David" w:cs="David" w:hint="cs"/>
          <w:sz w:val="24"/>
          <w:szCs w:val="24"/>
          <w:rtl/>
        </w:rPr>
        <w:t>ניתוח של תשואות האג"ח מלמד כי השוק מתמחר את הסיכונים הנשקפים מגורמי היסוד של החברות כפי שהם עולים מהתחזיות המוצגות בתיבה זו.</w:t>
      </w:r>
    </w:p>
    <w:p w:rsidR="003E788F" w:rsidRPr="003E788F" w:rsidRDefault="003E788F" w:rsidP="003E788F">
      <w:pPr>
        <w:keepNext/>
        <w:keepLines/>
        <w:numPr>
          <w:ilvl w:val="1"/>
          <w:numId w:val="1"/>
        </w:numPr>
        <w:spacing w:before="200" w:after="0" w:line="360" w:lineRule="auto"/>
        <w:jc w:val="both"/>
        <w:outlineLvl w:val="1"/>
        <w:rPr>
          <w:rFonts w:ascii="Cambria" w:eastAsia="Times New Roman" w:hAnsi="Cambria" w:cs="David"/>
          <w:b/>
          <w:bCs/>
          <w:caps/>
          <w:spacing w:val="15"/>
          <w:sz w:val="24"/>
          <w:szCs w:val="32"/>
          <w:rtl/>
        </w:rPr>
      </w:pPr>
      <w:bookmarkStart w:id="1" w:name="_Toc42773265"/>
      <w:bookmarkStart w:id="2" w:name="_Toc45016693"/>
      <w:bookmarkStart w:id="3" w:name="_Toc43999470"/>
      <w:bookmarkStart w:id="4" w:name="_Toc46064930"/>
      <w:bookmarkStart w:id="5" w:name="_Toc46160347"/>
      <w:bookmarkStart w:id="6" w:name="_Toc46160701"/>
      <w:r w:rsidRPr="003E788F">
        <w:rPr>
          <w:rFonts w:ascii="Cambria" w:eastAsia="Times New Roman" w:hAnsi="Cambria" w:cs="David" w:hint="cs"/>
          <w:b/>
          <w:bCs/>
          <w:caps/>
          <w:spacing w:val="15"/>
          <w:sz w:val="24"/>
          <w:szCs w:val="32"/>
          <w:rtl/>
        </w:rPr>
        <w:t>רקע</w:t>
      </w:r>
      <w:bookmarkEnd w:id="1"/>
      <w:bookmarkEnd w:id="2"/>
      <w:bookmarkEnd w:id="3"/>
      <w:bookmarkEnd w:id="4"/>
      <w:bookmarkEnd w:id="5"/>
      <w:bookmarkEnd w:id="6"/>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מגבלות התנועה בעקבות התפשטות הקורונה גרמו לחברות עסקיות להפחית את היקף הייצור שלהן, ובכך הביאו לצמצום בצד ההיצע. במקביל הובילו המגבלות גם לירידה בצד הביקוש, הן באופן ישיר, מפאת צמצום יכולת התנועה של הצרכנים, והן באופן עקיף: צמצום הפעילות של החברות הביא לעלייה באבטלה, וזו הביאה לצמצום הצריכה.</w:t>
      </w:r>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 xml:space="preserve">היכולת להציע תחזית למידת ההשפעה השלילית של המגבלות על כושר העמידות של החברות משמעותית מאוד. תחזית כזאת עשויה להמחיש למקבלי ההחלטות היבט נוסף של  המחיר הכלכלי של מגבלות בעוצמות שונות. </w:t>
      </w:r>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lastRenderedPageBreak/>
        <w:t xml:space="preserve">ככלל, חברה תוגדר כסולבנטית כל עוד יש ביכולתה לשרת בטווח הארוך את התחייבויותיה כלפי כל בעלי העניין שלה, ובכלל זה תשלום הקרן והריבית לבעלי החוב. תיאורטית היכולת לשרת את ההתחייבויות כלפי בעלי העניין של חברה משתקפת בשווי הכלכלי שלה. שווי כלכלי חיובי משקף יכולת של החברה להניב את התשואה הנדרשת לבעלי העניין שלה לרבות בעלי החוב. עם זאת, השווי הכלכלי של חברה מחושב על בסיס תחזיות לתקופות רבות קדימה, המשקפות הנחות רבות, הכרוכות באי-וודאות. הגישה גם לא מביאה בחשבון קשיים פיננסיים הנובעים מבעיית נזילות. השיטה המוצעת כאן מייצרת אומדן להשפעה של מגבלות בעוצמות שונות על האיתנות הפיננסית של חברה ועל הנזילות שלה בתקופה של שנה קדימה בלבד, תוך שקלול רמת הנזילות שלה. אנו מניחים כי החברה תוכל לשרת את התחייבויותיה רק בתנאי שעודף נכסיה על התחייבויותיה </w:t>
      </w:r>
      <w:r w:rsidRPr="003E788F">
        <w:rPr>
          <w:rFonts w:ascii="David" w:eastAsia="Times New Roman" w:hAnsi="David" w:cs="David"/>
          <w:sz w:val="24"/>
          <w:szCs w:val="24"/>
          <w:rtl/>
        </w:rPr>
        <w:t>–</w:t>
      </w:r>
      <w:r w:rsidRPr="003E788F">
        <w:rPr>
          <w:rFonts w:ascii="David" w:eastAsia="Times New Roman" w:hAnsi="David" w:cs="David" w:hint="cs"/>
          <w:sz w:val="24"/>
          <w:szCs w:val="24"/>
          <w:rtl/>
        </w:rPr>
        <w:t xml:space="preserve"> כלומר הונה </w:t>
      </w:r>
      <w:r w:rsidRPr="003E788F">
        <w:rPr>
          <w:rFonts w:ascii="David" w:eastAsia="Times New Roman" w:hAnsi="David" w:cs="David" w:hint="eastAsia"/>
          <w:sz w:val="24"/>
          <w:szCs w:val="24"/>
          <w:rtl/>
        </w:rPr>
        <w:t>–</w:t>
      </w:r>
      <w:r w:rsidRPr="003E788F">
        <w:rPr>
          <w:rFonts w:ascii="David" w:eastAsia="Times New Roman" w:hAnsi="David" w:cs="David" w:hint="cs"/>
          <w:sz w:val="24"/>
          <w:szCs w:val="24"/>
          <w:rtl/>
        </w:rPr>
        <w:t xml:space="preserve"> הוא  חיובי וכן נזיל במידה מספקת (ככל שמדובר בהתחייבויות השוטפות). בכל מצב אחר החברה עלולה להיקלע לקשיים בפירעון התחייבויותיה, וכושר השרידות שלה  עלול להיפגע.</w:t>
      </w:r>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במסגרת הנייר אנו בונים תחזית רווח והפסד לשנת 2020 לכל אחת מהחברות הציבוריות</w:t>
      </w:r>
      <w:r w:rsidRPr="003E788F">
        <w:rPr>
          <w:rFonts w:ascii="David" w:eastAsia="Times New Roman" w:hAnsi="David" w:cs="David"/>
          <w:sz w:val="24"/>
          <w:szCs w:val="24"/>
          <w:vertAlign w:val="superscript"/>
          <w:rtl/>
        </w:rPr>
        <w:footnoteReference w:id="1"/>
      </w:r>
      <w:r w:rsidRPr="003E788F">
        <w:rPr>
          <w:rFonts w:ascii="David" w:eastAsia="Times New Roman" w:hAnsi="David" w:cs="David" w:hint="cs"/>
          <w:sz w:val="24"/>
          <w:szCs w:val="24"/>
          <w:rtl/>
        </w:rPr>
        <w:t xml:space="preserve">, בהינתן עוצמות שונות של מגבלות שמטילה המדינה. בשלב הבא אנו עושים שימוש בתחזית הרווח כדי לכמת את האפקט השלילי של המגבלות בשנת 2020 על ההון של החברות (איתנותן הפיננסית) ועל יכולתן לשרת את חובותיהן בתקופה השוטפת (הנזילות). </w:t>
      </w:r>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 xml:space="preserve">יודגש כי </w:t>
      </w:r>
      <w:r w:rsidRPr="003E788F">
        <w:rPr>
          <w:rFonts w:ascii="David" w:eastAsia="Times New Roman" w:hAnsi="David" w:cs="David" w:hint="eastAsia"/>
          <w:sz w:val="24"/>
          <w:szCs w:val="24"/>
          <w:rtl/>
        </w:rPr>
        <w:t>תיבה</w:t>
      </w:r>
      <w:r w:rsidRPr="003E788F">
        <w:rPr>
          <w:rFonts w:ascii="David" w:eastAsia="Times New Roman" w:hAnsi="David" w:cs="David"/>
          <w:sz w:val="24"/>
          <w:szCs w:val="24"/>
          <w:rtl/>
        </w:rPr>
        <w:t xml:space="preserve"> </w:t>
      </w:r>
      <w:r w:rsidRPr="003E788F">
        <w:rPr>
          <w:rFonts w:ascii="David" w:eastAsia="Times New Roman" w:hAnsi="David" w:cs="David" w:hint="eastAsia"/>
          <w:sz w:val="24"/>
          <w:szCs w:val="24"/>
          <w:rtl/>
        </w:rPr>
        <w:t>זו</w:t>
      </w:r>
      <w:r w:rsidRPr="003E788F">
        <w:rPr>
          <w:rFonts w:ascii="David" w:eastAsia="Times New Roman" w:hAnsi="David" w:cs="David"/>
          <w:sz w:val="24"/>
          <w:szCs w:val="24"/>
          <w:rtl/>
        </w:rPr>
        <w:t xml:space="preserve"> לא מספק</w:t>
      </w:r>
      <w:r w:rsidRPr="003E788F">
        <w:rPr>
          <w:rFonts w:ascii="David" w:eastAsia="Times New Roman" w:hAnsi="David" w:cs="David" w:hint="eastAsia"/>
          <w:sz w:val="24"/>
          <w:szCs w:val="24"/>
          <w:rtl/>
        </w:rPr>
        <w:t>ת</w:t>
      </w:r>
      <w:r w:rsidRPr="003E788F">
        <w:rPr>
          <w:rFonts w:ascii="David" w:eastAsia="Times New Roman" w:hAnsi="David" w:cs="David" w:hint="cs"/>
          <w:sz w:val="24"/>
          <w:szCs w:val="24"/>
          <w:rtl/>
        </w:rPr>
        <w:t xml:space="preserve"> תחזית לגבי עוצמת המגבלות הצפויה, אלא רק אומדן של היקף הפגיעה הכלכלית בחברות הציבוריות תחת תרחישים שונים. זאת בעיקר על רקע אי-הוודאות הרבה השוררת גם בטווחים הקצר והבינוני לגבי אופן התפשטותה או דעיכתה של המגיפה. המסמך בנוי כדלקמן: בסעיף 4.2 מוצגת המתודולוגיה, בסעיף 4.3 מתואר בסיס הנתונים, בסעיף 4.4 מובאים הממצאים, בסעיף 4.5 אנו מאפיינים את החברות שעלולות להיתקל בקשיים, בסעיף 4.6 אנו בוחנים את התיקוף של הכלי, וסעיף 4.7 מסכם.</w:t>
      </w:r>
    </w:p>
    <w:p w:rsidR="003E788F" w:rsidRPr="003E788F" w:rsidRDefault="003E788F" w:rsidP="003E788F">
      <w:pPr>
        <w:keepNext/>
        <w:keepLines/>
        <w:numPr>
          <w:ilvl w:val="1"/>
          <w:numId w:val="1"/>
        </w:numPr>
        <w:spacing w:before="200" w:after="0" w:line="360" w:lineRule="auto"/>
        <w:jc w:val="both"/>
        <w:outlineLvl w:val="1"/>
        <w:rPr>
          <w:rFonts w:ascii="Cambria" w:eastAsia="Times New Roman" w:hAnsi="Cambria" w:cs="David"/>
          <w:b/>
          <w:bCs/>
          <w:caps/>
          <w:spacing w:val="15"/>
          <w:sz w:val="24"/>
          <w:szCs w:val="32"/>
          <w:rtl/>
        </w:rPr>
      </w:pPr>
      <w:bookmarkStart w:id="7" w:name="_Toc42773266"/>
      <w:bookmarkStart w:id="8" w:name="_Toc45016694"/>
      <w:bookmarkStart w:id="9" w:name="_Toc43999471"/>
      <w:bookmarkStart w:id="10" w:name="_Toc46064931"/>
      <w:bookmarkStart w:id="11" w:name="_Toc46160348"/>
      <w:bookmarkStart w:id="12" w:name="_Toc46160702"/>
      <w:r w:rsidRPr="003E788F">
        <w:rPr>
          <w:rFonts w:ascii="Cambria" w:eastAsia="Times New Roman" w:hAnsi="Cambria" w:cs="David" w:hint="cs"/>
          <w:b/>
          <w:bCs/>
          <w:caps/>
          <w:spacing w:val="15"/>
          <w:sz w:val="24"/>
          <w:szCs w:val="32"/>
          <w:rtl/>
        </w:rPr>
        <w:t>מתודולוגיה</w:t>
      </w:r>
      <w:bookmarkEnd w:id="7"/>
      <w:bookmarkEnd w:id="8"/>
      <w:bookmarkEnd w:id="9"/>
      <w:bookmarkEnd w:id="10"/>
      <w:bookmarkEnd w:id="11"/>
      <w:bookmarkEnd w:id="12"/>
    </w:p>
    <w:p w:rsidR="003E788F" w:rsidRPr="003E788F" w:rsidRDefault="003E788F" w:rsidP="003E788F">
      <w:pPr>
        <w:keepNext/>
        <w:keepLines/>
        <w:numPr>
          <w:ilvl w:val="2"/>
          <w:numId w:val="1"/>
        </w:numPr>
        <w:spacing w:before="200" w:after="0" w:line="360" w:lineRule="auto"/>
        <w:jc w:val="both"/>
        <w:outlineLvl w:val="2"/>
        <w:rPr>
          <w:rFonts w:ascii="Cambria" w:eastAsia="Times New Roman" w:hAnsi="Cambria" w:cs="David"/>
          <w:b/>
          <w:bCs/>
          <w:sz w:val="24"/>
          <w:szCs w:val="28"/>
          <w:u w:val="single"/>
          <w:rtl/>
        </w:rPr>
      </w:pPr>
      <w:bookmarkStart w:id="13" w:name="_Toc42773267"/>
      <w:bookmarkStart w:id="14" w:name="_Toc45016695"/>
      <w:bookmarkStart w:id="15" w:name="_Toc43999472"/>
      <w:bookmarkStart w:id="16" w:name="_Toc46064932"/>
      <w:bookmarkStart w:id="17" w:name="_Toc46160349"/>
      <w:bookmarkStart w:id="18" w:name="_Toc46160703"/>
      <w:r w:rsidRPr="003E788F">
        <w:rPr>
          <w:rFonts w:ascii="Cambria" w:eastAsia="Times New Roman" w:hAnsi="Cambria" w:cs="David" w:hint="eastAsia"/>
          <w:b/>
          <w:bCs/>
          <w:sz w:val="24"/>
          <w:szCs w:val="28"/>
          <w:u w:val="single"/>
          <w:rtl/>
        </w:rPr>
        <w:t>בניית</w:t>
      </w:r>
      <w:r w:rsidRPr="003E788F">
        <w:rPr>
          <w:rFonts w:ascii="Cambria" w:eastAsia="Times New Roman" w:hAnsi="Cambria" w:cs="David"/>
          <w:b/>
          <w:bCs/>
          <w:sz w:val="24"/>
          <w:szCs w:val="28"/>
          <w:u w:val="single"/>
          <w:rtl/>
        </w:rPr>
        <w:t xml:space="preserve"> </w:t>
      </w:r>
      <w:r w:rsidRPr="003E788F">
        <w:rPr>
          <w:rFonts w:ascii="Cambria" w:eastAsia="Times New Roman" w:hAnsi="Cambria" w:cs="David" w:hint="eastAsia"/>
          <w:b/>
          <w:bCs/>
          <w:sz w:val="24"/>
          <w:szCs w:val="28"/>
          <w:u w:val="single"/>
          <w:rtl/>
        </w:rPr>
        <w:t>דו</w:t>
      </w:r>
      <w:r w:rsidRPr="003E788F">
        <w:rPr>
          <w:rFonts w:ascii="Cambria" w:eastAsia="Times New Roman" w:hAnsi="Cambria" w:cs="David"/>
          <w:b/>
          <w:bCs/>
          <w:sz w:val="24"/>
          <w:szCs w:val="28"/>
          <w:u w:val="single"/>
          <w:rtl/>
        </w:rPr>
        <w:t xml:space="preserve">חות </w:t>
      </w:r>
      <w:r w:rsidRPr="003E788F">
        <w:rPr>
          <w:rFonts w:ascii="Cambria" w:eastAsia="Times New Roman" w:hAnsi="Cambria" w:cs="David" w:hint="eastAsia"/>
          <w:b/>
          <w:bCs/>
          <w:sz w:val="24"/>
          <w:szCs w:val="28"/>
          <w:u w:val="single"/>
          <w:rtl/>
        </w:rPr>
        <w:t>רווח</w:t>
      </w:r>
      <w:r w:rsidRPr="003E788F">
        <w:rPr>
          <w:rFonts w:ascii="Cambria" w:eastAsia="Times New Roman" w:hAnsi="Cambria" w:cs="David"/>
          <w:b/>
          <w:bCs/>
          <w:sz w:val="24"/>
          <w:szCs w:val="28"/>
          <w:u w:val="single"/>
          <w:rtl/>
        </w:rPr>
        <w:t xml:space="preserve"> </w:t>
      </w:r>
      <w:r w:rsidRPr="003E788F">
        <w:rPr>
          <w:rFonts w:ascii="Cambria" w:eastAsia="Times New Roman" w:hAnsi="Cambria" w:cs="David" w:hint="eastAsia"/>
          <w:b/>
          <w:bCs/>
          <w:sz w:val="24"/>
          <w:szCs w:val="28"/>
          <w:u w:val="single"/>
          <w:rtl/>
        </w:rPr>
        <w:t>והפסד</w:t>
      </w:r>
      <w:r w:rsidRPr="003E788F">
        <w:rPr>
          <w:rFonts w:ascii="Cambria" w:eastAsia="Times New Roman" w:hAnsi="Cambria" w:cs="David"/>
          <w:b/>
          <w:bCs/>
          <w:sz w:val="24"/>
          <w:szCs w:val="28"/>
          <w:u w:val="single"/>
          <w:rtl/>
        </w:rPr>
        <w:t xml:space="preserve"> </w:t>
      </w:r>
      <w:r w:rsidRPr="003E788F">
        <w:rPr>
          <w:rFonts w:ascii="Cambria" w:eastAsia="Times New Roman" w:hAnsi="Cambria" w:cs="David" w:hint="eastAsia"/>
          <w:b/>
          <w:bCs/>
          <w:sz w:val="24"/>
          <w:szCs w:val="28"/>
          <w:u w:val="single"/>
          <w:rtl/>
        </w:rPr>
        <w:t>חזויים</w:t>
      </w:r>
      <w:bookmarkEnd w:id="13"/>
      <w:bookmarkEnd w:id="14"/>
      <w:bookmarkEnd w:id="15"/>
      <w:bookmarkEnd w:id="16"/>
      <w:bookmarkEnd w:id="17"/>
      <w:bookmarkEnd w:id="18"/>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נקודת המוצא בבניית דוחות רווח והפסד חזויים לשנת 2020 היא הדוחות שפרסמו החברות לשנת 2019. כדי לאמוד את היקף הירידה בהכנסות של החברות ובהוצאותיהן המשתנות מהמועד שבו הטילה הממשלה מגבלות עד חודש יוני 2020 אנו עושים שימוש באומדן הפגיעה בתוצר של כל ענף, אומדן שנבנה באגף הריאלי של חטיבת המחקר</w:t>
      </w:r>
      <w:r w:rsidRPr="003E788F">
        <w:rPr>
          <w:rFonts w:ascii="David" w:eastAsia="Times New Roman" w:hAnsi="David" w:cs="David"/>
          <w:sz w:val="24"/>
          <w:szCs w:val="24"/>
          <w:vertAlign w:val="superscript"/>
          <w:rtl/>
        </w:rPr>
        <w:footnoteReference w:id="2"/>
      </w:r>
      <w:r w:rsidRPr="003E788F">
        <w:rPr>
          <w:rFonts w:ascii="David" w:eastAsia="Times New Roman" w:hAnsi="David" w:cs="David" w:hint="cs"/>
          <w:sz w:val="24"/>
          <w:szCs w:val="24"/>
          <w:rtl/>
        </w:rPr>
        <w:t xml:space="preserve">. את הירידה בהכנסות ובהוצאות המשתנות מחודש יוני ואילך אנו אומדים </w:t>
      </w:r>
      <w:r w:rsidRPr="003E788F">
        <w:rPr>
          <w:rFonts w:ascii="David" w:eastAsia="Times New Roman" w:hAnsi="David" w:cs="David" w:hint="eastAsia"/>
          <w:sz w:val="24"/>
          <w:szCs w:val="24"/>
          <w:rtl/>
        </w:rPr>
        <w:t>באמצעות</w:t>
      </w:r>
      <w:r w:rsidRPr="003E788F">
        <w:rPr>
          <w:rFonts w:ascii="David" w:eastAsia="Times New Roman" w:hAnsi="David" w:cs="David" w:hint="cs"/>
          <w:sz w:val="24"/>
          <w:szCs w:val="24"/>
          <w:rtl/>
        </w:rPr>
        <w:t xml:space="preserve"> מקדמי דעיכה שונים למגבלות שהוטלו בעקבות המגיפה: מקדם מהיר, בינוני ואיטי.</w:t>
      </w:r>
      <w:r w:rsidRPr="003E788F">
        <w:rPr>
          <w:rFonts w:ascii="David" w:eastAsia="Times New Roman" w:hAnsi="David" w:cs="David"/>
          <w:sz w:val="24"/>
          <w:szCs w:val="24"/>
          <w:vertAlign w:val="superscript"/>
          <w:rtl/>
        </w:rPr>
        <w:footnoteReference w:id="3"/>
      </w:r>
      <w:r w:rsidRPr="003E788F">
        <w:rPr>
          <w:rFonts w:ascii="David" w:eastAsia="Times New Roman" w:hAnsi="David" w:cs="David" w:hint="cs"/>
          <w:sz w:val="24"/>
          <w:szCs w:val="24"/>
          <w:rtl/>
        </w:rPr>
        <w:t xml:space="preserve"> בגרסה נוספת של התחזית אנו מציגים דוחות חזויים בהנחה של חזרה לסגר נוסף ברבעון האחרון של 2020</w:t>
      </w:r>
      <w:r w:rsidRPr="003E788F">
        <w:rPr>
          <w:rFonts w:ascii="David" w:eastAsia="Times New Roman" w:hAnsi="David" w:cs="David"/>
          <w:sz w:val="24"/>
          <w:szCs w:val="24"/>
          <w:vertAlign w:val="superscript"/>
          <w:rtl/>
        </w:rPr>
        <w:footnoteReference w:id="4"/>
      </w:r>
      <w:r w:rsidRPr="003E788F">
        <w:rPr>
          <w:rFonts w:ascii="David" w:eastAsia="Times New Roman" w:hAnsi="David" w:cs="David" w:hint="cs"/>
          <w:sz w:val="24"/>
          <w:szCs w:val="24"/>
          <w:rtl/>
        </w:rPr>
        <w:t>.</w:t>
      </w:r>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lastRenderedPageBreak/>
        <w:t>הירידה בהיקף ההכנסות של חברה צפויה להביא לירידה דומה בהיקף ההוצאות המשתנות שלה, אולם היא לא צפויה להשפיע על היקף ההוצאות הקבועות. בדוחות הכספיים לא נכלל סיווג נפרד להוצאות הקבועות של חברה. לכן דגמנו מספר חברות מכל ענף, וסיווגנו באופן ידני את הוצאותיהן לקבועות ומשתנות (על סמך הביאורים לדוחות הכספיים). על בסיס הסיווג חישבנו משקל</w:t>
      </w:r>
      <w:r w:rsidRPr="003E788F">
        <w:rPr>
          <w:rFonts w:ascii="David" w:eastAsia="Times New Roman" w:hAnsi="David" w:cs="David" w:hint="eastAsia"/>
          <w:sz w:val="24"/>
          <w:szCs w:val="24"/>
          <w:rtl/>
        </w:rPr>
        <w:t>ות</w:t>
      </w:r>
      <w:r w:rsidRPr="003E788F">
        <w:rPr>
          <w:rFonts w:ascii="David" w:eastAsia="Times New Roman" w:hAnsi="David" w:cs="David" w:hint="cs"/>
          <w:sz w:val="24"/>
          <w:szCs w:val="24"/>
          <w:rtl/>
        </w:rPr>
        <w:t xml:space="preserve"> מייצג</w:t>
      </w:r>
      <w:r w:rsidRPr="003E788F">
        <w:rPr>
          <w:rFonts w:ascii="David" w:eastAsia="Times New Roman" w:hAnsi="David" w:cs="David" w:hint="eastAsia"/>
          <w:sz w:val="24"/>
          <w:szCs w:val="24"/>
          <w:rtl/>
        </w:rPr>
        <w:t>ים</w:t>
      </w:r>
      <w:r w:rsidRPr="003E788F">
        <w:rPr>
          <w:rFonts w:ascii="David" w:eastAsia="Times New Roman" w:hAnsi="David" w:cs="David" w:hint="cs"/>
          <w:sz w:val="24"/>
          <w:szCs w:val="24"/>
          <w:rtl/>
        </w:rPr>
        <w:t xml:space="preserve"> של ההוצאות הקבועות בסך ההוצאות של החברות בכל ענף</w:t>
      </w:r>
      <w:r w:rsidRPr="003E788F">
        <w:rPr>
          <w:rFonts w:ascii="David" w:eastAsia="Times New Roman" w:hAnsi="David" w:cs="David"/>
          <w:sz w:val="24"/>
          <w:szCs w:val="24"/>
          <w:vertAlign w:val="superscript"/>
          <w:rtl/>
        </w:rPr>
        <w:footnoteReference w:id="5"/>
      </w:r>
      <w:r w:rsidRPr="003E788F">
        <w:rPr>
          <w:rFonts w:ascii="David" w:eastAsia="Times New Roman" w:hAnsi="David" w:cs="David" w:hint="cs"/>
          <w:sz w:val="24"/>
          <w:szCs w:val="24"/>
          <w:rtl/>
        </w:rPr>
        <w:t xml:space="preserve">. </w:t>
      </w:r>
    </w:p>
    <w:p w:rsidR="003E788F" w:rsidRPr="003E788F" w:rsidRDefault="003E788F" w:rsidP="003E788F">
      <w:pPr>
        <w:spacing w:after="120" w:line="360" w:lineRule="auto"/>
        <w:jc w:val="both"/>
        <w:rPr>
          <w:rFonts w:ascii="David" w:eastAsia="Times New Roman" w:hAnsi="David" w:cs="David"/>
          <w:sz w:val="24"/>
          <w:szCs w:val="24"/>
        </w:rPr>
      </w:pPr>
      <w:r w:rsidRPr="003E788F">
        <w:rPr>
          <w:rFonts w:ascii="David" w:eastAsia="Times New Roman" w:hAnsi="David" w:cs="David" w:hint="cs"/>
          <w:sz w:val="24"/>
          <w:szCs w:val="24"/>
          <w:rtl/>
        </w:rPr>
        <w:t>על סמך המשקל המייצג של ההוצאות הקבועות והמשתנות חישבנו לכל חברה בכל ענף את היקף הירידה הצפוי של הוצאותיה בשנת 2020 בעקבות צמצום הפעילות. לאחר הפחתת היקף ההוצאות הצפויות מהיקף ההכנסות הצפויות קיבלנו, לגבי כל חברה ציבורית שניתחנו, את הרווח התפעולי החזוי לשנת 2020. כדי לאמוד את ה-</w:t>
      </w:r>
      <w:r w:rsidRPr="003E788F">
        <w:rPr>
          <w:rFonts w:ascii="David" w:eastAsia="Times New Roman" w:hAnsi="David" w:cs="David" w:hint="cs"/>
          <w:sz w:val="24"/>
          <w:szCs w:val="24"/>
        </w:rPr>
        <w:t>EBITDA</w:t>
      </w:r>
      <w:r w:rsidRPr="003E788F">
        <w:rPr>
          <w:rFonts w:ascii="David" w:eastAsia="Times New Roman" w:hAnsi="David" w:cs="David" w:hint="cs"/>
          <w:sz w:val="24"/>
          <w:szCs w:val="24"/>
          <w:rtl/>
        </w:rPr>
        <w:t xml:space="preserve"> (קירוב </w:t>
      </w:r>
      <w:proofErr w:type="spellStart"/>
      <w:r w:rsidRPr="003E788F">
        <w:rPr>
          <w:rFonts w:ascii="David" w:eastAsia="Times New Roman" w:hAnsi="David" w:cs="David" w:hint="cs"/>
          <w:sz w:val="24"/>
          <w:szCs w:val="24"/>
          <w:rtl/>
        </w:rPr>
        <w:t>לתזרים</w:t>
      </w:r>
      <w:proofErr w:type="spellEnd"/>
      <w:r w:rsidRPr="003E788F">
        <w:rPr>
          <w:rFonts w:ascii="David" w:eastAsia="Times New Roman" w:hAnsi="David" w:cs="David" w:hint="cs"/>
          <w:sz w:val="24"/>
          <w:szCs w:val="24"/>
          <w:rtl/>
        </w:rPr>
        <w:t xml:space="preserve"> המזומנים של החברה מפעילות שוטפת) החזויה לשנת 2020 עבור כל חברה הוספנו לרווח התפעולי החזוי את הוצאות הפחת שבהן הכירה החברה בשנת 2019.</w:t>
      </w:r>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על רקע המשבר והעלייה בפרמיות הסיכון של החברות התייקר המחיר שבו הן יכולות לגייס חוב</w:t>
      </w:r>
      <w:r w:rsidRPr="003E788F">
        <w:rPr>
          <w:rFonts w:ascii="David" w:eastAsia="Times New Roman" w:hAnsi="David" w:cs="David"/>
          <w:sz w:val="24"/>
          <w:szCs w:val="24"/>
          <w:vertAlign w:val="superscript"/>
          <w:rtl/>
        </w:rPr>
        <w:footnoteReference w:id="6"/>
      </w:r>
      <w:r w:rsidRPr="003E788F">
        <w:rPr>
          <w:rFonts w:ascii="David" w:eastAsia="Times New Roman" w:hAnsi="David" w:cs="David" w:hint="cs"/>
          <w:sz w:val="24"/>
          <w:szCs w:val="24"/>
          <w:rtl/>
        </w:rPr>
        <w:t xml:space="preserve">. התייקרות החוב תביא לעלייה בהוצאות המימון של החברות שתידרשנה להנפיק חוב בשנה השוטפת – אותן חברות שהנכסים השוטפים שלהן לא מספיקים כדי לכסות את התחייבויותיהן השוטפות. כדי לאמוד את החלק של החוב הפיננסי העומד </w:t>
      </w:r>
      <w:proofErr w:type="spellStart"/>
      <w:r w:rsidRPr="003E788F">
        <w:rPr>
          <w:rFonts w:ascii="David" w:eastAsia="Times New Roman" w:hAnsi="David" w:cs="David" w:hint="cs"/>
          <w:sz w:val="24"/>
          <w:szCs w:val="24"/>
          <w:rtl/>
        </w:rPr>
        <w:t>למיחזור</w:t>
      </w:r>
      <w:proofErr w:type="spellEnd"/>
      <w:r w:rsidRPr="003E788F">
        <w:rPr>
          <w:rFonts w:ascii="David" w:eastAsia="Times New Roman" w:hAnsi="David" w:cs="David" w:hint="cs"/>
          <w:sz w:val="24"/>
          <w:szCs w:val="24"/>
          <w:rtl/>
        </w:rPr>
        <w:t xml:space="preserve"> בשנת 2020, השתמשנו בסעיף החלויות השוטפות במאזן של שנת 2019, שהוא אומדן לחלק של החוב שהחברות אמורות לפרוע בשנה השוטפת. הנחנו כי התייקרות מחיר החוב של חברות בענף זהה לשיעור העלייה בתשואות הממוצעות של החברות באותו ענף בחודשים מרץ</w:t>
      </w:r>
      <w:r w:rsidRPr="003E788F">
        <w:rPr>
          <w:rFonts w:ascii="David" w:eastAsia="Times New Roman" w:hAnsi="David" w:cs="David" w:hint="eastAsia"/>
          <w:sz w:val="24"/>
          <w:szCs w:val="24"/>
          <w:rtl/>
        </w:rPr>
        <w:t>–</w:t>
      </w:r>
      <w:r w:rsidRPr="003E788F">
        <w:rPr>
          <w:rFonts w:ascii="David" w:eastAsia="Times New Roman" w:hAnsi="David" w:cs="David" w:hint="cs"/>
          <w:sz w:val="24"/>
          <w:szCs w:val="24"/>
          <w:rtl/>
        </w:rPr>
        <w:t>מאי יחסית לתשואות הממוצעות ששררו בענף ערב המשבר, בחודשים ינואר ופברואר</w:t>
      </w:r>
      <w:r w:rsidRPr="003E788F">
        <w:rPr>
          <w:rFonts w:ascii="David" w:eastAsia="Times New Roman" w:hAnsi="David" w:cs="David"/>
          <w:sz w:val="24"/>
          <w:szCs w:val="24"/>
          <w:vertAlign w:val="superscript"/>
          <w:rtl/>
        </w:rPr>
        <w:footnoteReference w:id="7"/>
      </w:r>
      <w:r w:rsidRPr="003E788F">
        <w:rPr>
          <w:rFonts w:ascii="David" w:eastAsia="Times New Roman" w:hAnsi="David" w:cs="David" w:hint="cs"/>
          <w:sz w:val="24"/>
          <w:szCs w:val="24"/>
          <w:rtl/>
        </w:rPr>
        <w:t>.</w:t>
      </w:r>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על בסיס הדוחות החזויים אנו מחשבים עבור כל חברה ותחת כל תרחיש את הרווח התפעולי, את ה -</w:t>
      </w:r>
      <w:r w:rsidRPr="003E788F">
        <w:rPr>
          <w:rFonts w:ascii="David" w:eastAsia="Times New Roman" w:hAnsi="David" w:cs="David" w:hint="cs"/>
          <w:sz w:val="24"/>
          <w:szCs w:val="24"/>
        </w:rPr>
        <w:t>EB</w:t>
      </w:r>
      <w:r w:rsidRPr="003E788F">
        <w:rPr>
          <w:rFonts w:ascii="David" w:eastAsia="Times New Roman" w:hAnsi="David" w:cs="David"/>
          <w:sz w:val="24"/>
          <w:szCs w:val="24"/>
        </w:rPr>
        <w:t>ITDA</w:t>
      </w:r>
      <w:r w:rsidRPr="003E788F">
        <w:rPr>
          <w:rFonts w:ascii="David" w:eastAsia="Times New Roman" w:hAnsi="David" w:cs="David" w:hint="cs"/>
          <w:sz w:val="24"/>
          <w:szCs w:val="24"/>
          <w:rtl/>
        </w:rPr>
        <w:t xml:space="preserve"> ואת הרווח הנקי שלה</w:t>
      </w:r>
      <w:r w:rsidRPr="003E788F">
        <w:rPr>
          <w:rFonts w:ascii="David" w:eastAsia="Times New Roman" w:hAnsi="David" w:cs="David"/>
          <w:sz w:val="24"/>
          <w:szCs w:val="24"/>
          <w:vertAlign w:val="superscript"/>
          <w:rtl/>
        </w:rPr>
        <w:footnoteReference w:id="8"/>
      </w:r>
      <w:r w:rsidRPr="003E788F">
        <w:rPr>
          <w:rFonts w:ascii="David" w:eastAsia="Times New Roman" w:hAnsi="David" w:cs="David" w:hint="cs"/>
          <w:sz w:val="24"/>
          <w:szCs w:val="24"/>
          <w:rtl/>
        </w:rPr>
        <w:t xml:space="preserve">. </w:t>
      </w:r>
    </w:p>
    <w:p w:rsidR="003E788F" w:rsidRPr="003E788F" w:rsidRDefault="003E788F" w:rsidP="003E788F">
      <w:pPr>
        <w:keepNext/>
        <w:keepLines/>
        <w:numPr>
          <w:ilvl w:val="2"/>
          <w:numId w:val="1"/>
        </w:numPr>
        <w:spacing w:before="200" w:after="0" w:line="360" w:lineRule="auto"/>
        <w:jc w:val="both"/>
        <w:outlineLvl w:val="2"/>
        <w:rPr>
          <w:rFonts w:ascii="Cambria" w:eastAsia="Times New Roman" w:hAnsi="Cambria" w:cs="David"/>
          <w:b/>
          <w:bCs/>
          <w:sz w:val="24"/>
          <w:szCs w:val="28"/>
          <w:u w:val="single"/>
          <w:rtl/>
        </w:rPr>
      </w:pPr>
      <w:bookmarkStart w:id="19" w:name="_Toc42773268"/>
      <w:bookmarkStart w:id="20" w:name="_Toc45016696"/>
      <w:bookmarkStart w:id="21" w:name="_Toc43999473"/>
      <w:bookmarkStart w:id="22" w:name="_Toc46064933"/>
      <w:bookmarkStart w:id="23" w:name="_Toc46160350"/>
      <w:bookmarkStart w:id="24" w:name="_Toc46160704"/>
      <w:r w:rsidRPr="003E788F">
        <w:rPr>
          <w:rFonts w:ascii="Cambria" w:eastAsia="Times New Roman" w:hAnsi="Cambria" w:cs="David" w:hint="eastAsia"/>
          <w:b/>
          <w:bCs/>
          <w:sz w:val="24"/>
          <w:szCs w:val="28"/>
          <w:u w:val="single"/>
          <w:rtl/>
        </w:rPr>
        <w:t>הערכת</w:t>
      </w:r>
      <w:r w:rsidRPr="003E788F">
        <w:rPr>
          <w:rFonts w:ascii="Cambria" w:eastAsia="Times New Roman" w:hAnsi="Cambria" w:cs="David"/>
          <w:b/>
          <w:bCs/>
          <w:sz w:val="24"/>
          <w:szCs w:val="28"/>
          <w:u w:val="single"/>
          <w:rtl/>
        </w:rPr>
        <w:t xml:space="preserve"> </w:t>
      </w:r>
      <w:r w:rsidRPr="003E788F">
        <w:rPr>
          <w:rFonts w:ascii="Cambria" w:eastAsia="Times New Roman" w:hAnsi="Cambria" w:cs="David" w:hint="eastAsia"/>
          <w:b/>
          <w:bCs/>
          <w:sz w:val="24"/>
          <w:szCs w:val="28"/>
          <w:u w:val="single"/>
          <w:rtl/>
        </w:rPr>
        <w:t>עמידות</w:t>
      </w:r>
      <w:bookmarkEnd w:id="19"/>
      <w:r w:rsidRPr="003E788F">
        <w:rPr>
          <w:rFonts w:ascii="Cambria" w:eastAsia="Times New Roman" w:hAnsi="Cambria" w:cs="David" w:hint="cs"/>
          <w:b/>
          <w:bCs/>
          <w:sz w:val="24"/>
          <w:szCs w:val="28"/>
          <w:u w:val="single"/>
          <w:rtl/>
        </w:rPr>
        <w:t xml:space="preserve"> תחת תרחיש ספציפי</w:t>
      </w:r>
      <w:bookmarkEnd w:id="20"/>
      <w:bookmarkEnd w:id="21"/>
      <w:bookmarkEnd w:id="22"/>
      <w:bookmarkEnd w:id="23"/>
      <w:bookmarkEnd w:id="24"/>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Times New Roman" w:eastAsia="Times New Roman" w:hAnsi="Times New Roman" w:cs="David" w:hint="cs"/>
          <w:sz w:val="24"/>
          <w:szCs w:val="24"/>
          <w:rtl/>
        </w:rPr>
        <w:t>במסגרת העבודה נערכו מספר תרחישים וסימולציות, שבאמצעותם אנו אומדים את הפגיעות של החברות הציבוריות. כדי לפשט ולהקל על הקורא, הממצאים ו</w:t>
      </w:r>
      <w:r w:rsidRPr="003E788F">
        <w:rPr>
          <w:rFonts w:ascii="Times New Roman" w:eastAsia="Times New Roman" w:hAnsi="Times New Roman" w:cs="David"/>
          <w:sz w:val="24"/>
          <w:szCs w:val="24"/>
          <w:rtl/>
        </w:rPr>
        <w:t xml:space="preserve">הניתוחים מכאן </w:t>
      </w:r>
      <w:r w:rsidRPr="003E788F">
        <w:rPr>
          <w:rFonts w:ascii="Times New Roman" w:eastAsia="Times New Roman" w:hAnsi="Times New Roman" w:cs="David" w:hint="cs"/>
          <w:sz w:val="24"/>
          <w:szCs w:val="24"/>
          <w:rtl/>
        </w:rPr>
        <w:t>ואילך</w:t>
      </w:r>
      <w:r w:rsidRPr="003E788F">
        <w:rPr>
          <w:rFonts w:ascii="Times New Roman" w:eastAsia="Times New Roman" w:hAnsi="Times New Roman" w:cs="David"/>
          <w:sz w:val="24"/>
          <w:szCs w:val="24"/>
          <w:rtl/>
        </w:rPr>
        <w:t xml:space="preserve"> מוצגים על בסיס</w:t>
      </w:r>
      <w:r w:rsidRPr="003E788F">
        <w:rPr>
          <w:rFonts w:ascii="Times New Roman" w:eastAsia="Times New Roman" w:hAnsi="Times New Roman" w:cs="David" w:hint="cs"/>
          <w:sz w:val="24"/>
          <w:szCs w:val="24"/>
          <w:rtl/>
        </w:rPr>
        <w:t xml:space="preserve"> תרחיש אחד, שבו אנו מניחים כי בתקופה שמחודש יולי 2020 המגבלות שהממשלה הטילה דועכות בקצב בינוני</w:t>
      </w:r>
      <w:r w:rsidRPr="003E788F">
        <w:rPr>
          <w:rFonts w:ascii="Times New Roman" w:eastAsia="Times New Roman" w:hAnsi="Times New Roman" w:cs="David"/>
          <w:sz w:val="24"/>
          <w:szCs w:val="24"/>
          <w:vertAlign w:val="superscript"/>
          <w:rtl/>
        </w:rPr>
        <w:footnoteReference w:id="9"/>
      </w:r>
      <w:r w:rsidRPr="003E788F">
        <w:rPr>
          <w:rFonts w:ascii="Times New Roman" w:eastAsia="Times New Roman" w:hAnsi="Times New Roman" w:cs="David" w:hint="cs"/>
          <w:sz w:val="24"/>
          <w:szCs w:val="24"/>
          <w:rtl/>
        </w:rPr>
        <w:t xml:space="preserve">, אך </w:t>
      </w:r>
      <w:r w:rsidRPr="003E788F">
        <w:rPr>
          <w:rFonts w:ascii="Times New Roman" w:eastAsia="Times New Roman" w:hAnsi="Times New Roman" w:cs="David"/>
          <w:sz w:val="24"/>
          <w:szCs w:val="24"/>
          <w:rtl/>
        </w:rPr>
        <w:t>ברבעון האחרון של 2020</w:t>
      </w:r>
      <w:r w:rsidRPr="003E788F">
        <w:rPr>
          <w:rFonts w:ascii="Times New Roman" w:eastAsia="Times New Roman" w:hAnsi="Times New Roman" w:cs="David" w:hint="cs"/>
          <w:sz w:val="24"/>
          <w:szCs w:val="24"/>
          <w:rtl/>
        </w:rPr>
        <w:t xml:space="preserve"> הן חוזרות לרמה המחמירה ששררה בתחילת המגיפה (אז שיעורי ההשבתה חוזרים לרמות של מרץ</w:t>
      </w:r>
      <w:r w:rsidRPr="003E788F">
        <w:rPr>
          <w:rFonts w:ascii="Times New Roman" w:eastAsia="Times New Roman" w:hAnsi="Times New Roman" w:cs="David" w:hint="eastAsia"/>
          <w:sz w:val="24"/>
          <w:szCs w:val="24"/>
          <w:rtl/>
        </w:rPr>
        <w:t>–</w:t>
      </w:r>
      <w:r w:rsidRPr="003E788F">
        <w:rPr>
          <w:rFonts w:ascii="Times New Roman" w:eastAsia="Times New Roman" w:hAnsi="Times New Roman" w:cs="David" w:hint="cs"/>
          <w:sz w:val="24"/>
          <w:szCs w:val="24"/>
          <w:rtl/>
        </w:rPr>
        <w:t>מאי); כמו כן עולות הוצאות המימון של החברות שתצטרכנה למחזר את החוב (כפי שמתואר בחלק המתודולוגי).</w:t>
      </w:r>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על בסיס דוחות הרווח וההפסד החזויים אנו מחשבים את היחסים הבאים:</w:t>
      </w:r>
    </w:p>
    <w:p w:rsidR="003E788F" w:rsidRPr="003E788F" w:rsidRDefault="003E788F" w:rsidP="003E788F">
      <w:pPr>
        <w:numPr>
          <w:ilvl w:val="0"/>
          <w:numId w:val="2"/>
        </w:numPr>
        <w:spacing w:after="120" w:line="360" w:lineRule="auto"/>
        <w:contextualSpacing/>
        <w:jc w:val="both"/>
        <w:rPr>
          <w:rFonts w:ascii="David" w:eastAsia="Times New Roman" w:hAnsi="David" w:cs="David"/>
          <w:sz w:val="24"/>
          <w:szCs w:val="24"/>
        </w:rPr>
      </w:pPr>
      <w:r w:rsidRPr="003E788F">
        <w:rPr>
          <w:rFonts w:ascii="David" w:eastAsia="Times New Roman" w:hAnsi="David" w:cs="David" w:hint="cs"/>
          <w:sz w:val="24"/>
          <w:szCs w:val="24"/>
          <w:rtl/>
        </w:rPr>
        <w:t xml:space="preserve">שיעור החברות – במונחי מספר ומשקל בחוב הפיננסי – שצפויות להיתקל בקשיי נזילות בשנת 2020, כלומר </w:t>
      </w:r>
      <w:proofErr w:type="spellStart"/>
      <w:r w:rsidRPr="003E788F">
        <w:rPr>
          <w:rFonts w:ascii="David" w:eastAsia="Times New Roman" w:hAnsi="David" w:cs="David" w:hint="cs"/>
          <w:sz w:val="24"/>
          <w:szCs w:val="24"/>
          <w:rtl/>
        </w:rPr>
        <w:t>שהתזרים</w:t>
      </w:r>
      <w:proofErr w:type="spellEnd"/>
      <w:r w:rsidRPr="003E788F">
        <w:rPr>
          <w:rFonts w:ascii="David" w:eastAsia="Times New Roman" w:hAnsi="David" w:cs="David" w:hint="cs"/>
          <w:sz w:val="24"/>
          <w:szCs w:val="24"/>
          <w:rtl/>
        </w:rPr>
        <w:t xml:space="preserve"> התפעולי החזוי שלהן לא יספיק למימון הוצאות התפעול או הוצאות </w:t>
      </w:r>
      <w:r w:rsidRPr="003E788F">
        <w:rPr>
          <w:rFonts w:ascii="David" w:eastAsia="Times New Roman" w:hAnsi="David" w:cs="David" w:hint="cs"/>
          <w:sz w:val="24"/>
          <w:szCs w:val="24"/>
          <w:rtl/>
        </w:rPr>
        <w:lastRenderedPageBreak/>
        <w:t xml:space="preserve">המימון, וגם יחס הנזילות המהיר שלהן </w:t>
      </w:r>
      <w:r w:rsidRPr="003E788F">
        <w:rPr>
          <w:rFonts w:ascii="David" w:eastAsia="Times New Roman" w:hAnsi="David" w:cs="David"/>
          <w:sz w:val="24"/>
          <w:szCs w:val="24"/>
          <w:rtl/>
        </w:rPr>
        <w:t>–</w:t>
      </w:r>
      <w:r w:rsidRPr="003E788F">
        <w:rPr>
          <w:rFonts w:ascii="David" w:eastAsia="Times New Roman" w:hAnsi="David" w:cs="David" w:hint="cs"/>
          <w:sz w:val="24"/>
          <w:szCs w:val="24"/>
          <w:rtl/>
        </w:rPr>
        <w:t xml:space="preserve"> כלומר היחס שבין הנכסים השוטפים (בניכוי המלאי) להתחייבויות השוטפות – קטן מ-1</w:t>
      </w:r>
      <w:r w:rsidRPr="003E788F">
        <w:rPr>
          <w:rFonts w:ascii="David" w:eastAsia="Times New Roman" w:hAnsi="David" w:cs="David"/>
          <w:sz w:val="24"/>
          <w:szCs w:val="24"/>
          <w:vertAlign w:val="superscript"/>
        </w:rPr>
        <w:footnoteReference w:id="10"/>
      </w:r>
      <w:r w:rsidRPr="003E788F">
        <w:rPr>
          <w:rFonts w:ascii="David" w:eastAsia="Times New Roman" w:hAnsi="David" w:cs="David" w:hint="cs"/>
          <w:sz w:val="24"/>
          <w:szCs w:val="24"/>
          <w:rtl/>
        </w:rPr>
        <w:t xml:space="preserve">. </w:t>
      </w:r>
    </w:p>
    <w:p w:rsidR="003E788F" w:rsidRPr="003E788F" w:rsidRDefault="003E788F" w:rsidP="003E788F">
      <w:pPr>
        <w:numPr>
          <w:ilvl w:val="0"/>
          <w:numId w:val="2"/>
        </w:numPr>
        <w:spacing w:after="120" w:line="360" w:lineRule="auto"/>
        <w:contextualSpacing/>
        <w:jc w:val="both"/>
        <w:rPr>
          <w:rFonts w:ascii="David" w:eastAsia="Times New Roman" w:hAnsi="David" w:cs="David"/>
          <w:sz w:val="24"/>
          <w:szCs w:val="24"/>
        </w:rPr>
      </w:pPr>
      <w:r w:rsidRPr="003E788F">
        <w:rPr>
          <w:rFonts w:ascii="David" w:eastAsia="Times New Roman" w:hAnsi="David" w:cs="David" w:hint="eastAsia"/>
          <w:sz w:val="24"/>
          <w:szCs w:val="24"/>
          <w:rtl/>
        </w:rPr>
        <w:t>אם</w:t>
      </w:r>
      <w:r w:rsidRPr="003E788F" w:rsidDel="00C60D82">
        <w:rPr>
          <w:rFonts w:ascii="David" w:eastAsia="Times New Roman" w:hAnsi="David" w:cs="David" w:hint="cs"/>
          <w:sz w:val="24"/>
          <w:szCs w:val="24"/>
          <w:rtl/>
        </w:rPr>
        <w:t xml:space="preserve"> החברות יתקשו לממן את פעילותן ו/או את הוצאות המימון שלהן מהפעילות השוטפת הן צפויות להידרש לעשות שימוש בהון של</w:t>
      </w:r>
      <w:r w:rsidRPr="003E788F">
        <w:rPr>
          <w:rFonts w:ascii="David" w:eastAsia="Times New Roman" w:hAnsi="David" w:cs="David" w:hint="cs"/>
          <w:sz w:val="24"/>
          <w:szCs w:val="24"/>
          <w:rtl/>
        </w:rPr>
        <w:t>הן. בהקשר הזה חישבנו את שיעור החברות, במונחי מספר ומשקל בחוב הפיננסי, שההפסד הנקי החזוי שלהן פוגע באופן מהותי בהונן (בדרגות חוזק שונות).</w:t>
      </w:r>
    </w:p>
    <w:p w:rsidR="003E788F" w:rsidRPr="003E788F" w:rsidRDefault="003E788F" w:rsidP="003E788F">
      <w:pPr>
        <w:spacing w:after="120" w:line="360" w:lineRule="auto"/>
        <w:ind w:left="360"/>
        <w:contextualSpacing/>
        <w:jc w:val="both"/>
        <w:rPr>
          <w:rFonts w:ascii="David" w:eastAsia="Times New Roman" w:hAnsi="David" w:cs="David"/>
          <w:b/>
          <w:bCs/>
          <w:sz w:val="24"/>
          <w:szCs w:val="24"/>
        </w:rPr>
      </w:pPr>
    </w:p>
    <w:p w:rsidR="003E788F" w:rsidRPr="003E788F" w:rsidRDefault="003E788F" w:rsidP="003E788F">
      <w:pPr>
        <w:keepNext/>
        <w:keepLines/>
        <w:numPr>
          <w:ilvl w:val="1"/>
          <w:numId w:val="1"/>
        </w:numPr>
        <w:spacing w:before="200" w:after="0" w:line="360" w:lineRule="auto"/>
        <w:jc w:val="both"/>
        <w:outlineLvl w:val="1"/>
        <w:rPr>
          <w:rFonts w:ascii="Cambria" w:eastAsia="Times New Roman" w:hAnsi="Cambria" w:cs="David"/>
          <w:b/>
          <w:bCs/>
          <w:caps/>
          <w:spacing w:val="15"/>
          <w:sz w:val="24"/>
          <w:szCs w:val="32"/>
        </w:rPr>
      </w:pPr>
      <w:bookmarkStart w:id="25" w:name="_Toc42773269"/>
      <w:bookmarkStart w:id="26" w:name="_Toc45016697"/>
      <w:bookmarkStart w:id="27" w:name="_Toc43999474"/>
      <w:bookmarkStart w:id="28" w:name="_Toc46064934"/>
      <w:bookmarkStart w:id="29" w:name="_Toc46160351"/>
      <w:bookmarkStart w:id="30" w:name="_Toc46160705"/>
      <w:r w:rsidRPr="003E788F">
        <w:rPr>
          <w:rFonts w:ascii="Cambria" w:eastAsia="Times New Roman" w:hAnsi="Cambria" w:cs="David" w:hint="cs"/>
          <w:b/>
          <w:bCs/>
          <w:caps/>
          <w:spacing w:val="15"/>
          <w:sz w:val="24"/>
          <w:szCs w:val="32"/>
          <w:rtl/>
        </w:rPr>
        <w:t>החברות הציבוריות שכלולות בניתוח</w:t>
      </w:r>
      <w:bookmarkEnd w:id="25"/>
      <w:bookmarkEnd w:id="26"/>
      <w:bookmarkEnd w:id="27"/>
      <w:bookmarkEnd w:id="28"/>
      <w:bookmarkEnd w:id="29"/>
      <w:bookmarkEnd w:id="30"/>
    </w:p>
    <w:p w:rsidR="003E788F" w:rsidRPr="003E788F" w:rsidRDefault="003E788F" w:rsidP="003E788F">
      <w:pPr>
        <w:spacing w:after="120" w:line="360" w:lineRule="auto"/>
        <w:jc w:val="both"/>
        <w:rPr>
          <w:rFonts w:ascii="David" w:eastAsia="Times New Roman" w:hAnsi="David" w:cs="David"/>
          <w:sz w:val="24"/>
          <w:szCs w:val="24"/>
        </w:rPr>
      </w:pPr>
      <w:r w:rsidRPr="003E788F">
        <w:rPr>
          <w:rFonts w:ascii="David" w:eastAsia="Times New Roman" w:hAnsi="David" w:cs="David" w:hint="cs"/>
          <w:sz w:val="24"/>
          <w:szCs w:val="24"/>
          <w:rtl/>
        </w:rPr>
        <w:t xml:space="preserve">במסגרת העבודה הנוכחית ניתחנו את החברות הציבוריות שפרסמו דוחות כספיים לשנת 2019. בבניית קבוצת החברות לניתוח התחלנו מקבוצה של 422 חברות ציבוריות (ללא זרות, בנקים וביטוח) שנסחרו בבורסה לניירות ערך בסוף שנת 2019. מקבוצת החברות הראשונית ניכינו חברות ממשלתיות שעמידותן אינה תלויה בהכרח במבנה הפיננסי שלהן. עוד ניכינו חברות החזקה, בשל ההטרוגניות של פעילותן, שמקשה על סיווג הוצאותיהן ועל אמידת שיעורי ההשבתה. כן ניכינו חברות שירותים פיננסיים וחברות ריאליות מענפי </w:t>
      </w:r>
      <w:proofErr w:type="spellStart"/>
      <w:r w:rsidRPr="003E788F">
        <w:rPr>
          <w:rFonts w:ascii="David" w:eastAsia="Times New Roman" w:hAnsi="David" w:cs="David" w:hint="cs"/>
          <w:sz w:val="24"/>
          <w:szCs w:val="24"/>
          <w:rtl/>
        </w:rPr>
        <w:t>הביומד</w:t>
      </w:r>
      <w:proofErr w:type="spellEnd"/>
      <w:r w:rsidRPr="003E788F">
        <w:rPr>
          <w:rFonts w:ascii="David" w:eastAsia="Times New Roman" w:hAnsi="David" w:cs="David" w:hint="cs"/>
          <w:sz w:val="24"/>
          <w:szCs w:val="24"/>
          <w:rtl/>
        </w:rPr>
        <w:t xml:space="preserve"> והכרייה והחציבה (בעיקר חברות העוסקות בחיפושי נפט וגז), המאופיינות במבנה עלויות והכנסות ייחודי יחסית. לבסוף ניכינו 12 חברות שההון העצמי שלהן בשנת 2019 שלילי, ואנו מניחים כי הן היו פגיעות עוד טרם המשבר</w:t>
      </w:r>
      <w:r w:rsidRPr="003E788F">
        <w:rPr>
          <w:rFonts w:ascii="David" w:eastAsia="Times New Roman" w:hAnsi="David" w:cs="David"/>
          <w:sz w:val="24"/>
          <w:szCs w:val="24"/>
          <w:vertAlign w:val="superscript"/>
          <w:rtl/>
        </w:rPr>
        <w:footnoteReference w:id="11"/>
      </w:r>
      <w:r w:rsidRPr="003E788F">
        <w:rPr>
          <w:rFonts w:ascii="David" w:eastAsia="Times New Roman" w:hAnsi="David" w:cs="David" w:hint="cs"/>
          <w:sz w:val="24"/>
          <w:szCs w:val="24"/>
          <w:rtl/>
        </w:rPr>
        <w:t>. מספר החברות הציבוריות שאנו מנתחים מסתכם ב-286. ההתפלגות הענפית של החברות שאנו מנתחים מוצגת באיור 1.</w:t>
      </w:r>
    </w:p>
    <w:bookmarkStart w:id="31" w:name="_Ref42702978"/>
    <w:p w:rsidR="003E788F" w:rsidRPr="003E788F" w:rsidRDefault="003E788F" w:rsidP="003E788F">
      <w:pPr>
        <w:spacing w:after="120" w:line="360" w:lineRule="auto"/>
        <w:jc w:val="center"/>
        <w:rPr>
          <w:rFonts w:ascii="David" w:eastAsia="Times New Roman" w:hAnsi="David" w:cs="David"/>
          <w:sz w:val="24"/>
          <w:szCs w:val="24"/>
          <w:rtl/>
        </w:rPr>
      </w:pPr>
      <w:r w:rsidRPr="003E788F">
        <w:rPr>
          <w:rFonts w:ascii="Times New Roman" w:eastAsia="Times New Roman" w:hAnsi="Times New Roman" w:cs="David"/>
          <w:noProof/>
          <w:sz w:val="24"/>
          <w:szCs w:val="24"/>
        </w:rPr>
        <mc:AlternateContent>
          <mc:Choice Requires="wpg">
            <w:drawing>
              <wp:inline distT="0" distB="0" distL="0" distR="0" wp14:anchorId="3785C38A" wp14:editId="21AB5695">
                <wp:extent cx="5865962" cy="3260785"/>
                <wp:effectExtent l="0" t="0" r="1905" b="15875"/>
                <wp:docPr id="6" name="קבוצה 4"/>
                <wp:cNvGraphicFramePr/>
                <a:graphic xmlns:a="http://schemas.openxmlformats.org/drawingml/2006/main">
                  <a:graphicData uri="http://schemas.microsoft.com/office/word/2010/wordprocessingGroup">
                    <wpg:wgp>
                      <wpg:cNvGrpSpPr/>
                      <wpg:grpSpPr>
                        <a:xfrm>
                          <a:off x="0" y="0"/>
                          <a:ext cx="5865962" cy="3260785"/>
                          <a:chOff x="0" y="0"/>
                          <a:chExt cx="6105524" cy="3543299"/>
                        </a:xfrm>
                      </wpg:grpSpPr>
                      <wpg:graphicFrame>
                        <wpg:cNvPr id="7" name="תרשים 7"/>
                        <wpg:cNvFrPr>
                          <a:graphicFrameLocks/>
                        </wpg:cNvFrPr>
                        <wpg:xfrm>
                          <a:off x="0" y="2799"/>
                          <a:ext cx="6105524" cy="3540500"/>
                        </wpg:xfrm>
                        <a:graphic>
                          <a:graphicData uri="http://schemas.openxmlformats.org/drawingml/2006/chart">
                            <c:chart xmlns:c="http://schemas.openxmlformats.org/drawingml/2006/chart" xmlns:r="http://schemas.openxmlformats.org/officeDocument/2006/relationships" r:id="rId8"/>
                          </a:graphicData>
                        </a:graphic>
                      </wpg:graphicFrame>
                      <wps:wsp>
                        <wps:cNvPr id="18" name="TextBox 3"/>
                        <wps:cNvSpPr txBox="1"/>
                        <wps:spPr>
                          <a:xfrm flipH="1">
                            <a:off x="885823" y="0"/>
                            <a:ext cx="4276725" cy="571499"/>
                          </a:xfrm>
                          <a:prstGeom prst="rect">
                            <a:avLst/>
                          </a:prstGeom>
                          <a:noFill/>
                          <a:ln w="9525" cmpd="sng">
                            <a:noFill/>
                          </a:ln>
                          <a:effectLst/>
                        </wps:spPr>
                        <wps:txbx>
                          <w:txbxContent>
                            <w:p w:rsidR="003E788F" w:rsidRDefault="003E788F" w:rsidP="003E788F">
                              <w:pPr>
                                <w:pStyle w:val="NormalWeb"/>
                                <w:spacing w:after="0" w:line="240" w:lineRule="exact"/>
                                <w:jc w:val="center"/>
                              </w:pPr>
                              <w:r w:rsidRPr="003E788F">
                                <w:rPr>
                                  <w:rFonts w:ascii="Assistant" w:hAnsi="Assistant" w:cs="Assistant"/>
                                  <w:color w:val="000000"/>
                                  <w:sz w:val="22"/>
                                  <w:szCs w:val="22"/>
                                  <w:rtl/>
                                </w:rPr>
                                <w:t>איור 1</w:t>
                              </w:r>
                            </w:p>
                            <w:p w:rsidR="003E788F" w:rsidRDefault="003E788F" w:rsidP="003E788F">
                              <w:pPr>
                                <w:pStyle w:val="NormalWeb"/>
                                <w:spacing w:after="0" w:line="240" w:lineRule="exact"/>
                                <w:jc w:val="center"/>
                                <w:rPr>
                                  <w:rtl/>
                                </w:rPr>
                              </w:pPr>
                              <w:r w:rsidRPr="003E788F">
                                <w:rPr>
                                  <w:rFonts w:ascii="Assistant" w:hAnsi="Assistant" w:cs="Assistant"/>
                                  <w:color w:val="000000"/>
                                  <w:sz w:val="22"/>
                                  <w:szCs w:val="22"/>
                                  <w:rtl/>
                                </w:rPr>
                                <w:t>ההתפלגות הענפית של החברות הציבוריות בניתוח העמידות, לפי מספר החברות החוב הפיננסי הענפי ושווי השוק הענפי</w:t>
                              </w:r>
                            </w:p>
                          </w:txbxContent>
                        </wps:txbx>
                        <wps:bodyPr wrap="square" rtlCol="1" anchor="t"/>
                      </wps:wsp>
                    </wpg:wgp>
                  </a:graphicData>
                </a:graphic>
              </wp:inline>
            </w:drawing>
          </mc:Choice>
          <mc:Fallback>
            <w:pict>
              <v:group w14:anchorId="3785C38A" id="קבוצה 4" o:spid="_x0000_s1026" style="width:461.9pt;height:256.75pt;mso-position-horizontal-relative:char;mso-position-vertical-relative:line" coordsize="61055,35432" o:gfxdata="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רשים 7" o:spid="_x0000_s1027" type="#_x0000_t75" style="position:absolute;width:61038;height:35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">
                  <v:imagedata r:id="rId9" o:title=""/>
                  <o:lock v:ext="edit" aspectratio="f"/>
                </v:shape>
                <v:shapetype id="_x0000_t202" coordsize="21600,21600" o:spt="202" path="m,l,21600r21600,l21600,xe">
                  <v:stroke joinstyle="miter"/>
                  <v:path gradientshapeok="t" o:connecttype="rect"/>
                </v:shapetype>
                <v:shape id="TextBox 3" o:spid="_x0000_s1028" type="#_x0000_t202" style="position:absolute;left:8858;width:42767;height:57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" filled="f" stroked="f">
                  <v:textbox>
                    <w:txbxContent>
                      <w:p w:rsidR="003E788F" w:rsidRDefault="003E788F" w:rsidP="003E788F">
                        <w:pPr>
                          <w:pStyle w:val="NormalWeb"/>
                          <w:spacing w:after="0" w:line="240" w:lineRule="exact"/>
                          <w:jc w:val="center"/>
                        </w:pPr>
                        <w:r w:rsidRPr="003E788F">
                          <w:rPr>
                            <w:rFonts w:ascii="Assistant" w:hAnsi="Assistant" w:cs="Assistant"/>
                            <w:color w:val="000000"/>
                            <w:sz w:val="22"/>
                            <w:szCs w:val="22"/>
                            <w:rtl/>
                          </w:rPr>
                          <w:t>איור 1</w:t>
                        </w:r>
                      </w:p>
                      <w:p w:rsidR="003E788F" w:rsidRDefault="003E788F" w:rsidP="003E788F">
                        <w:pPr>
                          <w:pStyle w:val="NormalWeb"/>
                          <w:spacing w:after="0" w:line="240" w:lineRule="exact"/>
                          <w:jc w:val="center"/>
                          <w:rPr>
                            <w:rtl/>
                          </w:rPr>
                        </w:pPr>
                        <w:r w:rsidRPr="003E788F">
                          <w:rPr>
                            <w:rFonts w:ascii="Assistant" w:hAnsi="Assistant" w:cs="Assistant"/>
                            <w:color w:val="000000"/>
                            <w:sz w:val="22"/>
                            <w:szCs w:val="22"/>
                            <w:rtl/>
                          </w:rPr>
                          <w:t>ההתפלגות הענפית של החברות הציבוריות בניתוח העמידות, לפי מספר החברות החוב הפיננסי הענפי ושווי השוק הענפי</w:t>
                        </w:r>
                      </w:p>
                    </w:txbxContent>
                  </v:textbox>
                </v:shape>
                <w10:wrap anchorx="page"/>
                <w10:anchorlock/>
              </v:group>
            </w:pict>
          </mc:Fallback>
        </mc:AlternateContent>
      </w:r>
      <w:bookmarkEnd w:id="31"/>
    </w:p>
    <w:p w:rsidR="003E788F" w:rsidRPr="003E788F" w:rsidRDefault="003E788F" w:rsidP="003E788F">
      <w:pPr>
        <w:keepNext/>
        <w:keepLines/>
        <w:numPr>
          <w:ilvl w:val="1"/>
          <w:numId w:val="1"/>
        </w:numPr>
        <w:spacing w:before="200" w:after="0" w:line="360" w:lineRule="auto"/>
        <w:jc w:val="both"/>
        <w:outlineLvl w:val="1"/>
        <w:rPr>
          <w:rFonts w:ascii="Cambria" w:eastAsia="Times New Roman" w:hAnsi="Cambria" w:cs="David"/>
          <w:b/>
          <w:bCs/>
          <w:caps/>
          <w:spacing w:val="15"/>
          <w:sz w:val="24"/>
          <w:szCs w:val="32"/>
          <w:rtl/>
        </w:rPr>
      </w:pPr>
      <w:bookmarkStart w:id="32" w:name="_Toc42773270"/>
      <w:bookmarkStart w:id="33" w:name="_Toc45016698"/>
      <w:bookmarkStart w:id="34" w:name="_Toc46160352"/>
      <w:bookmarkStart w:id="35" w:name="_Toc46160706"/>
      <w:r w:rsidRPr="003E788F">
        <w:rPr>
          <w:rFonts w:ascii="Cambria" w:eastAsia="Times New Roman" w:hAnsi="Cambria" w:cs="David" w:hint="cs"/>
          <w:b/>
          <w:bCs/>
          <w:caps/>
          <w:spacing w:val="15"/>
          <w:sz w:val="24"/>
          <w:szCs w:val="32"/>
          <w:rtl/>
        </w:rPr>
        <w:lastRenderedPageBreak/>
        <w:t>הממצאים</w:t>
      </w:r>
      <w:bookmarkEnd w:id="32"/>
      <w:bookmarkEnd w:id="33"/>
      <w:bookmarkEnd w:id="34"/>
      <w:bookmarkEnd w:id="35"/>
      <w:r w:rsidRPr="003E788F">
        <w:rPr>
          <w:rFonts w:ascii="Cambria" w:eastAsia="Times New Roman" w:hAnsi="Cambria" w:cs="David"/>
          <w:b/>
          <w:bCs/>
          <w:caps/>
          <w:spacing w:val="15"/>
          <w:sz w:val="24"/>
          <w:szCs w:val="32"/>
        </w:rPr>
        <w:t xml:space="preserve"> </w:t>
      </w:r>
    </w:p>
    <w:p w:rsidR="003E788F" w:rsidRPr="003E788F" w:rsidRDefault="003E788F" w:rsidP="003E788F">
      <w:pPr>
        <w:tabs>
          <w:tab w:val="left" w:pos="1995"/>
          <w:tab w:val="left" w:pos="2627"/>
        </w:tabs>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הניתוח המתודולוג</w:t>
      </w:r>
      <w:r w:rsidRPr="003E788F">
        <w:rPr>
          <w:rFonts w:ascii="David" w:eastAsia="Times New Roman" w:hAnsi="David" w:cs="David" w:hint="eastAsia"/>
          <w:sz w:val="24"/>
          <w:szCs w:val="24"/>
          <w:rtl/>
        </w:rPr>
        <w:t>י</w:t>
      </w:r>
      <w:r w:rsidRPr="003E788F">
        <w:rPr>
          <w:rFonts w:ascii="David" w:eastAsia="Times New Roman" w:hAnsi="David" w:cs="David" w:hint="cs"/>
          <w:sz w:val="24"/>
          <w:szCs w:val="24"/>
          <w:rtl/>
        </w:rPr>
        <w:t xml:space="preserve"> בעבודה התייחס לשני היבטים: האחד, כושר הפירעון ויכולת הנזילות של החברה, והשני </w:t>
      </w:r>
      <w:r w:rsidRPr="003E788F">
        <w:rPr>
          <w:rFonts w:ascii="David" w:eastAsia="Times New Roman" w:hAnsi="David" w:cs="David"/>
          <w:sz w:val="24"/>
          <w:szCs w:val="24"/>
          <w:rtl/>
        </w:rPr>
        <w:t>–</w:t>
      </w:r>
      <w:r w:rsidRPr="003E788F">
        <w:rPr>
          <w:rFonts w:ascii="David" w:eastAsia="Times New Roman" w:hAnsi="David" w:cs="David" w:hint="cs"/>
          <w:sz w:val="24"/>
          <w:szCs w:val="24"/>
          <w:rtl/>
        </w:rPr>
        <w:t xml:space="preserve"> היכולת שלה לספוג הפסדים (דרך ניתוח שיעור הפגיעה בהון). כאשר נוצרת בעיית נזילות לפירמה בעקבות משבר הקורונה, אך ההון שלה איתן, ניתן להגדיר אותה כחברה סולבנטית שנקלעה למצוקת נזילות זמנית. כאשר הפגיעה רחבה יותר בשני המישורים </w:t>
      </w:r>
      <w:r w:rsidRPr="003E788F">
        <w:rPr>
          <w:rFonts w:ascii="David" w:eastAsia="Times New Roman" w:hAnsi="David" w:cs="David"/>
          <w:sz w:val="24"/>
          <w:szCs w:val="24"/>
          <w:rtl/>
        </w:rPr>
        <w:t>–</w:t>
      </w:r>
      <w:r w:rsidRPr="003E788F">
        <w:rPr>
          <w:rFonts w:ascii="David" w:eastAsia="Times New Roman" w:hAnsi="David" w:cs="David" w:hint="cs"/>
          <w:sz w:val="24"/>
          <w:szCs w:val="24"/>
          <w:rtl/>
        </w:rPr>
        <w:t xml:space="preserve"> גם מצוקת נזילות וגם פגיעה משמעותית בהון (שחיקה של למעלה מ </w:t>
      </w:r>
      <w:r w:rsidRPr="003E788F">
        <w:rPr>
          <w:rFonts w:ascii="David" w:eastAsia="Times New Roman" w:hAnsi="David" w:cs="David"/>
          <w:sz w:val="24"/>
          <w:szCs w:val="24"/>
          <w:rtl/>
        </w:rPr>
        <w:t>–</w:t>
      </w:r>
      <w:r w:rsidRPr="003E788F">
        <w:rPr>
          <w:rFonts w:ascii="David" w:eastAsia="Times New Roman" w:hAnsi="David" w:cs="David" w:hint="cs"/>
          <w:sz w:val="24"/>
          <w:szCs w:val="24"/>
          <w:rtl/>
        </w:rPr>
        <w:t xml:space="preserve"> 30% בהון) – החברה עלולה להגיע לאי- סולבנטיות ולהיקלע לחדלות פירעון. אפשרות שלישית היא שאין לחברה בעיית נזילות, אך כתוצאה מהמשבר נוצרה לחברה פגיעה משמעותית בהון.</w:t>
      </w:r>
    </w:p>
    <w:p w:rsidR="003E788F" w:rsidRPr="003E788F" w:rsidRDefault="003E788F" w:rsidP="003E788F">
      <w:pPr>
        <w:tabs>
          <w:tab w:val="left" w:pos="1995"/>
          <w:tab w:val="left" w:pos="2627"/>
        </w:tabs>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 xml:space="preserve">בלוח 1 חילקנו את כל החברות ל-4 קטגוריות משני היבטים: האיתנות הפיננסית ויכולת הנזילות. יכולת נזילות נמוכה הוגדרה אם </w:t>
      </w:r>
      <w:proofErr w:type="spellStart"/>
      <w:r w:rsidRPr="003E788F">
        <w:rPr>
          <w:rFonts w:ascii="David" w:eastAsia="Times New Roman" w:hAnsi="David" w:cs="David" w:hint="cs"/>
          <w:sz w:val="24"/>
          <w:szCs w:val="24"/>
          <w:rtl/>
        </w:rPr>
        <w:t>התזרים</w:t>
      </w:r>
      <w:proofErr w:type="spellEnd"/>
      <w:r w:rsidRPr="003E788F">
        <w:rPr>
          <w:rFonts w:ascii="David" w:eastAsia="Times New Roman" w:hAnsi="David" w:cs="David" w:hint="cs"/>
          <w:sz w:val="24"/>
          <w:szCs w:val="24"/>
          <w:rtl/>
        </w:rPr>
        <w:t xml:space="preserve"> התפעולי הצפוי (ה-</w:t>
      </w:r>
      <w:r w:rsidRPr="003E788F">
        <w:rPr>
          <w:rFonts w:ascii="David" w:eastAsia="Times New Roman" w:hAnsi="David" w:cs="David"/>
          <w:sz w:val="24"/>
          <w:szCs w:val="24"/>
        </w:rPr>
        <w:t>EBITDA</w:t>
      </w:r>
      <w:r w:rsidRPr="003E788F">
        <w:rPr>
          <w:rFonts w:ascii="David" w:eastAsia="Times New Roman" w:hAnsi="David" w:cs="David" w:hint="cs"/>
          <w:sz w:val="24"/>
          <w:szCs w:val="24"/>
          <w:rtl/>
        </w:rPr>
        <w:t xml:space="preserve">) אינו מכסה את הוצאות המימון, והיחס </w:t>
      </w:r>
      <w:r w:rsidRPr="003E788F">
        <w:rPr>
          <w:rFonts w:ascii="David" w:eastAsia="Times New Roman" w:hAnsi="David" w:cs="David" w:hint="eastAsia"/>
          <w:sz w:val="24"/>
          <w:szCs w:val="24"/>
          <w:rtl/>
        </w:rPr>
        <w:t>המהיר</w:t>
      </w:r>
      <w:r w:rsidRPr="003E788F">
        <w:rPr>
          <w:rFonts w:ascii="David" w:eastAsia="Times New Roman" w:hAnsi="David" w:cs="David" w:hint="cs"/>
          <w:sz w:val="24"/>
          <w:szCs w:val="24"/>
          <w:rtl/>
        </w:rPr>
        <w:t xml:space="preserve"> קטן מ-1. איתנות פיננסית נמוכה הוגדרה אם הפגיעה הצפויה בהון גדולה מ-30%. בכל תא בלוח ציינו את מספר החברות בכל קטגוריה. </w:t>
      </w:r>
    </w:p>
    <w:p w:rsidR="003E788F" w:rsidRPr="003E788F" w:rsidRDefault="003E788F" w:rsidP="003E788F">
      <w:pPr>
        <w:spacing w:line="360" w:lineRule="auto"/>
        <w:jc w:val="both"/>
        <w:rPr>
          <w:rFonts w:ascii="David" w:eastAsia="Times New Roman" w:hAnsi="David" w:cs="David"/>
          <w:sz w:val="24"/>
          <w:szCs w:val="24"/>
        </w:rPr>
      </w:pPr>
      <w:r w:rsidRPr="003E788F">
        <w:rPr>
          <w:rFonts w:ascii="David" w:eastAsia="Times New Roman" w:hAnsi="David" w:cs="David" w:hint="cs"/>
          <w:sz w:val="24"/>
          <w:szCs w:val="24"/>
          <w:rtl/>
        </w:rPr>
        <w:t xml:space="preserve">ניתן לראות שלמעלה מ- 70% מהחברות לא צפויות להיקלע למצוקת נזילות, וההון שלהן לא צפוי להיפגע באופן משמעותי בעקבות המשבר. כנגד זאת, 44 חברות שההון שלהן איתן עלולות להיקלע למצוקת נזילות, מתוכן חברות מענפי הנדל"ן (ייזום בנייה ונדל"ן מניב) וחברות מענף התיירות והתעופה. עוד נראה מהלוח כי 22 חברות מענפים שונים צפויות במהלך 2020 להיקלע הן לבעיית נזילות והן לפגיעה משמעותית בהון. היקף החוב הפיננסי של החברות שלהן נשקפת בעיית נזילות ו/או פגיעה משמעותית בהון הוא כ-50 מיליארדי ש"ח (כ -18% מסך החוב של החברות הציבוריות שניתחנו בעבודה זו וכ- 5% מסך האשראי למגזר העסקי), </w:t>
      </w:r>
      <w:r w:rsidRPr="003E788F">
        <w:rPr>
          <w:rFonts w:ascii="David" w:eastAsia="Times New Roman" w:hAnsi="David" w:cs="David" w:hint="eastAsia"/>
          <w:b/>
          <w:bCs/>
          <w:sz w:val="24"/>
          <w:szCs w:val="24"/>
          <w:rtl/>
        </w:rPr>
        <w:t>ומרביתו</w:t>
      </w:r>
      <w:r w:rsidRPr="003E788F">
        <w:rPr>
          <w:rFonts w:ascii="David" w:eastAsia="Times New Roman" w:hAnsi="David" w:cs="David" w:hint="cs"/>
          <w:sz w:val="24"/>
          <w:szCs w:val="24"/>
          <w:rtl/>
        </w:rPr>
        <w:t xml:space="preserve"> (כ-40 מיליארד ש"ח) שייך ל-44 החברות הנהנות מאיתנות מבחינת ההון, אך עלולות להיקלע למצוקת נזילות בלבד. יודגש כי חלק מהחברות עשויות לנקוט בצעדים, כגון מימוש נכסים, גיוס חוב או הזרמת הון, שימתנו את האפקט השלילי של המשבר עליהן.</w:t>
      </w:r>
    </w:p>
    <w:p w:rsidR="003E788F" w:rsidRPr="003E788F" w:rsidRDefault="003E788F" w:rsidP="003E788F">
      <w:pPr>
        <w:spacing w:after="120" w:line="360" w:lineRule="auto"/>
        <w:jc w:val="both"/>
        <w:rPr>
          <w:rFonts w:ascii="David" w:eastAsia="Times New Roman" w:hAnsi="David" w:cs="David"/>
          <w:sz w:val="36"/>
          <w:szCs w:val="36"/>
          <w:rtl/>
          <w:lang w:bidi="ar-SA"/>
        </w:rPr>
      </w:pPr>
    </w:p>
    <w:tbl>
      <w:tblPr>
        <w:bidiVisual/>
        <w:tblW w:w="5357" w:type="dxa"/>
        <w:jc w:val="center"/>
        <w:tblLook w:val="04A0" w:firstRow="1" w:lastRow="0" w:firstColumn="1" w:lastColumn="0" w:noHBand="0" w:noVBand="1"/>
      </w:tblPr>
      <w:tblGrid>
        <w:gridCol w:w="1950"/>
        <w:gridCol w:w="1537"/>
        <w:gridCol w:w="1537"/>
        <w:gridCol w:w="1035"/>
      </w:tblGrid>
      <w:tr w:rsidR="003E788F" w:rsidRPr="003E788F" w:rsidTr="00527508">
        <w:trPr>
          <w:trHeight w:val="780"/>
          <w:jc w:val="center"/>
        </w:trPr>
        <w:tc>
          <w:tcPr>
            <w:tcW w:w="5357" w:type="dxa"/>
            <w:gridSpan w:val="4"/>
            <w:tcBorders>
              <w:top w:val="nil"/>
              <w:left w:val="nil"/>
              <w:bottom w:val="nil"/>
              <w:right w:val="nil"/>
            </w:tcBorders>
            <w:shd w:val="clear" w:color="000000" w:fill="F5F4F4"/>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4"/>
                <w:szCs w:val="24"/>
              </w:rPr>
            </w:pPr>
            <w:r w:rsidRPr="003E788F">
              <w:rPr>
                <w:rFonts w:ascii="Assistant" w:eastAsia="Times New Roman" w:hAnsi="Assistant" w:cs="Assistant"/>
                <w:b/>
                <w:bCs/>
                <w:color w:val="000000"/>
                <w:sz w:val="24"/>
                <w:szCs w:val="24"/>
                <w:rtl/>
              </w:rPr>
              <w:t xml:space="preserve">לוח 1 : מספר החברות בחלוקה לקטגוריות נזילות ואיתנות פיננסית, תחת </w:t>
            </w:r>
            <w:r w:rsidRPr="003E788F">
              <w:rPr>
                <w:rFonts w:ascii="Assistant" w:eastAsia="Times New Roman" w:hAnsi="Assistant" w:cs="Assistant" w:hint="cs"/>
                <w:b/>
                <w:bCs/>
                <w:color w:val="000000"/>
                <w:sz w:val="24"/>
                <w:szCs w:val="24"/>
                <w:rtl/>
              </w:rPr>
              <w:t>ה</w:t>
            </w:r>
            <w:r w:rsidRPr="003E788F">
              <w:rPr>
                <w:rFonts w:ascii="Assistant" w:eastAsia="Times New Roman" w:hAnsi="Assistant" w:cs="Assistant"/>
                <w:b/>
                <w:bCs/>
                <w:color w:val="000000"/>
                <w:sz w:val="24"/>
                <w:szCs w:val="24"/>
                <w:rtl/>
              </w:rPr>
              <w:t>תרחיש</w:t>
            </w:r>
            <w:r w:rsidRPr="003E788F">
              <w:rPr>
                <w:rFonts w:ascii="Assistant" w:eastAsia="Times New Roman" w:hAnsi="Assistant" w:cs="Assistant" w:hint="cs"/>
                <w:b/>
                <w:bCs/>
                <w:color w:val="000000"/>
                <w:sz w:val="24"/>
                <w:szCs w:val="24"/>
                <w:rtl/>
              </w:rPr>
              <w:t xml:space="preserve"> בתיבה</w:t>
            </w:r>
          </w:p>
        </w:tc>
      </w:tr>
      <w:tr w:rsidR="003E788F" w:rsidRPr="003E788F" w:rsidTr="00527508">
        <w:trPr>
          <w:trHeight w:val="810"/>
          <w:jc w:val="center"/>
        </w:trPr>
        <w:tc>
          <w:tcPr>
            <w:tcW w:w="5357" w:type="dxa"/>
            <w:gridSpan w:val="4"/>
            <w:tcBorders>
              <w:top w:val="nil"/>
              <w:left w:val="nil"/>
              <w:bottom w:val="nil"/>
              <w:right w:val="nil"/>
            </w:tcBorders>
            <w:shd w:val="clear" w:color="000000" w:fill="F5F4F4"/>
            <w:vAlign w:val="center"/>
            <w:hideMark/>
          </w:tcPr>
          <w:p w:rsidR="003E788F" w:rsidRPr="003E788F" w:rsidRDefault="003E788F" w:rsidP="003E788F">
            <w:pPr>
              <w:spacing w:after="0" w:line="240" w:lineRule="auto"/>
              <w:jc w:val="center"/>
              <w:rPr>
                <w:rFonts w:ascii="Assistant" w:eastAsia="Times New Roman" w:hAnsi="Assistant" w:cs="Assistant"/>
                <w:color w:val="000000"/>
                <w:sz w:val="18"/>
                <w:szCs w:val="18"/>
                <w:rtl/>
              </w:rPr>
            </w:pPr>
            <w:r w:rsidRPr="003E788F">
              <w:rPr>
                <w:rFonts w:ascii="Assistant" w:eastAsia="Times New Roman" w:hAnsi="Assistant" w:cs="Assistant"/>
                <w:color w:val="000000"/>
                <w:sz w:val="18"/>
                <w:szCs w:val="18"/>
                <w:rtl/>
              </w:rPr>
              <w:t>הנחות לתרחיש: מקדם דעיכה בינוני לשיעורי ההשבתה, חזרה של שיעורי ההשבתה ברביע האחרון של 2020  ועלייה בהוצאות המימון בחברות שצפויות למחזר את החוב</w:t>
            </w:r>
          </w:p>
        </w:tc>
      </w:tr>
      <w:tr w:rsidR="003E788F" w:rsidRPr="003E788F" w:rsidTr="00527508">
        <w:trPr>
          <w:trHeight w:val="315"/>
          <w:jc w:val="center"/>
        </w:trPr>
        <w:tc>
          <w:tcPr>
            <w:tcW w:w="1855" w:type="dxa"/>
            <w:tcBorders>
              <w:top w:val="nil"/>
              <w:left w:val="nil"/>
              <w:bottom w:val="single" w:sz="8" w:space="0" w:color="2EA1CF"/>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tl/>
              </w:rPr>
            </w:pPr>
            <w:r w:rsidRPr="003E788F">
              <w:rPr>
                <w:rFonts w:ascii="Assistant" w:eastAsia="Times New Roman" w:hAnsi="Assistant" w:cs="Assistant"/>
                <w:color w:val="000000"/>
              </w:rPr>
              <w:t> </w:t>
            </w:r>
          </w:p>
        </w:tc>
        <w:tc>
          <w:tcPr>
            <w:tcW w:w="1196" w:type="dxa"/>
            <w:tcBorders>
              <w:top w:val="nil"/>
              <w:left w:val="nil"/>
              <w:bottom w:val="single" w:sz="8" w:space="0" w:color="2EA1CF"/>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Pr>
            </w:pPr>
            <w:r w:rsidRPr="003E788F">
              <w:rPr>
                <w:rFonts w:ascii="Assistant" w:eastAsia="Times New Roman" w:hAnsi="Assistant" w:cs="Assistant"/>
                <w:color w:val="000000"/>
              </w:rPr>
              <w:t> </w:t>
            </w:r>
          </w:p>
        </w:tc>
        <w:tc>
          <w:tcPr>
            <w:tcW w:w="1271" w:type="dxa"/>
            <w:tcBorders>
              <w:top w:val="nil"/>
              <w:left w:val="nil"/>
              <w:bottom w:val="single" w:sz="8" w:space="0" w:color="2EA1CF"/>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Pr>
            </w:pPr>
            <w:r w:rsidRPr="003E788F">
              <w:rPr>
                <w:rFonts w:ascii="Assistant" w:eastAsia="Times New Roman" w:hAnsi="Assistant" w:cs="Assistant"/>
                <w:color w:val="000000"/>
              </w:rPr>
              <w:t> </w:t>
            </w:r>
          </w:p>
        </w:tc>
        <w:tc>
          <w:tcPr>
            <w:tcW w:w="1035" w:type="dxa"/>
            <w:tcBorders>
              <w:top w:val="nil"/>
              <w:left w:val="nil"/>
              <w:bottom w:val="single" w:sz="8" w:space="0" w:color="2EA1CF"/>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Pr>
            </w:pPr>
            <w:r w:rsidRPr="003E788F">
              <w:rPr>
                <w:rFonts w:ascii="Assistant" w:eastAsia="Times New Roman" w:hAnsi="Assistant" w:cs="Assistant"/>
                <w:color w:val="000000"/>
              </w:rPr>
              <w:t> </w:t>
            </w:r>
          </w:p>
        </w:tc>
      </w:tr>
      <w:tr w:rsidR="003E788F" w:rsidRPr="003E788F" w:rsidTr="00527508">
        <w:trPr>
          <w:trHeight w:val="390"/>
          <w:jc w:val="center"/>
        </w:trPr>
        <w:tc>
          <w:tcPr>
            <w:tcW w:w="3051" w:type="dxa"/>
            <w:gridSpan w:val="2"/>
            <w:tcBorders>
              <w:top w:val="single" w:sz="8" w:space="0" w:color="2EA1CF"/>
              <w:left w:val="single" w:sz="8" w:space="0" w:color="2EA1CF"/>
              <w:bottom w:val="single" w:sz="4" w:space="0" w:color="D9D9D9"/>
              <w:right w:val="single" w:sz="4" w:space="0" w:color="D9D9D9"/>
            </w:tcBorders>
            <w:shd w:val="clear" w:color="000000" w:fill="D9F0F6"/>
            <w:vAlign w:val="center"/>
            <w:hideMark/>
          </w:tcPr>
          <w:p w:rsidR="003E788F" w:rsidRPr="003E788F" w:rsidRDefault="003E788F" w:rsidP="003E788F">
            <w:pPr>
              <w:bidi w:val="0"/>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Pr>
              <w:t> </w:t>
            </w:r>
          </w:p>
        </w:tc>
        <w:tc>
          <w:tcPr>
            <w:tcW w:w="2306" w:type="dxa"/>
            <w:gridSpan w:val="2"/>
            <w:tcBorders>
              <w:top w:val="single" w:sz="8" w:space="0" w:color="2EA1CF"/>
              <w:left w:val="single" w:sz="4" w:space="0" w:color="D9D9D9"/>
              <w:bottom w:val="single" w:sz="4" w:space="0" w:color="D9D9D9"/>
              <w:right w:val="nil"/>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tl/>
              </w:rPr>
              <w:t>יכולת הנזילות</w:t>
            </w:r>
          </w:p>
        </w:tc>
      </w:tr>
      <w:tr w:rsidR="003E788F" w:rsidRPr="003E788F" w:rsidTr="00527508">
        <w:trPr>
          <w:trHeight w:val="285"/>
          <w:jc w:val="center"/>
        </w:trPr>
        <w:tc>
          <w:tcPr>
            <w:tcW w:w="3051" w:type="dxa"/>
            <w:gridSpan w:val="2"/>
            <w:tcBorders>
              <w:top w:val="single" w:sz="8" w:space="0" w:color="2EA1CF"/>
              <w:left w:val="single" w:sz="8" w:space="0" w:color="2EA1CF"/>
              <w:bottom w:val="single" w:sz="4" w:space="0" w:color="D9D9D9"/>
              <w:right w:val="single" w:sz="4" w:space="0" w:color="D9D9D9"/>
            </w:tcBorders>
            <w:vAlign w:val="center"/>
            <w:hideMark/>
          </w:tcPr>
          <w:p w:rsidR="003E788F" w:rsidRPr="003E788F" w:rsidRDefault="003E788F" w:rsidP="003E788F">
            <w:pPr>
              <w:spacing w:after="0" w:line="240" w:lineRule="auto"/>
              <w:rPr>
                <w:rFonts w:ascii="Assistant" w:eastAsia="Times New Roman" w:hAnsi="Assistant" w:cs="Assistant"/>
                <w:b/>
                <w:bCs/>
                <w:color w:val="000000"/>
                <w:sz w:val="20"/>
                <w:szCs w:val="20"/>
              </w:rPr>
            </w:pPr>
          </w:p>
        </w:tc>
        <w:tc>
          <w:tcPr>
            <w:tcW w:w="1271" w:type="dxa"/>
            <w:tcBorders>
              <w:top w:val="nil"/>
              <w:left w:val="single" w:sz="4" w:space="0" w:color="D9D9D9"/>
              <w:bottom w:val="nil"/>
              <w:right w:val="single" w:sz="4" w:space="0" w:color="D9D9D9"/>
            </w:tcBorders>
            <w:shd w:val="clear" w:color="000000" w:fill="D9F0F6"/>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tl/>
              </w:rPr>
            </w:pPr>
            <w:r w:rsidRPr="003E788F">
              <w:rPr>
                <w:rFonts w:ascii="Assistant" w:eastAsia="Times New Roman" w:hAnsi="Assistant" w:cs="Assistant"/>
                <w:color w:val="000000"/>
                <w:sz w:val="20"/>
                <w:szCs w:val="20"/>
                <w:rtl/>
              </w:rPr>
              <w:t>סבירה/גבוהה</w:t>
            </w:r>
          </w:p>
        </w:tc>
        <w:tc>
          <w:tcPr>
            <w:tcW w:w="1035" w:type="dxa"/>
            <w:tcBorders>
              <w:top w:val="nil"/>
              <w:left w:val="single" w:sz="4" w:space="0" w:color="D9D9D9"/>
              <w:bottom w:val="nil"/>
              <w:right w:val="single" w:sz="4" w:space="0" w:color="D9D9D9"/>
            </w:tcBorders>
            <w:shd w:val="clear" w:color="000000" w:fill="D9F0F6"/>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Pr>
            </w:pPr>
            <w:r w:rsidRPr="003E788F">
              <w:rPr>
                <w:rFonts w:ascii="Assistant" w:eastAsia="Times New Roman" w:hAnsi="Assistant" w:cs="Assistant"/>
                <w:color w:val="000000"/>
                <w:sz w:val="20"/>
                <w:szCs w:val="20"/>
                <w:rtl/>
              </w:rPr>
              <w:t>נמוכה</w:t>
            </w:r>
          </w:p>
        </w:tc>
      </w:tr>
      <w:tr w:rsidR="003E788F" w:rsidRPr="003E788F" w:rsidTr="00527508">
        <w:trPr>
          <w:trHeight w:val="390"/>
          <w:jc w:val="center"/>
        </w:trPr>
        <w:tc>
          <w:tcPr>
            <w:tcW w:w="1855" w:type="dxa"/>
            <w:vMerge w:val="restart"/>
            <w:tcBorders>
              <w:top w:val="nil"/>
              <w:left w:val="single" w:sz="8" w:space="0" w:color="2EA1CF"/>
              <w:bottom w:val="single" w:sz="8" w:space="0" w:color="2EA1CF"/>
              <w:right w:val="single" w:sz="4" w:space="0" w:color="D9D9D9"/>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tl/>
              </w:rPr>
              <w:t>יכולת האיתנות הפיננסית</w:t>
            </w:r>
          </w:p>
        </w:tc>
        <w:tc>
          <w:tcPr>
            <w:tcW w:w="1196" w:type="dxa"/>
            <w:tcBorders>
              <w:top w:val="nil"/>
              <w:left w:val="single" w:sz="4" w:space="0" w:color="D9D9D9"/>
              <w:bottom w:val="nil"/>
              <w:right w:val="single" w:sz="4" w:space="0" w:color="D9D9D9"/>
            </w:tcBorders>
            <w:shd w:val="clear" w:color="000000" w:fill="D9F0F6"/>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tl/>
              </w:rPr>
            </w:pPr>
            <w:r w:rsidRPr="003E788F">
              <w:rPr>
                <w:rFonts w:ascii="Assistant" w:eastAsia="Times New Roman" w:hAnsi="Assistant" w:cs="Assistant"/>
                <w:color w:val="000000"/>
                <w:sz w:val="20"/>
                <w:szCs w:val="20"/>
                <w:rtl/>
              </w:rPr>
              <w:t>סבירה/גבוהה</w:t>
            </w:r>
          </w:p>
        </w:tc>
        <w:tc>
          <w:tcPr>
            <w:tcW w:w="1271" w:type="dxa"/>
            <w:tcBorders>
              <w:top w:val="single" w:sz="4" w:space="0" w:color="D9D9D9"/>
              <w:left w:val="single" w:sz="4" w:space="0" w:color="D9D9D9"/>
              <w:bottom w:val="nil"/>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Pr>
            </w:pPr>
            <w:r w:rsidRPr="003E788F">
              <w:rPr>
                <w:rFonts w:ascii="Assistant" w:eastAsia="Times New Roman" w:hAnsi="Assistant" w:cs="Assistant"/>
                <w:color w:val="000000"/>
                <w:sz w:val="20"/>
                <w:szCs w:val="20"/>
              </w:rPr>
              <w:t>206</w:t>
            </w:r>
          </w:p>
        </w:tc>
        <w:tc>
          <w:tcPr>
            <w:tcW w:w="1035" w:type="dxa"/>
            <w:tcBorders>
              <w:top w:val="single" w:sz="4" w:space="0" w:color="D9D9D9"/>
              <w:left w:val="single" w:sz="4" w:space="0" w:color="D9D9D9"/>
              <w:bottom w:val="nil"/>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Pr>
            </w:pPr>
            <w:r w:rsidRPr="003E788F">
              <w:rPr>
                <w:rFonts w:ascii="Assistant" w:eastAsia="Times New Roman" w:hAnsi="Assistant" w:cs="Assistant"/>
                <w:color w:val="000000"/>
                <w:sz w:val="20"/>
                <w:szCs w:val="20"/>
              </w:rPr>
              <w:t>44</w:t>
            </w:r>
          </w:p>
        </w:tc>
      </w:tr>
      <w:tr w:rsidR="003E788F" w:rsidRPr="003E788F" w:rsidTr="00527508">
        <w:trPr>
          <w:trHeight w:val="300"/>
          <w:jc w:val="center"/>
        </w:trPr>
        <w:tc>
          <w:tcPr>
            <w:tcW w:w="1855" w:type="dxa"/>
            <w:vMerge/>
            <w:tcBorders>
              <w:top w:val="nil"/>
              <w:left w:val="single" w:sz="8" w:space="0" w:color="2EA1CF"/>
              <w:bottom w:val="single" w:sz="8" w:space="0" w:color="2EA1CF"/>
              <w:right w:val="single" w:sz="4" w:space="0" w:color="D9D9D9"/>
            </w:tcBorders>
            <w:vAlign w:val="center"/>
            <w:hideMark/>
          </w:tcPr>
          <w:p w:rsidR="003E788F" w:rsidRPr="003E788F" w:rsidRDefault="003E788F" w:rsidP="003E788F">
            <w:pPr>
              <w:spacing w:after="0" w:line="240" w:lineRule="auto"/>
              <w:rPr>
                <w:rFonts w:ascii="Assistant" w:eastAsia="Times New Roman" w:hAnsi="Assistant" w:cs="David"/>
                <w:b/>
                <w:color w:val="000000"/>
                <w:sz w:val="20"/>
                <w:szCs w:val="24"/>
              </w:rPr>
            </w:pPr>
          </w:p>
        </w:tc>
        <w:tc>
          <w:tcPr>
            <w:tcW w:w="1196" w:type="dxa"/>
            <w:tcBorders>
              <w:top w:val="single" w:sz="4" w:space="0" w:color="D9D9D9"/>
              <w:left w:val="single" w:sz="4" w:space="0" w:color="D9D9D9"/>
              <w:bottom w:val="single" w:sz="8" w:space="0" w:color="2EA1CF"/>
              <w:right w:val="single" w:sz="4" w:space="0" w:color="D9D9D9"/>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color w:val="000000"/>
                <w:sz w:val="20"/>
                <w:szCs w:val="20"/>
              </w:rPr>
            </w:pPr>
            <w:r w:rsidRPr="003E788F">
              <w:rPr>
                <w:rFonts w:ascii="Assistant" w:eastAsia="Times New Roman" w:hAnsi="Assistant" w:cs="Assistant"/>
                <w:color w:val="000000"/>
                <w:sz w:val="20"/>
                <w:szCs w:val="20"/>
                <w:rtl/>
              </w:rPr>
              <w:t>נמוכה</w:t>
            </w:r>
          </w:p>
        </w:tc>
        <w:tc>
          <w:tcPr>
            <w:tcW w:w="1271" w:type="dxa"/>
            <w:tcBorders>
              <w:top w:val="single" w:sz="4" w:space="0" w:color="auto"/>
              <w:left w:val="nil"/>
              <w:bottom w:val="single" w:sz="8" w:space="0" w:color="2EA1CF"/>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Pr>
            </w:pPr>
            <w:r w:rsidRPr="003E788F">
              <w:rPr>
                <w:rFonts w:ascii="Assistant" w:eastAsia="Times New Roman" w:hAnsi="Assistant" w:cs="Assistant"/>
                <w:color w:val="000000"/>
                <w:sz w:val="20"/>
                <w:szCs w:val="20"/>
              </w:rPr>
              <w:t>14</w:t>
            </w:r>
          </w:p>
        </w:tc>
        <w:tc>
          <w:tcPr>
            <w:tcW w:w="1035" w:type="dxa"/>
            <w:tcBorders>
              <w:top w:val="single" w:sz="4" w:space="0" w:color="auto"/>
              <w:left w:val="nil"/>
              <w:bottom w:val="single" w:sz="8" w:space="0" w:color="2EA1CF"/>
              <w:right w:val="single" w:sz="8" w:space="0" w:color="2EA1CF"/>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Pr>
            </w:pPr>
            <w:r w:rsidRPr="003E788F">
              <w:rPr>
                <w:rFonts w:ascii="Assistant" w:eastAsia="Times New Roman" w:hAnsi="Assistant" w:cs="Assistant"/>
                <w:color w:val="000000"/>
                <w:sz w:val="20"/>
                <w:szCs w:val="20"/>
              </w:rPr>
              <w:t>22</w:t>
            </w:r>
          </w:p>
        </w:tc>
      </w:tr>
      <w:tr w:rsidR="003E788F" w:rsidRPr="003E788F" w:rsidTr="00527508">
        <w:trPr>
          <w:trHeight w:val="285"/>
          <w:jc w:val="center"/>
        </w:trPr>
        <w:tc>
          <w:tcPr>
            <w:tcW w:w="1855"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jc w:val="right"/>
              <w:rPr>
                <w:rFonts w:ascii="Assistant" w:eastAsia="Times New Roman" w:hAnsi="Assistant" w:cs="Assistant"/>
                <w:color w:val="000000"/>
                <w:sz w:val="18"/>
                <w:szCs w:val="18"/>
              </w:rPr>
            </w:pPr>
            <w:r w:rsidRPr="003E788F">
              <w:rPr>
                <w:rFonts w:ascii="Assistant" w:eastAsia="Times New Roman" w:hAnsi="Assistant" w:cs="Assistant"/>
                <w:color w:val="000000"/>
                <w:sz w:val="18"/>
                <w:szCs w:val="18"/>
              </w:rPr>
              <w:t> </w:t>
            </w:r>
          </w:p>
        </w:tc>
        <w:tc>
          <w:tcPr>
            <w:tcW w:w="1196"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jc w:val="right"/>
              <w:rPr>
                <w:rFonts w:ascii="Assistant" w:eastAsia="Times New Roman" w:hAnsi="Assistant" w:cs="Assistant"/>
                <w:color w:val="000000"/>
                <w:sz w:val="18"/>
                <w:szCs w:val="18"/>
              </w:rPr>
            </w:pPr>
            <w:r w:rsidRPr="003E788F">
              <w:rPr>
                <w:rFonts w:ascii="Assistant" w:eastAsia="Times New Roman" w:hAnsi="Assistant" w:cs="Assistant"/>
                <w:color w:val="000000"/>
                <w:sz w:val="18"/>
                <w:szCs w:val="18"/>
              </w:rPr>
              <w:t> </w:t>
            </w:r>
          </w:p>
        </w:tc>
        <w:tc>
          <w:tcPr>
            <w:tcW w:w="1271"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jc w:val="right"/>
              <w:rPr>
                <w:rFonts w:ascii="Assistant" w:eastAsia="Times New Roman" w:hAnsi="Assistant" w:cs="Assistant"/>
                <w:color w:val="000000"/>
                <w:sz w:val="18"/>
                <w:szCs w:val="18"/>
              </w:rPr>
            </w:pPr>
            <w:r w:rsidRPr="003E788F">
              <w:rPr>
                <w:rFonts w:ascii="Assistant" w:eastAsia="Times New Roman" w:hAnsi="Assistant" w:cs="Assistant"/>
                <w:color w:val="000000"/>
                <w:sz w:val="18"/>
                <w:szCs w:val="18"/>
              </w:rPr>
              <w:t> </w:t>
            </w:r>
          </w:p>
        </w:tc>
        <w:tc>
          <w:tcPr>
            <w:tcW w:w="1035"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jc w:val="right"/>
              <w:rPr>
                <w:rFonts w:ascii="Assistant" w:eastAsia="Times New Roman" w:hAnsi="Assistant" w:cs="Assistant"/>
                <w:color w:val="000000"/>
                <w:sz w:val="18"/>
                <w:szCs w:val="18"/>
              </w:rPr>
            </w:pPr>
            <w:r w:rsidRPr="003E788F">
              <w:rPr>
                <w:rFonts w:ascii="Assistant" w:eastAsia="Times New Roman" w:hAnsi="Assistant" w:cs="Assistant"/>
                <w:color w:val="000000"/>
                <w:sz w:val="18"/>
                <w:szCs w:val="18"/>
              </w:rPr>
              <w:t> </w:t>
            </w:r>
          </w:p>
        </w:tc>
      </w:tr>
      <w:tr w:rsidR="003E788F" w:rsidRPr="003E788F" w:rsidTr="00527508">
        <w:trPr>
          <w:trHeight w:val="285"/>
          <w:jc w:val="center"/>
        </w:trPr>
        <w:tc>
          <w:tcPr>
            <w:tcW w:w="1950" w:type="dxa"/>
            <w:tcBorders>
              <w:top w:val="nil"/>
              <w:left w:val="nil"/>
              <w:bottom w:val="nil"/>
              <w:right w:val="nil"/>
            </w:tcBorders>
            <w:shd w:val="clear" w:color="000000" w:fill="F5F4F4"/>
            <w:noWrap/>
            <w:vAlign w:val="bottom"/>
            <w:hideMark/>
          </w:tcPr>
          <w:p w:rsidR="003E788F" w:rsidRPr="003E788F" w:rsidRDefault="003E788F" w:rsidP="003E788F">
            <w:pPr>
              <w:spacing w:after="0" w:line="240" w:lineRule="auto"/>
              <w:rPr>
                <w:rFonts w:ascii="Assistant" w:eastAsia="Times New Roman" w:hAnsi="Assistant" w:cs="Assistant"/>
                <w:color w:val="000000"/>
                <w:sz w:val="18"/>
                <w:szCs w:val="18"/>
              </w:rPr>
            </w:pPr>
            <w:r w:rsidRPr="003E788F">
              <w:rPr>
                <w:rFonts w:ascii="Assistant" w:eastAsia="Times New Roman" w:hAnsi="Assistant" w:cs="Assistant"/>
                <w:color w:val="000000"/>
                <w:sz w:val="18"/>
                <w:szCs w:val="18"/>
                <w:rtl/>
              </w:rPr>
              <w:t>המקור: עיבודי בנק</w:t>
            </w:r>
            <w:r w:rsidRPr="003E788F">
              <w:rPr>
                <w:rFonts w:ascii="Assistant" w:eastAsia="Times New Roman" w:hAnsi="Assistant" w:cs="Assistant" w:hint="cs"/>
                <w:color w:val="000000"/>
                <w:sz w:val="18"/>
                <w:szCs w:val="18"/>
                <w:rtl/>
              </w:rPr>
              <w:t xml:space="preserve"> </w:t>
            </w:r>
            <w:r w:rsidRPr="003E788F">
              <w:rPr>
                <w:rFonts w:ascii="Assistant" w:eastAsia="Times New Roman" w:hAnsi="Assistant" w:cs="Assistant"/>
                <w:color w:val="000000"/>
                <w:sz w:val="18"/>
                <w:szCs w:val="18"/>
                <w:rtl/>
              </w:rPr>
              <w:t>ישראל.</w:t>
            </w:r>
          </w:p>
        </w:tc>
        <w:tc>
          <w:tcPr>
            <w:tcW w:w="1101"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jc w:val="right"/>
              <w:rPr>
                <w:rFonts w:ascii="Assistant" w:eastAsia="Times New Roman" w:hAnsi="Assistant" w:cs="Assistant"/>
                <w:color w:val="000000"/>
                <w:sz w:val="18"/>
                <w:szCs w:val="18"/>
                <w:rtl/>
              </w:rPr>
            </w:pPr>
            <w:r w:rsidRPr="003E788F">
              <w:rPr>
                <w:rFonts w:ascii="Assistant" w:eastAsia="Times New Roman" w:hAnsi="Assistant" w:cs="Assistant"/>
                <w:color w:val="000000"/>
                <w:sz w:val="18"/>
                <w:szCs w:val="18"/>
              </w:rPr>
              <w:t> </w:t>
            </w:r>
          </w:p>
        </w:tc>
        <w:tc>
          <w:tcPr>
            <w:tcW w:w="1271"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jc w:val="right"/>
              <w:rPr>
                <w:rFonts w:ascii="Assistant" w:eastAsia="Times New Roman" w:hAnsi="Assistant" w:cs="Assistant"/>
                <w:color w:val="000000"/>
                <w:sz w:val="18"/>
                <w:szCs w:val="18"/>
              </w:rPr>
            </w:pPr>
            <w:r w:rsidRPr="003E788F">
              <w:rPr>
                <w:rFonts w:ascii="Assistant" w:eastAsia="Times New Roman" w:hAnsi="Assistant" w:cs="Assistant"/>
                <w:color w:val="000000"/>
                <w:sz w:val="18"/>
                <w:szCs w:val="18"/>
              </w:rPr>
              <w:t> </w:t>
            </w:r>
          </w:p>
        </w:tc>
        <w:tc>
          <w:tcPr>
            <w:tcW w:w="1035"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jc w:val="right"/>
              <w:rPr>
                <w:rFonts w:ascii="Assistant" w:eastAsia="Times New Roman" w:hAnsi="Assistant" w:cs="Assistant"/>
                <w:color w:val="000000"/>
                <w:sz w:val="18"/>
                <w:szCs w:val="18"/>
              </w:rPr>
            </w:pPr>
            <w:r w:rsidRPr="003E788F">
              <w:rPr>
                <w:rFonts w:ascii="Assistant" w:eastAsia="Times New Roman" w:hAnsi="Assistant" w:cs="Assistant"/>
                <w:color w:val="000000"/>
                <w:sz w:val="18"/>
                <w:szCs w:val="18"/>
              </w:rPr>
              <w:t> </w:t>
            </w:r>
          </w:p>
        </w:tc>
      </w:tr>
    </w:tbl>
    <w:p w:rsidR="003E788F" w:rsidRPr="003E788F" w:rsidRDefault="003E788F" w:rsidP="003E788F">
      <w:pPr>
        <w:spacing w:after="120" w:line="360" w:lineRule="auto"/>
        <w:jc w:val="both"/>
        <w:rPr>
          <w:rFonts w:ascii="David" w:eastAsia="Times New Roman" w:hAnsi="David" w:cs="David"/>
          <w:sz w:val="24"/>
          <w:szCs w:val="24"/>
          <w:rtl/>
        </w:rPr>
      </w:pPr>
    </w:p>
    <w:p w:rsidR="003E788F" w:rsidRPr="003E788F" w:rsidRDefault="003E788F" w:rsidP="003E788F">
      <w:pPr>
        <w:keepNext/>
        <w:keepLines/>
        <w:numPr>
          <w:ilvl w:val="1"/>
          <w:numId w:val="1"/>
        </w:numPr>
        <w:spacing w:before="200" w:after="0" w:line="360" w:lineRule="auto"/>
        <w:jc w:val="both"/>
        <w:outlineLvl w:val="1"/>
        <w:rPr>
          <w:rFonts w:ascii="Cambria" w:eastAsia="Times New Roman" w:hAnsi="Cambria" w:cs="David"/>
          <w:caps/>
          <w:spacing w:val="15"/>
          <w:sz w:val="28"/>
          <w:szCs w:val="28"/>
        </w:rPr>
      </w:pPr>
      <w:bookmarkStart w:id="36" w:name="_Toc42773271"/>
      <w:bookmarkStart w:id="37" w:name="_Toc43999476"/>
      <w:bookmarkStart w:id="38" w:name="_Toc46064936"/>
      <w:bookmarkStart w:id="39" w:name="_Toc45016699"/>
      <w:bookmarkStart w:id="40" w:name="_Toc46160353"/>
      <w:bookmarkStart w:id="41" w:name="_Toc46160707"/>
      <w:r w:rsidRPr="003E788F">
        <w:rPr>
          <w:rFonts w:ascii="Cambria" w:eastAsia="Times New Roman" w:hAnsi="Cambria" w:cs="David" w:hint="cs"/>
          <w:b/>
          <w:bCs/>
          <w:caps/>
          <w:spacing w:val="15"/>
          <w:sz w:val="24"/>
          <w:szCs w:val="32"/>
          <w:rtl/>
        </w:rPr>
        <w:lastRenderedPageBreak/>
        <w:t>מהם מאפייני החברות שצפויות להיתקל בקשיים</w:t>
      </w:r>
      <w:bookmarkEnd w:id="36"/>
      <w:bookmarkEnd w:id="37"/>
      <w:bookmarkEnd w:id="38"/>
      <w:r w:rsidRPr="003E788F">
        <w:rPr>
          <w:rFonts w:ascii="Cambria" w:eastAsia="Times New Roman" w:hAnsi="Cambria" w:cs="David" w:hint="cs"/>
          <w:b/>
          <w:bCs/>
          <w:caps/>
          <w:spacing w:val="15"/>
          <w:sz w:val="24"/>
          <w:szCs w:val="32"/>
          <w:rtl/>
        </w:rPr>
        <w:t>?</w:t>
      </w:r>
      <w:bookmarkEnd w:id="39"/>
      <w:bookmarkEnd w:id="40"/>
      <w:bookmarkEnd w:id="41"/>
      <w:r w:rsidRPr="003E788F">
        <w:rPr>
          <w:rFonts w:ascii="Cambria" w:eastAsia="Times New Roman" w:hAnsi="Cambria" w:cs="David" w:hint="cs"/>
          <w:b/>
          <w:bCs/>
          <w:caps/>
          <w:spacing w:val="15"/>
          <w:sz w:val="24"/>
          <w:szCs w:val="32"/>
          <w:rtl/>
        </w:rPr>
        <w:t xml:space="preserve"> </w:t>
      </w:r>
    </w:p>
    <w:p w:rsidR="003E788F" w:rsidRPr="003E788F" w:rsidRDefault="003E788F" w:rsidP="003E788F">
      <w:pPr>
        <w:tabs>
          <w:tab w:val="left" w:pos="1995"/>
          <w:tab w:val="left" w:pos="2627"/>
        </w:tabs>
        <w:spacing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 xml:space="preserve">בסעיף זה נעמוד על מאפייני החברות אשר על פי האומדן שערכנו צפויות להיתקל בקשיי תזרים, או שהפגיעה בהונן צפויה להיות משמעותית. אנו מאפיינים את החברות באמצעות שתי רגרסיות מסוג </w:t>
      </w:r>
      <w:proofErr w:type="spellStart"/>
      <w:r w:rsidRPr="003E788F">
        <w:rPr>
          <w:rFonts w:ascii="David" w:eastAsia="Times New Roman" w:hAnsi="David" w:cs="David" w:hint="cs"/>
          <w:sz w:val="24"/>
          <w:szCs w:val="24"/>
        </w:rPr>
        <w:t>P</w:t>
      </w:r>
      <w:r w:rsidRPr="003E788F">
        <w:rPr>
          <w:rFonts w:ascii="David" w:eastAsia="Times New Roman" w:hAnsi="David" w:cs="David"/>
          <w:sz w:val="24"/>
          <w:szCs w:val="24"/>
        </w:rPr>
        <w:t>robit</w:t>
      </w:r>
      <w:proofErr w:type="spellEnd"/>
      <w:r w:rsidRPr="003E788F">
        <w:rPr>
          <w:rFonts w:ascii="David" w:eastAsia="Times New Roman" w:hAnsi="David" w:cs="David" w:hint="cs"/>
          <w:sz w:val="24"/>
          <w:szCs w:val="24"/>
          <w:rtl/>
        </w:rPr>
        <w:t>. ברגרסיה אחת המשתנה המוסבר הוא משתנה דמי המקבל "1" עבור חברות הצפויות להיתקל בקושי לשרת את הוצאות המימון שלהן מהמזומנים הנובעים מפעילותן השוטפת (היחס החזוי בין ה-</w:t>
      </w:r>
      <w:r w:rsidRPr="003E788F">
        <w:rPr>
          <w:rFonts w:ascii="David" w:eastAsia="Times New Roman" w:hAnsi="David" w:cs="David" w:hint="cs"/>
          <w:sz w:val="24"/>
          <w:szCs w:val="24"/>
        </w:rPr>
        <w:t>EBITDA</w:t>
      </w:r>
      <w:r w:rsidRPr="003E788F">
        <w:rPr>
          <w:rFonts w:ascii="David" w:eastAsia="Times New Roman" w:hAnsi="David" w:cs="David" w:hint="cs"/>
          <w:sz w:val="24"/>
          <w:szCs w:val="24"/>
          <w:rtl/>
        </w:rPr>
        <w:t xml:space="preserve"> להוצאות המימון קטן מ-1) בהינתן התרחיש בתיבה ואפס אחרת. ברגרסיה השנייה המשתנה המוסבר הוא משתנה דמי, המקבל "1" עבור חברות שצפויה להן פגיעה משמעותית (למעלה מ-30%) בהון העצמי שלהן תחת התרחיש בתיבה ואפס אחרת. המשתנים המסבירים הם מאפיינים פיננסיים של החברות, בהם גודל החברה (במונחי נכסים), המינוף שלה, הנזילות שלרשותה (במונחי יחס מהיר) ושווי השוק היחסי שלה (</w:t>
      </w:r>
      <w:r w:rsidRPr="003E788F">
        <w:rPr>
          <w:rFonts w:ascii="David" w:eastAsia="Times New Roman" w:hAnsi="David" w:cs="David"/>
          <w:sz w:val="24"/>
          <w:szCs w:val="24"/>
        </w:rPr>
        <w:t>Tobin's Q</w:t>
      </w:r>
      <w:r w:rsidRPr="003E788F">
        <w:rPr>
          <w:rFonts w:ascii="David" w:eastAsia="Times New Roman" w:hAnsi="David" w:cs="David" w:hint="cs"/>
          <w:sz w:val="24"/>
          <w:szCs w:val="24"/>
          <w:rtl/>
        </w:rPr>
        <w:t>). כן כללנו בכל רגרסיה משתני דמי לענף (</w:t>
      </w:r>
      <w:r w:rsidRPr="003E788F">
        <w:rPr>
          <w:rFonts w:ascii="David" w:eastAsia="Times New Roman" w:hAnsi="David" w:cs="David"/>
          <w:sz w:val="24"/>
          <w:szCs w:val="24"/>
          <w:rtl/>
        </w:rPr>
        <w:fldChar w:fldCharType="begin"/>
      </w:r>
      <w:r w:rsidRPr="003E788F">
        <w:rPr>
          <w:rFonts w:ascii="David" w:eastAsia="Times New Roman" w:hAnsi="David" w:cs="David"/>
          <w:sz w:val="24"/>
          <w:szCs w:val="24"/>
          <w:rtl/>
        </w:rPr>
        <w:instrText xml:space="preserve"> </w:instrText>
      </w:r>
      <w:r w:rsidRPr="003E788F">
        <w:rPr>
          <w:rFonts w:ascii="David" w:eastAsia="Times New Roman" w:hAnsi="David" w:cs="David" w:hint="cs"/>
          <w:sz w:val="24"/>
          <w:szCs w:val="24"/>
        </w:rPr>
        <w:instrText>REF</w:instrText>
      </w:r>
      <w:r w:rsidRPr="003E788F">
        <w:rPr>
          <w:rFonts w:ascii="David" w:eastAsia="Times New Roman" w:hAnsi="David" w:cs="David" w:hint="cs"/>
          <w:sz w:val="24"/>
          <w:szCs w:val="24"/>
          <w:rtl/>
        </w:rPr>
        <w:instrText xml:space="preserve"> _</w:instrText>
      </w:r>
      <w:r w:rsidRPr="003E788F">
        <w:rPr>
          <w:rFonts w:ascii="David" w:eastAsia="Times New Roman" w:hAnsi="David" w:cs="David" w:hint="cs"/>
          <w:sz w:val="24"/>
          <w:szCs w:val="24"/>
        </w:rPr>
        <w:instrText>Ref42757333 \r</w:instrText>
      </w:r>
      <w:r w:rsidRPr="003E788F">
        <w:rPr>
          <w:rFonts w:ascii="David" w:eastAsia="Times New Roman" w:hAnsi="David" w:cs="David"/>
          <w:sz w:val="24"/>
          <w:szCs w:val="24"/>
          <w:rtl/>
        </w:rPr>
        <w:instrText xml:space="preserve">  \* </w:instrText>
      </w:r>
      <w:r w:rsidRPr="003E788F">
        <w:rPr>
          <w:rFonts w:ascii="David" w:eastAsia="Times New Roman" w:hAnsi="David" w:cs="David"/>
          <w:sz w:val="24"/>
          <w:szCs w:val="24"/>
        </w:rPr>
        <w:instrText>MERGEFORMAT</w:instrText>
      </w:r>
      <w:r w:rsidRPr="003E788F">
        <w:rPr>
          <w:rFonts w:ascii="David" w:eastAsia="Times New Roman" w:hAnsi="David" w:cs="David"/>
          <w:sz w:val="24"/>
          <w:szCs w:val="24"/>
          <w:rtl/>
        </w:rPr>
        <w:instrText xml:space="preserve"> </w:instrText>
      </w:r>
      <w:r w:rsidRPr="003E788F">
        <w:rPr>
          <w:rFonts w:ascii="David" w:eastAsia="Times New Roman" w:hAnsi="David" w:cs="David"/>
          <w:sz w:val="24"/>
          <w:szCs w:val="24"/>
          <w:rtl/>
        </w:rPr>
        <w:fldChar w:fldCharType="separate"/>
      </w:r>
      <w:r w:rsidRPr="003E788F">
        <w:rPr>
          <w:rFonts w:ascii="David" w:eastAsia="Times New Roman" w:hAnsi="David" w:cs="David"/>
          <w:sz w:val="24"/>
          <w:szCs w:val="24"/>
          <w:cs/>
        </w:rPr>
        <w:t>‎</w:t>
      </w:r>
      <w:r w:rsidRPr="003E788F">
        <w:rPr>
          <w:rFonts w:ascii="David" w:eastAsia="Times New Roman" w:hAnsi="David" w:cs="David" w:hint="cs"/>
          <w:sz w:val="24"/>
          <w:szCs w:val="24"/>
          <w:rtl/>
        </w:rPr>
        <w:t>לוח 2</w:t>
      </w:r>
      <w:r w:rsidRPr="003E788F">
        <w:rPr>
          <w:rFonts w:ascii="David" w:eastAsia="Times New Roman" w:hAnsi="David" w:cs="David"/>
          <w:sz w:val="24"/>
          <w:szCs w:val="24"/>
          <w:rtl/>
        </w:rPr>
        <w:fldChar w:fldCharType="end"/>
      </w:r>
      <w:r w:rsidRPr="003E788F">
        <w:rPr>
          <w:rFonts w:ascii="David" w:eastAsia="Times New Roman" w:hAnsi="David" w:cs="David" w:hint="cs"/>
          <w:sz w:val="24"/>
          <w:szCs w:val="24"/>
          <w:rtl/>
        </w:rPr>
        <w:t>).</w:t>
      </w:r>
      <w:r w:rsidRPr="003E788F" w:rsidDel="00301A01">
        <w:rPr>
          <w:rFonts w:ascii="David" w:eastAsia="Times New Roman" w:hAnsi="David" w:cs="David"/>
          <w:sz w:val="24"/>
          <w:szCs w:val="24"/>
          <w:rtl/>
        </w:rPr>
        <w:t xml:space="preserve"> </w:t>
      </w:r>
      <w:r w:rsidRPr="003E788F">
        <w:rPr>
          <w:rFonts w:ascii="David" w:eastAsia="Times New Roman" w:hAnsi="David" w:cs="David" w:hint="cs"/>
          <w:sz w:val="24"/>
          <w:szCs w:val="24"/>
          <w:rtl/>
        </w:rPr>
        <w:t>ממצאי הרגרסיה מעלים כי ההסתברות של חברה להיקלע לקושי תזרימי או להיפגע משמעותית בהון בשנת 2020 עולה ככל שהיא קטנה יותר, ממונפת יותר ובעלת שווי שוק יחסי נמוך יותר.</w:t>
      </w:r>
    </w:p>
    <w:tbl>
      <w:tblPr>
        <w:bidiVisual/>
        <w:tblW w:w="6275" w:type="dxa"/>
        <w:jc w:val="center"/>
        <w:tblLook w:val="04A0" w:firstRow="1" w:lastRow="0" w:firstColumn="1" w:lastColumn="0" w:noHBand="0" w:noVBand="1"/>
      </w:tblPr>
      <w:tblGrid>
        <w:gridCol w:w="2165"/>
        <w:gridCol w:w="2030"/>
        <w:gridCol w:w="2080"/>
      </w:tblGrid>
      <w:tr w:rsidR="003E788F" w:rsidRPr="003E788F" w:rsidTr="00527508">
        <w:trPr>
          <w:trHeight w:val="300"/>
          <w:jc w:val="center"/>
        </w:trPr>
        <w:tc>
          <w:tcPr>
            <w:tcW w:w="2165"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Pr>
            </w:pPr>
            <w:r w:rsidRPr="003E788F">
              <w:rPr>
                <w:rFonts w:ascii="Assistant" w:eastAsia="Times New Roman" w:hAnsi="Assistant" w:cs="Assistant"/>
                <w:color w:val="000000"/>
              </w:rPr>
              <w:t> </w:t>
            </w:r>
          </w:p>
        </w:tc>
        <w:tc>
          <w:tcPr>
            <w:tcW w:w="2030"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Pr>
            </w:pPr>
            <w:r w:rsidRPr="003E788F">
              <w:rPr>
                <w:rFonts w:ascii="Assistant" w:eastAsia="Times New Roman" w:hAnsi="Assistant" w:cs="Assistant"/>
                <w:color w:val="000000"/>
              </w:rPr>
              <w:t> </w:t>
            </w:r>
          </w:p>
        </w:tc>
        <w:tc>
          <w:tcPr>
            <w:tcW w:w="2080"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Pr>
            </w:pPr>
            <w:r w:rsidRPr="003E788F">
              <w:rPr>
                <w:rFonts w:ascii="Assistant" w:eastAsia="Times New Roman" w:hAnsi="Assistant" w:cs="Assistant"/>
                <w:color w:val="000000"/>
              </w:rPr>
              <w:t> </w:t>
            </w:r>
          </w:p>
        </w:tc>
      </w:tr>
      <w:tr w:rsidR="003E788F" w:rsidRPr="003E788F" w:rsidTr="00527508">
        <w:trPr>
          <w:trHeight w:val="930"/>
          <w:jc w:val="center"/>
        </w:trPr>
        <w:tc>
          <w:tcPr>
            <w:tcW w:w="6275" w:type="dxa"/>
            <w:gridSpan w:val="3"/>
            <w:tcBorders>
              <w:top w:val="nil"/>
              <w:left w:val="nil"/>
              <w:bottom w:val="nil"/>
              <w:right w:val="nil"/>
            </w:tcBorders>
            <w:shd w:val="clear" w:color="000000" w:fill="F5F4F4"/>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4"/>
                <w:szCs w:val="24"/>
              </w:rPr>
            </w:pPr>
            <w:r w:rsidRPr="003E788F">
              <w:rPr>
                <w:rFonts w:ascii="Assistant" w:eastAsia="Times New Roman" w:hAnsi="Assistant" w:cs="Assistant"/>
                <w:b/>
                <w:bCs/>
                <w:color w:val="000000"/>
                <w:sz w:val="24"/>
                <w:szCs w:val="24"/>
                <w:rtl/>
              </w:rPr>
              <w:t xml:space="preserve">לוח 2 : רגרסיית </w:t>
            </w:r>
            <w:proofErr w:type="spellStart"/>
            <w:r w:rsidRPr="003E788F">
              <w:rPr>
                <w:rFonts w:ascii="Assistant" w:eastAsia="Times New Roman" w:hAnsi="Assistant" w:cs="Assistant"/>
                <w:b/>
                <w:bCs/>
                <w:color w:val="000000"/>
                <w:sz w:val="24"/>
                <w:szCs w:val="24"/>
              </w:rPr>
              <w:t>Probit</w:t>
            </w:r>
            <w:proofErr w:type="spellEnd"/>
            <w:r w:rsidRPr="003E788F">
              <w:rPr>
                <w:rFonts w:ascii="Assistant" w:eastAsia="Times New Roman" w:hAnsi="Assistant" w:cs="Assistant"/>
                <w:b/>
                <w:bCs/>
                <w:color w:val="000000"/>
                <w:sz w:val="24"/>
                <w:szCs w:val="24"/>
                <w:rtl/>
              </w:rPr>
              <w:t xml:space="preserve"> </w:t>
            </w:r>
            <w:r w:rsidRPr="003E788F">
              <w:rPr>
                <w:rFonts w:ascii="Assistant" w:eastAsia="Times New Roman" w:hAnsi="Assistant" w:cs="Assistant"/>
                <w:b/>
                <w:bCs/>
                <w:color w:val="000000"/>
                <w:sz w:val="24"/>
                <w:szCs w:val="24"/>
                <w:rtl/>
              </w:rPr>
              <w:br/>
              <w:t>ההסתברות להיקלע לקשיי תזרים או לפגיעה בהון בשנת 2020 כפונקציה של מאפיינים פיננסיים</w:t>
            </w:r>
          </w:p>
        </w:tc>
      </w:tr>
      <w:tr w:rsidR="003E788F" w:rsidRPr="003E788F" w:rsidTr="00527508">
        <w:trPr>
          <w:trHeight w:val="315"/>
          <w:jc w:val="center"/>
        </w:trPr>
        <w:tc>
          <w:tcPr>
            <w:tcW w:w="2165" w:type="dxa"/>
            <w:tcBorders>
              <w:top w:val="nil"/>
              <w:left w:val="nil"/>
              <w:bottom w:val="single" w:sz="8" w:space="0" w:color="2EA1CF"/>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tl/>
              </w:rPr>
            </w:pPr>
            <w:r w:rsidRPr="003E788F">
              <w:rPr>
                <w:rFonts w:ascii="Assistant" w:eastAsia="Times New Roman" w:hAnsi="Assistant" w:cs="Assistant"/>
                <w:color w:val="000000"/>
              </w:rPr>
              <w:t> </w:t>
            </w:r>
          </w:p>
        </w:tc>
        <w:tc>
          <w:tcPr>
            <w:tcW w:w="2030" w:type="dxa"/>
            <w:tcBorders>
              <w:top w:val="nil"/>
              <w:left w:val="nil"/>
              <w:bottom w:val="single" w:sz="8" w:space="0" w:color="2EA1CF"/>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Pr>
            </w:pPr>
            <w:r w:rsidRPr="003E788F">
              <w:rPr>
                <w:rFonts w:ascii="Assistant" w:eastAsia="Times New Roman" w:hAnsi="Assistant" w:cs="Assistant"/>
                <w:color w:val="000000"/>
              </w:rPr>
              <w:t> </w:t>
            </w:r>
          </w:p>
        </w:tc>
        <w:tc>
          <w:tcPr>
            <w:tcW w:w="2080" w:type="dxa"/>
            <w:tcBorders>
              <w:top w:val="nil"/>
              <w:left w:val="nil"/>
              <w:bottom w:val="single" w:sz="8" w:space="0" w:color="2EA1CF"/>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Pr>
            </w:pPr>
            <w:r w:rsidRPr="003E788F">
              <w:rPr>
                <w:rFonts w:ascii="Assistant" w:eastAsia="Times New Roman" w:hAnsi="Assistant" w:cs="Assistant"/>
                <w:color w:val="000000"/>
              </w:rPr>
              <w:t> </w:t>
            </w:r>
          </w:p>
        </w:tc>
      </w:tr>
      <w:tr w:rsidR="003E788F" w:rsidRPr="003E788F" w:rsidTr="00527508">
        <w:trPr>
          <w:trHeight w:val="390"/>
          <w:jc w:val="center"/>
        </w:trPr>
        <w:tc>
          <w:tcPr>
            <w:tcW w:w="2165" w:type="dxa"/>
            <w:tcBorders>
              <w:top w:val="nil"/>
              <w:left w:val="single" w:sz="8" w:space="0" w:color="2EA1CF"/>
              <w:bottom w:val="nil"/>
              <w:right w:val="nil"/>
            </w:tcBorders>
            <w:shd w:val="clear" w:color="000000" w:fill="D9F0F6"/>
            <w:vAlign w:val="center"/>
            <w:hideMark/>
          </w:tcPr>
          <w:p w:rsidR="003E788F" w:rsidRPr="003E788F" w:rsidRDefault="003E788F" w:rsidP="003E788F">
            <w:pPr>
              <w:bidi w:val="0"/>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Pr>
              <w:t> </w:t>
            </w:r>
          </w:p>
        </w:tc>
        <w:tc>
          <w:tcPr>
            <w:tcW w:w="4110" w:type="dxa"/>
            <w:gridSpan w:val="2"/>
            <w:tcBorders>
              <w:top w:val="single" w:sz="8" w:space="0" w:color="2EA1CF"/>
              <w:left w:val="single" w:sz="4" w:space="0" w:color="D9D9D9"/>
              <w:bottom w:val="single" w:sz="4" w:space="0" w:color="D9D9D9"/>
              <w:right w:val="nil"/>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tl/>
              </w:rPr>
              <w:t>המשתנה התלוי:</w:t>
            </w:r>
          </w:p>
        </w:tc>
      </w:tr>
      <w:tr w:rsidR="003E788F" w:rsidRPr="003E788F" w:rsidTr="00527508">
        <w:trPr>
          <w:trHeight w:val="540"/>
          <w:jc w:val="center"/>
        </w:trPr>
        <w:tc>
          <w:tcPr>
            <w:tcW w:w="2165" w:type="dxa"/>
            <w:tcBorders>
              <w:top w:val="nil"/>
              <w:left w:val="single" w:sz="8" w:space="0" w:color="2EA1CF"/>
              <w:bottom w:val="nil"/>
              <w:right w:val="nil"/>
            </w:tcBorders>
            <w:shd w:val="clear" w:color="000000" w:fill="D9F0F6"/>
            <w:vAlign w:val="center"/>
            <w:hideMark/>
          </w:tcPr>
          <w:p w:rsidR="003E788F" w:rsidRPr="003E788F" w:rsidRDefault="003E788F" w:rsidP="003E788F">
            <w:pPr>
              <w:bidi w:val="0"/>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Pr>
              <w:t> </w:t>
            </w:r>
          </w:p>
        </w:tc>
        <w:tc>
          <w:tcPr>
            <w:tcW w:w="2030" w:type="dxa"/>
            <w:tcBorders>
              <w:top w:val="nil"/>
              <w:left w:val="single" w:sz="4" w:space="0" w:color="D9D9D9"/>
              <w:bottom w:val="nil"/>
              <w:right w:val="single" w:sz="4" w:space="0" w:color="D9D9D9"/>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color w:val="000000"/>
                <w:sz w:val="20"/>
                <w:szCs w:val="20"/>
              </w:rPr>
            </w:pPr>
            <w:r w:rsidRPr="003E788F">
              <w:rPr>
                <w:rFonts w:ascii="Assistant" w:eastAsia="Times New Roman" w:hAnsi="Assistant" w:cs="Assistant"/>
                <w:color w:val="000000"/>
                <w:sz w:val="20"/>
                <w:szCs w:val="20"/>
                <w:rtl/>
              </w:rPr>
              <w:t xml:space="preserve">היחס החזוי בין ה - </w:t>
            </w:r>
            <w:r w:rsidRPr="003E788F">
              <w:rPr>
                <w:rFonts w:ascii="Assistant" w:eastAsia="Times New Roman" w:hAnsi="Assistant" w:cs="David"/>
                <w:color w:val="000000"/>
                <w:sz w:val="20"/>
                <w:szCs w:val="24"/>
              </w:rPr>
              <w:t>EBITDA</w:t>
            </w:r>
            <w:r w:rsidRPr="003E788F">
              <w:rPr>
                <w:rFonts w:ascii="Assistant" w:eastAsia="Times New Roman" w:hAnsi="Assistant" w:cs="Assistant"/>
                <w:color w:val="000000"/>
                <w:sz w:val="20"/>
                <w:szCs w:val="20"/>
                <w:rtl/>
              </w:rPr>
              <w:t xml:space="preserve"> להוצאות מימון קטן מ - 1</w:t>
            </w:r>
          </w:p>
        </w:tc>
        <w:tc>
          <w:tcPr>
            <w:tcW w:w="2080" w:type="dxa"/>
            <w:tcBorders>
              <w:top w:val="nil"/>
              <w:left w:val="single" w:sz="4" w:space="0" w:color="D9D9D9"/>
              <w:bottom w:val="nil"/>
              <w:right w:val="single" w:sz="4" w:space="0" w:color="D9D9D9"/>
            </w:tcBorders>
            <w:shd w:val="clear" w:color="000000" w:fill="D9F0F6"/>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tl/>
              </w:rPr>
            </w:pPr>
            <w:r w:rsidRPr="003E788F">
              <w:rPr>
                <w:rFonts w:ascii="Assistant" w:eastAsia="Times New Roman" w:hAnsi="Assistant" w:cs="Assistant"/>
                <w:color w:val="000000"/>
                <w:sz w:val="20"/>
                <w:szCs w:val="20"/>
                <w:rtl/>
              </w:rPr>
              <w:t>היקף הפגיעה החזוי בהון</w:t>
            </w:r>
            <w:r w:rsidRPr="003E788F">
              <w:rPr>
                <w:rFonts w:ascii="Assistant" w:eastAsia="Times New Roman" w:hAnsi="Assistant" w:cs="Assistant"/>
                <w:color w:val="000000"/>
                <w:sz w:val="20"/>
                <w:szCs w:val="20"/>
              </w:rPr>
              <w:t xml:space="preserve"> </w:t>
            </w:r>
            <w:r w:rsidRPr="003E788F">
              <w:rPr>
                <w:rFonts w:ascii="Assistant" w:eastAsia="Times New Roman" w:hAnsi="Assistant" w:cs="Assistant"/>
                <w:color w:val="000000"/>
                <w:sz w:val="20"/>
                <w:szCs w:val="20"/>
                <w:rtl/>
              </w:rPr>
              <w:t>עולה על 30%</w:t>
            </w:r>
          </w:p>
        </w:tc>
      </w:tr>
      <w:tr w:rsidR="003E788F" w:rsidRPr="003E788F" w:rsidTr="00527508">
        <w:trPr>
          <w:trHeight w:val="540"/>
          <w:jc w:val="center"/>
        </w:trPr>
        <w:tc>
          <w:tcPr>
            <w:tcW w:w="2165" w:type="dxa"/>
            <w:tcBorders>
              <w:top w:val="nil"/>
              <w:left w:val="single" w:sz="8" w:space="0" w:color="2EA1CF"/>
              <w:bottom w:val="nil"/>
              <w:right w:val="single" w:sz="4" w:space="0" w:color="D9D9D9"/>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tl/>
              </w:rPr>
              <w:t>הגודל</w:t>
            </w:r>
          </w:p>
        </w:tc>
        <w:tc>
          <w:tcPr>
            <w:tcW w:w="2030" w:type="dxa"/>
            <w:tcBorders>
              <w:top w:val="single" w:sz="4" w:space="0" w:color="D9D9D9"/>
              <w:left w:val="nil"/>
              <w:bottom w:val="nil"/>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b/>
                <w:bCs/>
                <w:color w:val="000000"/>
                <w:sz w:val="20"/>
                <w:szCs w:val="20"/>
                <w:rtl/>
              </w:rPr>
            </w:pPr>
            <w:r w:rsidRPr="003E788F">
              <w:rPr>
                <w:rFonts w:ascii="Assistant" w:eastAsia="Times New Roman" w:hAnsi="Assistant" w:cs="David"/>
                <w:b/>
                <w:color w:val="000000"/>
                <w:sz w:val="20"/>
                <w:szCs w:val="24"/>
              </w:rPr>
              <w:t>-0.378***</w:t>
            </w:r>
            <w:r w:rsidRPr="003E788F">
              <w:rPr>
                <w:rFonts w:ascii="Assistant" w:eastAsia="Times New Roman" w:hAnsi="Assistant" w:cs="Assistant"/>
                <w:b/>
                <w:bCs/>
                <w:color w:val="000000"/>
                <w:sz w:val="20"/>
                <w:szCs w:val="20"/>
              </w:rPr>
              <w:br/>
            </w:r>
            <w:r w:rsidRPr="003E788F">
              <w:rPr>
                <w:rFonts w:ascii="Assistant" w:eastAsia="Times New Roman" w:hAnsi="Assistant" w:cs="David"/>
                <w:b/>
                <w:color w:val="000000"/>
                <w:sz w:val="20"/>
                <w:szCs w:val="24"/>
              </w:rPr>
              <w:t>(0.091)</w:t>
            </w:r>
          </w:p>
        </w:tc>
        <w:tc>
          <w:tcPr>
            <w:tcW w:w="2080" w:type="dxa"/>
            <w:tcBorders>
              <w:top w:val="single" w:sz="4" w:space="0" w:color="D9D9D9"/>
              <w:left w:val="single" w:sz="4" w:space="0" w:color="D9D9D9"/>
              <w:bottom w:val="nil"/>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David"/>
                <w:b/>
                <w:color w:val="000000"/>
                <w:sz w:val="20"/>
                <w:szCs w:val="24"/>
              </w:rPr>
            </w:pPr>
            <w:r w:rsidRPr="003E788F">
              <w:rPr>
                <w:rFonts w:ascii="Assistant" w:eastAsia="Times New Roman" w:hAnsi="Assistant" w:cs="David"/>
                <w:b/>
                <w:color w:val="000000"/>
                <w:sz w:val="20"/>
                <w:szCs w:val="24"/>
              </w:rPr>
              <w:t>-0.251***</w:t>
            </w:r>
            <w:r w:rsidRPr="003E788F">
              <w:rPr>
                <w:rFonts w:ascii="Assistant" w:eastAsia="Times New Roman" w:hAnsi="Assistant" w:cs="Assistant"/>
                <w:b/>
                <w:bCs/>
                <w:color w:val="000000"/>
                <w:sz w:val="20"/>
                <w:szCs w:val="20"/>
              </w:rPr>
              <w:br/>
            </w:r>
            <w:r w:rsidRPr="003E788F">
              <w:rPr>
                <w:rFonts w:ascii="Assistant" w:eastAsia="Times New Roman" w:hAnsi="Assistant" w:cs="David"/>
                <w:b/>
                <w:color w:val="000000"/>
                <w:sz w:val="20"/>
                <w:szCs w:val="24"/>
              </w:rPr>
              <w:t>(0.055)</w:t>
            </w:r>
          </w:p>
        </w:tc>
      </w:tr>
      <w:tr w:rsidR="003E788F" w:rsidRPr="003E788F" w:rsidTr="00527508">
        <w:trPr>
          <w:trHeight w:val="540"/>
          <w:jc w:val="center"/>
        </w:trPr>
        <w:tc>
          <w:tcPr>
            <w:tcW w:w="2165" w:type="dxa"/>
            <w:tcBorders>
              <w:top w:val="nil"/>
              <w:left w:val="single" w:sz="8" w:space="0" w:color="2EA1CF"/>
              <w:bottom w:val="nil"/>
              <w:right w:val="single" w:sz="4" w:space="0" w:color="D9D9D9"/>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tl/>
              </w:rPr>
              <w:t>המינוף</w:t>
            </w:r>
          </w:p>
        </w:tc>
        <w:tc>
          <w:tcPr>
            <w:tcW w:w="2030" w:type="dxa"/>
            <w:tcBorders>
              <w:top w:val="nil"/>
              <w:left w:val="nil"/>
              <w:bottom w:val="nil"/>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b/>
                <w:bCs/>
                <w:color w:val="000000"/>
                <w:sz w:val="20"/>
                <w:szCs w:val="20"/>
                <w:rtl/>
              </w:rPr>
            </w:pPr>
            <w:r w:rsidRPr="003E788F">
              <w:rPr>
                <w:rFonts w:ascii="Assistant" w:eastAsia="Times New Roman" w:hAnsi="Assistant" w:cs="David"/>
                <w:b/>
                <w:color w:val="000000"/>
                <w:sz w:val="20"/>
                <w:szCs w:val="24"/>
              </w:rPr>
              <w:t>2.188***</w:t>
            </w:r>
            <w:r w:rsidRPr="003E788F">
              <w:rPr>
                <w:rFonts w:ascii="Assistant" w:eastAsia="Times New Roman" w:hAnsi="Assistant" w:cs="Assistant"/>
                <w:b/>
                <w:bCs/>
                <w:color w:val="000000"/>
                <w:sz w:val="20"/>
                <w:szCs w:val="20"/>
              </w:rPr>
              <w:br/>
            </w:r>
            <w:r w:rsidRPr="003E788F">
              <w:rPr>
                <w:rFonts w:ascii="Assistant" w:eastAsia="Times New Roman" w:hAnsi="Assistant" w:cs="David"/>
                <w:b/>
                <w:color w:val="000000"/>
                <w:sz w:val="20"/>
                <w:szCs w:val="24"/>
              </w:rPr>
              <w:t>(0.649)</w:t>
            </w:r>
          </w:p>
        </w:tc>
        <w:tc>
          <w:tcPr>
            <w:tcW w:w="2080" w:type="dxa"/>
            <w:tcBorders>
              <w:top w:val="nil"/>
              <w:left w:val="nil"/>
              <w:bottom w:val="nil"/>
              <w:right w:val="nil"/>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David"/>
                <w:b/>
                <w:color w:val="000000"/>
                <w:sz w:val="20"/>
                <w:szCs w:val="24"/>
              </w:rPr>
            </w:pPr>
            <w:r w:rsidRPr="003E788F">
              <w:rPr>
                <w:rFonts w:ascii="Assistant" w:eastAsia="Times New Roman" w:hAnsi="Assistant" w:cs="David"/>
                <w:b/>
                <w:color w:val="000000"/>
                <w:sz w:val="20"/>
                <w:szCs w:val="24"/>
              </w:rPr>
              <w:t>1.817***</w:t>
            </w:r>
            <w:r w:rsidRPr="003E788F">
              <w:rPr>
                <w:rFonts w:ascii="Assistant" w:eastAsia="Times New Roman" w:hAnsi="Assistant" w:cs="Assistant"/>
                <w:b/>
                <w:bCs/>
                <w:color w:val="000000"/>
                <w:sz w:val="20"/>
                <w:szCs w:val="20"/>
              </w:rPr>
              <w:br/>
            </w:r>
            <w:r w:rsidRPr="003E788F">
              <w:rPr>
                <w:rFonts w:ascii="Assistant" w:eastAsia="Times New Roman" w:hAnsi="Assistant" w:cs="David"/>
                <w:b/>
                <w:color w:val="000000"/>
                <w:sz w:val="20"/>
                <w:szCs w:val="24"/>
              </w:rPr>
              <w:t>(0.448)</w:t>
            </w:r>
          </w:p>
        </w:tc>
      </w:tr>
      <w:tr w:rsidR="003E788F" w:rsidRPr="003E788F" w:rsidTr="00527508">
        <w:trPr>
          <w:trHeight w:val="540"/>
          <w:jc w:val="center"/>
        </w:trPr>
        <w:tc>
          <w:tcPr>
            <w:tcW w:w="2165" w:type="dxa"/>
            <w:tcBorders>
              <w:top w:val="nil"/>
              <w:left w:val="single" w:sz="8" w:space="0" w:color="2EA1CF"/>
              <w:bottom w:val="nil"/>
              <w:right w:val="single" w:sz="4" w:space="0" w:color="D9D9D9"/>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tl/>
              </w:rPr>
              <w:t>היחסי המהיר</w:t>
            </w:r>
          </w:p>
        </w:tc>
        <w:tc>
          <w:tcPr>
            <w:tcW w:w="2030" w:type="dxa"/>
            <w:tcBorders>
              <w:top w:val="nil"/>
              <w:left w:val="nil"/>
              <w:bottom w:val="nil"/>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tl/>
              </w:rPr>
            </w:pPr>
            <w:r w:rsidRPr="003E788F">
              <w:rPr>
                <w:rFonts w:ascii="Assistant" w:eastAsia="Times New Roman" w:hAnsi="Assistant" w:cs="David"/>
                <w:color w:val="000000"/>
                <w:sz w:val="20"/>
                <w:szCs w:val="24"/>
              </w:rPr>
              <w:t>0.005</w:t>
            </w:r>
            <w:r w:rsidRPr="003E788F">
              <w:rPr>
                <w:rFonts w:ascii="Assistant" w:eastAsia="Times New Roman" w:hAnsi="Assistant" w:cs="Assistant"/>
                <w:color w:val="000000"/>
                <w:sz w:val="20"/>
                <w:szCs w:val="20"/>
              </w:rPr>
              <w:br/>
            </w:r>
            <w:r w:rsidRPr="003E788F">
              <w:rPr>
                <w:rFonts w:ascii="Assistant" w:eastAsia="Times New Roman" w:hAnsi="Assistant" w:cs="David"/>
                <w:color w:val="000000"/>
                <w:sz w:val="20"/>
                <w:szCs w:val="24"/>
              </w:rPr>
              <w:t>(0.031)</w:t>
            </w:r>
          </w:p>
        </w:tc>
        <w:tc>
          <w:tcPr>
            <w:tcW w:w="2080" w:type="dxa"/>
            <w:tcBorders>
              <w:top w:val="nil"/>
              <w:left w:val="nil"/>
              <w:bottom w:val="nil"/>
              <w:right w:val="nil"/>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David"/>
                <w:color w:val="000000"/>
                <w:sz w:val="20"/>
                <w:szCs w:val="24"/>
              </w:rPr>
            </w:pPr>
            <w:r w:rsidRPr="003E788F">
              <w:rPr>
                <w:rFonts w:ascii="Assistant" w:eastAsia="Times New Roman" w:hAnsi="Assistant" w:cs="David"/>
                <w:color w:val="000000"/>
                <w:sz w:val="20"/>
                <w:szCs w:val="24"/>
              </w:rPr>
              <w:t>0.003</w:t>
            </w:r>
            <w:r w:rsidRPr="003E788F">
              <w:rPr>
                <w:rFonts w:ascii="Assistant" w:eastAsia="Times New Roman" w:hAnsi="Assistant" w:cs="Assistant"/>
                <w:color w:val="000000"/>
                <w:sz w:val="20"/>
                <w:szCs w:val="20"/>
              </w:rPr>
              <w:br/>
            </w:r>
            <w:r w:rsidRPr="003E788F">
              <w:rPr>
                <w:rFonts w:ascii="Assistant" w:eastAsia="Times New Roman" w:hAnsi="Assistant" w:cs="David"/>
                <w:color w:val="000000"/>
                <w:sz w:val="20"/>
                <w:szCs w:val="24"/>
              </w:rPr>
              <w:t>(0.004)</w:t>
            </w:r>
          </w:p>
        </w:tc>
      </w:tr>
      <w:tr w:rsidR="003E788F" w:rsidRPr="003E788F" w:rsidTr="00527508">
        <w:trPr>
          <w:trHeight w:val="540"/>
          <w:jc w:val="center"/>
        </w:trPr>
        <w:tc>
          <w:tcPr>
            <w:tcW w:w="2165" w:type="dxa"/>
            <w:tcBorders>
              <w:top w:val="nil"/>
              <w:left w:val="single" w:sz="8" w:space="0" w:color="2EA1CF"/>
              <w:bottom w:val="nil"/>
              <w:right w:val="single" w:sz="4" w:space="0" w:color="D9D9D9"/>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tl/>
              </w:rPr>
              <w:t>שווי השוק היחסי</w:t>
            </w:r>
          </w:p>
        </w:tc>
        <w:tc>
          <w:tcPr>
            <w:tcW w:w="2030" w:type="dxa"/>
            <w:tcBorders>
              <w:top w:val="nil"/>
              <w:left w:val="nil"/>
              <w:bottom w:val="nil"/>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b/>
                <w:bCs/>
                <w:color w:val="000000"/>
                <w:sz w:val="20"/>
                <w:szCs w:val="20"/>
                <w:rtl/>
              </w:rPr>
            </w:pPr>
            <w:r w:rsidRPr="003E788F">
              <w:rPr>
                <w:rFonts w:ascii="Assistant" w:eastAsia="Times New Roman" w:hAnsi="Assistant" w:cs="David"/>
                <w:b/>
                <w:color w:val="000000"/>
                <w:sz w:val="20"/>
                <w:szCs w:val="24"/>
              </w:rPr>
              <w:t>-0.430**</w:t>
            </w:r>
            <w:r w:rsidRPr="003E788F">
              <w:rPr>
                <w:rFonts w:ascii="Assistant" w:eastAsia="Times New Roman" w:hAnsi="Assistant" w:cs="Assistant"/>
                <w:b/>
                <w:bCs/>
                <w:color w:val="000000"/>
                <w:sz w:val="20"/>
                <w:szCs w:val="20"/>
              </w:rPr>
              <w:br/>
            </w:r>
            <w:r w:rsidRPr="003E788F">
              <w:rPr>
                <w:rFonts w:ascii="Assistant" w:eastAsia="Times New Roman" w:hAnsi="Assistant" w:cs="David"/>
                <w:b/>
                <w:color w:val="000000"/>
                <w:sz w:val="20"/>
                <w:szCs w:val="24"/>
              </w:rPr>
              <w:t>(0.198)</w:t>
            </w:r>
          </w:p>
        </w:tc>
        <w:tc>
          <w:tcPr>
            <w:tcW w:w="2080" w:type="dxa"/>
            <w:tcBorders>
              <w:top w:val="nil"/>
              <w:left w:val="nil"/>
              <w:bottom w:val="nil"/>
              <w:right w:val="nil"/>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David"/>
                <w:b/>
                <w:color w:val="000000"/>
                <w:sz w:val="20"/>
                <w:szCs w:val="24"/>
              </w:rPr>
            </w:pPr>
            <w:r w:rsidRPr="003E788F">
              <w:rPr>
                <w:rFonts w:ascii="Assistant" w:eastAsia="Times New Roman" w:hAnsi="Assistant" w:cs="David"/>
                <w:b/>
                <w:color w:val="000000"/>
                <w:sz w:val="20"/>
                <w:szCs w:val="24"/>
              </w:rPr>
              <w:t>-0.446***</w:t>
            </w:r>
            <w:r w:rsidRPr="003E788F">
              <w:rPr>
                <w:rFonts w:ascii="Assistant" w:eastAsia="Times New Roman" w:hAnsi="Assistant" w:cs="Assistant"/>
                <w:b/>
                <w:bCs/>
                <w:color w:val="000000"/>
                <w:sz w:val="20"/>
                <w:szCs w:val="20"/>
              </w:rPr>
              <w:br/>
            </w:r>
            <w:r w:rsidRPr="003E788F">
              <w:rPr>
                <w:rFonts w:ascii="Assistant" w:eastAsia="Times New Roman" w:hAnsi="Assistant" w:cs="David"/>
                <w:b/>
                <w:color w:val="000000"/>
                <w:sz w:val="20"/>
                <w:szCs w:val="24"/>
              </w:rPr>
              <w:t>(0.128)</w:t>
            </w:r>
          </w:p>
        </w:tc>
      </w:tr>
      <w:tr w:rsidR="003E788F" w:rsidRPr="003E788F" w:rsidTr="00527508">
        <w:trPr>
          <w:trHeight w:val="390"/>
          <w:jc w:val="center"/>
        </w:trPr>
        <w:tc>
          <w:tcPr>
            <w:tcW w:w="2165" w:type="dxa"/>
            <w:tcBorders>
              <w:top w:val="nil"/>
              <w:left w:val="single" w:sz="8" w:space="0" w:color="2EA1CF"/>
              <w:bottom w:val="nil"/>
              <w:right w:val="single" w:sz="4" w:space="0" w:color="D9D9D9"/>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tl/>
              </w:rPr>
              <w:t>משתני דמי לענף</w:t>
            </w:r>
          </w:p>
        </w:tc>
        <w:tc>
          <w:tcPr>
            <w:tcW w:w="2030" w:type="dxa"/>
            <w:tcBorders>
              <w:top w:val="nil"/>
              <w:left w:val="nil"/>
              <w:bottom w:val="nil"/>
              <w:right w:val="single" w:sz="4" w:space="0" w:color="D9D9D9"/>
            </w:tcBorders>
            <w:shd w:val="clear" w:color="000000" w:fill="F5F4F4"/>
            <w:vAlign w:val="center"/>
            <w:hideMark/>
          </w:tcPr>
          <w:p w:rsidR="003E788F" w:rsidRPr="003E788F" w:rsidRDefault="003E788F" w:rsidP="003E788F">
            <w:pPr>
              <w:spacing w:after="0" w:line="240" w:lineRule="auto"/>
              <w:jc w:val="center"/>
              <w:rPr>
                <w:rFonts w:ascii="Assistant" w:eastAsia="Times New Roman" w:hAnsi="Assistant" w:cs="Assistant"/>
                <w:color w:val="000000"/>
                <w:sz w:val="20"/>
                <w:szCs w:val="20"/>
                <w:rtl/>
              </w:rPr>
            </w:pPr>
            <w:r w:rsidRPr="003E788F">
              <w:rPr>
                <w:rFonts w:ascii="Assistant" w:eastAsia="Times New Roman" w:hAnsi="Assistant" w:cs="Assistant"/>
                <w:color w:val="000000"/>
                <w:sz w:val="20"/>
                <w:szCs w:val="20"/>
                <w:rtl/>
              </w:rPr>
              <w:t>כן</w:t>
            </w:r>
          </w:p>
        </w:tc>
        <w:tc>
          <w:tcPr>
            <w:tcW w:w="2080" w:type="dxa"/>
            <w:tcBorders>
              <w:top w:val="nil"/>
              <w:left w:val="nil"/>
              <w:bottom w:val="nil"/>
              <w:right w:val="nil"/>
            </w:tcBorders>
            <w:shd w:val="clear" w:color="000000" w:fill="F5F4F4"/>
            <w:vAlign w:val="center"/>
            <w:hideMark/>
          </w:tcPr>
          <w:p w:rsidR="003E788F" w:rsidRPr="003E788F" w:rsidRDefault="003E788F" w:rsidP="003E788F">
            <w:pPr>
              <w:spacing w:after="0" w:line="240" w:lineRule="auto"/>
              <w:jc w:val="center"/>
              <w:rPr>
                <w:rFonts w:ascii="Assistant" w:eastAsia="Times New Roman" w:hAnsi="Assistant" w:cs="Assistant"/>
                <w:color w:val="000000"/>
                <w:sz w:val="20"/>
                <w:szCs w:val="20"/>
                <w:rtl/>
              </w:rPr>
            </w:pPr>
            <w:r w:rsidRPr="003E788F">
              <w:rPr>
                <w:rFonts w:ascii="Assistant" w:eastAsia="Times New Roman" w:hAnsi="Assistant" w:cs="Assistant"/>
                <w:color w:val="000000"/>
                <w:sz w:val="20"/>
                <w:szCs w:val="20"/>
                <w:rtl/>
              </w:rPr>
              <w:t>כן</w:t>
            </w:r>
          </w:p>
        </w:tc>
      </w:tr>
      <w:tr w:rsidR="003E788F" w:rsidRPr="003E788F" w:rsidTr="00527508">
        <w:trPr>
          <w:trHeight w:val="300"/>
          <w:jc w:val="center"/>
        </w:trPr>
        <w:tc>
          <w:tcPr>
            <w:tcW w:w="2165" w:type="dxa"/>
            <w:tcBorders>
              <w:top w:val="nil"/>
              <w:left w:val="single" w:sz="8" w:space="0" w:color="2EA1CF"/>
              <w:bottom w:val="single" w:sz="8" w:space="0" w:color="2EA1CF"/>
              <w:right w:val="single" w:sz="4" w:space="0" w:color="D9D9D9"/>
            </w:tcBorders>
            <w:shd w:val="clear" w:color="000000" w:fill="D9F0F6"/>
            <w:vAlign w:val="center"/>
            <w:hideMark/>
          </w:tcPr>
          <w:p w:rsidR="003E788F" w:rsidRPr="003E788F" w:rsidRDefault="003E788F" w:rsidP="003E788F">
            <w:pPr>
              <w:bidi w:val="0"/>
              <w:spacing w:after="0" w:line="240" w:lineRule="auto"/>
              <w:jc w:val="center"/>
              <w:rPr>
                <w:rFonts w:ascii="Assistant" w:eastAsia="Times New Roman" w:hAnsi="Assistant" w:cs="Assistant"/>
                <w:b/>
                <w:bCs/>
                <w:color w:val="000000"/>
                <w:sz w:val="20"/>
                <w:szCs w:val="20"/>
                <w:rtl/>
              </w:rPr>
            </w:pPr>
            <w:r w:rsidRPr="003E788F">
              <w:rPr>
                <w:rFonts w:ascii="Assistant" w:eastAsia="Times New Roman" w:hAnsi="Assistant" w:cs="David"/>
                <w:b/>
                <w:color w:val="000000"/>
                <w:sz w:val="20"/>
                <w:szCs w:val="24"/>
              </w:rPr>
              <w:t>R^2</w:t>
            </w:r>
          </w:p>
        </w:tc>
        <w:tc>
          <w:tcPr>
            <w:tcW w:w="2030" w:type="dxa"/>
            <w:tcBorders>
              <w:top w:val="single" w:sz="4" w:space="0" w:color="auto"/>
              <w:left w:val="nil"/>
              <w:bottom w:val="single" w:sz="8" w:space="0" w:color="2EA1CF"/>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Pr>
            </w:pPr>
            <w:r w:rsidRPr="003E788F">
              <w:rPr>
                <w:rFonts w:ascii="Assistant" w:eastAsia="Times New Roman" w:hAnsi="Assistant" w:cs="David"/>
                <w:color w:val="000000"/>
                <w:sz w:val="20"/>
                <w:szCs w:val="24"/>
              </w:rPr>
              <w:t>0.309</w:t>
            </w:r>
          </w:p>
        </w:tc>
        <w:tc>
          <w:tcPr>
            <w:tcW w:w="2080" w:type="dxa"/>
            <w:tcBorders>
              <w:top w:val="single" w:sz="4" w:space="0" w:color="auto"/>
              <w:left w:val="nil"/>
              <w:bottom w:val="single" w:sz="8" w:space="0" w:color="2EA1CF"/>
              <w:right w:val="single" w:sz="8" w:space="0" w:color="2EA1CF"/>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Pr>
            </w:pPr>
            <w:r w:rsidRPr="003E788F">
              <w:rPr>
                <w:rFonts w:ascii="Assistant" w:eastAsia="Times New Roman" w:hAnsi="Assistant" w:cs="David"/>
                <w:color w:val="000000"/>
                <w:sz w:val="20"/>
                <w:szCs w:val="24"/>
              </w:rPr>
              <w:t>0.302</w:t>
            </w:r>
          </w:p>
        </w:tc>
      </w:tr>
      <w:tr w:rsidR="003E788F" w:rsidRPr="003E788F" w:rsidTr="00527508">
        <w:trPr>
          <w:trHeight w:val="285"/>
          <w:jc w:val="center"/>
        </w:trPr>
        <w:tc>
          <w:tcPr>
            <w:tcW w:w="2165"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jc w:val="right"/>
              <w:rPr>
                <w:rFonts w:ascii="Assistant" w:eastAsia="Times New Roman" w:hAnsi="Assistant" w:cs="Assistant"/>
                <w:color w:val="000000"/>
                <w:sz w:val="18"/>
                <w:szCs w:val="18"/>
              </w:rPr>
            </w:pPr>
            <w:r w:rsidRPr="003E788F">
              <w:rPr>
                <w:rFonts w:ascii="Assistant" w:eastAsia="Times New Roman" w:hAnsi="Assistant" w:cs="Assistant"/>
                <w:color w:val="000000"/>
                <w:sz w:val="18"/>
                <w:szCs w:val="18"/>
              </w:rPr>
              <w:t> </w:t>
            </w:r>
          </w:p>
        </w:tc>
        <w:tc>
          <w:tcPr>
            <w:tcW w:w="2030"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jc w:val="right"/>
              <w:rPr>
                <w:rFonts w:ascii="Assistant" w:eastAsia="Times New Roman" w:hAnsi="Assistant" w:cs="Assistant"/>
                <w:color w:val="000000"/>
                <w:sz w:val="18"/>
                <w:szCs w:val="18"/>
              </w:rPr>
            </w:pPr>
            <w:r w:rsidRPr="003E788F">
              <w:rPr>
                <w:rFonts w:ascii="Assistant" w:eastAsia="Times New Roman" w:hAnsi="Assistant" w:cs="Assistant"/>
                <w:color w:val="000000"/>
                <w:sz w:val="18"/>
                <w:szCs w:val="18"/>
              </w:rPr>
              <w:t> </w:t>
            </w:r>
          </w:p>
        </w:tc>
        <w:tc>
          <w:tcPr>
            <w:tcW w:w="2080"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jc w:val="right"/>
              <w:rPr>
                <w:rFonts w:ascii="Assistant" w:eastAsia="Times New Roman" w:hAnsi="Assistant" w:cs="Assistant"/>
                <w:color w:val="000000"/>
                <w:sz w:val="18"/>
                <w:szCs w:val="18"/>
              </w:rPr>
            </w:pPr>
            <w:r w:rsidRPr="003E788F">
              <w:rPr>
                <w:rFonts w:ascii="Assistant" w:eastAsia="Times New Roman" w:hAnsi="Assistant" w:cs="Assistant"/>
                <w:color w:val="000000"/>
                <w:sz w:val="18"/>
                <w:szCs w:val="18"/>
              </w:rPr>
              <w:t> </w:t>
            </w:r>
          </w:p>
        </w:tc>
      </w:tr>
      <w:tr w:rsidR="003E788F" w:rsidRPr="003E788F" w:rsidTr="00527508">
        <w:trPr>
          <w:trHeight w:val="285"/>
          <w:jc w:val="center"/>
        </w:trPr>
        <w:tc>
          <w:tcPr>
            <w:tcW w:w="2165" w:type="dxa"/>
            <w:tcBorders>
              <w:top w:val="nil"/>
              <w:left w:val="nil"/>
              <w:bottom w:val="nil"/>
              <w:right w:val="nil"/>
            </w:tcBorders>
            <w:shd w:val="clear" w:color="000000" w:fill="F5F4F4"/>
            <w:noWrap/>
            <w:vAlign w:val="bottom"/>
            <w:hideMark/>
          </w:tcPr>
          <w:p w:rsidR="003E788F" w:rsidRPr="003E788F" w:rsidRDefault="003E788F" w:rsidP="003E788F">
            <w:pPr>
              <w:spacing w:after="0" w:line="240" w:lineRule="auto"/>
              <w:rPr>
                <w:rFonts w:ascii="Assistant" w:eastAsia="Times New Roman" w:hAnsi="Assistant" w:cs="Assistant"/>
                <w:color w:val="000000"/>
                <w:sz w:val="18"/>
                <w:szCs w:val="18"/>
              </w:rPr>
            </w:pPr>
            <w:r w:rsidRPr="003E788F">
              <w:rPr>
                <w:rFonts w:ascii="Assistant" w:eastAsia="Times New Roman" w:hAnsi="Assistant" w:cs="Assistant"/>
                <w:color w:val="000000"/>
                <w:sz w:val="18"/>
                <w:szCs w:val="18"/>
                <w:rtl/>
              </w:rPr>
              <w:t>המקור: עיבודי בנק ישראל.</w:t>
            </w:r>
          </w:p>
        </w:tc>
        <w:tc>
          <w:tcPr>
            <w:tcW w:w="2030"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jc w:val="right"/>
              <w:rPr>
                <w:rFonts w:ascii="Assistant" w:eastAsia="Times New Roman" w:hAnsi="Assistant" w:cs="Assistant"/>
                <w:color w:val="000000"/>
                <w:sz w:val="18"/>
                <w:szCs w:val="18"/>
                <w:rtl/>
              </w:rPr>
            </w:pPr>
            <w:r w:rsidRPr="003E788F">
              <w:rPr>
                <w:rFonts w:ascii="Assistant" w:eastAsia="Times New Roman" w:hAnsi="Assistant" w:cs="Assistant"/>
                <w:color w:val="000000"/>
                <w:sz w:val="18"/>
                <w:szCs w:val="18"/>
              </w:rPr>
              <w:t> </w:t>
            </w:r>
          </w:p>
        </w:tc>
        <w:tc>
          <w:tcPr>
            <w:tcW w:w="2080"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jc w:val="right"/>
              <w:rPr>
                <w:rFonts w:ascii="Assistant" w:eastAsia="Times New Roman" w:hAnsi="Assistant" w:cs="Assistant"/>
                <w:color w:val="000000"/>
                <w:sz w:val="18"/>
                <w:szCs w:val="18"/>
              </w:rPr>
            </w:pPr>
            <w:r w:rsidRPr="003E788F">
              <w:rPr>
                <w:rFonts w:ascii="Assistant" w:eastAsia="Times New Roman" w:hAnsi="Assistant" w:cs="Assistant"/>
                <w:color w:val="000000"/>
                <w:sz w:val="18"/>
                <w:szCs w:val="18"/>
              </w:rPr>
              <w:t> </w:t>
            </w:r>
          </w:p>
        </w:tc>
      </w:tr>
    </w:tbl>
    <w:p w:rsidR="003E788F" w:rsidRPr="003E788F" w:rsidRDefault="003E788F" w:rsidP="003E788F">
      <w:pPr>
        <w:tabs>
          <w:tab w:val="left" w:pos="2627"/>
        </w:tabs>
        <w:spacing w:after="120"/>
        <w:rPr>
          <w:rFonts w:ascii="David" w:eastAsia="Times New Roman" w:hAnsi="David" w:cs="David"/>
          <w:sz w:val="24"/>
          <w:szCs w:val="24"/>
          <w:rtl/>
        </w:rPr>
      </w:pPr>
    </w:p>
    <w:p w:rsidR="003E788F" w:rsidRPr="003E788F" w:rsidRDefault="003E788F" w:rsidP="003E788F">
      <w:pPr>
        <w:keepNext/>
        <w:keepLines/>
        <w:numPr>
          <w:ilvl w:val="1"/>
          <w:numId w:val="1"/>
        </w:numPr>
        <w:spacing w:before="200" w:after="0" w:line="360" w:lineRule="auto"/>
        <w:jc w:val="both"/>
        <w:outlineLvl w:val="1"/>
        <w:rPr>
          <w:rFonts w:ascii="Cambria" w:eastAsia="Times New Roman" w:hAnsi="Cambria" w:cs="David"/>
          <w:b/>
          <w:bCs/>
          <w:caps/>
          <w:spacing w:val="15"/>
          <w:sz w:val="24"/>
          <w:szCs w:val="32"/>
        </w:rPr>
      </w:pPr>
      <w:bookmarkStart w:id="42" w:name="_Toc42773273"/>
      <w:bookmarkStart w:id="43" w:name="_Toc45016700"/>
      <w:bookmarkStart w:id="44" w:name="_Toc43999477"/>
      <w:bookmarkStart w:id="45" w:name="_Toc46064937"/>
      <w:bookmarkStart w:id="46" w:name="_Toc46160354"/>
      <w:bookmarkStart w:id="47" w:name="_Toc46160708"/>
      <w:r w:rsidRPr="003E788F">
        <w:rPr>
          <w:rFonts w:ascii="Cambria" w:eastAsia="Times New Roman" w:hAnsi="Cambria" w:cs="David" w:hint="cs"/>
          <w:b/>
          <w:bCs/>
          <w:caps/>
          <w:spacing w:val="15"/>
          <w:sz w:val="24"/>
          <w:szCs w:val="32"/>
          <w:rtl/>
        </w:rPr>
        <w:t>האם השוק מתמחר את הקשיים הצפויים לחברות בתרחיש שנבחן?</w:t>
      </w:r>
      <w:bookmarkEnd w:id="42"/>
      <w:bookmarkEnd w:id="43"/>
      <w:bookmarkEnd w:id="44"/>
      <w:bookmarkEnd w:id="45"/>
      <w:bookmarkEnd w:id="46"/>
      <w:bookmarkEnd w:id="47"/>
    </w:p>
    <w:p w:rsidR="003E788F" w:rsidRPr="003E788F" w:rsidRDefault="003E788F" w:rsidP="003E788F">
      <w:pPr>
        <w:tabs>
          <w:tab w:val="left" w:pos="1995"/>
          <w:tab w:val="left" w:pos="2627"/>
        </w:tabs>
        <w:spacing w:after="120" w:line="360" w:lineRule="auto"/>
        <w:jc w:val="both"/>
        <w:rPr>
          <w:rFonts w:ascii="David" w:eastAsia="Times New Roman" w:hAnsi="David" w:cs="David"/>
          <w:sz w:val="24"/>
          <w:szCs w:val="24"/>
          <w:rtl/>
        </w:rPr>
      </w:pPr>
      <w:r w:rsidRPr="003E788F">
        <w:rPr>
          <w:rFonts w:ascii="David" w:eastAsia="Times New Roman" w:hAnsi="David" w:cs="David"/>
          <w:sz w:val="24"/>
          <w:szCs w:val="24"/>
          <w:rtl/>
        </w:rPr>
        <w:t xml:space="preserve">שאלת מפתח הן מההיבט של יציבות פיננסית והן מההיבט של יעילות השוק היא אם השוק מתמחר את </w:t>
      </w:r>
      <w:r w:rsidRPr="003E788F">
        <w:rPr>
          <w:rFonts w:ascii="David" w:eastAsia="Times New Roman" w:hAnsi="David" w:cs="David" w:hint="cs"/>
          <w:sz w:val="24"/>
          <w:szCs w:val="24"/>
          <w:rtl/>
        </w:rPr>
        <w:t>ההשפעה</w:t>
      </w:r>
      <w:r w:rsidRPr="003E788F">
        <w:rPr>
          <w:rFonts w:ascii="David" w:eastAsia="Times New Roman" w:hAnsi="David" w:cs="David"/>
          <w:sz w:val="24"/>
          <w:szCs w:val="24"/>
          <w:rtl/>
        </w:rPr>
        <w:t xml:space="preserve"> השלילי</w:t>
      </w:r>
      <w:r w:rsidRPr="003E788F">
        <w:rPr>
          <w:rFonts w:ascii="David" w:eastAsia="Times New Roman" w:hAnsi="David" w:cs="David" w:hint="cs"/>
          <w:sz w:val="24"/>
          <w:szCs w:val="24"/>
          <w:rtl/>
        </w:rPr>
        <w:t>ת</w:t>
      </w:r>
      <w:r w:rsidRPr="003E788F">
        <w:rPr>
          <w:rFonts w:ascii="David" w:eastAsia="Times New Roman" w:hAnsi="David" w:cs="David"/>
          <w:sz w:val="24"/>
          <w:szCs w:val="24"/>
          <w:rtl/>
        </w:rPr>
        <w:t xml:space="preserve"> של המשבר הנוכחי על יכולת</w:t>
      </w:r>
      <w:r w:rsidRPr="003E788F">
        <w:rPr>
          <w:rFonts w:ascii="David" w:eastAsia="Times New Roman" w:hAnsi="David" w:cs="David" w:hint="cs"/>
          <w:sz w:val="24"/>
          <w:szCs w:val="24"/>
          <w:rtl/>
        </w:rPr>
        <w:t>ה</w:t>
      </w:r>
      <w:r w:rsidRPr="003E788F">
        <w:rPr>
          <w:rFonts w:ascii="David" w:eastAsia="Times New Roman" w:hAnsi="David" w:cs="David"/>
          <w:sz w:val="24"/>
          <w:szCs w:val="24"/>
          <w:rtl/>
        </w:rPr>
        <w:t xml:space="preserve"> של חברה להניב תזרים מזומנים שיספיק כדי לשרת את הוצאותיה </w:t>
      </w:r>
      <w:r w:rsidRPr="003E788F">
        <w:rPr>
          <w:rFonts w:ascii="David" w:eastAsia="Times New Roman" w:hAnsi="David" w:cs="David" w:hint="eastAsia"/>
          <w:sz w:val="24"/>
          <w:szCs w:val="24"/>
          <w:rtl/>
        </w:rPr>
        <w:t>ואת</w:t>
      </w:r>
      <w:r w:rsidRPr="003E788F">
        <w:rPr>
          <w:rFonts w:ascii="David" w:eastAsia="Times New Roman" w:hAnsi="David" w:cs="David"/>
          <w:sz w:val="24"/>
          <w:szCs w:val="24"/>
          <w:rtl/>
        </w:rPr>
        <w:t xml:space="preserve"> </w:t>
      </w:r>
      <w:r w:rsidRPr="003E788F">
        <w:rPr>
          <w:rFonts w:ascii="David" w:eastAsia="Times New Roman" w:hAnsi="David" w:cs="David" w:hint="cs"/>
          <w:sz w:val="24"/>
          <w:szCs w:val="24"/>
          <w:rtl/>
        </w:rPr>
        <w:t>הפגיעה</w:t>
      </w:r>
      <w:r w:rsidRPr="003E788F">
        <w:rPr>
          <w:rFonts w:ascii="David" w:eastAsia="Times New Roman" w:hAnsi="David" w:cs="David"/>
          <w:sz w:val="24"/>
          <w:szCs w:val="24"/>
          <w:rtl/>
        </w:rPr>
        <w:t xml:space="preserve"> הצפויה בהו</w:t>
      </w:r>
      <w:r w:rsidRPr="003E788F">
        <w:rPr>
          <w:rFonts w:ascii="David" w:eastAsia="Times New Roman" w:hAnsi="David" w:cs="David" w:hint="cs"/>
          <w:sz w:val="24"/>
          <w:szCs w:val="24"/>
          <w:rtl/>
        </w:rPr>
        <w:t>ן שלה.</w:t>
      </w:r>
      <w:r w:rsidRPr="003E788F">
        <w:rPr>
          <w:rFonts w:ascii="David" w:eastAsia="Times New Roman" w:hAnsi="David" w:cs="David"/>
          <w:sz w:val="24"/>
          <w:szCs w:val="24"/>
          <w:rtl/>
        </w:rPr>
        <w:t xml:space="preserve"> ממצא </w:t>
      </w:r>
      <w:r w:rsidRPr="003E788F">
        <w:rPr>
          <w:rFonts w:ascii="David" w:eastAsia="Times New Roman" w:hAnsi="David" w:cs="David" w:hint="cs"/>
          <w:sz w:val="24"/>
          <w:szCs w:val="24"/>
          <w:rtl/>
        </w:rPr>
        <w:t xml:space="preserve">אשר </w:t>
      </w:r>
      <w:r w:rsidRPr="003E788F">
        <w:rPr>
          <w:rFonts w:ascii="David" w:eastAsia="Times New Roman" w:hAnsi="David" w:cs="David"/>
          <w:sz w:val="24"/>
          <w:szCs w:val="24"/>
          <w:rtl/>
        </w:rPr>
        <w:t>לפיו השוק מתמחר</w:t>
      </w:r>
      <w:r w:rsidRPr="003E788F">
        <w:rPr>
          <w:rFonts w:ascii="David" w:eastAsia="Times New Roman" w:hAnsi="David" w:cs="David" w:hint="cs"/>
          <w:sz w:val="24"/>
          <w:szCs w:val="24"/>
          <w:rtl/>
        </w:rPr>
        <w:t xml:space="preserve"> בממוצע </w:t>
      </w:r>
      <w:r w:rsidRPr="003E788F">
        <w:rPr>
          <w:rFonts w:ascii="David" w:eastAsia="Times New Roman" w:hAnsi="David" w:cs="David"/>
          <w:sz w:val="24"/>
          <w:szCs w:val="24"/>
          <w:rtl/>
        </w:rPr>
        <w:t xml:space="preserve">את </w:t>
      </w:r>
      <w:r w:rsidRPr="003E788F">
        <w:rPr>
          <w:rFonts w:ascii="David" w:eastAsia="Times New Roman" w:hAnsi="David" w:cs="David"/>
          <w:sz w:val="24"/>
          <w:szCs w:val="24"/>
          <w:rtl/>
        </w:rPr>
        <w:lastRenderedPageBreak/>
        <w:t xml:space="preserve">התחזית </w:t>
      </w:r>
      <w:r w:rsidRPr="003E788F">
        <w:rPr>
          <w:rFonts w:ascii="David" w:eastAsia="Times New Roman" w:hAnsi="David" w:cs="David" w:hint="cs"/>
          <w:sz w:val="24"/>
          <w:szCs w:val="24"/>
          <w:rtl/>
        </w:rPr>
        <w:t>ה</w:t>
      </w:r>
      <w:r w:rsidRPr="003E788F">
        <w:rPr>
          <w:rFonts w:ascii="David" w:eastAsia="Times New Roman" w:hAnsi="David" w:cs="David"/>
          <w:sz w:val="24"/>
          <w:szCs w:val="24"/>
          <w:rtl/>
        </w:rPr>
        <w:t>עולה ממסגרת הניתוח ב</w:t>
      </w:r>
      <w:r w:rsidRPr="003E788F">
        <w:rPr>
          <w:rFonts w:ascii="David" w:eastAsia="Times New Roman" w:hAnsi="David" w:cs="David" w:hint="cs"/>
          <w:sz w:val="24"/>
          <w:szCs w:val="24"/>
          <w:rtl/>
        </w:rPr>
        <w:t>מסמך</w:t>
      </w:r>
      <w:r w:rsidRPr="003E788F">
        <w:rPr>
          <w:rFonts w:ascii="David" w:eastAsia="Times New Roman" w:hAnsi="David" w:cs="David"/>
          <w:sz w:val="24"/>
          <w:szCs w:val="24"/>
          <w:rtl/>
        </w:rPr>
        <w:t xml:space="preserve"> זה, יהווה חיזוק לתקפות המסגרת המוצעת </w:t>
      </w:r>
      <w:r w:rsidRPr="003E788F">
        <w:rPr>
          <w:rFonts w:ascii="David" w:eastAsia="Times New Roman" w:hAnsi="David" w:cs="David" w:hint="cs"/>
          <w:sz w:val="24"/>
          <w:szCs w:val="24"/>
          <w:rtl/>
        </w:rPr>
        <w:t>במסמך</w:t>
      </w:r>
      <w:r w:rsidRPr="003E788F">
        <w:rPr>
          <w:rFonts w:ascii="David" w:eastAsia="Times New Roman" w:hAnsi="David" w:cs="David"/>
          <w:sz w:val="24"/>
          <w:szCs w:val="24"/>
          <w:rtl/>
        </w:rPr>
        <w:t xml:space="preserve">. </w:t>
      </w:r>
      <w:r w:rsidRPr="003E788F">
        <w:rPr>
          <w:rFonts w:ascii="David" w:eastAsia="Times New Roman" w:hAnsi="David" w:cs="David" w:hint="cs"/>
          <w:sz w:val="24"/>
          <w:szCs w:val="24"/>
          <w:rtl/>
        </w:rPr>
        <w:t xml:space="preserve">איור 2 </w:t>
      </w:r>
      <w:r w:rsidRPr="003E788F">
        <w:rPr>
          <w:rFonts w:ascii="David" w:eastAsia="Times New Roman" w:hAnsi="David" w:cs="David"/>
          <w:sz w:val="24"/>
          <w:szCs w:val="24"/>
          <w:rtl/>
        </w:rPr>
        <w:t xml:space="preserve">מציג את המתאם בין שיעור החברות </w:t>
      </w:r>
      <w:r w:rsidRPr="003E788F">
        <w:rPr>
          <w:rFonts w:ascii="David" w:eastAsia="Times New Roman" w:hAnsi="David" w:cs="David" w:hint="cs"/>
          <w:sz w:val="24"/>
          <w:szCs w:val="24"/>
          <w:rtl/>
        </w:rPr>
        <w:t>שלגביהן חזויה</w:t>
      </w:r>
      <w:r w:rsidRPr="003E788F">
        <w:rPr>
          <w:rFonts w:ascii="David" w:eastAsia="Times New Roman" w:hAnsi="David" w:cs="David"/>
          <w:sz w:val="24"/>
          <w:szCs w:val="24"/>
          <w:rtl/>
        </w:rPr>
        <w:t xml:space="preserve"> פגיעה חזויה בהון או ב-</w:t>
      </w:r>
      <w:r w:rsidRPr="003E788F">
        <w:rPr>
          <w:rFonts w:ascii="David" w:eastAsia="Times New Roman" w:hAnsi="David" w:cs="David"/>
          <w:sz w:val="24"/>
          <w:szCs w:val="24"/>
        </w:rPr>
        <w:t>EBITDA</w:t>
      </w:r>
      <w:r w:rsidRPr="003E788F">
        <w:rPr>
          <w:rFonts w:ascii="David" w:eastAsia="Times New Roman" w:hAnsi="David" w:cs="David"/>
          <w:sz w:val="24"/>
          <w:szCs w:val="24"/>
          <w:rtl/>
        </w:rPr>
        <w:t xml:space="preserve"> לפי ענפים </w:t>
      </w:r>
      <w:r w:rsidRPr="003E788F">
        <w:rPr>
          <w:rFonts w:ascii="David" w:eastAsia="Times New Roman" w:hAnsi="David" w:cs="David" w:hint="cs"/>
          <w:sz w:val="24"/>
          <w:szCs w:val="24"/>
          <w:rtl/>
        </w:rPr>
        <w:t>לבין תשואות האג"ח הענפיות במהלך המשבר</w:t>
      </w:r>
      <w:r w:rsidRPr="003E788F">
        <w:rPr>
          <w:rFonts w:ascii="David" w:eastAsia="Times New Roman" w:hAnsi="David" w:cs="David"/>
          <w:sz w:val="24"/>
          <w:szCs w:val="24"/>
          <w:rtl/>
        </w:rPr>
        <w:t>.</w:t>
      </w:r>
    </w:p>
    <w:p w:rsidR="003E788F" w:rsidRPr="003E788F" w:rsidRDefault="003E788F" w:rsidP="003E788F">
      <w:pPr>
        <w:tabs>
          <w:tab w:val="left" w:pos="1995"/>
          <w:tab w:val="left" w:pos="2627"/>
        </w:tabs>
        <w:spacing w:after="120" w:line="360" w:lineRule="auto"/>
        <w:jc w:val="center"/>
        <w:rPr>
          <w:rFonts w:ascii="David" w:eastAsia="Times New Roman" w:hAnsi="David" w:cs="David"/>
          <w:sz w:val="24"/>
          <w:szCs w:val="24"/>
          <w:rtl/>
        </w:rPr>
      </w:pPr>
      <w:r w:rsidRPr="003E788F">
        <w:rPr>
          <w:rFonts w:ascii="Times New Roman" w:eastAsia="Times New Roman" w:hAnsi="Times New Roman" w:cs="David"/>
          <w:noProof/>
          <w:sz w:val="24"/>
          <w:szCs w:val="24"/>
          <w:rtl/>
        </w:rPr>
        <w:drawing>
          <wp:inline distT="0" distB="0" distL="0" distR="0" wp14:anchorId="4525569D" wp14:editId="44789FA0">
            <wp:extent cx="3714780" cy="3438525"/>
            <wp:effectExtent l="0" t="0" r="0" b="0"/>
            <wp:docPr id="114" name="תמונה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7379" cy="3440931"/>
                    </a:xfrm>
                    <a:prstGeom prst="rect">
                      <a:avLst/>
                    </a:prstGeom>
                    <a:noFill/>
                    <a:ln>
                      <a:noFill/>
                    </a:ln>
                  </pic:spPr>
                </pic:pic>
              </a:graphicData>
            </a:graphic>
          </wp:inline>
        </w:drawing>
      </w:r>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כדי לבחון את השאלה הרצנו במסגרת רגרסיה ליניארית את התשואות על האג"ח הקונצרניות של החברות שניתחנו בסוף חודש מרץ ובסוף חודש אפריל על משתנה דמי, המקבל "1" אם הפגיעה החזויה בהון של החברה בשנת 2020 עולה על 30% ואפס אחרת. תוצאות הרגרסיה מוצגות בלוח 3 ומהן עולה כי יש מתאם חיובי ברמת מובהקות סטטיסטית של 10%, בין הפגיעה החזויה בהון, הנאמדת על פי המסגרת שבמסמך הנוכחי, לבין תשואות האג"ח של החברות מאז שהתחיל המשבר. המתאם מחזק את התקפות של מסגרת הניתוח המוצעת במסמך הנוכחי.</w:t>
      </w:r>
    </w:p>
    <w:tbl>
      <w:tblPr>
        <w:bidiVisual/>
        <w:tblW w:w="6380" w:type="dxa"/>
        <w:jc w:val="center"/>
        <w:tblLook w:val="04A0" w:firstRow="1" w:lastRow="0" w:firstColumn="1" w:lastColumn="0" w:noHBand="0" w:noVBand="1"/>
      </w:tblPr>
      <w:tblGrid>
        <w:gridCol w:w="1960"/>
        <w:gridCol w:w="2340"/>
        <w:gridCol w:w="2080"/>
      </w:tblGrid>
      <w:tr w:rsidR="003E788F" w:rsidRPr="003E788F" w:rsidTr="00527508">
        <w:trPr>
          <w:trHeight w:val="300"/>
          <w:jc w:val="center"/>
        </w:trPr>
        <w:tc>
          <w:tcPr>
            <w:tcW w:w="1960"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Pr>
            </w:pPr>
            <w:r w:rsidRPr="003E788F">
              <w:rPr>
                <w:rFonts w:ascii="Assistant" w:eastAsia="Times New Roman" w:hAnsi="Assistant" w:cs="Assistant"/>
                <w:color w:val="000000"/>
              </w:rPr>
              <w:t> </w:t>
            </w:r>
          </w:p>
        </w:tc>
        <w:tc>
          <w:tcPr>
            <w:tcW w:w="2340"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Pr>
            </w:pPr>
            <w:r w:rsidRPr="003E788F">
              <w:rPr>
                <w:rFonts w:ascii="Assistant" w:eastAsia="Times New Roman" w:hAnsi="Assistant" w:cs="Assistant"/>
                <w:color w:val="000000"/>
              </w:rPr>
              <w:t> </w:t>
            </w:r>
          </w:p>
        </w:tc>
        <w:tc>
          <w:tcPr>
            <w:tcW w:w="2080"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Pr>
            </w:pPr>
            <w:r w:rsidRPr="003E788F">
              <w:rPr>
                <w:rFonts w:ascii="Assistant" w:eastAsia="Times New Roman" w:hAnsi="Assistant" w:cs="Assistant"/>
                <w:color w:val="000000"/>
              </w:rPr>
              <w:t> </w:t>
            </w:r>
          </w:p>
        </w:tc>
      </w:tr>
      <w:tr w:rsidR="003E788F" w:rsidRPr="003E788F" w:rsidTr="00527508">
        <w:trPr>
          <w:trHeight w:val="930"/>
          <w:jc w:val="center"/>
        </w:trPr>
        <w:tc>
          <w:tcPr>
            <w:tcW w:w="6380" w:type="dxa"/>
            <w:gridSpan w:val="3"/>
            <w:tcBorders>
              <w:top w:val="nil"/>
              <w:left w:val="nil"/>
              <w:bottom w:val="nil"/>
              <w:right w:val="nil"/>
            </w:tcBorders>
            <w:shd w:val="clear" w:color="000000" w:fill="F5F4F4"/>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4"/>
                <w:szCs w:val="24"/>
              </w:rPr>
            </w:pPr>
            <w:r w:rsidRPr="003E788F">
              <w:rPr>
                <w:rFonts w:ascii="Assistant" w:eastAsia="Times New Roman" w:hAnsi="Assistant" w:cs="Assistant"/>
                <w:b/>
                <w:bCs/>
                <w:color w:val="000000"/>
                <w:sz w:val="24"/>
                <w:szCs w:val="24"/>
                <w:rtl/>
              </w:rPr>
              <w:t xml:space="preserve">לוח 3: רגרסיית </w:t>
            </w:r>
            <w:r w:rsidRPr="003E788F">
              <w:rPr>
                <w:rFonts w:ascii="Assistant" w:eastAsia="Times New Roman" w:hAnsi="Assistant" w:cs="Assistant"/>
                <w:b/>
                <w:bCs/>
                <w:color w:val="000000"/>
                <w:sz w:val="24"/>
                <w:szCs w:val="24"/>
              </w:rPr>
              <w:t>OLS</w:t>
            </w:r>
            <w:r w:rsidRPr="003E788F">
              <w:rPr>
                <w:rFonts w:ascii="Assistant" w:eastAsia="Times New Roman" w:hAnsi="Assistant" w:cs="Assistant"/>
                <w:b/>
                <w:bCs/>
                <w:color w:val="000000"/>
                <w:sz w:val="24"/>
                <w:szCs w:val="24"/>
                <w:rtl/>
              </w:rPr>
              <w:t xml:space="preserve"> </w:t>
            </w:r>
            <w:r w:rsidRPr="003E788F">
              <w:rPr>
                <w:rFonts w:ascii="Assistant" w:eastAsia="Times New Roman" w:hAnsi="Assistant" w:cs="Assistant"/>
                <w:b/>
                <w:bCs/>
                <w:color w:val="000000"/>
                <w:sz w:val="24"/>
                <w:szCs w:val="24"/>
                <w:rtl/>
              </w:rPr>
              <w:br/>
              <w:t>המתאם בין תשואות האג"ח בחודשים מרץ ואפריל לפגיעה החזויה בהון של החברה</w:t>
            </w:r>
          </w:p>
        </w:tc>
      </w:tr>
      <w:tr w:rsidR="003E788F" w:rsidRPr="003E788F" w:rsidTr="00527508">
        <w:trPr>
          <w:trHeight w:val="315"/>
          <w:jc w:val="center"/>
        </w:trPr>
        <w:tc>
          <w:tcPr>
            <w:tcW w:w="1960" w:type="dxa"/>
            <w:tcBorders>
              <w:top w:val="nil"/>
              <w:left w:val="nil"/>
              <w:bottom w:val="single" w:sz="8" w:space="0" w:color="2EA1CF"/>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tl/>
              </w:rPr>
            </w:pPr>
            <w:r w:rsidRPr="003E788F">
              <w:rPr>
                <w:rFonts w:ascii="Assistant" w:eastAsia="Times New Roman" w:hAnsi="Assistant" w:cs="Assistant"/>
                <w:color w:val="000000"/>
              </w:rPr>
              <w:t> </w:t>
            </w:r>
          </w:p>
        </w:tc>
        <w:tc>
          <w:tcPr>
            <w:tcW w:w="2340" w:type="dxa"/>
            <w:tcBorders>
              <w:top w:val="nil"/>
              <w:left w:val="nil"/>
              <w:bottom w:val="single" w:sz="8" w:space="0" w:color="2EA1CF"/>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Pr>
            </w:pPr>
            <w:r w:rsidRPr="003E788F">
              <w:rPr>
                <w:rFonts w:ascii="Assistant" w:eastAsia="Times New Roman" w:hAnsi="Assistant" w:cs="Assistant"/>
                <w:color w:val="000000"/>
              </w:rPr>
              <w:t> </w:t>
            </w:r>
          </w:p>
        </w:tc>
        <w:tc>
          <w:tcPr>
            <w:tcW w:w="2080" w:type="dxa"/>
            <w:tcBorders>
              <w:top w:val="nil"/>
              <w:left w:val="nil"/>
              <w:bottom w:val="single" w:sz="8" w:space="0" w:color="2EA1CF"/>
              <w:right w:val="nil"/>
            </w:tcBorders>
            <w:shd w:val="clear" w:color="000000" w:fill="F5F4F4"/>
            <w:noWrap/>
            <w:vAlign w:val="bottom"/>
            <w:hideMark/>
          </w:tcPr>
          <w:p w:rsidR="003E788F" w:rsidRPr="003E788F" w:rsidRDefault="003E788F" w:rsidP="003E788F">
            <w:pPr>
              <w:bidi w:val="0"/>
              <w:spacing w:after="0" w:line="240" w:lineRule="auto"/>
              <w:rPr>
                <w:rFonts w:ascii="Assistant" w:eastAsia="Times New Roman" w:hAnsi="Assistant" w:cs="Assistant"/>
                <w:color w:val="000000"/>
              </w:rPr>
            </w:pPr>
            <w:r w:rsidRPr="003E788F">
              <w:rPr>
                <w:rFonts w:ascii="Assistant" w:eastAsia="Times New Roman" w:hAnsi="Assistant" w:cs="Assistant"/>
                <w:color w:val="000000"/>
              </w:rPr>
              <w:t> </w:t>
            </w:r>
          </w:p>
        </w:tc>
      </w:tr>
      <w:tr w:rsidR="003E788F" w:rsidRPr="003E788F" w:rsidTr="00527508">
        <w:trPr>
          <w:trHeight w:val="390"/>
          <w:jc w:val="center"/>
        </w:trPr>
        <w:tc>
          <w:tcPr>
            <w:tcW w:w="1960" w:type="dxa"/>
            <w:tcBorders>
              <w:top w:val="nil"/>
              <w:left w:val="single" w:sz="8" w:space="0" w:color="2EA1CF"/>
              <w:bottom w:val="nil"/>
              <w:right w:val="nil"/>
            </w:tcBorders>
            <w:shd w:val="clear" w:color="000000" w:fill="D9F0F6"/>
            <w:vAlign w:val="center"/>
            <w:hideMark/>
          </w:tcPr>
          <w:p w:rsidR="003E788F" w:rsidRPr="003E788F" w:rsidRDefault="003E788F" w:rsidP="003E788F">
            <w:pPr>
              <w:bidi w:val="0"/>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Pr>
              <w:t> </w:t>
            </w:r>
          </w:p>
        </w:tc>
        <w:tc>
          <w:tcPr>
            <w:tcW w:w="4420" w:type="dxa"/>
            <w:gridSpan w:val="2"/>
            <w:tcBorders>
              <w:top w:val="single" w:sz="8" w:space="0" w:color="2EA1CF"/>
              <w:left w:val="single" w:sz="4" w:space="0" w:color="D9D9D9"/>
              <w:bottom w:val="single" w:sz="4" w:space="0" w:color="D9D9D9"/>
              <w:right w:val="nil"/>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tl/>
              </w:rPr>
              <w:t>המשתנה התלוי:</w:t>
            </w:r>
          </w:p>
        </w:tc>
      </w:tr>
      <w:tr w:rsidR="003E788F" w:rsidRPr="003E788F" w:rsidTr="00527508">
        <w:trPr>
          <w:trHeight w:val="285"/>
          <w:jc w:val="center"/>
        </w:trPr>
        <w:tc>
          <w:tcPr>
            <w:tcW w:w="1960" w:type="dxa"/>
            <w:tcBorders>
              <w:top w:val="nil"/>
              <w:left w:val="single" w:sz="8" w:space="0" w:color="2EA1CF"/>
              <w:bottom w:val="single" w:sz="4" w:space="0" w:color="D9D9D9"/>
              <w:right w:val="nil"/>
            </w:tcBorders>
            <w:shd w:val="clear" w:color="000000" w:fill="D9F0F6"/>
            <w:vAlign w:val="center"/>
            <w:hideMark/>
          </w:tcPr>
          <w:p w:rsidR="003E788F" w:rsidRPr="003E788F" w:rsidRDefault="003E788F" w:rsidP="003E788F">
            <w:pPr>
              <w:bidi w:val="0"/>
              <w:spacing w:after="0" w:line="240" w:lineRule="auto"/>
              <w:jc w:val="center"/>
              <w:rPr>
                <w:rFonts w:ascii="Assistant" w:eastAsia="Times New Roman" w:hAnsi="Assistant" w:cs="Assistant"/>
                <w:b/>
                <w:bCs/>
                <w:color w:val="000000"/>
                <w:sz w:val="20"/>
                <w:szCs w:val="20"/>
                <w:rtl/>
              </w:rPr>
            </w:pPr>
            <w:r w:rsidRPr="003E788F">
              <w:rPr>
                <w:rFonts w:ascii="Assistant" w:eastAsia="Times New Roman" w:hAnsi="Assistant" w:cs="Assistant"/>
                <w:b/>
                <w:bCs/>
                <w:color w:val="000000"/>
                <w:sz w:val="20"/>
                <w:szCs w:val="20"/>
              </w:rPr>
              <w:t> </w:t>
            </w:r>
          </w:p>
        </w:tc>
        <w:tc>
          <w:tcPr>
            <w:tcW w:w="2340" w:type="dxa"/>
            <w:tcBorders>
              <w:top w:val="nil"/>
              <w:left w:val="single" w:sz="4" w:space="0" w:color="D9D9D9"/>
              <w:bottom w:val="nil"/>
              <w:right w:val="single" w:sz="4" w:space="0" w:color="D9D9D9"/>
            </w:tcBorders>
            <w:shd w:val="clear" w:color="000000" w:fill="D9F0F6"/>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Pr>
            </w:pPr>
            <w:r w:rsidRPr="003E788F">
              <w:rPr>
                <w:rFonts w:ascii="Assistant" w:eastAsia="Times New Roman" w:hAnsi="Assistant" w:cs="Assistant"/>
                <w:color w:val="000000"/>
                <w:sz w:val="20"/>
                <w:szCs w:val="20"/>
                <w:rtl/>
              </w:rPr>
              <w:t>התשואות לסוף מרץ</w:t>
            </w:r>
          </w:p>
        </w:tc>
        <w:tc>
          <w:tcPr>
            <w:tcW w:w="2080" w:type="dxa"/>
            <w:tcBorders>
              <w:top w:val="nil"/>
              <w:left w:val="single" w:sz="4" w:space="0" w:color="D9D9D9"/>
              <w:bottom w:val="nil"/>
              <w:right w:val="single" w:sz="4" w:space="0" w:color="D9D9D9"/>
            </w:tcBorders>
            <w:shd w:val="clear" w:color="000000" w:fill="D9F0F6"/>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Pr>
            </w:pPr>
            <w:r w:rsidRPr="003E788F">
              <w:rPr>
                <w:rFonts w:ascii="Assistant" w:eastAsia="Times New Roman" w:hAnsi="Assistant" w:cs="Assistant"/>
                <w:color w:val="000000"/>
                <w:sz w:val="20"/>
                <w:szCs w:val="20"/>
                <w:rtl/>
              </w:rPr>
              <w:t>התשואות לסוף אפריל</w:t>
            </w:r>
          </w:p>
        </w:tc>
      </w:tr>
      <w:tr w:rsidR="003E788F" w:rsidRPr="003E788F" w:rsidTr="00527508">
        <w:trPr>
          <w:trHeight w:val="540"/>
          <w:jc w:val="center"/>
        </w:trPr>
        <w:tc>
          <w:tcPr>
            <w:tcW w:w="1960" w:type="dxa"/>
            <w:tcBorders>
              <w:top w:val="nil"/>
              <w:left w:val="single" w:sz="8" w:space="0" w:color="2EA1CF"/>
              <w:bottom w:val="nil"/>
              <w:right w:val="single" w:sz="4" w:space="0" w:color="D9D9D9"/>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tl/>
              </w:rPr>
              <w:t>הפגיעה החזויה בהון בשיעור גבוה מ - 30%</w:t>
            </w:r>
          </w:p>
        </w:tc>
        <w:tc>
          <w:tcPr>
            <w:tcW w:w="2340" w:type="dxa"/>
            <w:tcBorders>
              <w:top w:val="single" w:sz="4" w:space="0" w:color="D9D9D9"/>
              <w:left w:val="single" w:sz="4" w:space="0" w:color="D9D9D9"/>
              <w:bottom w:val="nil"/>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b/>
                <w:bCs/>
                <w:color w:val="000000"/>
                <w:sz w:val="20"/>
                <w:szCs w:val="20"/>
                <w:rtl/>
              </w:rPr>
            </w:pPr>
            <w:r w:rsidRPr="003E788F">
              <w:rPr>
                <w:rFonts w:ascii="Assistant" w:eastAsia="Times New Roman" w:hAnsi="Assistant" w:cs="David"/>
                <w:b/>
                <w:color w:val="000000"/>
                <w:sz w:val="20"/>
                <w:szCs w:val="24"/>
              </w:rPr>
              <w:t>0.017*</w:t>
            </w:r>
            <w:r w:rsidRPr="003E788F">
              <w:rPr>
                <w:rFonts w:ascii="Assistant" w:eastAsia="Times New Roman" w:hAnsi="Assistant" w:cs="Assistant"/>
                <w:b/>
                <w:bCs/>
                <w:color w:val="000000"/>
                <w:sz w:val="20"/>
                <w:szCs w:val="20"/>
              </w:rPr>
              <w:br/>
            </w:r>
            <w:r w:rsidRPr="003E788F">
              <w:rPr>
                <w:rFonts w:ascii="Assistant" w:eastAsia="Times New Roman" w:hAnsi="Assistant" w:cs="David"/>
                <w:b/>
                <w:color w:val="000000"/>
                <w:sz w:val="20"/>
                <w:szCs w:val="24"/>
              </w:rPr>
              <w:t>(0.009)</w:t>
            </w:r>
          </w:p>
        </w:tc>
        <w:tc>
          <w:tcPr>
            <w:tcW w:w="2080" w:type="dxa"/>
            <w:tcBorders>
              <w:top w:val="single" w:sz="4" w:space="0" w:color="D9D9D9"/>
              <w:left w:val="single" w:sz="4" w:space="0" w:color="D9D9D9"/>
              <w:bottom w:val="nil"/>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David"/>
                <w:b/>
                <w:color w:val="000000"/>
                <w:sz w:val="20"/>
                <w:szCs w:val="24"/>
              </w:rPr>
            </w:pPr>
            <w:r w:rsidRPr="003E788F">
              <w:rPr>
                <w:rFonts w:ascii="Assistant" w:eastAsia="Times New Roman" w:hAnsi="Assistant" w:cs="David"/>
                <w:b/>
                <w:color w:val="000000"/>
                <w:sz w:val="20"/>
                <w:szCs w:val="24"/>
              </w:rPr>
              <w:t>0.008*</w:t>
            </w:r>
            <w:r w:rsidRPr="003E788F">
              <w:rPr>
                <w:rFonts w:ascii="Assistant" w:eastAsia="Times New Roman" w:hAnsi="Assistant" w:cs="Assistant"/>
                <w:b/>
                <w:bCs/>
                <w:color w:val="000000"/>
                <w:sz w:val="20"/>
                <w:szCs w:val="20"/>
              </w:rPr>
              <w:br/>
            </w:r>
            <w:r w:rsidRPr="003E788F">
              <w:rPr>
                <w:rFonts w:ascii="Assistant" w:eastAsia="Times New Roman" w:hAnsi="Assistant" w:cs="David"/>
                <w:b/>
                <w:color w:val="000000"/>
                <w:sz w:val="20"/>
                <w:szCs w:val="24"/>
              </w:rPr>
              <w:t>(0.005)</w:t>
            </w:r>
          </w:p>
        </w:tc>
      </w:tr>
      <w:tr w:rsidR="003E788F" w:rsidRPr="003E788F" w:rsidTr="00527508">
        <w:trPr>
          <w:trHeight w:val="540"/>
          <w:jc w:val="center"/>
        </w:trPr>
        <w:tc>
          <w:tcPr>
            <w:tcW w:w="1960" w:type="dxa"/>
            <w:tcBorders>
              <w:top w:val="nil"/>
              <w:left w:val="single" w:sz="8" w:space="0" w:color="2EA1CF"/>
              <w:bottom w:val="nil"/>
              <w:right w:val="single" w:sz="4" w:space="0" w:color="D9D9D9"/>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David"/>
                <w:b/>
                <w:color w:val="000000"/>
                <w:sz w:val="20"/>
                <w:szCs w:val="24"/>
              </w:rPr>
            </w:pPr>
            <w:r w:rsidRPr="003E788F">
              <w:rPr>
                <w:rFonts w:ascii="Assistant" w:eastAsia="Times New Roman" w:hAnsi="Assistant" w:cs="Assistant"/>
                <w:b/>
                <w:bCs/>
                <w:color w:val="000000"/>
                <w:sz w:val="20"/>
                <w:szCs w:val="20"/>
                <w:rtl/>
              </w:rPr>
              <w:t>הגודל</w:t>
            </w:r>
          </w:p>
        </w:tc>
        <w:tc>
          <w:tcPr>
            <w:tcW w:w="2340" w:type="dxa"/>
            <w:tcBorders>
              <w:top w:val="nil"/>
              <w:left w:val="nil"/>
              <w:bottom w:val="nil"/>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b/>
                <w:bCs/>
                <w:color w:val="000000"/>
                <w:sz w:val="20"/>
                <w:szCs w:val="20"/>
                <w:rtl/>
              </w:rPr>
            </w:pPr>
            <w:r w:rsidRPr="003E788F">
              <w:rPr>
                <w:rFonts w:ascii="Assistant" w:eastAsia="Times New Roman" w:hAnsi="Assistant" w:cs="David"/>
                <w:b/>
                <w:color w:val="000000"/>
                <w:sz w:val="20"/>
                <w:szCs w:val="24"/>
              </w:rPr>
              <w:t>-0.016***</w:t>
            </w:r>
            <w:r w:rsidRPr="003E788F">
              <w:rPr>
                <w:rFonts w:ascii="Assistant" w:eastAsia="Times New Roman" w:hAnsi="Assistant" w:cs="Assistant"/>
                <w:b/>
                <w:bCs/>
                <w:color w:val="000000"/>
                <w:sz w:val="20"/>
                <w:szCs w:val="20"/>
              </w:rPr>
              <w:br/>
            </w:r>
            <w:r w:rsidRPr="003E788F">
              <w:rPr>
                <w:rFonts w:ascii="Assistant" w:eastAsia="Times New Roman" w:hAnsi="Assistant" w:cs="David"/>
                <w:b/>
                <w:color w:val="000000"/>
                <w:sz w:val="20"/>
                <w:szCs w:val="24"/>
              </w:rPr>
              <w:t>(0.003)</w:t>
            </w:r>
          </w:p>
        </w:tc>
        <w:tc>
          <w:tcPr>
            <w:tcW w:w="2080" w:type="dxa"/>
            <w:tcBorders>
              <w:top w:val="nil"/>
              <w:left w:val="nil"/>
              <w:bottom w:val="nil"/>
              <w:right w:val="nil"/>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David"/>
                <w:b/>
                <w:color w:val="000000"/>
                <w:sz w:val="20"/>
                <w:szCs w:val="24"/>
              </w:rPr>
            </w:pPr>
            <w:r w:rsidRPr="003E788F">
              <w:rPr>
                <w:rFonts w:ascii="Assistant" w:eastAsia="Times New Roman" w:hAnsi="Assistant" w:cs="David"/>
                <w:b/>
                <w:color w:val="000000"/>
                <w:sz w:val="20"/>
                <w:szCs w:val="24"/>
              </w:rPr>
              <w:t>-0.011***</w:t>
            </w:r>
            <w:r w:rsidRPr="003E788F">
              <w:rPr>
                <w:rFonts w:ascii="Assistant" w:eastAsia="Times New Roman" w:hAnsi="Assistant" w:cs="Assistant"/>
                <w:b/>
                <w:bCs/>
                <w:color w:val="000000"/>
                <w:sz w:val="20"/>
                <w:szCs w:val="20"/>
              </w:rPr>
              <w:br/>
            </w:r>
            <w:r w:rsidRPr="003E788F">
              <w:rPr>
                <w:rFonts w:ascii="Assistant" w:eastAsia="Times New Roman" w:hAnsi="Assistant" w:cs="David"/>
                <w:b/>
                <w:color w:val="000000"/>
                <w:sz w:val="20"/>
                <w:szCs w:val="24"/>
              </w:rPr>
              <w:t>(0.002)</w:t>
            </w:r>
          </w:p>
        </w:tc>
      </w:tr>
      <w:tr w:rsidR="003E788F" w:rsidRPr="003E788F" w:rsidTr="00527508">
        <w:trPr>
          <w:trHeight w:val="540"/>
          <w:jc w:val="center"/>
        </w:trPr>
        <w:tc>
          <w:tcPr>
            <w:tcW w:w="1960" w:type="dxa"/>
            <w:tcBorders>
              <w:top w:val="nil"/>
              <w:left w:val="single" w:sz="8" w:space="0" w:color="2EA1CF"/>
              <w:bottom w:val="nil"/>
              <w:right w:val="single" w:sz="4" w:space="0" w:color="D9D9D9"/>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tl/>
              </w:rPr>
              <w:t>המינוף</w:t>
            </w:r>
          </w:p>
        </w:tc>
        <w:tc>
          <w:tcPr>
            <w:tcW w:w="2340" w:type="dxa"/>
            <w:tcBorders>
              <w:top w:val="nil"/>
              <w:left w:val="nil"/>
              <w:bottom w:val="nil"/>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b/>
                <w:bCs/>
                <w:color w:val="000000"/>
                <w:sz w:val="20"/>
                <w:szCs w:val="20"/>
                <w:rtl/>
              </w:rPr>
            </w:pPr>
            <w:r w:rsidRPr="003E788F">
              <w:rPr>
                <w:rFonts w:ascii="Assistant" w:eastAsia="Times New Roman" w:hAnsi="Assistant" w:cs="David"/>
                <w:b/>
                <w:color w:val="000000"/>
                <w:sz w:val="20"/>
                <w:szCs w:val="24"/>
              </w:rPr>
              <w:t>0.091***</w:t>
            </w:r>
            <w:r w:rsidRPr="003E788F">
              <w:rPr>
                <w:rFonts w:ascii="Assistant" w:eastAsia="Times New Roman" w:hAnsi="Assistant" w:cs="Assistant"/>
                <w:b/>
                <w:bCs/>
                <w:color w:val="000000"/>
                <w:sz w:val="20"/>
                <w:szCs w:val="20"/>
              </w:rPr>
              <w:br/>
            </w:r>
            <w:r w:rsidRPr="003E788F">
              <w:rPr>
                <w:rFonts w:ascii="Assistant" w:eastAsia="Times New Roman" w:hAnsi="Assistant" w:cs="David"/>
                <w:b/>
                <w:color w:val="000000"/>
                <w:sz w:val="20"/>
                <w:szCs w:val="24"/>
              </w:rPr>
              <w:t>(0.027)</w:t>
            </w:r>
          </w:p>
        </w:tc>
        <w:tc>
          <w:tcPr>
            <w:tcW w:w="2080" w:type="dxa"/>
            <w:tcBorders>
              <w:top w:val="nil"/>
              <w:left w:val="nil"/>
              <w:bottom w:val="nil"/>
              <w:right w:val="nil"/>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David"/>
                <w:b/>
                <w:color w:val="000000"/>
                <w:sz w:val="20"/>
                <w:szCs w:val="24"/>
              </w:rPr>
            </w:pPr>
            <w:r w:rsidRPr="003E788F">
              <w:rPr>
                <w:rFonts w:ascii="Assistant" w:eastAsia="Times New Roman" w:hAnsi="Assistant" w:cs="David"/>
                <w:b/>
                <w:color w:val="000000"/>
                <w:sz w:val="20"/>
                <w:szCs w:val="24"/>
              </w:rPr>
              <w:t>0.074***</w:t>
            </w:r>
            <w:r w:rsidRPr="003E788F">
              <w:rPr>
                <w:rFonts w:ascii="Assistant" w:eastAsia="Times New Roman" w:hAnsi="Assistant" w:cs="Assistant"/>
                <w:b/>
                <w:bCs/>
                <w:color w:val="000000"/>
                <w:sz w:val="20"/>
                <w:szCs w:val="20"/>
              </w:rPr>
              <w:br/>
            </w:r>
            <w:r w:rsidRPr="003E788F">
              <w:rPr>
                <w:rFonts w:ascii="Assistant" w:eastAsia="Times New Roman" w:hAnsi="Assistant" w:cs="David"/>
                <w:b/>
                <w:color w:val="000000"/>
                <w:sz w:val="20"/>
                <w:szCs w:val="24"/>
              </w:rPr>
              <w:t>(0.028)</w:t>
            </w:r>
          </w:p>
        </w:tc>
      </w:tr>
      <w:tr w:rsidR="003E788F" w:rsidRPr="003E788F" w:rsidTr="00527508">
        <w:trPr>
          <w:trHeight w:val="540"/>
          <w:jc w:val="center"/>
        </w:trPr>
        <w:tc>
          <w:tcPr>
            <w:tcW w:w="1960" w:type="dxa"/>
            <w:tcBorders>
              <w:top w:val="nil"/>
              <w:left w:val="single" w:sz="8" w:space="0" w:color="2EA1CF"/>
              <w:bottom w:val="nil"/>
              <w:right w:val="single" w:sz="4" w:space="0" w:color="D9D9D9"/>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tl/>
              </w:rPr>
              <w:t>היחס המהיר</w:t>
            </w:r>
          </w:p>
        </w:tc>
        <w:tc>
          <w:tcPr>
            <w:tcW w:w="2340" w:type="dxa"/>
            <w:tcBorders>
              <w:top w:val="nil"/>
              <w:left w:val="nil"/>
              <w:bottom w:val="nil"/>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tl/>
              </w:rPr>
            </w:pPr>
            <w:r w:rsidRPr="003E788F">
              <w:rPr>
                <w:rFonts w:ascii="Assistant" w:eastAsia="Times New Roman" w:hAnsi="Assistant" w:cs="David"/>
                <w:color w:val="000000"/>
                <w:sz w:val="20"/>
                <w:szCs w:val="24"/>
              </w:rPr>
              <w:t>0.001</w:t>
            </w:r>
            <w:r w:rsidRPr="003E788F">
              <w:rPr>
                <w:rFonts w:ascii="Assistant" w:eastAsia="Times New Roman" w:hAnsi="Assistant" w:cs="Assistant"/>
                <w:color w:val="000000"/>
                <w:sz w:val="20"/>
                <w:szCs w:val="20"/>
              </w:rPr>
              <w:br/>
            </w:r>
            <w:r w:rsidRPr="003E788F">
              <w:rPr>
                <w:rFonts w:ascii="Assistant" w:eastAsia="Times New Roman" w:hAnsi="Assistant" w:cs="David"/>
                <w:color w:val="000000"/>
                <w:sz w:val="20"/>
                <w:szCs w:val="24"/>
              </w:rPr>
              <w:t>(0.001)</w:t>
            </w:r>
          </w:p>
        </w:tc>
        <w:tc>
          <w:tcPr>
            <w:tcW w:w="2080" w:type="dxa"/>
            <w:tcBorders>
              <w:top w:val="nil"/>
              <w:left w:val="nil"/>
              <w:bottom w:val="nil"/>
              <w:right w:val="nil"/>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David"/>
                <w:color w:val="000000"/>
                <w:sz w:val="20"/>
                <w:szCs w:val="24"/>
              </w:rPr>
            </w:pPr>
            <w:r w:rsidRPr="003E788F">
              <w:rPr>
                <w:rFonts w:ascii="Assistant" w:eastAsia="Times New Roman" w:hAnsi="Assistant" w:cs="David"/>
                <w:color w:val="000000"/>
                <w:sz w:val="20"/>
                <w:szCs w:val="24"/>
              </w:rPr>
              <w:t>0.001</w:t>
            </w:r>
            <w:r w:rsidRPr="003E788F">
              <w:rPr>
                <w:rFonts w:ascii="Assistant" w:eastAsia="Times New Roman" w:hAnsi="Assistant" w:cs="Assistant"/>
                <w:color w:val="000000"/>
                <w:sz w:val="20"/>
                <w:szCs w:val="20"/>
              </w:rPr>
              <w:br/>
            </w:r>
            <w:r w:rsidRPr="003E788F">
              <w:rPr>
                <w:rFonts w:ascii="Assistant" w:eastAsia="Times New Roman" w:hAnsi="Assistant" w:cs="David"/>
                <w:color w:val="000000"/>
                <w:sz w:val="20"/>
                <w:szCs w:val="24"/>
              </w:rPr>
              <w:t>(0.001)</w:t>
            </w:r>
          </w:p>
        </w:tc>
      </w:tr>
      <w:tr w:rsidR="003E788F" w:rsidRPr="003E788F" w:rsidTr="00527508">
        <w:trPr>
          <w:trHeight w:val="390"/>
          <w:jc w:val="center"/>
        </w:trPr>
        <w:tc>
          <w:tcPr>
            <w:tcW w:w="1960" w:type="dxa"/>
            <w:tcBorders>
              <w:top w:val="nil"/>
              <w:left w:val="single" w:sz="8" w:space="0" w:color="2EA1CF"/>
              <w:bottom w:val="nil"/>
              <w:right w:val="single" w:sz="4" w:space="0" w:color="D9D9D9"/>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tl/>
              </w:rPr>
              <w:lastRenderedPageBreak/>
              <w:t>משתני דמי לענף</w:t>
            </w:r>
          </w:p>
        </w:tc>
        <w:tc>
          <w:tcPr>
            <w:tcW w:w="2340" w:type="dxa"/>
            <w:tcBorders>
              <w:top w:val="nil"/>
              <w:left w:val="nil"/>
              <w:bottom w:val="nil"/>
              <w:right w:val="single" w:sz="4" w:space="0" w:color="D9D9D9"/>
            </w:tcBorders>
            <w:shd w:val="clear" w:color="000000" w:fill="F5F4F4"/>
            <w:vAlign w:val="center"/>
            <w:hideMark/>
          </w:tcPr>
          <w:p w:rsidR="003E788F" w:rsidRPr="003E788F" w:rsidRDefault="003E788F" w:rsidP="003E788F">
            <w:pPr>
              <w:spacing w:after="0" w:line="240" w:lineRule="auto"/>
              <w:jc w:val="center"/>
              <w:rPr>
                <w:rFonts w:ascii="Assistant" w:eastAsia="Times New Roman" w:hAnsi="Assistant" w:cs="Assistant"/>
                <w:color w:val="000000"/>
                <w:sz w:val="20"/>
                <w:szCs w:val="20"/>
                <w:rtl/>
              </w:rPr>
            </w:pPr>
            <w:r w:rsidRPr="003E788F">
              <w:rPr>
                <w:rFonts w:ascii="Assistant" w:eastAsia="Times New Roman" w:hAnsi="Assistant" w:cs="Assistant"/>
                <w:color w:val="000000"/>
                <w:sz w:val="20"/>
                <w:szCs w:val="20"/>
                <w:rtl/>
              </w:rPr>
              <w:t>כן</w:t>
            </w:r>
          </w:p>
        </w:tc>
        <w:tc>
          <w:tcPr>
            <w:tcW w:w="2080" w:type="dxa"/>
            <w:tcBorders>
              <w:top w:val="nil"/>
              <w:left w:val="nil"/>
              <w:bottom w:val="nil"/>
              <w:right w:val="nil"/>
            </w:tcBorders>
            <w:shd w:val="clear" w:color="000000" w:fill="F5F4F4"/>
            <w:vAlign w:val="center"/>
            <w:hideMark/>
          </w:tcPr>
          <w:p w:rsidR="003E788F" w:rsidRPr="003E788F" w:rsidRDefault="003E788F" w:rsidP="003E788F">
            <w:pPr>
              <w:spacing w:after="0" w:line="240" w:lineRule="auto"/>
              <w:jc w:val="center"/>
              <w:rPr>
                <w:rFonts w:ascii="Assistant" w:eastAsia="Times New Roman" w:hAnsi="Assistant" w:cs="Assistant"/>
                <w:color w:val="000000"/>
                <w:sz w:val="20"/>
                <w:szCs w:val="20"/>
                <w:rtl/>
              </w:rPr>
            </w:pPr>
            <w:r w:rsidRPr="003E788F">
              <w:rPr>
                <w:rFonts w:ascii="Assistant" w:eastAsia="Times New Roman" w:hAnsi="Assistant" w:cs="Assistant"/>
                <w:color w:val="000000"/>
                <w:sz w:val="20"/>
                <w:szCs w:val="20"/>
                <w:rtl/>
              </w:rPr>
              <w:t>כן</w:t>
            </w:r>
          </w:p>
        </w:tc>
      </w:tr>
      <w:tr w:rsidR="003E788F" w:rsidRPr="003E788F" w:rsidTr="00527508">
        <w:trPr>
          <w:trHeight w:val="390"/>
          <w:jc w:val="center"/>
        </w:trPr>
        <w:tc>
          <w:tcPr>
            <w:tcW w:w="1960" w:type="dxa"/>
            <w:tcBorders>
              <w:top w:val="nil"/>
              <w:left w:val="single" w:sz="8" w:space="0" w:color="2EA1CF"/>
              <w:bottom w:val="nil"/>
              <w:right w:val="single" w:sz="4" w:space="0" w:color="D9D9D9"/>
            </w:tcBorders>
            <w:shd w:val="clear" w:color="000000" w:fill="D9F0F6"/>
            <w:vAlign w:val="center"/>
            <w:hideMark/>
          </w:tcPr>
          <w:p w:rsidR="003E788F" w:rsidRPr="003E788F" w:rsidRDefault="003E788F" w:rsidP="003E788F">
            <w:pPr>
              <w:bidi w:val="0"/>
              <w:spacing w:after="0" w:line="240" w:lineRule="auto"/>
              <w:jc w:val="center"/>
              <w:rPr>
                <w:rFonts w:ascii="Assistant" w:eastAsia="Times New Roman" w:hAnsi="Assistant" w:cs="Assistant"/>
                <w:b/>
                <w:bCs/>
                <w:color w:val="000000"/>
                <w:sz w:val="20"/>
                <w:szCs w:val="20"/>
                <w:rtl/>
              </w:rPr>
            </w:pPr>
            <w:r w:rsidRPr="003E788F">
              <w:rPr>
                <w:rFonts w:ascii="Assistant" w:eastAsia="Times New Roman" w:hAnsi="Assistant" w:cs="David"/>
                <w:b/>
                <w:color w:val="000000"/>
                <w:sz w:val="20"/>
                <w:szCs w:val="24"/>
              </w:rPr>
              <w:t>R^2</w:t>
            </w:r>
          </w:p>
        </w:tc>
        <w:tc>
          <w:tcPr>
            <w:tcW w:w="2340" w:type="dxa"/>
            <w:tcBorders>
              <w:top w:val="nil"/>
              <w:left w:val="nil"/>
              <w:bottom w:val="nil"/>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Pr>
            </w:pPr>
            <w:r w:rsidRPr="003E788F">
              <w:rPr>
                <w:rFonts w:ascii="Assistant" w:eastAsia="Times New Roman" w:hAnsi="Assistant" w:cs="David"/>
                <w:color w:val="000000"/>
                <w:sz w:val="20"/>
                <w:szCs w:val="24"/>
              </w:rPr>
              <w:t>0.472</w:t>
            </w:r>
          </w:p>
        </w:tc>
        <w:tc>
          <w:tcPr>
            <w:tcW w:w="2080" w:type="dxa"/>
            <w:tcBorders>
              <w:top w:val="nil"/>
              <w:left w:val="nil"/>
              <w:bottom w:val="nil"/>
              <w:right w:val="nil"/>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Pr>
            </w:pPr>
            <w:r w:rsidRPr="003E788F">
              <w:rPr>
                <w:rFonts w:ascii="Assistant" w:eastAsia="Times New Roman" w:hAnsi="Assistant" w:cs="David"/>
                <w:color w:val="000000"/>
                <w:sz w:val="20"/>
                <w:szCs w:val="24"/>
              </w:rPr>
              <w:t>0.507</w:t>
            </w:r>
          </w:p>
        </w:tc>
      </w:tr>
      <w:tr w:rsidR="003E788F" w:rsidRPr="003E788F" w:rsidTr="00527508">
        <w:trPr>
          <w:trHeight w:val="300"/>
          <w:jc w:val="center"/>
        </w:trPr>
        <w:tc>
          <w:tcPr>
            <w:tcW w:w="1960" w:type="dxa"/>
            <w:tcBorders>
              <w:top w:val="nil"/>
              <w:left w:val="single" w:sz="8" w:space="0" w:color="2EA1CF"/>
              <w:bottom w:val="single" w:sz="8" w:space="0" w:color="2EA1CF"/>
              <w:right w:val="single" w:sz="4" w:space="0" w:color="D9D9D9"/>
            </w:tcBorders>
            <w:shd w:val="clear" w:color="000000" w:fill="D9F0F6"/>
            <w:vAlign w:val="center"/>
            <w:hideMark/>
          </w:tcPr>
          <w:p w:rsidR="003E788F" w:rsidRPr="003E788F" w:rsidRDefault="003E788F" w:rsidP="003E788F">
            <w:pPr>
              <w:spacing w:after="0" w:line="240" w:lineRule="auto"/>
              <w:jc w:val="center"/>
              <w:rPr>
                <w:rFonts w:ascii="Assistant" w:eastAsia="Times New Roman" w:hAnsi="Assistant" w:cs="Assistant"/>
                <w:b/>
                <w:bCs/>
                <w:color w:val="000000"/>
                <w:sz w:val="20"/>
                <w:szCs w:val="20"/>
              </w:rPr>
            </w:pPr>
            <w:r w:rsidRPr="003E788F">
              <w:rPr>
                <w:rFonts w:ascii="Assistant" w:eastAsia="Times New Roman" w:hAnsi="Assistant" w:cs="Assistant"/>
                <w:b/>
                <w:bCs/>
                <w:color w:val="000000"/>
                <w:sz w:val="20"/>
                <w:szCs w:val="20"/>
                <w:rtl/>
              </w:rPr>
              <w:t>תצפיות</w:t>
            </w:r>
          </w:p>
        </w:tc>
        <w:tc>
          <w:tcPr>
            <w:tcW w:w="2340" w:type="dxa"/>
            <w:tcBorders>
              <w:top w:val="single" w:sz="4" w:space="0" w:color="auto"/>
              <w:left w:val="nil"/>
              <w:bottom w:val="single" w:sz="8" w:space="0" w:color="2EA1CF"/>
              <w:right w:val="single" w:sz="4" w:space="0" w:color="D9D9D9"/>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tl/>
              </w:rPr>
            </w:pPr>
            <w:r w:rsidRPr="003E788F">
              <w:rPr>
                <w:rFonts w:ascii="Assistant" w:eastAsia="Times New Roman" w:hAnsi="Assistant" w:cs="Assistant"/>
                <w:color w:val="000000"/>
                <w:sz w:val="20"/>
                <w:szCs w:val="20"/>
              </w:rPr>
              <w:t>124</w:t>
            </w:r>
          </w:p>
        </w:tc>
        <w:tc>
          <w:tcPr>
            <w:tcW w:w="2080" w:type="dxa"/>
            <w:tcBorders>
              <w:top w:val="single" w:sz="4" w:space="0" w:color="auto"/>
              <w:left w:val="nil"/>
              <w:bottom w:val="single" w:sz="8" w:space="0" w:color="2EA1CF"/>
              <w:right w:val="single" w:sz="8" w:space="0" w:color="2EA1CF"/>
            </w:tcBorders>
            <w:shd w:val="clear" w:color="000000" w:fill="F5F4F4"/>
            <w:vAlign w:val="center"/>
            <w:hideMark/>
          </w:tcPr>
          <w:p w:rsidR="003E788F" w:rsidRPr="003E788F" w:rsidRDefault="003E788F" w:rsidP="003E788F">
            <w:pPr>
              <w:bidi w:val="0"/>
              <w:spacing w:after="0" w:line="240" w:lineRule="auto"/>
              <w:jc w:val="center"/>
              <w:rPr>
                <w:rFonts w:ascii="Assistant" w:eastAsia="Times New Roman" w:hAnsi="Assistant" w:cs="Assistant"/>
                <w:color w:val="000000"/>
                <w:sz w:val="20"/>
                <w:szCs w:val="20"/>
              </w:rPr>
            </w:pPr>
            <w:r w:rsidRPr="003E788F">
              <w:rPr>
                <w:rFonts w:ascii="Assistant" w:eastAsia="Times New Roman" w:hAnsi="Assistant" w:cs="Assistant"/>
                <w:color w:val="000000"/>
                <w:sz w:val="20"/>
                <w:szCs w:val="20"/>
              </w:rPr>
              <w:t>124</w:t>
            </w:r>
          </w:p>
        </w:tc>
      </w:tr>
      <w:tr w:rsidR="003E788F" w:rsidRPr="003E788F" w:rsidTr="00527508">
        <w:trPr>
          <w:trHeight w:val="285"/>
          <w:jc w:val="center"/>
        </w:trPr>
        <w:tc>
          <w:tcPr>
            <w:tcW w:w="1960" w:type="dxa"/>
            <w:tcBorders>
              <w:top w:val="nil"/>
              <w:left w:val="nil"/>
              <w:bottom w:val="nil"/>
              <w:right w:val="nil"/>
            </w:tcBorders>
            <w:shd w:val="clear" w:color="000000" w:fill="F5F4F4"/>
            <w:noWrap/>
            <w:vAlign w:val="bottom"/>
            <w:hideMark/>
          </w:tcPr>
          <w:p w:rsidR="003E788F" w:rsidRPr="003E788F" w:rsidRDefault="003E788F" w:rsidP="003E788F">
            <w:pPr>
              <w:spacing w:after="0" w:line="240" w:lineRule="auto"/>
              <w:rPr>
                <w:rFonts w:ascii="Assistant" w:eastAsia="Times New Roman" w:hAnsi="Assistant" w:cs="Assistant"/>
                <w:color w:val="000000"/>
                <w:sz w:val="18"/>
                <w:szCs w:val="18"/>
              </w:rPr>
            </w:pPr>
            <w:r w:rsidRPr="003E788F">
              <w:rPr>
                <w:rFonts w:ascii="Assistant" w:eastAsia="Times New Roman" w:hAnsi="Assistant" w:cs="Assistant"/>
                <w:color w:val="000000"/>
                <w:sz w:val="18"/>
                <w:szCs w:val="18"/>
                <w:rtl/>
              </w:rPr>
              <w:t>המקור: עיבודי בנק ישראל.</w:t>
            </w:r>
          </w:p>
        </w:tc>
        <w:tc>
          <w:tcPr>
            <w:tcW w:w="2340"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jc w:val="right"/>
              <w:rPr>
                <w:rFonts w:ascii="Assistant" w:eastAsia="Times New Roman" w:hAnsi="Assistant" w:cs="Assistant"/>
                <w:color w:val="000000"/>
                <w:sz w:val="18"/>
                <w:szCs w:val="18"/>
                <w:rtl/>
              </w:rPr>
            </w:pPr>
            <w:r w:rsidRPr="003E788F">
              <w:rPr>
                <w:rFonts w:ascii="Assistant" w:eastAsia="Times New Roman" w:hAnsi="Assistant" w:cs="Assistant"/>
                <w:color w:val="000000"/>
                <w:sz w:val="18"/>
                <w:szCs w:val="18"/>
              </w:rPr>
              <w:t> </w:t>
            </w:r>
          </w:p>
        </w:tc>
        <w:tc>
          <w:tcPr>
            <w:tcW w:w="2080" w:type="dxa"/>
            <w:tcBorders>
              <w:top w:val="nil"/>
              <w:left w:val="nil"/>
              <w:bottom w:val="nil"/>
              <w:right w:val="nil"/>
            </w:tcBorders>
            <w:shd w:val="clear" w:color="000000" w:fill="F5F4F4"/>
            <w:noWrap/>
            <w:vAlign w:val="bottom"/>
            <w:hideMark/>
          </w:tcPr>
          <w:p w:rsidR="003E788F" w:rsidRPr="003E788F" w:rsidRDefault="003E788F" w:rsidP="003E788F">
            <w:pPr>
              <w:bidi w:val="0"/>
              <w:spacing w:after="0" w:line="240" w:lineRule="auto"/>
              <w:jc w:val="right"/>
              <w:rPr>
                <w:rFonts w:ascii="Assistant" w:eastAsia="Times New Roman" w:hAnsi="Assistant" w:cs="Assistant"/>
                <w:color w:val="000000"/>
                <w:sz w:val="18"/>
                <w:szCs w:val="18"/>
              </w:rPr>
            </w:pPr>
            <w:r w:rsidRPr="003E788F">
              <w:rPr>
                <w:rFonts w:ascii="Assistant" w:eastAsia="Times New Roman" w:hAnsi="Assistant" w:cs="Assistant"/>
                <w:color w:val="000000"/>
                <w:sz w:val="18"/>
                <w:szCs w:val="18"/>
              </w:rPr>
              <w:t> </w:t>
            </w:r>
          </w:p>
        </w:tc>
      </w:tr>
    </w:tbl>
    <w:p w:rsidR="003E788F" w:rsidRPr="003E788F" w:rsidRDefault="003E788F" w:rsidP="003E788F">
      <w:pPr>
        <w:keepNext/>
        <w:keepLines/>
        <w:numPr>
          <w:ilvl w:val="1"/>
          <w:numId w:val="1"/>
        </w:numPr>
        <w:spacing w:before="200" w:after="0" w:line="360" w:lineRule="auto"/>
        <w:jc w:val="both"/>
        <w:outlineLvl w:val="1"/>
        <w:rPr>
          <w:rFonts w:ascii="Cambria" w:eastAsia="Times New Roman" w:hAnsi="Cambria" w:cs="David"/>
          <w:b/>
          <w:bCs/>
          <w:caps/>
          <w:spacing w:val="15"/>
          <w:sz w:val="24"/>
          <w:szCs w:val="32"/>
        </w:rPr>
      </w:pPr>
      <w:bookmarkStart w:id="48" w:name="_Toc42773274"/>
      <w:bookmarkStart w:id="49" w:name="_Toc45016701"/>
      <w:bookmarkStart w:id="50" w:name="_Toc43999478"/>
      <w:bookmarkStart w:id="51" w:name="_Toc46064938"/>
      <w:bookmarkStart w:id="52" w:name="_Toc46160355"/>
      <w:bookmarkStart w:id="53" w:name="_Toc46160709"/>
      <w:r w:rsidRPr="003E788F">
        <w:rPr>
          <w:rFonts w:ascii="Cambria" w:eastAsia="Times New Roman" w:hAnsi="Cambria" w:cs="David" w:hint="cs"/>
          <w:b/>
          <w:bCs/>
          <w:caps/>
          <w:spacing w:val="15"/>
          <w:sz w:val="24"/>
          <w:szCs w:val="32"/>
          <w:rtl/>
        </w:rPr>
        <w:t>סיכום הממצאים</w:t>
      </w:r>
      <w:bookmarkEnd w:id="48"/>
      <w:bookmarkEnd w:id="49"/>
      <w:bookmarkEnd w:id="50"/>
      <w:bookmarkEnd w:id="51"/>
      <w:bookmarkEnd w:id="52"/>
      <w:bookmarkEnd w:id="53"/>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על רקע התפשטות משבר הקורונה בארץ הטילה הממשלה מגבלות תנועה, המשפיעות באופן שלילי על הפעילות הכלכלית במשק, ובכלל זה על פעילות המגזר העסקי. בעבודה זו פיתחנו כלי, שבאמצעותו ניתן לאמוד את האיתנות הפיננסית והנזילות של פירמות בטווח של שנה קדימה. זאת בהינתן הנחות שונות בדבר מגבלות על הפעילות הכלכלית המוטלות על ידי הממשלה.</w:t>
      </w:r>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השתמשנו במסגרת המוצעת בעבודה כדי לחזות את כושר הפירעון ואת האיתנות הפיננסית של החברות הציבוריות בשנת 2020; זאת בהנחות שונות לגבי עוצמת המגבלות והשפעתן (לרבות הנחה שלפיה המגבלות המחמירות ששררו בתחילת המגיפה מוחזרות במהלך הרבעון האחרון של 2020). בשלב הבא הראינו כי השוק מתמחר את הסיכונים החזויים לחברות: ממצאי התחזית שבנינו מתואמים חיובית ברמת מובהקות סטטיסטית של 10%, עם תשואות האג"ח בשוק.</w:t>
      </w:r>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במסגרת התרחיש שהוצג בתיבה</w:t>
      </w:r>
      <w:r w:rsidR="00BD23BE">
        <w:rPr>
          <w:rFonts w:ascii="David" w:eastAsia="Times New Roman" w:hAnsi="David" w:cs="David" w:hint="cs"/>
          <w:sz w:val="24"/>
          <w:szCs w:val="24"/>
          <w:rtl/>
        </w:rPr>
        <w:t xml:space="preserve"> לצורך תיקוף המודל</w:t>
      </w:r>
      <w:r w:rsidRPr="003E788F">
        <w:rPr>
          <w:rFonts w:ascii="David" w:eastAsia="Times New Roman" w:hAnsi="David" w:cs="David" w:hint="cs"/>
          <w:sz w:val="24"/>
          <w:szCs w:val="24"/>
          <w:rtl/>
        </w:rPr>
        <w:t xml:space="preserve"> (מבין תרחישים שונים שנותחו בעבודה) אנו מראים שלמעלה מ-70% מהחברות הציבוריות שניתחנו לא צפויות להיתקל בקושי תזרימי ו/או בפגיעה בהונן. כנגד זאת ל-80 חברות, שלהן</w:t>
      </w:r>
      <w:r w:rsidRPr="003E788F">
        <w:rPr>
          <w:rFonts w:ascii="David" w:eastAsia="Times New Roman" w:hAnsi="David" w:cs="David"/>
          <w:sz w:val="24"/>
          <w:szCs w:val="24"/>
          <w:rtl/>
        </w:rPr>
        <w:t xml:space="preserve"> </w:t>
      </w:r>
      <w:r w:rsidRPr="003E788F">
        <w:rPr>
          <w:rFonts w:ascii="David" w:eastAsia="Times New Roman" w:hAnsi="David" w:cs="David" w:hint="eastAsia"/>
          <w:sz w:val="24"/>
          <w:szCs w:val="24"/>
          <w:rtl/>
        </w:rPr>
        <w:t>יחד</w:t>
      </w:r>
      <w:r w:rsidRPr="003E788F">
        <w:rPr>
          <w:rFonts w:ascii="David" w:eastAsia="Times New Roman" w:hAnsi="David" w:cs="David" w:hint="cs"/>
          <w:sz w:val="24"/>
          <w:szCs w:val="24"/>
          <w:rtl/>
        </w:rPr>
        <w:t xml:space="preserve"> חוב פיננסי של כ-50 מיליארד ש"ח, צפויה, בתרחיש המוצג,  בעיית נזילות או פגיעה בהון. ליותר ממחצית מן החברות האלה</w:t>
      </w:r>
      <w:r w:rsidRPr="003E788F">
        <w:rPr>
          <w:rFonts w:ascii="David" w:eastAsia="Times New Roman" w:hAnsi="David" w:cs="David"/>
          <w:sz w:val="24"/>
          <w:szCs w:val="24"/>
          <w:rtl/>
        </w:rPr>
        <w:t xml:space="preserve"> צפ</w:t>
      </w:r>
      <w:r w:rsidRPr="003E788F">
        <w:rPr>
          <w:rFonts w:ascii="David" w:eastAsia="Times New Roman" w:hAnsi="David" w:cs="David" w:hint="cs"/>
          <w:sz w:val="24"/>
          <w:szCs w:val="24"/>
          <w:rtl/>
        </w:rPr>
        <w:t xml:space="preserve">ויה </w:t>
      </w:r>
      <w:r w:rsidRPr="003E788F">
        <w:rPr>
          <w:rFonts w:ascii="David" w:eastAsia="Times New Roman" w:hAnsi="David" w:cs="David"/>
          <w:sz w:val="24"/>
          <w:szCs w:val="24"/>
          <w:rtl/>
        </w:rPr>
        <w:t>פגיעות נמוכה בהון</w:t>
      </w:r>
      <w:r w:rsidRPr="003E788F">
        <w:rPr>
          <w:rFonts w:ascii="David" w:eastAsia="Times New Roman" w:hAnsi="David" w:cs="David" w:hint="cs"/>
          <w:sz w:val="24"/>
          <w:szCs w:val="24"/>
          <w:rtl/>
        </w:rPr>
        <w:t xml:space="preserve">, והן עלולות להיתקל רק במצוקת </w:t>
      </w:r>
      <w:r w:rsidRPr="003E788F">
        <w:rPr>
          <w:rFonts w:ascii="David" w:eastAsia="Times New Roman" w:hAnsi="David" w:cs="David" w:hint="eastAsia"/>
          <w:sz w:val="24"/>
          <w:szCs w:val="24"/>
          <w:rtl/>
        </w:rPr>
        <w:t>תזרים</w:t>
      </w:r>
      <w:r w:rsidRPr="003E788F">
        <w:rPr>
          <w:rFonts w:ascii="David" w:eastAsia="Times New Roman" w:hAnsi="David" w:cs="David" w:hint="cs"/>
          <w:sz w:val="24"/>
          <w:szCs w:val="24"/>
          <w:rtl/>
        </w:rPr>
        <w:t xml:space="preserve">. </w:t>
      </w:r>
      <w:r w:rsidRPr="003E788F">
        <w:rPr>
          <w:rFonts w:ascii="David" w:eastAsia="Times New Roman" w:hAnsi="David" w:cs="David" w:hint="eastAsia"/>
          <w:sz w:val="24"/>
          <w:szCs w:val="24"/>
          <w:rtl/>
        </w:rPr>
        <w:t>לאותן</w:t>
      </w:r>
      <w:r w:rsidRPr="003E788F">
        <w:rPr>
          <w:rFonts w:ascii="David" w:eastAsia="Times New Roman" w:hAnsi="David" w:cs="David" w:hint="cs"/>
          <w:sz w:val="24"/>
          <w:szCs w:val="24"/>
          <w:rtl/>
        </w:rPr>
        <w:t xml:space="preserve"> </w:t>
      </w:r>
      <w:r w:rsidRPr="003E788F">
        <w:rPr>
          <w:rFonts w:ascii="David" w:eastAsia="Times New Roman" w:hAnsi="David" w:cs="David" w:hint="eastAsia"/>
          <w:sz w:val="24"/>
          <w:szCs w:val="24"/>
          <w:rtl/>
        </w:rPr>
        <w:t>חברות</w:t>
      </w:r>
      <w:r w:rsidRPr="003E788F">
        <w:rPr>
          <w:rFonts w:ascii="David" w:eastAsia="Times New Roman" w:hAnsi="David" w:cs="David" w:hint="cs"/>
          <w:sz w:val="24"/>
          <w:szCs w:val="24"/>
          <w:rtl/>
        </w:rPr>
        <w:t xml:space="preserve"> חוב פיננסי של כ-40 מיליארד ש"ח. ברבע מתוך 80 החברות הפגיעה הצפויה משמעותית יותר ומתבטאת בשני ההיבטים.</w:t>
      </w:r>
    </w:p>
    <w:p w:rsidR="003E788F" w:rsidRPr="003E788F" w:rsidRDefault="003E788F" w:rsidP="003E788F">
      <w:pPr>
        <w:spacing w:after="120" w:line="360" w:lineRule="auto"/>
        <w:jc w:val="both"/>
        <w:rPr>
          <w:rFonts w:ascii="David" w:eastAsia="Times New Roman" w:hAnsi="David" w:cs="David"/>
          <w:sz w:val="24"/>
          <w:szCs w:val="24"/>
          <w:rtl/>
        </w:rPr>
      </w:pPr>
      <w:r w:rsidRPr="003E788F">
        <w:rPr>
          <w:rFonts w:ascii="David" w:eastAsia="Times New Roman" w:hAnsi="David" w:cs="David" w:hint="cs"/>
          <w:sz w:val="24"/>
          <w:szCs w:val="24"/>
          <w:rtl/>
        </w:rPr>
        <w:t>ניתוח סטטיסטי שערכנו מעלה כי ההסתברות של חברה להיקלע בשנת 2020 לקשיי תזרים ולקשיים בהון עולה ככל שהחברה קטנה יותר, ממונפת יותר וככל ששווי השוק היחסי שלה נמוך יותר. חשוב לזכור כי עבודה זו ניתחה אך ורק את החברות הציבוריות, שהן בדרך כלל גדולות, יחסית לחברות פרטיות.</w:t>
      </w:r>
    </w:p>
    <w:p w:rsidR="00603D98" w:rsidRDefault="00603D98"/>
    <w:sectPr w:rsidR="00603D98" w:rsidSect="006A58F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3F2" w:rsidRDefault="00D003F2" w:rsidP="003E788F">
      <w:pPr>
        <w:spacing w:after="0" w:line="240" w:lineRule="auto"/>
      </w:pPr>
      <w:r>
        <w:separator/>
      </w:r>
    </w:p>
  </w:endnote>
  <w:endnote w:type="continuationSeparator" w:id="0">
    <w:p w:rsidR="00D003F2" w:rsidRDefault="00D003F2" w:rsidP="003E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altName w:val="Courier New"/>
    <w:charset w:val="00"/>
    <w:family w:val="auto"/>
    <w:pitch w:val="variable"/>
    <w:sig w:usb0="00000807" w:usb1="40000000" w:usb2="00000000" w:usb3="00000000" w:csb0="0000002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3F2" w:rsidRDefault="00D003F2" w:rsidP="003E788F">
      <w:pPr>
        <w:spacing w:after="0" w:line="240" w:lineRule="auto"/>
      </w:pPr>
      <w:r>
        <w:separator/>
      </w:r>
    </w:p>
  </w:footnote>
  <w:footnote w:type="continuationSeparator" w:id="0">
    <w:p w:rsidR="00D003F2" w:rsidRDefault="00D003F2" w:rsidP="003E788F">
      <w:pPr>
        <w:spacing w:after="0" w:line="240" w:lineRule="auto"/>
      </w:pPr>
      <w:r>
        <w:continuationSeparator/>
      </w:r>
    </w:p>
  </w:footnote>
  <w:footnote w:id="1">
    <w:p w:rsidR="003E788F" w:rsidRPr="003E788F" w:rsidRDefault="003E788F" w:rsidP="003E788F">
      <w:pPr>
        <w:pStyle w:val="a3"/>
        <w:jc w:val="both"/>
        <w:rPr>
          <w:rFonts w:ascii="David" w:hAnsi="David" w:cs="David"/>
        </w:rPr>
      </w:pPr>
      <w:r w:rsidRPr="003E788F">
        <w:rPr>
          <w:rStyle w:val="a5"/>
          <w:rFonts w:ascii="David" w:hAnsi="David" w:cs="David"/>
        </w:rPr>
        <w:footnoteRef/>
      </w:r>
      <w:r w:rsidRPr="003E788F">
        <w:rPr>
          <w:rFonts w:ascii="David" w:hAnsi="David" w:cs="David"/>
          <w:rtl/>
        </w:rPr>
        <w:t xml:space="preserve"> במסגרת זו בחרנו להתמקד בחברות ציבוריות, משום שבניגוד לחברות פרטיות, הנתונים על מצבן הפיננסי של חברות ציבוריות מפורסמים על בסיס עתי במסגרת הדוחות הכספיים שלהן. משקל ההתחייבויות של החברות הציבוריות בסך האשראי למגזר העסקי הוא 40%.</w:t>
      </w:r>
    </w:p>
  </w:footnote>
  <w:footnote w:id="2">
    <w:p w:rsidR="003E788F" w:rsidRPr="003E788F" w:rsidRDefault="003E788F" w:rsidP="003E788F">
      <w:pPr>
        <w:pStyle w:val="a3"/>
        <w:jc w:val="both"/>
        <w:rPr>
          <w:rFonts w:ascii="David" w:hAnsi="David" w:cs="David"/>
        </w:rPr>
      </w:pPr>
      <w:r w:rsidRPr="003E788F">
        <w:rPr>
          <w:rStyle w:val="a5"/>
          <w:rFonts w:ascii="David" w:hAnsi="David" w:cs="David"/>
        </w:rPr>
        <w:footnoteRef/>
      </w:r>
      <w:r w:rsidRPr="003E788F">
        <w:rPr>
          <w:rFonts w:ascii="David" w:hAnsi="David" w:cs="David"/>
          <w:rtl/>
        </w:rPr>
        <w:t xml:space="preserve"> בענף פעילות בנדל"ן (נדל"ן מניב) חישבנו את הפגיעה בהתאם לתמהיל הממוצע של השימושים בנכסים בחברות הענף (משרדים, מסחר ותעשייה) והפגיעה הצפויה בכל אחד מסוגי המשתמשים. בהקשר של שיעורי ההשבתה בענף ייזום הבנייה ראו גם בסעיף 2.2.5 בדוח זה  "תיבה בתוך הדוח: השפעת משבר הקורונה על ענף הבנייה".</w:t>
      </w:r>
    </w:p>
  </w:footnote>
  <w:footnote w:id="3">
    <w:p w:rsidR="003E788F" w:rsidRPr="003E788F" w:rsidRDefault="003E788F" w:rsidP="003E788F">
      <w:pPr>
        <w:pStyle w:val="a3"/>
        <w:jc w:val="both"/>
        <w:rPr>
          <w:rFonts w:ascii="David" w:hAnsi="David" w:cs="David"/>
          <w:rtl/>
        </w:rPr>
      </w:pPr>
      <w:r w:rsidRPr="003E788F">
        <w:rPr>
          <w:rStyle w:val="a5"/>
          <w:rFonts w:ascii="David" w:hAnsi="David" w:cs="David"/>
        </w:rPr>
        <w:footnoteRef/>
      </w:r>
      <w:r w:rsidRPr="003E788F">
        <w:rPr>
          <w:rFonts w:ascii="David" w:hAnsi="David" w:cs="David"/>
          <w:rtl/>
        </w:rPr>
        <w:t xml:space="preserve"> אנו מניחים כי שימוש במקדמי דעיכה משקף חזרה מדורגת של המשק לפעילות מלאה.</w:t>
      </w:r>
    </w:p>
  </w:footnote>
  <w:footnote w:id="4">
    <w:p w:rsidR="003E788F" w:rsidRPr="003E788F" w:rsidRDefault="003E788F" w:rsidP="003E788F">
      <w:pPr>
        <w:pStyle w:val="a3"/>
        <w:jc w:val="both"/>
        <w:rPr>
          <w:rFonts w:ascii="David" w:hAnsi="David" w:cs="David"/>
        </w:rPr>
      </w:pPr>
      <w:r w:rsidRPr="003E788F">
        <w:rPr>
          <w:rStyle w:val="a5"/>
          <w:rFonts w:ascii="David" w:hAnsi="David" w:cs="David"/>
        </w:rPr>
        <w:footnoteRef/>
      </w:r>
      <w:r w:rsidRPr="003E788F">
        <w:rPr>
          <w:rFonts w:ascii="David" w:hAnsi="David" w:cs="David"/>
          <w:rtl/>
        </w:rPr>
        <w:t xml:space="preserve"> במסגרת הניתוח אנו לא מביאים בחשבון רווחים והפסדים חד-פעמיים, לרבות ירידות ערך של המלאי והרכוש הקבוע, והשפעות מסדר שני, וכן לא מתחשבים באופן ישיר בפגיעה הענפית הנובעת מירידה בביקוש.</w:t>
      </w:r>
    </w:p>
  </w:footnote>
  <w:footnote w:id="5">
    <w:p w:rsidR="003E788F" w:rsidRPr="003E788F" w:rsidRDefault="003E788F" w:rsidP="003E788F">
      <w:pPr>
        <w:pStyle w:val="a3"/>
        <w:jc w:val="both"/>
        <w:rPr>
          <w:rFonts w:ascii="David" w:hAnsi="David" w:cs="David"/>
          <w:rtl/>
        </w:rPr>
      </w:pPr>
      <w:r w:rsidRPr="003E788F">
        <w:rPr>
          <w:rStyle w:val="a5"/>
          <w:rFonts w:ascii="David" w:hAnsi="David" w:cs="David"/>
        </w:rPr>
        <w:footnoteRef/>
      </w:r>
      <w:r w:rsidRPr="003E788F">
        <w:rPr>
          <w:rFonts w:ascii="David" w:hAnsi="David" w:cs="David"/>
          <w:rtl/>
        </w:rPr>
        <w:t xml:space="preserve"> אנו מניחים כי מבנה ההוצאות של חברות הנכללות בכל ענף דומה.</w:t>
      </w:r>
    </w:p>
  </w:footnote>
  <w:footnote w:id="6">
    <w:p w:rsidR="003E788F" w:rsidRPr="003E788F" w:rsidRDefault="003E788F" w:rsidP="003E788F">
      <w:pPr>
        <w:pStyle w:val="a3"/>
        <w:jc w:val="both"/>
        <w:rPr>
          <w:rFonts w:ascii="David" w:hAnsi="David" w:cs="David"/>
          <w:rtl/>
        </w:rPr>
      </w:pPr>
      <w:r w:rsidRPr="003E788F">
        <w:rPr>
          <w:rStyle w:val="a5"/>
          <w:rFonts w:ascii="David" w:hAnsi="David" w:cs="David"/>
        </w:rPr>
        <w:footnoteRef/>
      </w:r>
      <w:r w:rsidRPr="003E788F">
        <w:rPr>
          <w:rFonts w:ascii="David" w:hAnsi="David" w:cs="David"/>
          <w:rtl/>
        </w:rPr>
        <w:t xml:space="preserve"> ראו תיבה: סקירת התפתחות האג"ח במהלך משבר הקורונה.</w:t>
      </w:r>
    </w:p>
  </w:footnote>
  <w:footnote w:id="7">
    <w:p w:rsidR="003E788F" w:rsidRPr="003E788F" w:rsidRDefault="003E788F" w:rsidP="003E788F">
      <w:pPr>
        <w:pStyle w:val="a3"/>
        <w:jc w:val="both"/>
        <w:rPr>
          <w:rFonts w:ascii="David" w:hAnsi="David" w:cs="David"/>
          <w:rtl/>
        </w:rPr>
      </w:pPr>
      <w:r w:rsidRPr="003E788F">
        <w:rPr>
          <w:rStyle w:val="a5"/>
          <w:rFonts w:ascii="David" w:hAnsi="David" w:cs="David"/>
        </w:rPr>
        <w:footnoteRef/>
      </w:r>
      <w:r w:rsidRPr="003E788F">
        <w:rPr>
          <w:rFonts w:ascii="David" w:hAnsi="David" w:cs="David"/>
          <w:rtl/>
        </w:rPr>
        <w:t xml:space="preserve"> העמדת סיוע על ידי המדינה עשויה למתן את ההשפעה השלילית של המשבר על החברות. הניתוח כאן לא מביא בחשבון אפשרות של סיוע מסוג זה.</w:t>
      </w:r>
    </w:p>
  </w:footnote>
  <w:footnote w:id="8">
    <w:p w:rsidR="003E788F" w:rsidRPr="003E788F" w:rsidRDefault="003E788F" w:rsidP="003E788F">
      <w:pPr>
        <w:pStyle w:val="a3"/>
        <w:jc w:val="both"/>
        <w:rPr>
          <w:rFonts w:ascii="David" w:hAnsi="David" w:cs="David"/>
        </w:rPr>
      </w:pPr>
      <w:r w:rsidRPr="003E788F">
        <w:rPr>
          <w:rStyle w:val="a5"/>
          <w:rFonts w:ascii="David" w:hAnsi="David" w:cs="David"/>
        </w:rPr>
        <w:footnoteRef/>
      </w:r>
      <w:r w:rsidRPr="003E788F">
        <w:rPr>
          <w:rFonts w:ascii="David" w:hAnsi="David" w:cs="David"/>
          <w:rtl/>
        </w:rPr>
        <w:t xml:space="preserve"> בחישוב הוצאות המס הצפויות בשנת 2020 הנחנו שיעור מס חברות בגובה של 23%, כפי שקבוע בחוק. הנחה זו מתעלמת מהאפשרות של קיום  הפסדים משנים קודמות, הניתנים לקיזוז, ומשוני בשיעורי המס על פי תקנות מס הכנסה.</w:t>
      </w:r>
    </w:p>
  </w:footnote>
  <w:footnote w:id="9">
    <w:p w:rsidR="003E788F" w:rsidRPr="003E788F" w:rsidRDefault="003E788F" w:rsidP="003E788F">
      <w:pPr>
        <w:pStyle w:val="a3"/>
        <w:jc w:val="both"/>
        <w:rPr>
          <w:rFonts w:ascii="David" w:hAnsi="David" w:cs="David"/>
          <w:rtl/>
        </w:rPr>
      </w:pPr>
      <w:r w:rsidRPr="003E788F">
        <w:rPr>
          <w:rStyle w:val="a5"/>
          <w:rFonts w:ascii="David" w:hAnsi="David" w:cs="David"/>
        </w:rPr>
        <w:footnoteRef/>
      </w:r>
      <w:r w:rsidRPr="003E788F">
        <w:rPr>
          <w:rFonts w:ascii="David" w:hAnsi="David" w:cs="David"/>
          <w:rtl/>
        </w:rPr>
        <w:t>בכל חודש מוסרות 20% מיתרת המגבלות ששררו בחודש שקדם לו.</w:t>
      </w:r>
    </w:p>
  </w:footnote>
  <w:footnote w:id="10">
    <w:p w:rsidR="003E788F" w:rsidRPr="003E788F" w:rsidRDefault="003E788F" w:rsidP="003E788F">
      <w:pPr>
        <w:spacing w:line="240" w:lineRule="auto"/>
        <w:jc w:val="both"/>
        <w:rPr>
          <w:rFonts w:ascii="David" w:hAnsi="David" w:cs="David"/>
          <w:sz w:val="20"/>
          <w:szCs w:val="20"/>
          <w:rtl/>
        </w:rPr>
      </w:pPr>
      <w:r w:rsidRPr="003E788F">
        <w:rPr>
          <w:rStyle w:val="a5"/>
          <w:rFonts w:ascii="David" w:hAnsi="David" w:cs="David"/>
          <w:sz w:val="20"/>
          <w:szCs w:val="20"/>
        </w:rPr>
        <w:footnoteRef/>
      </w:r>
      <w:r w:rsidRPr="003E788F">
        <w:rPr>
          <w:rFonts w:ascii="David" w:hAnsi="David" w:cs="David"/>
          <w:sz w:val="20"/>
          <w:szCs w:val="20"/>
          <w:rtl/>
        </w:rPr>
        <w:t xml:space="preserve"> בחישוב יחס הנזילות אנו מניחים כי בהשפעת המשבר ירדו שיעורי הגבייה מלקוחותיהן של החברות, אולם ירידתם זהה לירידה בתשלומי החברות  לספקים ולזכאים אחרים שלהן.</w:t>
      </w:r>
    </w:p>
  </w:footnote>
  <w:footnote w:id="11">
    <w:p w:rsidR="003E788F" w:rsidRPr="003E788F" w:rsidRDefault="003E788F" w:rsidP="003E788F">
      <w:pPr>
        <w:pStyle w:val="a3"/>
        <w:jc w:val="both"/>
        <w:rPr>
          <w:rFonts w:ascii="David" w:hAnsi="David" w:cs="David"/>
        </w:rPr>
      </w:pPr>
      <w:r w:rsidRPr="003E788F">
        <w:rPr>
          <w:rStyle w:val="a5"/>
          <w:rFonts w:ascii="David" w:hAnsi="David" w:cs="David"/>
        </w:rPr>
        <w:footnoteRef/>
      </w:r>
      <w:r w:rsidRPr="003E788F">
        <w:rPr>
          <w:rFonts w:ascii="David" w:hAnsi="David" w:cs="David"/>
          <w:rtl/>
        </w:rPr>
        <w:t xml:space="preserve"> מרבית החברות שהונן שלילי הן חברות ללא פעילות. עם החברות בעלות ההון השלילי נמנית קבוצת "בזק", שההון שלה הופחת עקב ירידת הערך של חברה מוחזקת. מבחינה פרטנית עולה כי לחברות מקבוצת "בזק" לא צפוי קושי תזרימי: היחס בין ה-</w:t>
      </w:r>
      <w:r w:rsidRPr="003E788F">
        <w:rPr>
          <w:rFonts w:ascii="David" w:hAnsi="David" w:cs="David"/>
        </w:rPr>
        <w:t>EBITDA</w:t>
      </w:r>
      <w:r w:rsidRPr="003E788F">
        <w:rPr>
          <w:rFonts w:ascii="David" w:hAnsi="David" w:cs="David"/>
          <w:rtl/>
        </w:rPr>
        <w:t xml:space="preserve"> החזויה להוצאות המימון בה גבוה מ-1.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6B84"/>
    <w:multiLevelType w:val="hybridMultilevel"/>
    <w:tmpl w:val="F5B84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EF18EB"/>
    <w:multiLevelType w:val="hybridMultilevel"/>
    <w:tmpl w:val="A24CE306"/>
    <w:lvl w:ilvl="0" w:tplc="54F6C1FA">
      <w:start w:val="1"/>
      <w:numFmt w:val="hebrew1"/>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7893359"/>
    <w:multiLevelType w:val="multilevel"/>
    <w:tmpl w:val="F55A4096"/>
    <w:lvl w:ilvl="0">
      <w:start w:val="4"/>
      <w:numFmt w:val="decimal"/>
      <w:pStyle w:val="1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לוח %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8F"/>
    <w:rsid w:val="0000074B"/>
    <w:rsid w:val="0000115D"/>
    <w:rsid w:val="000333B1"/>
    <w:rsid w:val="00053B23"/>
    <w:rsid w:val="00076E9D"/>
    <w:rsid w:val="00083ADC"/>
    <w:rsid w:val="000F09B8"/>
    <w:rsid w:val="00111EBB"/>
    <w:rsid w:val="00141D8D"/>
    <w:rsid w:val="00145CA8"/>
    <w:rsid w:val="00160584"/>
    <w:rsid w:val="00165B11"/>
    <w:rsid w:val="00182EF5"/>
    <w:rsid w:val="0019768A"/>
    <w:rsid w:val="001C0D61"/>
    <w:rsid w:val="001E7316"/>
    <w:rsid w:val="00226623"/>
    <w:rsid w:val="002323AF"/>
    <w:rsid w:val="002375C8"/>
    <w:rsid w:val="00266AD7"/>
    <w:rsid w:val="00276D98"/>
    <w:rsid w:val="002A1613"/>
    <w:rsid w:val="002A3849"/>
    <w:rsid w:val="002B778F"/>
    <w:rsid w:val="002C4931"/>
    <w:rsid w:val="002F2190"/>
    <w:rsid w:val="00324535"/>
    <w:rsid w:val="00335D27"/>
    <w:rsid w:val="00342701"/>
    <w:rsid w:val="00355735"/>
    <w:rsid w:val="003970CE"/>
    <w:rsid w:val="003E788F"/>
    <w:rsid w:val="003F164D"/>
    <w:rsid w:val="003F2BC9"/>
    <w:rsid w:val="003F7E86"/>
    <w:rsid w:val="00412349"/>
    <w:rsid w:val="004166AF"/>
    <w:rsid w:val="00417C71"/>
    <w:rsid w:val="00420AC7"/>
    <w:rsid w:val="00434E9B"/>
    <w:rsid w:val="004350FF"/>
    <w:rsid w:val="00440310"/>
    <w:rsid w:val="00453F45"/>
    <w:rsid w:val="00460165"/>
    <w:rsid w:val="00481FCE"/>
    <w:rsid w:val="004906ED"/>
    <w:rsid w:val="004B0493"/>
    <w:rsid w:val="004C3A61"/>
    <w:rsid w:val="004C6CE9"/>
    <w:rsid w:val="004E7B2D"/>
    <w:rsid w:val="005049AB"/>
    <w:rsid w:val="005075FF"/>
    <w:rsid w:val="00507E56"/>
    <w:rsid w:val="00510A3C"/>
    <w:rsid w:val="00511853"/>
    <w:rsid w:val="00512B7A"/>
    <w:rsid w:val="005403C4"/>
    <w:rsid w:val="00553477"/>
    <w:rsid w:val="00580D42"/>
    <w:rsid w:val="00585026"/>
    <w:rsid w:val="00587672"/>
    <w:rsid w:val="00591462"/>
    <w:rsid w:val="0059284A"/>
    <w:rsid w:val="00603D98"/>
    <w:rsid w:val="006142ED"/>
    <w:rsid w:val="0061639D"/>
    <w:rsid w:val="0062652A"/>
    <w:rsid w:val="00642A91"/>
    <w:rsid w:val="00653821"/>
    <w:rsid w:val="006937D5"/>
    <w:rsid w:val="006A4690"/>
    <w:rsid w:val="006A58F5"/>
    <w:rsid w:val="006A5A61"/>
    <w:rsid w:val="006A7E4F"/>
    <w:rsid w:val="006C5292"/>
    <w:rsid w:val="006D0094"/>
    <w:rsid w:val="006E1458"/>
    <w:rsid w:val="006F562F"/>
    <w:rsid w:val="007145B5"/>
    <w:rsid w:val="00724D88"/>
    <w:rsid w:val="0077392A"/>
    <w:rsid w:val="00777CFF"/>
    <w:rsid w:val="007B78A1"/>
    <w:rsid w:val="007D22BA"/>
    <w:rsid w:val="007E4950"/>
    <w:rsid w:val="00804761"/>
    <w:rsid w:val="00824D51"/>
    <w:rsid w:val="00825256"/>
    <w:rsid w:val="008516F9"/>
    <w:rsid w:val="00864AB2"/>
    <w:rsid w:val="008B2667"/>
    <w:rsid w:val="008C16FF"/>
    <w:rsid w:val="008C4B67"/>
    <w:rsid w:val="008D495E"/>
    <w:rsid w:val="008E69CB"/>
    <w:rsid w:val="00930E64"/>
    <w:rsid w:val="009361E3"/>
    <w:rsid w:val="00940B22"/>
    <w:rsid w:val="00952D65"/>
    <w:rsid w:val="009546C0"/>
    <w:rsid w:val="00960E34"/>
    <w:rsid w:val="009654CD"/>
    <w:rsid w:val="00977EC1"/>
    <w:rsid w:val="009A09A6"/>
    <w:rsid w:val="009A1D7C"/>
    <w:rsid w:val="009B274F"/>
    <w:rsid w:val="009D4BA7"/>
    <w:rsid w:val="00A0133B"/>
    <w:rsid w:val="00A07416"/>
    <w:rsid w:val="00A13C1B"/>
    <w:rsid w:val="00A30EE3"/>
    <w:rsid w:val="00A31AF9"/>
    <w:rsid w:val="00A36B58"/>
    <w:rsid w:val="00A3759D"/>
    <w:rsid w:val="00A54566"/>
    <w:rsid w:val="00A60B84"/>
    <w:rsid w:val="00A7758D"/>
    <w:rsid w:val="00A93213"/>
    <w:rsid w:val="00AA3399"/>
    <w:rsid w:val="00AB6F67"/>
    <w:rsid w:val="00AC1548"/>
    <w:rsid w:val="00AE42A1"/>
    <w:rsid w:val="00AE6766"/>
    <w:rsid w:val="00AF0FEF"/>
    <w:rsid w:val="00AF12CD"/>
    <w:rsid w:val="00AF2C21"/>
    <w:rsid w:val="00AF7070"/>
    <w:rsid w:val="00B10CEC"/>
    <w:rsid w:val="00B11AC7"/>
    <w:rsid w:val="00B12672"/>
    <w:rsid w:val="00B241E7"/>
    <w:rsid w:val="00B4205B"/>
    <w:rsid w:val="00BA4271"/>
    <w:rsid w:val="00BA4679"/>
    <w:rsid w:val="00BA5F12"/>
    <w:rsid w:val="00BC0826"/>
    <w:rsid w:val="00BD23BE"/>
    <w:rsid w:val="00BD54C3"/>
    <w:rsid w:val="00C139E9"/>
    <w:rsid w:val="00C373CD"/>
    <w:rsid w:val="00C42A04"/>
    <w:rsid w:val="00C64F1F"/>
    <w:rsid w:val="00C6625F"/>
    <w:rsid w:val="00C769DF"/>
    <w:rsid w:val="00C970D5"/>
    <w:rsid w:val="00CA77FC"/>
    <w:rsid w:val="00CC4862"/>
    <w:rsid w:val="00CD5C4F"/>
    <w:rsid w:val="00CE1328"/>
    <w:rsid w:val="00CE1C51"/>
    <w:rsid w:val="00D003F2"/>
    <w:rsid w:val="00D031FD"/>
    <w:rsid w:val="00D14934"/>
    <w:rsid w:val="00D921A9"/>
    <w:rsid w:val="00D97C0C"/>
    <w:rsid w:val="00DA0B0E"/>
    <w:rsid w:val="00DB334E"/>
    <w:rsid w:val="00DB36BF"/>
    <w:rsid w:val="00DB5765"/>
    <w:rsid w:val="00DB7B50"/>
    <w:rsid w:val="00E061F6"/>
    <w:rsid w:val="00E06F8B"/>
    <w:rsid w:val="00E16BB2"/>
    <w:rsid w:val="00E64B1A"/>
    <w:rsid w:val="00E71161"/>
    <w:rsid w:val="00E71976"/>
    <w:rsid w:val="00E763E6"/>
    <w:rsid w:val="00E83DEF"/>
    <w:rsid w:val="00EA1083"/>
    <w:rsid w:val="00EA31E4"/>
    <w:rsid w:val="00EA43EE"/>
    <w:rsid w:val="00EA6F2A"/>
    <w:rsid w:val="00ED7E80"/>
    <w:rsid w:val="00EE3721"/>
    <w:rsid w:val="00EF0D01"/>
    <w:rsid w:val="00EF12C2"/>
    <w:rsid w:val="00EF7FE9"/>
    <w:rsid w:val="00F16A28"/>
    <w:rsid w:val="00F23526"/>
    <w:rsid w:val="00F32899"/>
    <w:rsid w:val="00F421B3"/>
    <w:rsid w:val="00F53C57"/>
    <w:rsid w:val="00F55557"/>
    <w:rsid w:val="00F61461"/>
    <w:rsid w:val="00FA144C"/>
    <w:rsid w:val="00FA3528"/>
    <w:rsid w:val="00FB29E4"/>
    <w:rsid w:val="00FC4589"/>
    <w:rsid w:val="00FD0721"/>
    <w:rsid w:val="00FD2B12"/>
    <w:rsid w:val="00FD2C2C"/>
    <w:rsid w:val="00FE1624"/>
    <w:rsid w:val="00FF1671"/>
    <w:rsid w:val="00FF22AA"/>
    <w:rsid w:val="00FF71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EA042-C902-4330-B488-C81DD261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semiHidden/>
    <w:unhideWhenUsed/>
    <w:qFormat/>
    <w:rsid w:val="003E78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E7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E788F"/>
    <w:pPr>
      <w:spacing w:after="0" w:line="240" w:lineRule="auto"/>
    </w:pPr>
    <w:rPr>
      <w:sz w:val="20"/>
      <w:szCs w:val="20"/>
    </w:rPr>
  </w:style>
  <w:style w:type="character" w:customStyle="1" w:styleId="a4">
    <w:name w:val="טקסט הערת שוליים תו"/>
    <w:basedOn w:val="a0"/>
    <w:link w:val="a3"/>
    <w:uiPriority w:val="99"/>
    <w:semiHidden/>
    <w:rsid w:val="003E788F"/>
    <w:rPr>
      <w:sz w:val="20"/>
      <w:szCs w:val="20"/>
    </w:rPr>
  </w:style>
  <w:style w:type="paragraph" w:styleId="NormalWeb">
    <w:name w:val="Normal (Web)"/>
    <w:basedOn w:val="a"/>
    <w:uiPriority w:val="99"/>
    <w:semiHidden/>
    <w:unhideWhenUsed/>
    <w:rsid w:val="003E788F"/>
    <w:rPr>
      <w:rFonts w:ascii="Times New Roman" w:hAnsi="Times New Roman" w:cs="Times New Roman"/>
      <w:sz w:val="24"/>
      <w:szCs w:val="24"/>
    </w:rPr>
  </w:style>
  <w:style w:type="paragraph" w:customStyle="1" w:styleId="11">
    <w:name w:val="כותרת 11"/>
    <w:basedOn w:val="2"/>
    <w:next w:val="a"/>
    <w:uiPriority w:val="9"/>
    <w:qFormat/>
    <w:rsid w:val="003E788F"/>
    <w:pPr>
      <w:numPr>
        <w:numId w:val="1"/>
      </w:numPr>
      <w:spacing w:before="480" w:line="360" w:lineRule="auto"/>
      <w:jc w:val="both"/>
      <w:outlineLvl w:val="0"/>
    </w:pPr>
    <w:rPr>
      <w:rFonts w:cs="David"/>
      <w:b/>
      <w:bCs/>
      <w:caps/>
      <w:color w:val="1F497D"/>
      <w:spacing w:val="15"/>
      <w:sz w:val="28"/>
      <w:szCs w:val="40"/>
    </w:rPr>
  </w:style>
  <w:style w:type="paragraph" w:customStyle="1" w:styleId="21">
    <w:name w:val="כותרת 21"/>
    <w:basedOn w:val="3"/>
    <w:next w:val="a"/>
    <w:uiPriority w:val="9"/>
    <w:unhideWhenUsed/>
    <w:qFormat/>
    <w:rsid w:val="003E788F"/>
    <w:pPr>
      <w:numPr>
        <w:ilvl w:val="1"/>
        <w:numId w:val="1"/>
      </w:numPr>
      <w:spacing w:before="200" w:line="360" w:lineRule="auto"/>
      <w:jc w:val="both"/>
      <w:outlineLvl w:val="1"/>
    </w:pPr>
    <w:rPr>
      <w:rFonts w:cs="David"/>
      <w:b/>
      <w:bCs/>
      <w:caps/>
      <w:color w:val="auto"/>
      <w:spacing w:val="15"/>
      <w:szCs w:val="32"/>
    </w:rPr>
  </w:style>
  <w:style w:type="paragraph" w:customStyle="1" w:styleId="31">
    <w:name w:val="כותרת 31"/>
    <w:basedOn w:val="a"/>
    <w:next w:val="a"/>
    <w:uiPriority w:val="9"/>
    <w:unhideWhenUsed/>
    <w:qFormat/>
    <w:rsid w:val="003E788F"/>
    <w:pPr>
      <w:keepNext/>
      <w:keepLines/>
      <w:numPr>
        <w:ilvl w:val="2"/>
        <w:numId w:val="1"/>
      </w:numPr>
      <w:spacing w:before="200" w:after="0" w:line="360" w:lineRule="auto"/>
      <w:jc w:val="both"/>
      <w:outlineLvl w:val="2"/>
    </w:pPr>
    <w:rPr>
      <w:rFonts w:ascii="Cambria" w:eastAsia="Times New Roman" w:hAnsi="Cambria" w:cs="David"/>
      <w:b/>
      <w:bCs/>
      <w:sz w:val="24"/>
      <w:szCs w:val="28"/>
      <w:u w:val="single"/>
    </w:rPr>
  </w:style>
  <w:style w:type="paragraph" w:customStyle="1" w:styleId="41">
    <w:name w:val="כותרת 41"/>
    <w:basedOn w:val="a"/>
    <w:next w:val="a"/>
    <w:uiPriority w:val="9"/>
    <w:unhideWhenUsed/>
    <w:qFormat/>
    <w:rsid w:val="003E788F"/>
    <w:pPr>
      <w:keepNext/>
      <w:keepLines/>
      <w:numPr>
        <w:ilvl w:val="3"/>
        <w:numId w:val="1"/>
      </w:numPr>
      <w:spacing w:before="200" w:after="0" w:line="360" w:lineRule="auto"/>
      <w:jc w:val="both"/>
      <w:outlineLvl w:val="3"/>
    </w:pPr>
    <w:rPr>
      <w:rFonts w:ascii="Cambria" w:eastAsia="Times New Roman" w:hAnsi="Cambria" w:cs="David"/>
      <w:b/>
      <w:i/>
      <w:sz w:val="24"/>
      <w:szCs w:val="24"/>
      <w:u w:val="double"/>
    </w:rPr>
  </w:style>
  <w:style w:type="paragraph" w:customStyle="1" w:styleId="71">
    <w:name w:val="כותרת 71"/>
    <w:basedOn w:val="a"/>
    <w:next w:val="a"/>
    <w:uiPriority w:val="9"/>
    <w:semiHidden/>
    <w:unhideWhenUsed/>
    <w:qFormat/>
    <w:rsid w:val="003E788F"/>
    <w:pPr>
      <w:keepNext/>
      <w:keepLines/>
      <w:numPr>
        <w:ilvl w:val="6"/>
        <w:numId w:val="1"/>
      </w:numPr>
      <w:spacing w:before="200" w:after="0" w:line="360" w:lineRule="auto"/>
      <w:jc w:val="both"/>
      <w:outlineLvl w:val="6"/>
    </w:pPr>
    <w:rPr>
      <w:rFonts w:ascii="Cambria" w:eastAsia="Times New Roman" w:hAnsi="Cambria" w:cs="Times New Roman"/>
      <w:i/>
      <w:iCs/>
      <w:color w:val="404040"/>
      <w:sz w:val="24"/>
      <w:szCs w:val="24"/>
    </w:rPr>
  </w:style>
  <w:style w:type="paragraph" w:customStyle="1" w:styleId="81">
    <w:name w:val="כותרת 81"/>
    <w:basedOn w:val="a"/>
    <w:next w:val="a"/>
    <w:uiPriority w:val="9"/>
    <w:semiHidden/>
    <w:unhideWhenUsed/>
    <w:qFormat/>
    <w:rsid w:val="003E788F"/>
    <w:pPr>
      <w:keepNext/>
      <w:keepLines/>
      <w:numPr>
        <w:ilvl w:val="7"/>
        <w:numId w:val="1"/>
      </w:numPr>
      <w:spacing w:before="200" w:after="0" w:line="360" w:lineRule="auto"/>
      <w:jc w:val="both"/>
      <w:outlineLvl w:val="7"/>
    </w:pPr>
    <w:rPr>
      <w:rFonts w:ascii="Cambria" w:eastAsia="Times New Roman" w:hAnsi="Cambria" w:cs="Times New Roman"/>
      <w:color w:val="404040"/>
      <w:sz w:val="24"/>
      <w:szCs w:val="20"/>
    </w:rPr>
  </w:style>
  <w:style w:type="paragraph" w:customStyle="1" w:styleId="91">
    <w:name w:val="כותרת 91"/>
    <w:basedOn w:val="a"/>
    <w:next w:val="a"/>
    <w:uiPriority w:val="9"/>
    <w:semiHidden/>
    <w:unhideWhenUsed/>
    <w:qFormat/>
    <w:rsid w:val="003E788F"/>
    <w:pPr>
      <w:keepNext/>
      <w:keepLines/>
      <w:numPr>
        <w:ilvl w:val="8"/>
        <w:numId w:val="1"/>
      </w:numPr>
      <w:spacing w:before="200" w:after="0" w:line="360" w:lineRule="auto"/>
      <w:jc w:val="both"/>
      <w:outlineLvl w:val="8"/>
    </w:pPr>
    <w:rPr>
      <w:rFonts w:ascii="Cambria" w:eastAsia="Times New Roman" w:hAnsi="Cambria" w:cs="Times New Roman"/>
      <w:i/>
      <w:iCs/>
      <w:color w:val="404040"/>
      <w:sz w:val="24"/>
      <w:szCs w:val="20"/>
    </w:rPr>
  </w:style>
  <w:style w:type="character" w:styleId="a5">
    <w:name w:val="footnote reference"/>
    <w:aliases w:val="טקסט הערת שוליים חדש,Footnote Reference Number,Footnote Reference_LVL6,Footnote Reference_LVL61,Footnote Reference_LVL62,Footnote Reference_LVL63,Footnote Reference_LVL64,fr,SUPERS,EN Footnote Reference,number,Footnote symbol"/>
    <w:basedOn w:val="a0"/>
    <w:uiPriority w:val="99"/>
    <w:unhideWhenUsed/>
    <w:rsid w:val="003E788F"/>
    <w:rPr>
      <w:vertAlign w:val="superscript"/>
    </w:rPr>
  </w:style>
  <w:style w:type="character" w:customStyle="1" w:styleId="20">
    <w:name w:val="כותרת 2 תו"/>
    <w:basedOn w:val="a0"/>
    <w:link w:val="2"/>
    <w:uiPriority w:val="9"/>
    <w:semiHidden/>
    <w:rsid w:val="003E788F"/>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semiHidden/>
    <w:rsid w:val="003E788F"/>
    <w:rPr>
      <w:rFonts w:asciiTheme="majorHAnsi" w:eastAsiaTheme="majorEastAsia" w:hAnsiTheme="majorHAnsi" w:cstheme="majorBidi"/>
      <w:color w:val="1F4D78" w:themeColor="accent1" w:themeShade="7F"/>
      <w:sz w:val="24"/>
      <w:szCs w:val="24"/>
    </w:rPr>
  </w:style>
  <w:style w:type="paragraph" w:styleId="a6">
    <w:name w:val="Balloon Text"/>
    <w:basedOn w:val="a"/>
    <w:link w:val="a7"/>
    <w:uiPriority w:val="99"/>
    <w:semiHidden/>
    <w:unhideWhenUsed/>
    <w:rsid w:val="008C16FF"/>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8C16F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u43g\Desktop\&#1504;&#1497;&#1514;&#1493;&#1495;%20&#1492;&#1495;&#1489;&#1512;&#1493;&#1514;%20&#1492;&#1510;&#1497;&#1489;&#1493;&#1512;&#1497;&#1493;&#1514;\&#1500;&#1493;&#1495;&#1493;&#1514;%20&#1493;&#1488;&#1497;&#1493;&#1512;&#1497;&#1501;%20-%20&#1514;&#1497;&#1489;&#1492;%20&#1506;&#1493;&#1491;&#1491;%20&#1493;&#1488;&#1497;&#1514;&#149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395260423184005E-2"/>
          <c:y val="0.16542160113254539"/>
          <c:w val="0.83656570672721953"/>
          <c:h val="0.48085270442027961"/>
        </c:manualLayout>
      </c:layout>
      <c:barChart>
        <c:barDir val="col"/>
        <c:grouping val="clustered"/>
        <c:varyColors val="0"/>
        <c:ser>
          <c:idx val="4"/>
          <c:order val="0"/>
          <c:tx>
            <c:strRef>
              <c:f>'איור 1'!$B$1</c:f>
              <c:strCache>
                <c:ptCount val="1"/>
                <c:pt idx="0">
                  <c:v>מספר החברות שנותחו בענף</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Assistant" panose="00000500000000000000" pitchFamily="2" charset="-79"/>
                    <a:ea typeface="+mn-ea"/>
                    <a:cs typeface="Assistant" panose="00000500000000000000" pitchFamily="2"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'איור 1'!$A$2:$A$12</c:f>
              <c:strCache>
                <c:ptCount val="11"/>
                <c:pt idx="0">
                  <c:v>נדל"ן מניב</c:v>
                </c:pt>
                <c:pt idx="1">
                  <c:v>תעשייה עילית ושירותי מחשוב</c:v>
                </c:pt>
                <c:pt idx="2">
                  <c:v>ייזום ובנייה</c:v>
                </c:pt>
                <c:pt idx="3">
                  <c:v>תעשיית Low tech</c:v>
                </c:pt>
                <c:pt idx="4">
                  <c:v>מסחר - ללא מזון והלבשה</c:v>
                </c:pt>
                <c:pt idx="5">
                  <c:v>מזון ומשקאות - ייצור ושיווק</c:v>
                </c:pt>
                <c:pt idx="6">
                  <c:v>שירותי מידע ותקשורת</c:v>
                </c:pt>
                <c:pt idx="7">
                  <c:v>הלבשה והנעלה - ייצור ושיווק </c:v>
                </c:pt>
                <c:pt idx="8">
                  <c:v>תיירות ותעופה</c:v>
                </c:pt>
                <c:pt idx="9">
                  <c:v>אנרגיה וחשמל</c:v>
                </c:pt>
                <c:pt idx="10">
                  <c:v>שירותי אחסנה ותובלה</c:v>
                </c:pt>
              </c:strCache>
            </c:strRef>
          </c:cat>
          <c:val>
            <c:numRef>
              <c:f>'איור 1'!$B$2:$B$12</c:f>
              <c:numCache>
                <c:formatCode>0</c:formatCode>
                <c:ptCount val="11"/>
                <c:pt idx="0">
                  <c:v>60</c:v>
                </c:pt>
                <c:pt idx="1">
                  <c:v>43</c:v>
                </c:pt>
                <c:pt idx="2">
                  <c:v>41</c:v>
                </c:pt>
                <c:pt idx="3">
                  <c:v>36</c:v>
                </c:pt>
                <c:pt idx="4">
                  <c:v>33</c:v>
                </c:pt>
                <c:pt idx="5">
                  <c:v>19</c:v>
                </c:pt>
                <c:pt idx="6">
                  <c:v>19</c:v>
                </c:pt>
                <c:pt idx="7">
                  <c:v>10</c:v>
                </c:pt>
                <c:pt idx="8">
                  <c:v>10</c:v>
                </c:pt>
                <c:pt idx="9">
                  <c:v>9</c:v>
                </c:pt>
                <c:pt idx="10">
                  <c:v>6</c:v>
                </c:pt>
              </c:numCache>
            </c:numRef>
          </c:val>
          <c:extLst>
            <c:ext xmlns:c16="http://schemas.microsoft.com/office/drawing/2014/chart" uri="{C3380CC4-5D6E-409C-BE32-E72D297353CC}">
              <c16:uniqueId val="{00000000-AFEF-4AEC-9509-0A25B0E40D9D}"/>
            </c:ext>
          </c:extLst>
        </c:ser>
        <c:dLbls>
          <c:showLegendKey val="0"/>
          <c:showVal val="0"/>
          <c:showCatName val="0"/>
          <c:showSerName val="0"/>
          <c:showPercent val="0"/>
          <c:showBubbleSize val="0"/>
        </c:dLbls>
        <c:gapWidth val="200"/>
        <c:axId val="664495136"/>
        <c:axId val="664495792"/>
      </c:barChart>
      <c:lineChart>
        <c:grouping val="standard"/>
        <c:varyColors val="0"/>
        <c:ser>
          <c:idx val="0"/>
          <c:order val="1"/>
          <c:tx>
            <c:strRef>
              <c:f>'איור 1'!$C$1</c:f>
              <c:strCache>
                <c:ptCount val="1"/>
                <c:pt idx="0">
                  <c:v>חוב פיננסי ענפי (ציר ימני)</c:v>
                </c:pt>
              </c:strCache>
            </c:strRef>
          </c:tx>
          <c:spPr>
            <a:ln w="28575" cap="rnd">
              <a:noFill/>
              <a:round/>
            </a:ln>
            <a:effectLst/>
          </c:spPr>
          <c:marker>
            <c:symbol val="square"/>
            <c:size val="7"/>
            <c:spPr>
              <a:solidFill>
                <a:schemeClr val="accent2"/>
              </a:solidFill>
              <a:ln w="9525">
                <a:noFill/>
              </a:ln>
              <a:effectLst/>
            </c:spPr>
          </c:marker>
          <c:dLbls>
            <c:dLbl>
              <c:idx val="2"/>
              <c:layout>
                <c:manualLayout>
                  <c:x val="-3.8075025016785576E-17"/>
                  <c:y val="-2.83962041877134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FEF-4AEC-9509-0A25B0E40D9D}"/>
                </c:ext>
              </c:extLst>
            </c:dLbl>
            <c:spPr>
              <a:noFill/>
              <a:ln>
                <a:noFill/>
              </a:ln>
              <a:effectLst/>
            </c:spPr>
            <c:txPr>
              <a:bodyPr rot="0" spcFirstLastPara="1" vertOverflow="ellipsis" vert="horz" wrap="square" anchor="ctr" anchorCtr="1"/>
              <a:lstStyle/>
              <a:p>
                <a:pPr>
                  <a:defRPr sz="900" b="1" i="0" u="none" strike="noStrike" kern="1200" baseline="0">
                    <a:solidFill>
                      <a:schemeClr val="accent2"/>
                    </a:solidFill>
                    <a:latin typeface="Assistant" panose="00000500000000000000" pitchFamily="2" charset="-79"/>
                    <a:ea typeface="+mn-ea"/>
                    <a:cs typeface="Assistant" panose="00000500000000000000" pitchFamily="2"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'איור 1'!$A$2:$A$12</c:f>
              <c:strCache>
                <c:ptCount val="11"/>
                <c:pt idx="0">
                  <c:v>נדל"ן מניב</c:v>
                </c:pt>
                <c:pt idx="1">
                  <c:v>תעשייה עילית ושירותי מחשוב</c:v>
                </c:pt>
                <c:pt idx="2">
                  <c:v>ייזום ובנייה</c:v>
                </c:pt>
                <c:pt idx="3">
                  <c:v>תעשיית Low tech</c:v>
                </c:pt>
                <c:pt idx="4">
                  <c:v>מסחר - ללא מזון והלבשה</c:v>
                </c:pt>
                <c:pt idx="5">
                  <c:v>מזון ומשקאות - ייצור ושיווק</c:v>
                </c:pt>
                <c:pt idx="6">
                  <c:v>שירותי מידע ותקשורת</c:v>
                </c:pt>
                <c:pt idx="7">
                  <c:v>הלבשה והנעלה - ייצור ושיווק </c:v>
                </c:pt>
                <c:pt idx="8">
                  <c:v>תיירות ותעופה</c:v>
                </c:pt>
                <c:pt idx="9">
                  <c:v>אנרגיה וחשמל</c:v>
                </c:pt>
                <c:pt idx="10">
                  <c:v>שירותי אחסנה ותובלה</c:v>
                </c:pt>
              </c:strCache>
            </c:strRef>
          </c:cat>
          <c:val>
            <c:numRef>
              <c:f>'איור 1'!$C$2:$C$12</c:f>
              <c:numCache>
                <c:formatCode>0</c:formatCode>
                <c:ptCount val="11"/>
                <c:pt idx="0">
                  <c:v>152.23070910788823</c:v>
                </c:pt>
                <c:pt idx="1">
                  <c:v>9.5544652269306258</c:v>
                </c:pt>
                <c:pt idx="2">
                  <c:v>38.423344999999998</c:v>
                </c:pt>
                <c:pt idx="3">
                  <c:v>25.146768348600141</c:v>
                </c:pt>
                <c:pt idx="4">
                  <c:v>16.969201000000002</c:v>
                </c:pt>
                <c:pt idx="5">
                  <c:v>6.8617700182309154</c:v>
                </c:pt>
                <c:pt idx="6">
                  <c:v>7.8809579733393171</c:v>
                </c:pt>
                <c:pt idx="7">
                  <c:v>3.1867235556216187</c:v>
                </c:pt>
                <c:pt idx="8">
                  <c:v>13.53030690768766</c:v>
                </c:pt>
                <c:pt idx="9">
                  <c:v>6.5678597017326359</c:v>
                </c:pt>
                <c:pt idx="10">
                  <c:v>0.93152381277298879</c:v>
                </c:pt>
              </c:numCache>
            </c:numRef>
          </c:val>
          <c:smooth val="0"/>
          <c:extLst>
            <c:ext xmlns:c16="http://schemas.microsoft.com/office/drawing/2014/chart" uri="{C3380CC4-5D6E-409C-BE32-E72D297353CC}">
              <c16:uniqueId val="{00000002-AFEF-4AEC-9509-0A25B0E40D9D}"/>
            </c:ext>
          </c:extLst>
        </c:ser>
        <c:ser>
          <c:idx val="1"/>
          <c:order val="2"/>
          <c:tx>
            <c:strRef>
              <c:f>'איור 1'!$D$1</c:f>
              <c:strCache>
                <c:ptCount val="1"/>
                <c:pt idx="0">
                  <c:v>שווי שוק ענפי (ציר ימני)</c:v>
                </c:pt>
              </c:strCache>
            </c:strRef>
          </c:tx>
          <c:spPr>
            <a:ln w="28575" cap="rnd">
              <a:noFill/>
              <a:round/>
            </a:ln>
            <a:effectLst/>
          </c:spPr>
          <c:marker>
            <c:symbol val="diamond"/>
            <c:size val="8"/>
            <c:spPr>
              <a:solidFill>
                <a:srgbClr val="00B0F0"/>
              </a:solidFill>
              <a:ln w="9525">
                <a:noFill/>
              </a:ln>
              <a:effectLst/>
            </c:spPr>
          </c:marker>
          <c:dLbls>
            <c:dLbl>
              <c:idx val="4"/>
              <c:layout>
                <c:manualLayout>
                  <c:x val="-2.0768435379668201E-3"/>
                  <c:y val="-4.25943062815701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FEF-4AEC-9509-0A25B0E40D9D}"/>
                </c:ext>
              </c:extLst>
            </c:dLbl>
            <c:dLbl>
              <c:idx val="6"/>
              <c:layout>
                <c:manualLayout>
                  <c:x val="0"/>
                  <c:y val="-4.25943062815702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FEF-4AEC-9509-0A25B0E40D9D}"/>
                </c:ext>
              </c:extLst>
            </c:dLbl>
            <c:dLbl>
              <c:idx val="7"/>
              <c:layout>
                <c:manualLayout>
                  <c:x val="2.0768435379667442E-3"/>
                  <c:y val="-4.25943062815702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FEF-4AEC-9509-0A25B0E40D9D}"/>
                </c:ext>
              </c:extLst>
            </c:dLbl>
            <c:dLbl>
              <c:idx val="8"/>
              <c:layout>
                <c:manualLayout>
                  <c:x val="0"/>
                  <c:y val="-3.54952552346418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FEF-4AEC-9509-0A25B0E40D9D}"/>
                </c:ext>
              </c:extLst>
            </c:dLbl>
            <c:dLbl>
              <c:idx val="9"/>
              <c:layout>
                <c:manualLayout>
                  <c:x val="0"/>
                  <c:y val="-3.1945729711177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FEF-4AEC-9509-0A25B0E40D9D}"/>
                </c:ext>
              </c:extLst>
            </c:dLbl>
            <c:dLbl>
              <c:idx val="10"/>
              <c:layout>
                <c:manualLayout>
                  <c:x val="0"/>
                  <c:y val="-5.32428828519627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FEF-4AEC-9509-0A25B0E40D9D}"/>
                </c:ext>
              </c:extLst>
            </c:dLbl>
            <c:spPr>
              <a:noFill/>
              <a:ln>
                <a:noFill/>
              </a:ln>
              <a:effectLst/>
            </c:spPr>
            <c:txPr>
              <a:bodyPr rot="0" spcFirstLastPara="1" vertOverflow="ellipsis" vert="horz" wrap="square" anchor="ctr" anchorCtr="1"/>
              <a:lstStyle/>
              <a:p>
                <a:pPr>
                  <a:defRPr sz="900" b="1" i="0" u="none" strike="noStrike" kern="1200" baseline="0">
                    <a:solidFill>
                      <a:srgbClr val="00B0F0"/>
                    </a:solidFill>
                    <a:latin typeface="Assistant" panose="00000500000000000000" pitchFamily="2" charset="-79"/>
                    <a:ea typeface="+mn-ea"/>
                    <a:cs typeface="Assistant" panose="00000500000000000000" pitchFamily="2"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'איור 1'!$A$2:$A$12</c:f>
              <c:strCache>
                <c:ptCount val="11"/>
                <c:pt idx="0">
                  <c:v>נדל"ן מניב</c:v>
                </c:pt>
                <c:pt idx="1">
                  <c:v>תעשייה עילית ושירותי מחשוב</c:v>
                </c:pt>
                <c:pt idx="2">
                  <c:v>ייזום ובנייה</c:v>
                </c:pt>
                <c:pt idx="3">
                  <c:v>תעשיית Low tech</c:v>
                </c:pt>
                <c:pt idx="4">
                  <c:v>מסחר - ללא מזון והלבשה</c:v>
                </c:pt>
                <c:pt idx="5">
                  <c:v>מזון ומשקאות - ייצור ושיווק</c:v>
                </c:pt>
                <c:pt idx="6">
                  <c:v>שירותי מידע ותקשורת</c:v>
                </c:pt>
                <c:pt idx="7">
                  <c:v>הלבשה והנעלה - ייצור ושיווק </c:v>
                </c:pt>
                <c:pt idx="8">
                  <c:v>תיירות ותעופה</c:v>
                </c:pt>
                <c:pt idx="9">
                  <c:v>אנרגיה וחשמל</c:v>
                </c:pt>
                <c:pt idx="10">
                  <c:v>שירותי אחסנה ותובלה</c:v>
                </c:pt>
              </c:strCache>
            </c:strRef>
          </c:cat>
          <c:val>
            <c:numRef>
              <c:f>'איור 1'!$D$2:$D$12</c:f>
              <c:numCache>
                <c:formatCode>0</c:formatCode>
                <c:ptCount val="11"/>
                <c:pt idx="0">
                  <c:v>121.30082788899999</c:v>
                </c:pt>
                <c:pt idx="1">
                  <c:v>84.142506651999966</c:v>
                </c:pt>
                <c:pt idx="2">
                  <c:v>26.927453652000001</c:v>
                </c:pt>
                <c:pt idx="3">
                  <c:v>46.704820627999993</c:v>
                </c:pt>
                <c:pt idx="4">
                  <c:v>20.649489500999998</c:v>
                </c:pt>
                <c:pt idx="5">
                  <c:v>29.175260237999996</c:v>
                </c:pt>
                <c:pt idx="6">
                  <c:v>11.014812547</c:v>
                </c:pt>
                <c:pt idx="7">
                  <c:v>6.8459618190000002</c:v>
                </c:pt>
                <c:pt idx="8">
                  <c:v>14.472165792</c:v>
                </c:pt>
                <c:pt idx="9">
                  <c:v>9.8483149680000004</c:v>
                </c:pt>
                <c:pt idx="10">
                  <c:v>1.4324144909999998</c:v>
                </c:pt>
              </c:numCache>
            </c:numRef>
          </c:val>
          <c:smooth val="0"/>
          <c:extLst>
            <c:ext xmlns:c16="http://schemas.microsoft.com/office/drawing/2014/chart" uri="{C3380CC4-5D6E-409C-BE32-E72D297353CC}">
              <c16:uniqueId val="{00000009-AFEF-4AEC-9509-0A25B0E40D9D}"/>
            </c:ext>
          </c:extLst>
        </c:ser>
        <c:dLbls>
          <c:showLegendKey val="0"/>
          <c:showVal val="0"/>
          <c:showCatName val="0"/>
          <c:showSerName val="0"/>
          <c:showPercent val="0"/>
          <c:showBubbleSize val="0"/>
        </c:dLbls>
        <c:marker val="1"/>
        <c:smooth val="0"/>
        <c:axId val="813043296"/>
        <c:axId val="813036408"/>
      </c:lineChart>
      <c:catAx>
        <c:axId val="664495136"/>
        <c:scaling>
          <c:orientation val="minMax"/>
        </c:scaling>
        <c:delete val="0"/>
        <c:axPos val="b"/>
        <c:numFmt formatCode="General" sourceLinked="1"/>
        <c:majorTickMark val="in"/>
        <c:minorTickMark val="none"/>
        <c:tickLblPos val="low"/>
        <c:spPr>
          <a:noFill/>
          <a:ln w="9525" cap="flat" cmpd="sng" algn="ctr">
            <a:solidFill>
              <a:schemeClr val="tx1"/>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crossAx val="664495792"/>
        <c:crosses val="autoZero"/>
        <c:auto val="1"/>
        <c:lblAlgn val="ctr"/>
        <c:lblOffset val="100"/>
        <c:noMultiLvlLbl val="0"/>
      </c:catAx>
      <c:valAx>
        <c:axId val="664495792"/>
        <c:scaling>
          <c:orientation val="minMax"/>
          <c:max val="7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r>
                  <a:rPr lang="he-IL"/>
                  <a:t>מספר חברות</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crossAx val="664495136"/>
        <c:crosses val="autoZero"/>
        <c:crossBetween val="between"/>
      </c:valAx>
      <c:valAx>
        <c:axId val="813036408"/>
        <c:scaling>
          <c:orientation val="minMax"/>
          <c:max val="240"/>
          <c:min val="0"/>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r>
                  <a:rPr lang="he-IL"/>
                  <a:t>מיליארדי ש"ח</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crossAx val="813043296"/>
        <c:crosses val="max"/>
        <c:crossBetween val="between"/>
      </c:valAx>
      <c:catAx>
        <c:axId val="813043296"/>
        <c:scaling>
          <c:orientation val="minMax"/>
        </c:scaling>
        <c:delete val="1"/>
        <c:axPos val="b"/>
        <c:numFmt formatCode="General" sourceLinked="1"/>
        <c:majorTickMark val="out"/>
        <c:minorTickMark val="none"/>
        <c:tickLblPos val="nextTo"/>
        <c:crossAx val="813036408"/>
        <c:crosses val="autoZero"/>
        <c:auto val="1"/>
        <c:lblAlgn val="ctr"/>
        <c:lblOffset val="100"/>
        <c:noMultiLvlLbl val="0"/>
      </c:catAx>
      <c:spPr>
        <a:noFill/>
        <a:ln>
          <a:solidFill>
            <a:schemeClr val="tx1"/>
          </a:solidFill>
        </a:ln>
        <a:effectLst/>
      </c:spPr>
    </c:plotArea>
    <c:legend>
      <c:legendPos val="b"/>
      <c:layout>
        <c:manualLayout>
          <c:xMode val="edge"/>
          <c:yMode val="edge"/>
          <c:x val="0.16547736115688022"/>
          <c:y val="0.86243807371840131"/>
          <c:w val="0.7076632570767063"/>
          <c:h val="6.3337381725744948E-2"/>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lumMod val="95000"/>
      </a:schemeClr>
    </a:solidFill>
    <a:ln w="9525" cap="flat" cmpd="sng" algn="ctr">
      <a:noFill/>
      <a:round/>
    </a:ln>
    <a:effectLst/>
  </c:spPr>
  <c:txPr>
    <a:bodyPr/>
    <a:lstStyle/>
    <a:p>
      <a:pPr>
        <a:defRPr>
          <a:solidFill>
            <a:sysClr val="windowText" lastClr="000000"/>
          </a:solidFill>
          <a:latin typeface="Assistant" panose="00000500000000000000" pitchFamily="2" charset="-79"/>
          <a:cs typeface="Assistant" panose="00000500000000000000" pitchFamily="2" charset="-79"/>
        </a:defRPr>
      </a:pPr>
      <a:endParaRPr lang="he-IL"/>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0.0258</cdr:x>
      <cdr:y>0.92824</cdr:y>
    </cdr:from>
    <cdr:to>
      <cdr:x>0.99172</cdr:x>
      <cdr:y>1</cdr:y>
    </cdr:to>
    <cdr:sp macro="" textlink="">
      <cdr:nvSpPr>
        <cdr:cNvPr id="2" name="TextBox 1"/>
        <cdr:cNvSpPr txBox="1"/>
      </cdr:nvSpPr>
      <cdr:spPr>
        <a:xfrm xmlns:a="http://schemas.openxmlformats.org/drawingml/2006/main">
          <a:off x="119603" y="4312024"/>
          <a:ext cx="4477789" cy="33337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r" rtl="1"/>
          <a:r>
            <a:rPr lang="he-IL" sz="900" b="1">
              <a:latin typeface="Assistant" panose="00000500000000000000" pitchFamily="2" charset="-79"/>
              <a:cs typeface="Assistant" panose="00000500000000000000" pitchFamily="2" charset="-79"/>
            </a:rPr>
            <a:t>המקור</a:t>
          </a:r>
          <a:r>
            <a:rPr lang="he-IL" sz="900">
              <a:latin typeface="Assistant" panose="00000500000000000000" pitchFamily="2" charset="-79"/>
              <a:cs typeface="Assistant" panose="00000500000000000000" pitchFamily="2" charset="-79"/>
            </a:rPr>
            <a:t>:</a:t>
          </a:r>
          <a:r>
            <a:rPr lang="he-IL" sz="900" baseline="0">
              <a:latin typeface="Assistant" panose="00000500000000000000" pitchFamily="2" charset="-79"/>
              <a:cs typeface="Assistant" panose="00000500000000000000" pitchFamily="2" charset="-79"/>
            </a:rPr>
            <a:t> עיבודי בנק ישראל.</a:t>
          </a:r>
          <a:endParaRPr lang="he-IL" sz="900">
            <a:latin typeface="Assistant" panose="00000500000000000000" pitchFamily="2" charset="-79"/>
            <a:cs typeface="Assistant" panose="00000500000000000000" pitchFamily="2" charset="-79"/>
          </a:endParaRP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42A28-A8A6-4817-AF51-BBCD5824C39D}"/>
</file>

<file path=customXml/itemProps2.xml><?xml version="1.0" encoding="utf-8"?>
<ds:datastoreItem xmlns:ds="http://schemas.openxmlformats.org/officeDocument/2006/customXml" ds:itemID="{C625DE87-6D8B-4892-B84B-65EA97C7AB1E}"/>
</file>

<file path=customXml/itemProps3.xml><?xml version="1.0" encoding="utf-8"?>
<ds:datastoreItem xmlns:ds="http://schemas.openxmlformats.org/officeDocument/2006/customXml" ds:itemID="{87AD5E51-0ED6-469E-B0E7-407B2D1E7E8B}"/>
</file>

<file path=docProps/app.xml><?xml version="1.0" encoding="utf-8"?>
<Properties xmlns="http://schemas.openxmlformats.org/officeDocument/2006/extended-properties" xmlns:vt="http://schemas.openxmlformats.org/officeDocument/2006/docPropsVTypes">
  <Template>Normal</Template>
  <TotalTime>0</TotalTime>
  <Pages>8</Pages>
  <Words>2308</Words>
  <Characters>11540</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איתי קדמי</dc:creator>
  <cp:keywords/>
  <dc:description/>
  <cp:lastModifiedBy>boiuser</cp:lastModifiedBy>
  <cp:revision>2</cp:revision>
  <dcterms:created xsi:type="dcterms:W3CDTF">2020-07-28T08:42:00Z</dcterms:created>
  <dcterms:modified xsi:type="dcterms:W3CDTF">2020-07-28T08:42:00Z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