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0C" w:rsidRPr="00103C93" w:rsidRDefault="00114D8E" w:rsidP="00A8350C">
      <w:pPr>
        <w:bidi/>
        <w:rPr>
          <w:rFonts w:asciiTheme="minorBidi" w:hAnsiTheme="minorBidi" w:cstheme="minorBidi" w:hint="default"/>
        </w:rPr>
      </w:pPr>
      <w:r w:rsidRPr="00103C93">
        <w:rPr>
          <w:rFonts w:asciiTheme="minorBidi" w:hAnsiTheme="minorBidi" w:cstheme="minorBid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B719F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103C93" w:rsidRDefault="00114D8E" w:rsidP="00A71B81">
            <w:pPr>
              <w:bidi/>
              <w:spacing w:line="360" w:lineRule="auto"/>
              <w:jc w:val="center"/>
              <w:rPr>
                <w:rFonts w:asciiTheme="minorBidi" w:hAnsiTheme="minorBidi" w:cstheme="minorBidi" w:hint="default"/>
                <w:b/>
                <w:bCs/>
                <w:sz w:val="28"/>
                <w:szCs w:val="28"/>
              </w:rPr>
            </w:pPr>
            <w:r w:rsidRPr="00103C93">
              <w:rPr>
                <w:rFonts w:asciiTheme="minorBidi" w:hAnsiTheme="minorBidi" w:cstheme="minorBid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:rsidR="00317000" w:rsidRPr="00103C93" w:rsidRDefault="00114D8E" w:rsidP="00A71B81">
            <w:pPr>
              <w:bidi/>
              <w:spacing w:line="360" w:lineRule="auto"/>
              <w:ind w:right="-101"/>
              <w:jc w:val="center"/>
              <w:rPr>
                <w:rFonts w:asciiTheme="minorBidi" w:hAnsiTheme="minorBidi" w:cstheme="minorBidi" w:hint="default"/>
              </w:rPr>
            </w:pPr>
            <w:r w:rsidRPr="00103C93">
              <w:rPr>
                <w:rFonts w:asciiTheme="minorBidi" w:hAnsiTheme="minorBidi" w:cstheme="minorBid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7000" w:rsidRPr="00103C93" w:rsidRDefault="00114D8E" w:rsidP="00A71B81">
            <w:pPr>
              <w:bidi/>
              <w:jc w:val="center"/>
              <w:rPr>
                <w:rFonts w:asciiTheme="minorBidi" w:hAnsiTheme="minorBidi" w:cstheme="minorBidi" w:hint="default"/>
              </w:rPr>
            </w:pPr>
            <w:r w:rsidRPr="00103C93">
              <w:rPr>
                <w:rFonts w:asciiTheme="minorBidi" w:hAnsiTheme="minorBidi" w:cstheme="minorBidi" w:hint="default"/>
                <w:noProof/>
                <w:lang w:eastAsia="en-US"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103C93" w:rsidRDefault="00114D8E" w:rsidP="00B35B99">
            <w:pPr>
              <w:bidi/>
              <w:spacing w:line="480" w:lineRule="auto"/>
              <w:jc w:val="right"/>
              <w:rPr>
                <w:rFonts w:asciiTheme="minorBidi" w:hAnsiTheme="minorBidi" w:cstheme="minorBidi" w:hint="default"/>
              </w:rPr>
            </w:pPr>
            <w:r w:rsidRPr="00103C93">
              <w:rPr>
                <w:rFonts w:asciiTheme="minorBidi" w:hAnsiTheme="minorBidi" w:cstheme="minorBidi" w:hint="default"/>
                <w:rtl/>
              </w:rPr>
              <w:t>‏</w:t>
            </w:r>
            <w:r w:rsidR="00A42218" w:rsidRPr="00103C93">
              <w:rPr>
                <w:rFonts w:asciiTheme="minorBidi" w:hAnsiTheme="minorBidi" w:cstheme="minorBidi" w:hint="default"/>
                <w:rtl/>
              </w:rPr>
              <w:t xml:space="preserve"> ירושלים, </w:t>
            </w:r>
            <w:r w:rsidR="00CF3643" w:rsidRPr="00103C93">
              <w:rPr>
                <w:rFonts w:asciiTheme="minorBidi" w:hAnsiTheme="minorBidi" w:cstheme="minorBidi" w:hint="default"/>
                <w:rtl/>
              </w:rPr>
              <w:t>כ"</w:t>
            </w:r>
            <w:r w:rsidR="00B35B99" w:rsidRPr="00103C93">
              <w:rPr>
                <w:rFonts w:asciiTheme="minorBidi" w:hAnsiTheme="minorBidi" w:cstheme="minorBidi" w:hint="default"/>
                <w:rtl/>
              </w:rPr>
              <w:t>ה</w:t>
            </w:r>
            <w:r w:rsidR="008B2D9F" w:rsidRPr="00103C93">
              <w:rPr>
                <w:rFonts w:asciiTheme="minorBidi" w:hAnsiTheme="minorBidi" w:cstheme="minorBidi" w:hint="default"/>
                <w:rtl/>
              </w:rPr>
              <w:t xml:space="preserve"> </w:t>
            </w:r>
            <w:r w:rsidR="00B35B99" w:rsidRPr="00103C93">
              <w:rPr>
                <w:rFonts w:asciiTheme="minorBidi" w:hAnsiTheme="minorBidi" w:cstheme="minorBidi" w:hint="default"/>
                <w:rtl/>
              </w:rPr>
              <w:t>טבת</w:t>
            </w:r>
            <w:r w:rsidR="00030A90" w:rsidRPr="00103C93">
              <w:rPr>
                <w:rFonts w:asciiTheme="minorBidi" w:hAnsiTheme="minorBidi" w:cstheme="minorBidi" w:hint="default"/>
                <w:rtl/>
              </w:rPr>
              <w:t>,</w:t>
            </w:r>
            <w:r w:rsidR="00A42218" w:rsidRPr="00103C93">
              <w:rPr>
                <w:rFonts w:asciiTheme="minorBidi" w:hAnsiTheme="minorBidi" w:cstheme="minorBidi" w:hint="default"/>
                <w:rtl/>
              </w:rPr>
              <w:t xml:space="preserve"> התשפ"</w:t>
            </w:r>
            <w:r w:rsidR="00696E52" w:rsidRPr="00103C93">
              <w:rPr>
                <w:rFonts w:asciiTheme="minorBidi" w:hAnsiTheme="minorBidi" w:cstheme="minorBidi" w:hint="default"/>
                <w:rtl/>
              </w:rPr>
              <w:t>ו</w:t>
            </w:r>
          </w:p>
          <w:p w:rsidR="00317000" w:rsidRPr="00103C93" w:rsidRDefault="00114D8E" w:rsidP="00B35B99">
            <w:pPr>
              <w:bidi/>
              <w:spacing w:line="480" w:lineRule="auto"/>
              <w:jc w:val="right"/>
              <w:rPr>
                <w:rFonts w:asciiTheme="minorBidi" w:hAnsiTheme="minorBidi" w:cstheme="minorBidi" w:hint="default"/>
              </w:rPr>
            </w:pPr>
            <w:r w:rsidRPr="00103C93">
              <w:rPr>
                <w:rFonts w:asciiTheme="minorBidi" w:hAnsiTheme="minorBidi" w:cstheme="minorBidi" w:hint="default"/>
                <w:rtl/>
              </w:rPr>
              <w:t>‏‏</w:t>
            </w:r>
            <w:r w:rsidR="00B35B99" w:rsidRPr="00103C93">
              <w:rPr>
                <w:rFonts w:asciiTheme="minorBidi" w:hAnsiTheme="minorBidi" w:cstheme="minorBidi" w:hint="default"/>
                <w:rtl/>
              </w:rPr>
              <w:t>14</w:t>
            </w:r>
            <w:r w:rsidR="008B2D9F" w:rsidRPr="00103C93">
              <w:rPr>
                <w:rFonts w:asciiTheme="minorBidi" w:hAnsiTheme="minorBidi" w:cstheme="minorBidi" w:hint="default"/>
                <w:rtl/>
              </w:rPr>
              <w:t xml:space="preserve"> </w:t>
            </w:r>
            <w:r w:rsidR="00B35B99" w:rsidRPr="00103C93">
              <w:rPr>
                <w:rFonts w:asciiTheme="minorBidi" w:hAnsiTheme="minorBidi" w:cstheme="minorBidi" w:hint="default"/>
                <w:rtl/>
              </w:rPr>
              <w:t>ינואר</w:t>
            </w:r>
            <w:r w:rsidR="008B2D9F" w:rsidRPr="00103C93">
              <w:rPr>
                <w:rFonts w:asciiTheme="minorBidi" w:hAnsiTheme="minorBidi" w:cstheme="minorBidi" w:hint="default"/>
                <w:rtl/>
              </w:rPr>
              <w:t xml:space="preserve"> </w:t>
            </w:r>
            <w:r w:rsidR="00F30A02" w:rsidRPr="00103C93">
              <w:rPr>
                <w:rFonts w:asciiTheme="minorBidi" w:hAnsiTheme="minorBidi" w:cstheme="minorBidi" w:hint="default"/>
                <w:rtl/>
              </w:rPr>
              <w:t>202</w:t>
            </w:r>
            <w:r w:rsidR="00B35B99" w:rsidRPr="00103C93">
              <w:rPr>
                <w:rFonts w:asciiTheme="minorBidi" w:hAnsiTheme="minorBidi" w:cstheme="minorBidi" w:hint="default"/>
                <w:rtl/>
              </w:rPr>
              <w:t>6</w:t>
            </w:r>
          </w:p>
        </w:tc>
      </w:tr>
    </w:tbl>
    <w:p w:rsidR="00317000" w:rsidRPr="00103C93" w:rsidRDefault="00114D8E" w:rsidP="003427F8">
      <w:pPr>
        <w:bidi/>
        <w:spacing w:before="240" w:line="360" w:lineRule="auto"/>
        <w:ind w:right="-102"/>
        <w:rPr>
          <w:rFonts w:asciiTheme="minorBidi" w:hAnsiTheme="minorBidi" w:cstheme="minorBidi" w:hint="default"/>
          <w:rtl/>
          <w:lang w:bidi="ar-SA"/>
        </w:rPr>
      </w:pPr>
      <w:r>
        <w:rPr>
          <w:rFonts w:asciiTheme="minorBidi" w:hAnsiTheme="minorBidi" w:cstheme="minorBidi"/>
          <w:rtl/>
          <w:lang w:bidi="ar-SA"/>
        </w:rPr>
        <w:t>بيان صحفي:</w:t>
      </w:r>
    </w:p>
    <w:p w:rsidR="006E6D23" w:rsidRPr="00103C93" w:rsidRDefault="006E6D23" w:rsidP="008B2D9F">
      <w:pPr>
        <w:pStyle w:val="af4"/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03C93" w:rsidRPr="00103C93" w:rsidRDefault="00114D8E" w:rsidP="007F12AD">
      <w:pPr>
        <w:bidi/>
        <w:jc w:val="center"/>
        <w:rPr>
          <w:rFonts w:hint="default"/>
          <w:rtl/>
          <w:lang w:bidi="ar-SA"/>
        </w:rPr>
      </w:pPr>
      <w:r w:rsidRPr="00130108">
        <w:rPr>
          <w:rFonts w:hint="default"/>
          <w:b/>
          <w:bCs/>
          <w:sz w:val="28"/>
          <w:szCs w:val="28"/>
          <w:rtl/>
          <w:lang w:bidi="ar-SA"/>
        </w:rPr>
        <w:t xml:space="preserve">المؤشر الشهري للنشاط الاقتصادي </w:t>
      </w:r>
      <w:r>
        <w:rPr>
          <w:b/>
          <w:bCs/>
          <w:sz w:val="28"/>
          <w:szCs w:val="28"/>
          <w:rtl/>
          <w:lang w:val="en-GB" w:bidi="ar-SA"/>
        </w:rPr>
        <w:t xml:space="preserve">يرتفع في شهر كانون أول </w:t>
      </w:r>
      <w:r w:rsidRPr="00130108">
        <w:rPr>
          <w:rFonts w:hint="default"/>
          <w:b/>
          <w:bCs/>
          <w:sz w:val="28"/>
          <w:szCs w:val="28"/>
          <w:rtl/>
          <w:lang w:bidi="ar-SA"/>
        </w:rPr>
        <w:t>بنسبة 0.</w:t>
      </w:r>
      <w:r>
        <w:rPr>
          <w:b/>
          <w:bCs/>
          <w:sz w:val="28"/>
          <w:szCs w:val="28"/>
          <w:rtl/>
          <w:lang w:bidi="ar-SA"/>
        </w:rPr>
        <w:t>3</w:t>
      </w:r>
      <w:r w:rsidRPr="00130108">
        <w:rPr>
          <w:rFonts w:hint="default"/>
          <w:b/>
          <w:bCs/>
          <w:sz w:val="28"/>
          <w:szCs w:val="28"/>
          <w:rtl/>
          <w:lang w:bidi="ar-SA"/>
        </w:rPr>
        <w:t xml:space="preserve"> بالمائة</w:t>
      </w:r>
    </w:p>
    <w:p w:rsidR="003E5BD0" w:rsidRPr="00103C93" w:rsidRDefault="003E5BD0" w:rsidP="00EB6B6C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</w:rPr>
      </w:pPr>
    </w:p>
    <w:p w:rsidR="00103C93" w:rsidRPr="00103C93" w:rsidRDefault="00114D8E" w:rsidP="007F12AD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  <w:lang w:bidi="ar-SA"/>
        </w:rPr>
      </w:pPr>
      <w:r w:rsidRPr="00103C93">
        <w:rPr>
          <w:rFonts w:asciiTheme="minorBidi" w:hAnsiTheme="minorBidi" w:cs="Arial" w:hint="default"/>
          <w:rtl/>
          <w:lang w:bidi="ar-SA"/>
        </w:rPr>
        <w:t>ارتفع المؤشر الشهري للنشاط الاقتصادي</w:t>
      </w:r>
      <w:r>
        <w:rPr>
          <w:rStyle w:val="a6"/>
          <w:rFonts w:asciiTheme="minorBidi" w:hAnsiTheme="minorBidi" w:cstheme="minorBidi" w:hint="default"/>
          <w:rtl/>
        </w:rPr>
        <w:footnoteReference w:id="1"/>
      </w:r>
      <w:r w:rsidR="00756A51" w:rsidRPr="00103C93">
        <w:rPr>
          <w:rFonts w:asciiTheme="minorBidi" w:hAnsiTheme="minorBidi" w:cstheme="minorBidi" w:hint="default"/>
          <w:rtl/>
        </w:rPr>
        <w:t xml:space="preserve"> </w:t>
      </w:r>
      <w:r w:rsidRPr="00103C93">
        <w:rPr>
          <w:rFonts w:asciiTheme="minorBidi" w:hAnsiTheme="minorBidi" w:cs="Arial" w:hint="default"/>
          <w:rtl/>
          <w:lang w:bidi="ar-SA"/>
        </w:rPr>
        <w:t xml:space="preserve">في </w:t>
      </w:r>
      <w:r>
        <w:rPr>
          <w:rFonts w:asciiTheme="minorBidi" w:hAnsiTheme="minorBidi" w:cs="Arial"/>
          <w:rtl/>
          <w:lang w:bidi="ar-SA"/>
        </w:rPr>
        <w:t>شهر كانون أول</w:t>
      </w:r>
      <w:r w:rsidRPr="00103C93">
        <w:rPr>
          <w:rFonts w:asciiTheme="minorBidi" w:hAnsiTheme="minorBidi" w:cs="Arial" w:hint="default"/>
          <w:rtl/>
          <w:lang w:bidi="ar-SA"/>
        </w:rPr>
        <w:t xml:space="preserve"> بنسبة 0.3%. يعكس هذا المؤشر متوسط ​​النمو الشهري المُقدّر للأشهر الثلاثة من </w:t>
      </w:r>
      <w:r>
        <w:rPr>
          <w:rFonts w:asciiTheme="minorBidi" w:hAnsiTheme="minorBidi" w:cs="Arial"/>
          <w:rtl/>
          <w:lang w:bidi="ar-SA"/>
        </w:rPr>
        <w:t>تشرين أول وحتى كانون أول</w:t>
      </w:r>
      <w:r w:rsidRPr="00103C93">
        <w:rPr>
          <w:rFonts w:asciiTheme="minorBidi" w:hAnsiTheme="minorBidi" w:cs="Arial" w:hint="default"/>
          <w:rtl/>
          <w:lang w:bidi="ar-SA"/>
        </w:rPr>
        <w:t>. تأثر المؤشر إيجاب</w:t>
      </w:r>
      <w:r w:rsidR="007F12AD">
        <w:rPr>
          <w:rFonts w:asciiTheme="minorBidi" w:hAnsiTheme="minorBidi" w:cs="Arial" w:hint="default"/>
          <w:rtl/>
          <w:lang w:bidi="ar-SA"/>
        </w:rPr>
        <w:t>اً</w:t>
      </w:r>
      <w:r w:rsidRPr="00103C93">
        <w:rPr>
          <w:rFonts w:asciiTheme="minorBidi" w:hAnsiTheme="minorBidi" w:cs="Arial" w:hint="default"/>
          <w:rtl/>
          <w:lang w:bidi="ar-SA"/>
        </w:rPr>
        <w:t xml:space="preserve"> ببيانات </w:t>
      </w:r>
      <w:r>
        <w:rPr>
          <w:rFonts w:asciiTheme="minorBidi" w:hAnsiTheme="minorBidi" w:cs="Arial"/>
          <w:rtl/>
          <w:lang w:bidi="ar-SA"/>
        </w:rPr>
        <w:t>ال</w:t>
      </w:r>
      <w:r w:rsidRPr="00103C93">
        <w:rPr>
          <w:rFonts w:asciiTheme="minorBidi" w:hAnsiTheme="minorBidi" w:cs="Arial" w:hint="default"/>
          <w:rtl/>
          <w:lang w:bidi="ar-SA"/>
        </w:rPr>
        <w:t xml:space="preserve">مشتريات </w:t>
      </w:r>
      <w:r>
        <w:rPr>
          <w:rFonts w:asciiTheme="minorBidi" w:hAnsiTheme="minorBidi" w:cs="Arial"/>
          <w:rtl/>
          <w:lang w:bidi="ar-SA"/>
        </w:rPr>
        <w:t>ب</w:t>
      </w:r>
      <w:r w:rsidRPr="00103C93">
        <w:rPr>
          <w:rFonts w:asciiTheme="minorBidi" w:hAnsiTheme="minorBidi" w:cs="Arial" w:hint="default"/>
          <w:rtl/>
          <w:lang w:bidi="ar-SA"/>
        </w:rPr>
        <w:t xml:space="preserve">بطاقات الائتمان </w:t>
      </w:r>
      <w:r>
        <w:rPr>
          <w:rFonts w:asciiTheme="minorBidi" w:hAnsiTheme="minorBidi" w:cs="Arial"/>
          <w:rtl/>
          <w:lang w:bidi="ar-SA"/>
        </w:rPr>
        <w:t>خلال تشرين الثاني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، وبيانات </w:t>
      </w:r>
      <w:r>
        <w:rPr>
          <w:rFonts w:asciiTheme="minorBidi" w:hAnsiTheme="minorBidi" w:cs="Arial"/>
          <w:rtl/>
          <w:lang w:bidi="ar-SA"/>
        </w:rPr>
        <w:t>تصدير</w:t>
      </w:r>
      <w:r w:rsidRPr="00103C93">
        <w:rPr>
          <w:rFonts w:asciiTheme="minorBidi" w:hAnsiTheme="minorBidi" w:cs="Arial" w:hint="default"/>
          <w:rtl/>
          <w:lang w:bidi="ar-SA"/>
        </w:rPr>
        <w:t xml:space="preserve"> السلع في </w:t>
      </w:r>
      <w:r>
        <w:rPr>
          <w:rFonts w:asciiTheme="minorBidi" w:hAnsiTheme="minorBidi" w:cs="Arial"/>
          <w:rtl/>
          <w:lang w:bidi="ar-SA"/>
        </w:rPr>
        <w:t>ت</w:t>
      </w:r>
      <w:r w:rsidR="007F12AD">
        <w:rPr>
          <w:rFonts w:asciiTheme="minorBidi" w:hAnsiTheme="minorBidi" w:cs="Arial"/>
          <w:rtl/>
          <w:lang w:bidi="ar-SA"/>
        </w:rPr>
        <w:t>ش</w:t>
      </w:r>
      <w:r>
        <w:rPr>
          <w:rFonts w:asciiTheme="minorBidi" w:hAnsiTheme="minorBidi" w:cs="Arial"/>
          <w:rtl/>
          <w:lang w:bidi="ar-SA"/>
        </w:rPr>
        <w:t>رين أول وكانون أول</w:t>
      </w:r>
      <w:r w:rsidRPr="00103C93">
        <w:rPr>
          <w:rFonts w:asciiTheme="minorBidi" w:hAnsiTheme="minorBidi" w:cs="Arial" w:hint="default"/>
          <w:rtl/>
          <w:lang w:bidi="ar-SA"/>
        </w:rPr>
        <w:t xml:space="preserve">، وبيانات </w:t>
      </w:r>
      <w:r>
        <w:rPr>
          <w:rFonts w:asciiTheme="minorBidi" w:hAnsiTheme="minorBidi" w:cs="Arial"/>
          <w:rtl/>
          <w:lang w:bidi="ar-SA"/>
        </w:rPr>
        <w:t>تصدير</w:t>
      </w:r>
      <w:r w:rsidRPr="00103C93">
        <w:rPr>
          <w:rFonts w:asciiTheme="minorBidi" w:hAnsiTheme="minorBidi" w:cs="Arial" w:hint="default"/>
          <w:rtl/>
          <w:lang w:bidi="ar-SA"/>
        </w:rPr>
        <w:t xml:space="preserve"> الخدمات الأخرى والخد</w:t>
      </w:r>
      <w:r w:rsidRPr="00103C93">
        <w:rPr>
          <w:rFonts w:asciiTheme="minorBidi" w:hAnsiTheme="minorBidi" w:cs="Arial" w:hint="default"/>
          <w:rtl/>
          <w:lang w:bidi="ar-SA"/>
        </w:rPr>
        <w:t xml:space="preserve">مات السياحية </w:t>
      </w:r>
      <w:r>
        <w:rPr>
          <w:rFonts w:asciiTheme="minorBidi" w:hAnsiTheme="minorBidi" w:cs="Arial"/>
          <w:rtl/>
          <w:lang w:bidi="ar-SA"/>
        </w:rPr>
        <w:t>خلال شهري أيلول وتشرين أول</w:t>
      </w:r>
      <w:r w:rsidRPr="00103C93">
        <w:rPr>
          <w:rFonts w:asciiTheme="minorBidi" w:hAnsiTheme="minorBidi" w:cs="Arial" w:hint="default"/>
          <w:rtl/>
          <w:lang w:bidi="ar-SA"/>
        </w:rPr>
        <w:t xml:space="preserve">، وبيانات سوق العمل وإيرادات الضرائب غير المباشرة في </w:t>
      </w:r>
      <w:r>
        <w:rPr>
          <w:rFonts w:asciiTheme="minorBidi" w:hAnsiTheme="minorBidi" w:cs="Arial"/>
          <w:rtl/>
          <w:lang w:bidi="ar-SA"/>
        </w:rPr>
        <w:t>تشرين الأول وتشرين الثاني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، وبيانات إيرادات ضريبة الدخل وضريبة الصحة في </w:t>
      </w:r>
      <w:r>
        <w:rPr>
          <w:rFonts w:asciiTheme="minorBidi" w:hAnsiTheme="minorBidi" w:cs="Arial"/>
          <w:rtl/>
          <w:lang w:bidi="ar-SA"/>
        </w:rPr>
        <w:t>تشرين الثاني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، ومؤشر بورصة تل أبيب ومؤشر ناسداك في الأشهر الأخيرة، وبيانات استهلاك البنزين في </w:t>
      </w:r>
      <w:r w:rsidR="00153ECB">
        <w:rPr>
          <w:rFonts w:asciiTheme="minorBidi" w:hAnsiTheme="minorBidi" w:cs="Arial"/>
          <w:rtl/>
          <w:lang w:bidi="ar-SA"/>
        </w:rPr>
        <w:t>تشرين الثاني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. في المقابل، ساهمت بيانات تجارة التجزئة في </w:t>
      </w:r>
      <w:r w:rsidR="00153ECB">
        <w:rPr>
          <w:rFonts w:asciiTheme="minorBidi" w:hAnsiTheme="minorBidi" w:cs="Arial"/>
          <w:rtl/>
          <w:lang w:bidi="ar-SA"/>
        </w:rPr>
        <w:t>تشرين أول وتشرين 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 وبيانات </w:t>
      </w:r>
      <w:r w:rsidR="00153ECB">
        <w:rPr>
          <w:rFonts w:asciiTheme="minorBidi" w:hAnsiTheme="minorBidi" w:cs="Arial"/>
          <w:rtl/>
          <w:lang w:bidi="ar-SA"/>
        </w:rPr>
        <w:t>استيراد</w:t>
      </w:r>
      <w:r w:rsidRPr="00103C93">
        <w:rPr>
          <w:rFonts w:asciiTheme="minorBidi" w:hAnsiTheme="minorBidi" w:cs="Arial" w:hint="default"/>
          <w:rtl/>
          <w:lang w:bidi="ar-SA"/>
        </w:rPr>
        <w:t xml:space="preserve"> السلع الاستهلاكية </w:t>
      </w:r>
      <w:r w:rsidR="00153ECB">
        <w:rPr>
          <w:rFonts w:asciiTheme="minorBidi" w:hAnsiTheme="minorBidi" w:cs="Arial"/>
          <w:rtl/>
          <w:lang w:bidi="ar-SA"/>
        </w:rPr>
        <w:t>طويلة الأمد</w:t>
      </w:r>
      <w:r w:rsidRPr="00103C93">
        <w:rPr>
          <w:rFonts w:asciiTheme="minorBidi" w:hAnsiTheme="minorBidi" w:cs="Arial" w:hint="default"/>
          <w:rtl/>
          <w:lang w:bidi="ar-SA"/>
        </w:rPr>
        <w:t xml:space="preserve"> في </w:t>
      </w:r>
      <w:r w:rsidR="00153ECB">
        <w:rPr>
          <w:rFonts w:asciiTheme="minorBidi" w:hAnsiTheme="minorBidi" w:cs="Arial"/>
          <w:rtl/>
          <w:lang w:bidi="ar-SA"/>
        </w:rPr>
        <w:t>تشرين أول وكانون أول</w:t>
      </w:r>
      <w:r w:rsidRPr="00103C93">
        <w:rPr>
          <w:rFonts w:asciiTheme="minorBidi" w:hAnsiTheme="minorBidi" w:cs="Arial" w:hint="default"/>
          <w:rtl/>
          <w:lang w:bidi="ar-SA"/>
        </w:rPr>
        <w:t xml:space="preserve"> في الحد من ارتفاع المؤشر (</w:t>
      </w:r>
      <w:r w:rsidR="00153ECB">
        <w:rPr>
          <w:rFonts w:asciiTheme="minorBidi" w:hAnsiTheme="minorBidi" w:cs="Arial"/>
          <w:rtl/>
          <w:lang w:bidi="ar-SA"/>
        </w:rPr>
        <w:t>الجداول</w:t>
      </w:r>
      <w:r w:rsidRPr="00103C93">
        <w:rPr>
          <w:rFonts w:asciiTheme="minorBidi" w:hAnsiTheme="minorBidi" w:cs="Arial" w:hint="default"/>
          <w:rtl/>
          <w:lang w:bidi="ar-SA"/>
        </w:rPr>
        <w:t xml:space="preserve"> 1 و2).</w:t>
      </w:r>
    </w:p>
    <w:p w:rsidR="007F12AD" w:rsidRDefault="007F12AD" w:rsidP="00103C93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  <w:lang w:bidi="ar-SA"/>
        </w:rPr>
      </w:pPr>
    </w:p>
    <w:p w:rsidR="00103C93" w:rsidRPr="00103C93" w:rsidRDefault="00114D8E" w:rsidP="007F12AD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</w:rPr>
      </w:pPr>
      <w:r w:rsidRPr="00103C93">
        <w:rPr>
          <w:rFonts w:asciiTheme="minorBidi" w:hAnsiTheme="minorBidi" w:cs="Arial" w:hint="default"/>
          <w:rtl/>
          <w:lang w:bidi="ar-SA"/>
        </w:rPr>
        <w:t>معدل نمو المؤشر مماثل للاتجاه طويل الأجل للنمو (حوالي 0.3).</w:t>
      </w:r>
    </w:p>
    <w:p w:rsidR="00103C93" w:rsidRPr="00153ECB" w:rsidRDefault="00114D8E" w:rsidP="00153ECB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  <w:lang w:bidi="ar-SA"/>
        </w:rPr>
      </w:pPr>
      <w:r w:rsidRPr="00103C93">
        <w:rPr>
          <w:rFonts w:asciiTheme="minorBidi" w:hAnsiTheme="minorBidi" w:cs="Arial" w:hint="default"/>
          <w:rtl/>
          <w:lang w:bidi="ar-SA"/>
        </w:rPr>
        <w:t xml:space="preserve">تم تعديل مؤشر شهر </w:t>
      </w:r>
      <w:r w:rsidR="00153ECB">
        <w:rPr>
          <w:rFonts w:asciiTheme="minorBidi" w:hAnsiTheme="minorBidi" w:cs="Arial"/>
          <w:rtl/>
          <w:lang w:bidi="ar-SA"/>
        </w:rPr>
        <w:t>تشرين ثاني</w:t>
      </w:r>
      <w:r w:rsidRPr="00103C93">
        <w:rPr>
          <w:rFonts w:asciiTheme="minorBidi" w:hAnsiTheme="minorBidi" w:cs="Arial" w:hint="default"/>
          <w:rtl/>
          <w:lang w:bidi="ar-SA"/>
        </w:rPr>
        <w:t xml:space="preserve"> </w:t>
      </w:r>
      <w:r w:rsidR="00153ECB">
        <w:rPr>
          <w:rFonts w:asciiTheme="minorBidi" w:hAnsiTheme="minorBidi" w:cs="Arial"/>
          <w:rtl/>
          <w:lang w:bidi="ar-SA"/>
        </w:rPr>
        <w:t>قليلاً نحو الأعلى</w:t>
      </w:r>
      <w:r w:rsidRPr="00103C93">
        <w:rPr>
          <w:rFonts w:asciiTheme="minorBidi" w:hAnsiTheme="minorBidi" w:cs="Arial" w:hint="default"/>
          <w:rtl/>
          <w:lang w:bidi="ar-SA"/>
        </w:rPr>
        <w:t xml:space="preserve"> بعد استكمال البيانات</w:t>
      </w:r>
      <w:r w:rsidR="00153ECB">
        <w:rPr>
          <w:rFonts w:asciiTheme="minorBidi" w:hAnsiTheme="minorBidi" w:cs="Arial"/>
          <w:rtl/>
          <w:lang w:bidi="ar-SA"/>
        </w:rPr>
        <w:t xml:space="preserve"> التي كانت</w:t>
      </w:r>
      <w:r w:rsidR="00153ECB">
        <w:rPr>
          <w:rFonts w:asciiTheme="minorBidi" w:hAnsiTheme="minorBidi" w:cs="Arial" w:hint="default"/>
          <w:rtl/>
          <w:lang w:bidi="ar-SA"/>
        </w:rPr>
        <w:t xml:space="preserve"> </w:t>
      </w:r>
      <w:r w:rsidRPr="00103C93">
        <w:rPr>
          <w:rFonts w:asciiTheme="minorBidi" w:hAnsiTheme="minorBidi" w:cs="Arial" w:hint="default"/>
          <w:rtl/>
          <w:lang w:bidi="ar-SA"/>
        </w:rPr>
        <w:t>ناقصة سابق</w:t>
      </w:r>
      <w:r w:rsidR="007F12AD">
        <w:rPr>
          <w:rFonts w:asciiTheme="minorBidi" w:hAnsiTheme="minorBidi" w:cs="Arial" w:hint="default"/>
          <w:rtl/>
          <w:lang w:bidi="ar-SA"/>
        </w:rPr>
        <w:t>اً</w:t>
      </w:r>
      <w:r w:rsidRPr="00103C93">
        <w:rPr>
          <w:rFonts w:asciiTheme="minorBidi" w:hAnsiTheme="minorBidi" w:cs="Arial" w:hint="default"/>
          <w:rtl/>
          <w:lang w:bidi="ar-SA"/>
        </w:rPr>
        <w:t>.</w:t>
      </w:r>
    </w:p>
    <w:p w:rsidR="00153ECB" w:rsidRPr="00BE307D" w:rsidRDefault="00114D8E" w:rsidP="00153ECB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</w:rPr>
      </w:pPr>
      <w:r w:rsidRPr="002C1A95">
        <w:rPr>
          <w:rFonts w:asciiTheme="minorBidi" w:hAnsiTheme="minorBidi" w:cs="Arial"/>
          <w:rtl/>
          <w:lang w:bidi="ar-SA"/>
        </w:rPr>
        <w:t>يعرض الشكل 1 بيانات المؤشر للعامين الماضيين، ويعرض الجدول 1 مساهمة مكونات المؤشر في التقدير الإجمالي والتحديثات السابقة للمؤشر، ويعرض الجدول 2 النسبة المئوية للتغير</w:t>
      </w:r>
      <w:r w:rsidRPr="002C1A95">
        <w:rPr>
          <w:rFonts w:asciiTheme="minorBidi" w:hAnsiTheme="minorBidi" w:cs="Arial"/>
          <w:rtl/>
          <w:lang w:bidi="ar-SA"/>
        </w:rPr>
        <w:t xml:space="preserve"> الشهري في مكونات المؤشر</w:t>
      </w:r>
      <w:r w:rsidRPr="00BE307D">
        <w:rPr>
          <w:rFonts w:asciiTheme="minorBidi" w:hAnsiTheme="minorBidi" w:cstheme="minorBidi" w:hint="default"/>
          <w:rtl/>
        </w:rPr>
        <w:t xml:space="preserve">. </w:t>
      </w:r>
    </w:p>
    <w:p w:rsidR="00153ECB" w:rsidRPr="00103C93" w:rsidRDefault="00153ECB" w:rsidP="00153ECB">
      <w:pPr>
        <w:bidi/>
        <w:spacing w:after="120" w:line="360" w:lineRule="auto"/>
        <w:ind w:right="-57"/>
        <w:jc w:val="both"/>
        <w:rPr>
          <w:rFonts w:asciiTheme="minorBidi" w:hAnsiTheme="minorBidi" w:cstheme="minorBidi" w:hint="default"/>
          <w:rtl/>
        </w:rPr>
      </w:pPr>
    </w:p>
    <w:p w:rsidR="009B635B" w:rsidRPr="00103C93" w:rsidRDefault="009B635B" w:rsidP="00CB2A2A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9B635B" w:rsidRPr="00103C93" w:rsidRDefault="009B635B" w:rsidP="009B635B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9B635B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3A7033" w:rsidRPr="00103C93" w:rsidRDefault="003A703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C348B3" w:rsidRPr="00103C93" w:rsidRDefault="00C348B3" w:rsidP="003A703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C348B3" w:rsidRPr="00103C93" w:rsidRDefault="00C348B3" w:rsidP="00C348B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C47D9E" w:rsidRPr="00103C93" w:rsidRDefault="00C47D9E" w:rsidP="00C348B3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A48AF" w:rsidRPr="00103C93" w:rsidRDefault="001A48AF" w:rsidP="00C47D9E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A245A7" w:rsidRPr="00103C93" w:rsidRDefault="00114D8E" w:rsidP="001A48AF">
      <w:pPr>
        <w:tabs>
          <w:tab w:val="left" w:pos="2812"/>
        </w:tabs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  <w:r w:rsidRPr="004A75E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الشكل 1: المؤشر الشهري للنشاط الاقتصادي</w:t>
      </w:r>
    </w:p>
    <w:p w:rsidR="00F45C42" w:rsidRPr="00103C93" w:rsidRDefault="00F45C42" w:rsidP="00A245A7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F45C42" w:rsidRPr="00103C93" w:rsidRDefault="00114D8E" w:rsidP="00992121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  <w:r w:rsidRPr="00103C93">
        <w:rPr>
          <w:rFonts w:asciiTheme="minorBidi" w:hAnsiTheme="minorBidi" w:cstheme="minorBidi" w:hint="default"/>
          <w:b/>
          <w:bCs/>
          <w:sz w:val="28"/>
          <w:szCs w:val="28"/>
        </w:rPr>
        <w:t xml:space="preserve"> </w:t>
      </w:r>
      <w:r w:rsidR="00992121" w:rsidRPr="00103C93">
        <w:rPr>
          <w:rFonts w:asciiTheme="minorBidi" w:hAnsiTheme="minorBidi" w:cstheme="minorBidi" w:hint="default"/>
          <w:noProof/>
          <w:lang w:eastAsia="en-US"/>
        </w:rPr>
        <w:drawing>
          <wp:inline distT="0" distB="0" distL="0" distR="0">
            <wp:extent cx="5278120" cy="3150714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15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C42" w:rsidRPr="00103C93" w:rsidRDefault="00F45C42" w:rsidP="00F45C42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03C93" w:rsidRDefault="00114D8E" w:rsidP="00103C93">
      <w:pPr>
        <w:bidi/>
        <w:jc w:val="center"/>
        <w:rPr>
          <w:rFonts w:asciiTheme="minorBidi" w:hAnsiTheme="minorBidi" w:cs="Arial" w:hint="default"/>
          <w:b/>
          <w:bCs/>
          <w:rtl/>
          <w:lang w:bidi="ar-SA"/>
        </w:rPr>
      </w:pPr>
      <w:r w:rsidRPr="004A75E7">
        <w:rPr>
          <w:rFonts w:asciiTheme="minorBidi" w:hAnsiTheme="minorBidi" w:cs="Arial"/>
          <w:b/>
          <w:bCs/>
          <w:rtl/>
          <w:lang w:bidi="ar-SA"/>
        </w:rPr>
        <w:t xml:space="preserve">الجدول </w:t>
      </w:r>
      <w:r>
        <w:rPr>
          <w:rFonts w:asciiTheme="minorBidi" w:hAnsiTheme="minorBidi" w:cs="Arial"/>
          <w:b/>
          <w:bCs/>
          <w:rtl/>
          <w:lang w:bidi="ar-SA"/>
        </w:rPr>
        <w:t>1</w:t>
      </w:r>
      <w:r w:rsidRPr="004A75E7">
        <w:rPr>
          <w:rFonts w:asciiTheme="minorBidi" w:hAnsiTheme="minorBidi" w:cs="Arial"/>
          <w:b/>
          <w:bCs/>
          <w:rtl/>
          <w:lang w:bidi="ar-SA"/>
        </w:rPr>
        <w:t xml:space="preserve">: مساهمة* مكونات المؤشر في التقدير الإجمالي في الأشهر الأخيرة، </w:t>
      </w:r>
      <w:r>
        <w:rPr>
          <w:rFonts w:asciiTheme="minorBidi" w:hAnsiTheme="minorBidi" w:cs="Arial"/>
          <w:b/>
          <w:bCs/>
          <w:rtl/>
          <w:lang w:bidi="ar-SA"/>
        </w:rPr>
        <w:t>ب</w:t>
      </w:r>
      <w:r w:rsidRPr="004A75E7">
        <w:rPr>
          <w:rFonts w:asciiTheme="minorBidi" w:hAnsiTheme="minorBidi" w:cs="Arial"/>
          <w:b/>
          <w:bCs/>
          <w:rtl/>
          <w:lang w:bidi="ar-SA"/>
        </w:rPr>
        <w:t xml:space="preserve">حسب المجموعات </w:t>
      </w:r>
    </w:p>
    <w:p w:rsidR="00CB2A2A" w:rsidRPr="00103C93" w:rsidRDefault="00114D8E" w:rsidP="00103C93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default"/>
          <w:b/>
          <w:bCs/>
          <w:i/>
          <w:rtl/>
        </w:rPr>
      </w:pPr>
      <w:r>
        <w:rPr>
          <w:rFonts w:asciiTheme="minorBidi" w:hAnsiTheme="minorBidi" w:cs="Arial" w:hint="default"/>
          <w:b/>
          <w:bCs/>
          <w:rtl/>
          <w:lang w:bidi="ar-SA"/>
        </w:rPr>
        <w:tab/>
      </w:r>
      <w:r w:rsidRPr="004A75E7">
        <w:rPr>
          <w:rFonts w:asciiTheme="minorBidi" w:hAnsiTheme="minorBidi" w:cs="Arial"/>
          <w:b/>
          <w:bCs/>
          <w:rtl/>
          <w:lang w:bidi="ar-SA"/>
        </w:rPr>
        <w:t>(</w:t>
      </w:r>
      <w:r>
        <w:rPr>
          <w:rFonts w:asciiTheme="minorBidi" w:hAnsiTheme="minorBidi" w:cs="Arial"/>
          <w:b/>
          <w:bCs/>
          <w:rtl/>
          <w:lang w:bidi="ar-SA"/>
        </w:rPr>
        <w:t>ب</w:t>
      </w:r>
      <w:r w:rsidRPr="004A75E7">
        <w:rPr>
          <w:rFonts w:asciiTheme="minorBidi" w:hAnsiTheme="minorBidi" w:cs="Arial"/>
          <w:b/>
          <w:bCs/>
          <w:rtl/>
          <w:lang w:bidi="ar-SA"/>
        </w:rPr>
        <w:t>النقاط المئوية)</w:t>
      </w:r>
      <w:bookmarkStart w:id="0" w:name="_GoBack"/>
      <w:r w:rsidR="00B523FB" w:rsidRPr="00103C93">
        <w:rPr>
          <w:rFonts w:asciiTheme="minorBidi" w:hAnsiTheme="minorBidi" w:cstheme="minorBidi" w:hint="default"/>
          <w:noProof/>
          <w:rtl/>
          <w:lang w:eastAsia="en-US"/>
        </w:rPr>
        <w:drawing>
          <wp:inline distT="0" distB="0" distL="0" distR="0">
            <wp:extent cx="4705350" cy="270510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03C93">
        <w:rPr>
          <w:rFonts w:asciiTheme="minorBidi" w:hAnsiTheme="minorBidi" w:cstheme="minorBidi" w:hint="default"/>
          <w:b/>
          <w:bCs/>
          <w:i/>
          <w:rtl/>
        </w:rPr>
        <w:t xml:space="preserve"> </w:t>
      </w:r>
    </w:p>
    <w:p w:rsidR="003619E6" w:rsidRPr="00103C93" w:rsidRDefault="003619E6" w:rsidP="00CB2A2A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default"/>
          <w:b/>
          <w:bCs/>
          <w:i/>
          <w:rtl/>
        </w:rPr>
      </w:pPr>
    </w:p>
    <w:p w:rsidR="00103C93" w:rsidRPr="004A75E7" w:rsidRDefault="00114D8E" w:rsidP="00103C93">
      <w:pPr>
        <w:bidi/>
        <w:jc w:val="both"/>
        <w:rPr>
          <w:rFonts w:asciiTheme="minorBidi" w:hAnsiTheme="minorBidi" w:cstheme="minorBidi" w:hint="default"/>
          <w:sz w:val="20"/>
          <w:szCs w:val="20"/>
          <w:rtl/>
          <w:lang w:bidi="ar-SA"/>
        </w:rPr>
      </w:pP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* </w:t>
      </w:r>
      <w:r>
        <w:rPr>
          <w:rFonts w:asciiTheme="minorBidi" w:hAnsiTheme="minorBidi" w:cs="Arial"/>
          <w:sz w:val="20"/>
          <w:szCs w:val="20"/>
          <w:rtl/>
          <w:lang w:bidi="ar-SA"/>
        </w:rPr>
        <w:t>يعرض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الجدول مساهمة كل مجموعة من المكونات في المؤشر الشهري، لذا فإن التقدير الشهري هو مجموع مساهمة كل مكون من المكونات المدرجة في الجدول. </w:t>
      </w:r>
      <w:r>
        <w:rPr>
          <w:rFonts w:asciiTheme="minorBidi" w:hAnsiTheme="minorBidi" w:cs="Arial"/>
          <w:sz w:val="20"/>
          <w:szCs w:val="20"/>
          <w:rtl/>
          <w:lang w:bidi="ar-SA"/>
        </w:rPr>
        <w:t xml:space="preserve">تؤثر 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>بعض البيانات الأولية على التقدير الشهري ب</w:t>
      </w:r>
      <w:r>
        <w:rPr>
          <w:rFonts w:asciiTheme="minorBidi" w:hAnsiTheme="minorBidi" w:cs="Arial"/>
          <w:sz w:val="20"/>
          <w:szCs w:val="20"/>
          <w:rtl/>
          <w:lang w:bidi="ar-SA"/>
        </w:rPr>
        <w:t>شكل م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تأخر أو </w:t>
      </w:r>
      <w:r>
        <w:rPr>
          <w:rFonts w:asciiTheme="minorBidi" w:hAnsiTheme="minorBidi" w:cs="Arial"/>
          <w:sz w:val="20"/>
          <w:szCs w:val="20"/>
          <w:rtl/>
          <w:lang w:bidi="ar-SA"/>
        </w:rPr>
        <w:t xml:space="preserve">على تقدير 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>عدة أشهر.</w:t>
      </w:r>
    </w:p>
    <w:p w:rsidR="005423D2" w:rsidRPr="00103C93" w:rsidRDefault="005423D2" w:rsidP="00A5046D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  <w:lang w:bidi="ar-SA"/>
        </w:rPr>
      </w:pPr>
    </w:p>
    <w:p w:rsidR="008857BA" w:rsidRPr="00103C93" w:rsidRDefault="008857BA" w:rsidP="00AD7721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8857BA" w:rsidRPr="00103C93" w:rsidRDefault="008857BA" w:rsidP="008857BA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E663D4" w:rsidRPr="00103C93" w:rsidRDefault="00E663D4" w:rsidP="008857BA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A48AF" w:rsidRPr="00103C93" w:rsidRDefault="001A48AF" w:rsidP="00E663D4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A48AF" w:rsidRPr="00103C93" w:rsidRDefault="001A48AF" w:rsidP="001A48AF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A48AF" w:rsidRPr="00103C93" w:rsidRDefault="001A48AF" w:rsidP="001A48AF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A48AF" w:rsidRPr="00103C93" w:rsidRDefault="001A48AF" w:rsidP="001A48AF">
      <w:pPr>
        <w:bidi/>
        <w:jc w:val="center"/>
        <w:rPr>
          <w:rFonts w:asciiTheme="minorBidi" w:hAnsiTheme="minorBidi" w:cstheme="minorBidi" w:hint="default"/>
          <w:b/>
          <w:bCs/>
          <w:sz w:val="28"/>
          <w:szCs w:val="28"/>
          <w:rtl/>
        </w:rPr>
      </w:pPr>
    </w:p>
    <w:p w:rsidR="00103C93" w:rsidRDefault="00114D8E" w:rsidP="00103C93">
      <w:pPr>
        <w:bidi/>
        <w:jc w:val="center"/>
        <w:rPr>
          <w:rFonts w:asciiTheme="minorBidi" w:hAnsiTheme="minorBidi" w:cs="Arial" w:hint="default"/>
          <w:b/>
          <w:bCs/>
          <w:sz w:val="28"/>
          <w:szCs w:val="28"/>
          <w:rtl/>
          <w:lang w:bidi="ar-SA"/>
        </w:rPr>
      </w:pPr>
      <w:r w:rsidRPr="004A75E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lastRenderedPageBreak/>
        <w:t xml:space="preserve">الجدول </w:t>
      </w:r>
      <w:r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2</w:t>
      </w:r>
      <w:r w:rsidRPr="004A75E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: التغيرات في مكونات المؤشر خلال الأشهر الأخيرة </w:t>
      </w:r>
    </w:p>
    <w:p w:rsidR="00103C93" w:rsidRPr="00BE307D" w:rsidRDefault="00114D8E" w:rsidP="00103C93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default"/>
          <w:rtl/>
        </w:rPr>
      </w:pPr>
      <w:r w:rsidRPr="00886474">
        <w:rPr>
          <w:rFonts w:asciiTheme="minorBidi" w:hAnsiTheme="minorBidi" w:cs="Arial"/>
          <w:rtl/>
          <w:lang w:bidi="ar-SA"/>
        </w:rPr>
        <w:t>(معدلات التغير الشهرية المئوية، معدلة موسمي</w:t>
      </w:r>
      <w:r>
        <w:rPr>
          <w:rFonts w:asciiTheme="minorBidi" w:hAnsiTheme="minorBidi" w:cs="Arial"/>
          <w:rtl/>
          <w:lang w:bidi="ar-SA"/>
        </w:rPr>
        <w:t>اً</w:t>
      </w:r>
      <w:r w:rsidRPr="00886474">
        <w:rPr>
          <w:rFonts w:asciiTheme="minorBidi" w:hAnsiTheme="minorBidi" w:cs="Arial"/>
          <w:rtl/>
          <w:lang w:bidi="ar-SA"/>
        </w:rPr>
        <w:t>)</w:t>
      </w:r>
    </w:p>
    <w:p w:rsidR="009F5836" w:rsidRPr="00103C93" w:rsidRDefault="009F5836" w:rsidP="009F5836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default"/>
          <w:rtl/>
        </w:rPr>
      </w:pPr>
    </w:p>
    <w:p w:rsidR="00CE7E9C" w:rsidRPr="00103C93" w:rsidRDefault="00CE7E9C" w:rsidP="00CE7E9C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default"/>
          <w:rtl/>
        </w:rPr>
      </w:pPr>
    </w:p>
    <w:p w:rsidR="00553799" w:rsidRPr="00103C93" w:rsidRDefault="00114D8E" w:rsidP="00E663D4">
      <w:pPr>
        <w:pStyle w:val="af7"/>
        <w:spacing w:after="240" w:line="276" w:lineRule="auto"/>
        <w:ind w:left="-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03C93">
        <w:rPr>
          <w:rFonts w:asciiTheme="minorBidi" w:hAnsiTheme="minorBidi" w:cstheme="minorBidi"/>
          <w:noProof/>
          <w:rtl/>
        </w:rPr>
        <w:drawing>
          <wp:inline distT="0" distB="0" distL="0" distR="0">
            <wp:extent cx="5278120" cy="4651052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6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C93" w:rsidRPr="004A75E7" w:rsidRDefault="00114D8E" w:rsidP="00103C93">
      <w:pPr>
        <w:pStyle w:val="af7"/>
        <w:spacing w:after="240" w:line="276" w:lineRule="auto"/>
        <w:ind w:left="-6"/>
        <w:rPr>
          <w:rFonts w:asciiTheme="minorBidi" w:hAnsiTheme="minorBidi" w:cstheme="minorBidi"/>
          <w:sz w:val="20"/>
          <w:szCs w:val="20"/>
          <w:lang w:bidi="ar-SA"/>
        </w:rPr>
      </w:pPr>
      <w:r w:rsidRPr="00886474">
        <w:rPr>
          <w:rFonts w:asciiTheme="minorBidi" w:hAnsiTheme="minorBidi" w:cs="Arial" w:hint="cs"/>
          <w:b/>
          <w:bCs/>
          <w:sz w:val="20"/>
          <w:szCs w:val="20"/>
          <w:rtl/>
          <w:lang w:bidi="ar-SA"/>
        </w:rPr>
        <w:t>المصدر</w:t>
      </w:r>
      <w:r w:rsidRPr="00886474">
        <w:rPr>
          <w:rFonts w:asciiTheme="minorBidi" w:hAnsiTheme="minorBidi" w:cs="Arial"/>
          <w:b/>
          <w:bCs/>
          <w:sz w:val="20"/>
          <w:szCs w:val="20"/>
          <w:rtl/>
          <w:lang w:bidi="ar-SA"/>
        </w:rPr>
        <w:t>: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  <w:lang w:bidi="ar-SA"/>
        </w:rPr>
        <w:t>دائرة الإحصاء المركزية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>
        <w:rPr>
          <w:rFonts w:asciiTheme="minorBidi" w:hAnsiTheme="minorBidi" w:cs="Arial" w:hint="cs"/>
          <w:sz w:val="20"/>
          <w:szCs w:val="20"/>
          <w:rtl/>
          <w:lang w:bidi="ar-SA"/>
        </w:rPr>
        <w:t>الخدمات المصرفية الأوتوماتيكية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وزارة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المالية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بلومبرغ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>
        <w:rPr>
          <w:rFonts w:asciiTheme="minorBidi" w:hAnsiTheme="minorBidi" w:cs="Arial" w:hint="cs"/>
          <w:sz w:val="20"/>
          <w:szCs w:val="20"/>
          <w:rtl/>
          <w:lang w:bidi="ar-SA"/>
        </w:rPr>
        <w:t>سلطة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الوقود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بيانات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بنك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إسرائيل</w:t>
      </w:r>
      <w:r>
        <w:rPr>
          <w:rFonts w:asciiTheme="minorBidi" w:hAnsiTheme="minorBidi" w:cs="Arial" w:hint="cs"/>
          <w:sz w:val="20"/>
          <w:szCs w:val="20"/>
          <w:rtl/>
          <w:lang w:bidi="ar-SA"/>
        </w:rPr>
        <w:t xml:space="preserve"> وتحليلات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بنك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إسرائيل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.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للاطلاع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على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تحليل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شامل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لمصدر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كل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سلسلة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، </w:t>
      </w:r>
      <w:r>
        <w:rPr>
          <w:rFonts w:asciiTheme="minorBidi" w:hAnsiTheme="minorBidi" w:cs="Arial" w:hint="cs"/>
          <w:sz w:val="20"/>
          <w:szCs w:val="20"/>
          <w:rtl/>
          <w:lang w:bidi="ar-SA"/>
        </w:rPr>
        <w:t>أنظر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وثيقة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المنهجية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المنشورة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على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موقع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البنك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 xml:space="preserve"> </w:t>
      </w:r>
      <w:r w:rsidRPr="004A75E7">
        <w:rPr>
          <w:rFonts w:asciiTheme="minorBidi" w:hAnsiTheme="minorBidi" w:cs="Arial" w:hint="cs"/>
          <w:sz w:val="20"/>
          <w:szCs w:val="20"/>
          <w:rtl/>
          <w:lang w:bidi="ar-SA"/>
        </w:rPr>
        <w:t>الإلكتروني</w:t>
      </w:r>
      <w:r w:rsidRPr="004A75E7">
        <w:rPr>
          <w:rFonts w:asciiTheme="minorBidi" w:hAnsiTheme="minorBidi" w:cs="Arial"/>
          <w:sz w:val="20"/>
          <w:szCs w:val="20"/>
          <w:rtl/>
          <w:lang w:bidi="ar-SA"/>
        </w:rPr>
        <w:t>.</w:t>
      </w:r>
    </w:p>
    <w:p w:rsidR="00B57576" w:rsidRPr="00103C93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Theme="minorBidi" w:hAnsiTheme="minorBidi" w:cstheme="minorBidi" w:hint="default"/>
          <w:rtl/>
        </w:rPr>
      </w:pPr>
    </w:p>
    <w:sectPr w:rsidR="00B57576" w:rsidRPr="00103C93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26" w:rsidRDefault="00114D8E">
      <w:pPr>
        <w:rPr>
          <w:rFonts w:hint="default"/>
        </w:rPr>
      </w:pPr>
      <w:r>
        <w:separator/>
      </w:r>
    </w:p>
  </w:endnote>
  <w:endnote w:type="continuationSeparator" w:id="0">
    <w:p w:rsidR="00CD4526" w:rsidRDefault="00114D8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26" w:rsidRDefault="00114D8E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:rsidR="00CD4526" w:rsidRDefault="00114D8E">
      <w:pPr>
        <w:rPr>
          <w:rFonts w:hint="default"/>
        </w:rPr>
      </w:pPr>
      <w:r>
        <w:continuationSeparator/>
      </w:r>
    </w:p>
  </w:footnote>
  <w:footnote w:id="1">
    <w:p w:rsidR="00215DAB" w:rsidRPr="006E70CF" w:rsidRDefault="00114D8E" w:rsidP="00103C93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="Times New Roman"/>
          <w:i/>
          <w:iCs w:val="0"/>
          <w:rtl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يعكس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مؤشر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النشاط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الاقتصادي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الشهري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متوسط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​​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معدل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نمو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الناتج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المحلي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الإجمالي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الشهري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المُقدّر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لثلاثة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أشهر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.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ويستند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هذا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التقدير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إلى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نموذج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>
        <w:rPr>
          <w:rFonts w:asciiTheme="minorHAnsi" w:hAnsiTheme="minorHAnsi" w:cs="Arial" w:hint="cs"/>
          <w:i/>
          <w:iCs w:val="0"/>
          <w:rtl/>
          <w:lang w:bidi="ar-SA"/>
        </w:rPr>
        <w:t>تم تطويره في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بنك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إسرائيل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(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جينكر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 </w:t>
      </w:r>
      <w:r w:rsidR="00103C93" w:rsidRPr="004A75E7">
        <w:rPr>
          <w:rFonts w:asciiTheme="minorHAnsi" w:hAnsiTheme="minorHAnsi" w:cs="Arial" w:hint="cs"/>
          <w:i/>
          <w:iCs w:val="0"/>
          <w:rtl/>
          <w:lang w:bidi="ar-SA"/>
        </w:rPr>
        <w:t>وسوخوي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 xml:space="preserve">، </w:t>
      </w:r>
      <w:r w:rsidR="00103C93">
        <w:rPr>
          <w:rFonts w:asciiTheme="minorHAnsi" w:hAnsiTheme="minorHAnsi" w:cs="Arial" w:hint="cs"/>
          <w:i/>
          <w:iCs w:val="0"/>
          <w:rtl/>
          <w:lang w:bidi="ar-SA"/>
        </w:rPr>
        <w:t>2021</w:t>
      </w:r>
      <w:r w:rsidR="00103C93" w:rsidRPr="004A75E7">
        <w:rPr>
          <w:rFonts w:asciiTheme="minorHAnsi" w:hAnsiTheme="minorHAnsi" w:cs="Arial"/>
          <w:i/>
          <w:iCs w:val="0"/>
          <w:rtl/>
          <w:lang w:bidi="ar-SA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C9A0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EF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23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3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0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A7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6B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26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A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1486D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B6F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4A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AD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C2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206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47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2D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029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D8CC9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402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CE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CA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65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C7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09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4F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EA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1007C1"/>
    <w:rsid w:val="00100A59"/>
    <w:rsid w:val="001018B1"/>
    <w:rsid w:val="00101B51"/>
    <w:rsid w:val="00101BE4"/>
    <w:rsid w:val="00103621"/>
    <w:rsid w:val="00103A67"/>
    <w:rsid w:val="00103C93"/>
    <w:rsid w:val="00106467"/>
    <w:rsid w:val="0011195C"/>
    <w:rsid w:val="001124C1"/>
    <w:rsid w:val="001125C2"/>
    <w:rsid w:val="00112DB5"/>
    <w:rsid w:val="00114229"/>
    <w:rsid w:val="00114A91"/>
    <w:rsid w:val="00114D8E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DD3"/>
    <w:rsid w:val="00130108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3ECB"/>
    <w:rsid w:val="0015449A"/>
    <w:rsid w:val="0015528E"/>
    <w:rsid w:val="00155813"/>
    <w:rsid w:val="00155A06"/>
    <w:rsid w:val="00155C82"/>
    <w:rsid w:val="00155CDE"/>
    <w:rsid w:val="00156761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48AF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4DFE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1A95"/>
    <w:rsid w:val="002C205C"/>
    <w:rsid w:val="002C2A9F"/>
    <w:rsid w:val="002C39B6"/>
    <w:rsid w:val="002C3ED0"/>
    <w:rsid w:val="002C469C"/>
    <w:rsid w:val="002C4DDF"/>
    <w:rsid w:val="002C5E09"/>
    <w:rsid w:val="002C6B69"/>
    <w:rsid w:val="002C7E3F"/>
    <w:rsid w:val="002D2280"/>
    <w:rsid w:val="002D318B"/>
    <w:rsid w:val="002D319E"/>
    <w:rsid w:val="002D3A3D"/>
    <w:rsid w:val="002D4723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5E11"/>
    <w:rsid w:val="002F6AEC"/>
    <w:rsid w:val="002F7487"/>
    <w:rsid w:val="002F75EB"/>
    <w:rsid w:val="002F7B47"/>
    <w:rsid w:val="00300FCC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10969"/>
    <w:rsid w:val="00311311"/>
    <w:rsid w:val="0031240D"/>
    <w:rsid w:val="003129A0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24F7"/>
    <w:rsid w:val="003427F8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5EF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6291"/>
    <w:rsid w:val="003B6FCB"/>
    <w:rsid w:val="003B719F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84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A75E7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1481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B45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380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5C45"/>
    <w:rsid w:val="006963E9"/>
    <w:rsid w:val="00696B4C"/>
    <w:rsid w:val="00696E52"/>
    <w:rsid w:val="006A009E"/>
    <w:rsid w:val="006A0BD6"/>
    <w:rsid w:val="006A0DEE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A51"/>
    <w:rsid w:val="00756F8B"/>
    <w:rsid w:val="00757085"/>
    <w:rsid w:val="00760588"/>
    <w:rsid w:val="0076191E"/>
    <w:rsid w:val="00762C7E"/>
    <w:rsid w:val="00762FBE"/>
    <w:rsid w:val="00763968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22AE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2AD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66E45"/>
    <w:rsid w:val="00871679"/>
    <w:rsid w:val="008716ED"/>
    <w:rsid w:val="00871A28"/>
    <w:rsid w:val="008724CD"/>
    <w:rsid w:val="00873F3A"/>
    <w:rsid w:val="00874852"/>
    <w:rsid w:val="00874F26"/>
    <w:rsid w:val="00880DC4"/>
    <w:rsid w:val="00880EEE"/>
    <w:rsid w:val="00882D0A"/>
    <w:rsid w:val="00882F11"/>
    <w:rsid w:val="00885465"/>
    <w:rsid w:val="008857BA"/>
    <w:rsid w:val="00886474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2503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B5B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2121"/>
    <w:rsid w:val="00992A13"/>
    <w:rsid w:val="0099312A"/>
    <w:rsid w:val="00993490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20D8"/>
    <w:rsid w:val="009B24B3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A65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9F5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0F5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2DF1"/>
    <w:rsid w:val="00B3511E"/>
    <w:rsid w:val="00B3597D"/>
    <w:rsid w:val="00B35B99"/>
    <w:rsid w:val="00B36671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23FB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B18D2"/>
    <w:rsid w:val="00BB3087"/>
    <w:rsid w:val="00BB30B1"/>
    <w:rsid w:val="00BB3B77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4E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307D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5E3"/>
    <w:rsid w:val="00C016B2"/>
    <w:rsid w:val="00C0214B"/>
    <w:rsid w:val="00C03B2D"/>
    <w:rsid w:val="00C04683"/>
    <w:rsid w:val="00C05569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0647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526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0F24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353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22C"/>
    <w:rsid w:val="00E1452D"/>
    <w:rsid w:val="00E14F74"/>
    <w:rsid w:val="00E15157"/>
    <w:rsid w:val="00E15684"/>
    <w:rsid w:val="00E16EBB"/>
    <w:rsid w:val="00E17439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13AA"/>
    <w:rsid w:val="00EA1B2B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813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61F"/>
    <w:rsid w:val="00F469A6"/>
    <w:rsid w:val="00F4746E"/>
    <w:rsid w:val="00F51EB0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32E"/>
    <w:rsid w:val="00F7073B"/>
    <w:rsid w:val="00F72085"/>
    <w:rsid w:val="00F72106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C8C5-C9F3-40C9-9D9E-DA4B295B21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23161-29FA-4F44-BDB7-4A8B8BB2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1692</Characters>
  <Application>Microsoft Office Word</Application>
  <DocSecurity>4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2026-01-18T09:54:00Z</dcterms:created>
  <dcterms:modified xsi:type="dcterms:W3CDTF">2026-01-18T09:54:00Z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