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AED7" w14:textId="77777777" w:rsidR="00B44B19" w:rsidRDefault="00B44B19" w:rsidP="00B44B19">
      <w:pPr>
        <w:bidi w:val="0"/>
        <w:jc w:val="center"/>
      </w:pPr>
      <w:r>
        <w:rPr>
          <w:rFonts w:cs="Arial" w:hint="cs"/>
          <w:noProof/>
          <w:rtl/>
        </w:rPr>
        <w:drawing>
          <wp:anchor distT="0" distB="0" distL="114300" distR="114300" simplePos="0" relativeHeight="251659264" behindDoc="0" locked="0" layoutInCell="1" allowOverlap="1" wp14:anchorId="3068A2D9" wp14:editId="393C2F15">
            <wp:simplePos x="0" y="0"/>
            <wp:positionH relativeFrom="margin">
              <wp:align>center</wp:align>
            </wp:positionH>
            <wp:positionV relativeFrom="margin">
              <wp:posOffset>-424180</wp:posOffset>
            </wp:positionV>
            <wp:extent cx="1054800" cy="105480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800" cy="105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4193" w14:textId="77777777" w:rsidR="00B44B19" w:rsidRPr="00E8008F" w:rsidRDefault="00B44B19" w:rsidP="00B44B19">
      <w:pPr>
        <w:bidi w:val="0"/>
        <w:jc w:val="center"/>
        <w:rPr>
          <w:rtl/>
        </w:rPr>
      </w:pPr>
    </w:p>
    <w:p w14:paraId="035D8B95" w14:textId="77777777" w:rsidR="00B44B19" w:rsidRDefault="00B44B19" w:rsidP="00B44B19">
      <w:pPr>
        <w:pStyle w:val="LetterheadBOI"/>
      </w:pPr>
    </w:p>
    <w:p w14:paraId="36C08B2D" w14:textId="77777777" w:rsidR="00B44B19" w:rsidRDefault="00B44B19" w:rsidP="00B44B19">
      <w:pPr>
        <w:pStyle w:val="LetterheadBOI"/>
      </w:pPr>
    </w:p>
    <w:p w14:paraId="13A81218" w14:textId="77777777" w:rsidR="00B44B19" w:rsidRPr="008E4D8E" w:rsidRDefault="00B44B19" w:rsidP="00B44B19">
      <w:pPr>
        <w:pStyle w:val="LetterheadBOI"/>
      </w:pPr>
      <w:r w:rsidRPr="008E4D8E">
        <w:t>BANK OF ISRAEL</w:t>
      </w:r>
    </w:p>
    <w:p w14:paraId="31CAE6E8" w14:textId="77777777" w:rsidR="00B44B19" w:rsidRPr="008E4D8E" w:rsidRDefault="00B44B19" w:rsidP="00B44B19">
      <w:pPr>
        <w:pStyle w:val="Letterhead2"/>
        <w:rPr>
          <w:b/>
        </w:rPr>
      </w:pPr>
      <w:r w:rsidRPr="008E4D8E">
        <w:t>Office of the Spokesperson and Economic Information</w:t>
      </w:r>
    </w:p>
    <w:p w14:paraId="500910FF" w14:textId="77777777" w:rsidR="00B44B19" w:rsidRDefault="00B44B19" w:rsidP="00B44B19">
      <w:pPr>
        <w:bidi w:val="0"/>
        <w:jc w:val="center"/>
        <w:rPr>
          <w:rFonts w:cs="David"/>
          <w:b/>
          <w:bCs/>
          <w:sz w:val="26"/>
          <w:szCs w:val="26"/>
        </w:rPr>
      </w:pPr>
    </w:p>
    <w:p w14:paraId="06DDE1C1" w14:textId="02C20B89" w:rsidR="00B44B19" w:rsidRDefault="00D949B6" w:rsidP="00D949B6">
      <w:pPr>
        <w:bidi w:val="0"/>
        <w:jc w:val="right"/>
      </w:pPr>
      <w:r>
        <w:t>March 30</w:t>
      </w:r>
      <w:r w:rsidR="00757359">
        <w:t>, 202</w:t>
      </w:r>
      <w:r w:rsidR="0093113B">
        <w:t>6</w:t>
      </w:r>
    </w:p>
    <w:p w14:paraId="092A57CC" w14:textId="77777777" w:rsidR="00B44B19" w:rsidRDefault="00B44B19" w:rsidP="008F2323">
      <w:pPr>
        <w:bidi w:val="0"/>
        <w:jc w:val="center"/>
        <w:rPr>
          <w:b/>
          <w:bCs/>
        </w:rPr>
      </w:pPr>
    </w:p>
    <w:p w14:paraId="3876E6CE" w14:textId="5D4DF103" w:rsidR="00A21D01" w:rsidRPr="00B44B19" w:rsidRDefault="00A21D01" w:rsidP="00D949B6">
      <w:pPr>
        <w:bidi w:val="0"/>
        <w:jc w:val="center"/>
        <w:rPr>
          <w:b/>
          <w:bCs/>
          <w:sz w:val="28"/>
          <w:szCs w:val="28"/>
        </w:rPr>
      </w:pPr>
      <w:r w:rsidRPr="00B44B19">
        <w:rPr>
          <w:b/>
          <w:bCs/>
          <w:sz w:val="28"/>
          <w:szCs w:val="28"/>
        </w:rPr>
        <w:t>Rese</w:t>
      </w:r>
      <w:r w:rsidR="00D949B6">
        <w:rPr>
          <w:b/>
          <w:bCs/>
          <w:sz w:val="28"/>
          <w:szCs w:val="28"/>
        </w:rPr>
        <w:t xml:space="preserve">arch Department Staff Forecast, March </w:t>
      </w:r>
      <w:r w:rsidR="00757359">
        <w:rPr>
          <w:b/>
          <w:bCs/>
          <w:sz w:val="28"/>
          <w:szCs w:val="28"/>
        </w:rPr>
        <w:t>202</w:t>
      </w:r>
      <w:r w:rsidR="0093113B">
        <w:rPr>
          <w:b/>
          <w:bCs/>
          <w:sz w:val="28"/>
          <w:szCs w:val="28"/>
        </w:rPr>
        <w:t>6</w:t>
      </w:r>
    </w:p>
    <w:p w14:paraId="4481416E" w14:textId="77777777" w:rsidR="00252B31" w:rsidRDefault="00252B31" w:rsidP="007D70EA">
      <w:pPr>
        <w:bidi w:val="0"/>
        <w:spacing w:line="360" w:lineRule="auto"/>
        <w:jc w:val="both"/>
        <w:rPr>
          <w:b/>
          <w:bCs/>
        </w:rPr>
      </w:pPr>
    </w:p>
    <w:p w14:paraId="2DB7F593" w14:textId="77777777" w:rsidR="00A21D01" w:rsidRPr="00D60117" w:rsidRDefault="00A21D01" w:rsidP="00252B31">
      <w:pPr>
        <w:bidi w:val="0"/>
        <w:spacing w:line="360" w:lineRule="auto"/>
        <w:jc w:val="both"/>
      </w:pPr>
      <w:r w:rsidRPr="00D60117">
        <w:rPr>
          <w:b/>
          <w:bCs/>
        </w:rPr>
        <w:t>Abstract</w:t>
      </w:r>
    </w:p>
    <w:p w14:paraId="2573B91C" w14:textId="0E885730" w:rsidR="007D6422" w:rsidRPr="00D949B6" w:rsidRDefault="00B766FF" w:rsidP="000E21F7">
      <w:pPr>
        <w:bidi w:val="0"/>
        <w:jc w:val="both"/>
        <w:rPr>
          <w:color w:val="FF0000"/>
        </w:rPr>
      </w:pPr>
      <w:bookmarkStart w:id="0" w:name="_GoBack"/>
      <w:r>
        <w:t xml:space="preserve">This document presents the macroeconomic staff forecast formulated by the Bank of Israel Research Department in </w:t>
      </w:r>
      <w:r w:rsidR="00D949B6">
        <w:t>March</w:t>
      </w:r>
      <w:r w:rsidR="00757359">
        <w:t xml:space="preserve"> 202</w:t>
      </w:r>
      <w:r w:rsidR="0093113B">
        <w:t>6</w:t>
      </w:r>
      <w:r w:rsidR="00757359">
        <w:t xml:space="preserve"> concerning the main macroeconomic variables—GDP, inflation, and the interest rate.</w:t>
      </w:r>
      <w:r w:rsidR="00A30AC5">
        <w:rPr>
          <w:rStyle w:val="ac"/>
        </w:rPr>
        <w:footnoteReference w:id="1"/>
      </w:r>
      <w:r>
        <w:t xml:space="preserve"> </w:t>
      </w:r>
      <w:r w:rsidR="00D949B6">
        <w:t xml:space="preserve">The forecast was formulated under the assumption that Operation “Roaring Lion” and the fighting in Lebanon will </w:t>
      </w:r>
      <w:proofErr w:type="gramStart"/>
      <w:r w:rsidR="00D949B6">
        <w:t>come to an end</w:t>
      </w:r>
      <w:proofErr w:type="gramEnd"/>
      <w:r w:rsidR="00D949B6">
        <w:t xml:space="preserve"> </w:t>
      </w:r>
      <w:r w:rsidR="000E21F7">
        <w:t>toward the end of</w:t>
      </w:r>
      <w:r w:rsidR="00D949B6">
        <w:t xml:space="preserve"> April.  Insofar as the fighting co</w:t>
      </w:r>
      <w:r w:rsidR="002C5C16">
        <w:t>ntinues, the special situation o</w:t>
      </w:r>
      <w:r w:rsidR="00D949B6">
        <w:t xml:space="preserve">n the home front and the increased mobilization of reserve soldiers will continue to restrict economic activity.  According to this scenario, GDP </w:t>
      </w:r>
      <w:proofErr w:type="gramStart"/>
      <w:r w:rsidR="00D949B6">
        <w:t>is expected</w:t>
      </w:r>
      <w:proofErr w:type="gramEnd"/>
      <w:r w:rsidR="00D949B6">
        <w:t xml:space="preserve"> to grow by 3.8 percent in 2026 and by 5.5 percent in 2027.</w:t>
      </w:r>
      <w:r w:rsidR="00757359">
        <w:t xml:space="preserve"> </w:t>
      </w:r>
      <w:r w:rsidR="007D6422">
        <w:t xml:space="preserve">The inflation rate in </w:t>
      </w:r>
      <w:r w:rsidR="00B525D0">
        <w:t xml:space="preserve">the coming four quarters (ending in the </w:t>
      </w:r>
      <w:r w:rsidR="00D949B6">
        <w:t>first</w:t>
      </w:r>
      <w:r w:rsidR="00B525D0">
        <w:t xml:space="preserve"> quarter of 202</w:t>
      </w:r>
      <w:r w:rsidR="00D949B6">
        <w:t>7</w:t>
      </w:r>
      <w:r w:rsidR="00B525D0">
        <w:t xml:space="preserve">) </w:t>
      </w:r>
      <w:proofErr w:type="gramStart"/>
      <w:r w:rsidR="007D6422">
        <w:t>is expected</w:t>
      </w:r>
      <w:proofErr w:type="gramEnd"/>
      <w:r w:rsidR="007D6422">
        <w:t xml:space="preserve"> to be </w:t>
      </w:r>
      <w:r w:rsidR="00D949B6">
        <w:t>2.3</w:t>
      </w:r>
      <w:r w:rsidR="007D6422">
        <w:t xml:space="preserve"> percent</w:t>
      </w:r>
      <w:r w:rsidR="00D949B6">
        <w:t>.</w:t>
      </w:r>
      <w:r w:rsidR="00A53B6A">
        <w:t xml:space="preserve"> </w:t>
      </w:r>
      <w:r w:rsidR="00D949B6">
        <w:t xml:space="preserve">Annual inflation in 2026 </w:t>
      </w:r>
      <w:proofErr w:type="gramStart"/>
      <w:r w:rsidR="00D949B6">
        <w:t>is expected</w:t>
      </w:r>
      <w:proofErr w:type="gramEnd"/>
      <w:r w:rsidR="00D949B6">
        <w:t xml:space="preserve"> to be 2.2 percent, </w:t>
      </w:r>
      <w:r w:rsidR="00416C49">
        <w:t>and inflation in 202</w:t>
      </w:r>
      <w:r w:rsidR="0093113B">
        <w:t>7</w:t>
      </w:r>
      <w:r w:rsidR="00416C49">
        <w:t xml:space="preserve"> is expected to be </w:t>
      </w:r>
      <w:r w:rsidR="00D949B6">
        <w:t>1.8</w:t>
      </w:r>
      <w:r w:rsidR="00416C49">
        <w:t xml:space="preserve"> percent</w:t>
      </w:r>
      <w:r w:rsidR="00757359">
        <w:t>.</w:t>
      </w:r>
      <w:r w:rsidR="00653278">
        <w:t xml:space="preserve">  The</w:t>
      </w:r>
      <w:r w:rsidR="00757359">
        <w:t xml:space="preserve"> average interest rate in the </w:t>
      </w:r>
      <w:r w:rsidR="0093113B">
        <w:t>f</w:t>
      </w:r>
      <w:r w:rsidR="00D949B6">
        <w:t>irst</w:t>
      </w:r>
      <w:r w:rsidR="00757359">
        <w:t xml:space="preserve"> quarter of 202</w:t>
      </w:r>
      <w:r w:rsidR="00D949B6">
        <w:t>7</w:t>
      </w:r>
      <w:r w:rsidR="00757359">
        <w:t xml:space="preserve"> </w:t>
      </w:r>
      <w:proofErr w:type="gramStart"/>
      <w:r w:rsidR="00757359">
        <w:t>is expected</w:t>
      </w:r>
      <w:proofErr w:type="gramEnd"/>
      <w:r w:rsidR="00757359">
        <w:t xml:space="preserve"> to be </w:t>
      </w:r>
      <w:r w:rsidR="00E948FF">
        <w:t>3.5</w:t>
      </w:r>
      <w:r w:rsidR="00D949B6">
        <w:t>/3.75</w:t>
      </w:r>
      <w:r w:rsidR="00757359">
        <w:t xml:space="preserve"> percent.</w:t>
      </w:r>
      <w:r w:rsidR="0093113B">
        <w:t xml:space="preserve">  </w:t>
      </w:r>
    </w:p>
    <w:p w14:paraId="1D58F0CC" w14:textId="2DF60957" w:rsidR="00757359" w:rsidRDefault="00757359" w:rsidP="00757359">
      <w:pPr>
        <w:bidi w:val="0"/>
        <w:jc w:val="both"/>
      </w:pPr>
    </w:p>
    <w:p w14:paraId="3B776CD7" w14:textId="74E5EBB7" w:rsidR="00E31A80" w:rsidRDefault="00757359" w:rsidP="009C7A47">
      <w:pPr>
        <w:bidi w:val="0"/>
        <w:jc w:val="both"/>
      </w:pPr>
      <w:r>
        <w:t>Th</w:t>
      </w:r>
      <w:r w:rsidR="005946CC">
        <w:t>e</w:t>
      </w:r>
      <w:r>
        <w:t xml:space="preserve"> forecast</w:t>
      </w:r>
      <w:r w:rsidR="00E45791">
        <w:t xml:space="preserve"> </w:t>
      </w:r>
      <w:proofErr w:type="gramStart"/>
      <w:r w:rsidR="00D949B6">
        <w:t>is based</w:t>
      </w:r>
      <w:proofErr w:type="gramEnd"/>
      <w:r w:rsidR="00D949B6">
        <w:t xml:space="preserve"> on the working assumption that Operation “Roaring Lion” will contribute to reducing the severity of the t</w:t>
      </w:r>
      <w:r w:rsidR="00094E50">
        <w:t>h</w:t>
      </w:r>
      <w:r w:rsidR="00D949B6">
        <w:t>reat posed by Iran, and that there will not be a further round of fighting during the forecast horizon</w:t>
      </w:r>
      <w:r w:rsidR="009C7A47">
        <w:t>.</w:t>
      </w:r>
      <w:r w:rsidR="00D949B6">
        <w:t xml:space="preserve"> </w:t>
      </w:r>
      <w:proofErr w:type="gramStart"/>
      <w:r w:rsidR="009C7A47">
        <w:t>H</w:t>
      </w:r>
      <w:r w:rsidR="00D949B6">
        <w:t>owever</w:t>
      </w:r>
      <w:proofErr w:type="gramEnd"/>
      <w:r w:rsidR="00D949B6">
        <w:t xml:space="preserve"> the geopolitical environment will be such that defense expenditures will be required in 2027 and thereafter </w:t>
      </w:r>
      <w:r w:rsidR="00E31A80">
        <w:t xml:space="preserve">in order to prepare for the possibility of </w:t>
      </w:r>
      <w:r w:rsidR="009C7A47">
        <w:t xml:space="preserve">such </w:t>
      </w:r>
      <w:r w:rsidR="00E31A80">
        <w:t xml:space="preserve">further confrontation.  In particular, the assumption is that there will be no further changes in the 2026 budget framework later in the year, beyond the NIS 39 billion increase that </w:t>
      </w:r>
      <w:proofErr w:type="gramStart"/>
      <w:r w:rsidR="00E31A80">
        <w:t>was approved</w:t>
      </w:r>
      <w:proofErr w:type="gramEnd"/>
      <w:r w:rsidR="00E31A80">
        <w:t xml:space="preserve"> in view of Operation Roaring Lion.</w:t>
      </w:r>
      <w:r w:rsidR="00E31A80">
        <w:rPr>
          <w:rStyle w:val="ac"/>
        </w:rPr>
        <w:footnoteReference w:id="2"/>
      </w:r>
      <w:r w:rsidR="00E31A80">
        <w:t xml:space="preserve">  In other words, the forecast assumes that the government will fully utilize the reserve that </w:t>
      </w:r>
      <w:proofErr w:type="gramStart"/>
      <w:r w:rsidR="00E31A80">
        <w:t>was allocated</w:t>
      </w:r>
      <w:proofErr w:type="gramEnd"/>
      <w:r w:rsidR="00E31A80">
        <w:t xml:space="preserve"> for defense needs due to the continuation of the fighting during April, and that it will utilize most of the</w:t>
      </w:r>
      <w:r w:rsidR="000E21F7">
        <w:t xml:space="preserve"> NIS 5.8 billion general reserve to finance expenses related to the fighting</w:t>
      </w:r>
      <w:r w:rsidR="00E31A80">
        <w:t>.</w:t>
      </w:r>
    </w:p>
    <w:p w14:paraId="4FF676DA" w14:textId="77777777" w:rsidR="00E31A80" w:rsidRDefault="00E31A80" w:rsidP="00E31A80">
      <w:pPr>
        <w:bidi w:val="0"/>
        <w:jc w:val="both"/>
      </w:pPr>
    </w:p>
    <w:p w14:paraId="24482660" w14:textId="200CA992" w:rsidR="00E31A80" w:rsidRDefault="00E31A80" w:rsidP="00E31A80">
      <w:pPr>
        <w:bidi w:val="0"/>
        <w:jc w:val="both"/>
      </w:pPr>
      <w:r w:rsidRPr="001216CB">
        <w:t>A further assumption</w:t>
      </w:r>
      <w:r>
        <w:t xml:space="preserve"> underlying the forecast is that global energy prices will decline slightly once the fighting is over, but that they will remain higher than they were before the Operation.</w:t>
      </w:r>
    </w:p>
    <w:p w14:paraId="7A73EF2A" w14:textId="77777777" w:rsidR="00E31A80" w:rsidRDefault="00E31A80" w:rsidP="00E31A80">
      <w:pPr>
        <w:bidi w:val="0"/>
        <w:jc w:val="both"/>
      </w:pPr>
    </w:p>
    <w:p w14:paraId="1897CE9A" w14:textId="2FBB03A9" w:rsidR="0093113B" w:rsidRDefault="00E31A80" w:rsidP="000E21F7">
      <w:pPr>
        <w:bidi w:val="0"/>
        <w:jc w:val="both"/>
      </w:pPr>
      <w:r>
        <w:t xml:space="preserve">The forecast reflects a short-term </w:t>
      </w:r>
      <w:r w:rsidR="00E142DB">
        <w:t>impairment</w:t>
      </w:r>
      <w:r>
        <w:t xml:space="preserve"> </w:t>
      </w:r>
      <w:r w:rsidR="000E21F7">
        <w:t xml:space="preserve">in </w:t>
      </w:r>
      <w:r>
        <w:t xml:space="preserve">economic activity, mainly in view of home front restrictions and </w:t>
      </w:r>
      <w:r w:rsidR="00E142DB">
        <w:t>the impact to the labor supply in view of the mobilization of reserves, alongside an increase in the inflation envir</w:t>
      </w:r>
      <w:r w:rsidR="000E21F7">
        <w:t>onment resulting from these constraints and from higher oil prices</w:t>
      </w:r>
      <w:r w:rsidR="00E142DB">
        <w:t xml:space="preserve">. </w:t>
      </w:r>
    </w:p>
    <w:p w14:paraId="02D656D1" w14:textId="41743176" w:rsidR="00E142DB" w:rsidRDefault="00E142DB" w:rsidP="00E142DB">
      <w:pPr>
        <w:bidi w:val="0"/>
        <w:jc w:val="both"/>
      </w:pPr>
    </w:p>
    <w:p w14:paraId="219A4659" w14:textId="34FA535B" w:rsidR="00E142DB" w:rsidRPr="00E142DB" w:rsidRDefault="00E142DB" w:rsidP="00E142DB">
      <w:pPr>
        <w:bidi w:val="0"/>
        <w:jc w:val="both"/>
      </w:pPr>
      <w:r>
        <w:t xml:space="preserve">The forecast </w:t>
      </w:r>
      <w:proofErr w:type="gramStart"/>
      <w:r>
        <w:t>is characterized</w:t>
      </w:r>
      <w:proofErr w:type="gramEnd"/>
      <w:r>
        <w:t xml:space="preserve"> by a particularly high level of uncertainty–both with regard to the duration of the fighting in Iran and in Lebanon, and in relation to the level of geopolitical risk </w:t>
      </w:r>
      <w:r>
        <w:lastRenderedPageBreak/>
        <w:t xml:space="preserve">following the fighting.  These risks </w:t>
      </w:r>
      <w:proofErr w:type="gramStart"/>
      <w:r>
        <w:t>will be reflected</w:t>
      </w:r>
      <w:proofErr w:type="gramEnd"/>
      <w:r>
        <w:t>, inter alia, in</w:t>
      </w:r>
      <w:r w:rsidR="000E21F7">
        <w:t xml:space="preserve"> the supply of labor,</w:t>
      </w:r>
      <w:r>
        <w:t xml:space="preserve"> the country’s risk premium, the exchange rate, oil prices, defense expenditures, and in the ramifications of all these on economic activity.</w:t>
      </w:r>
    </w:p>
    <w:p w14:paraId="583CF906" w14:textId="77777777" w:rsidR="00E31A80" w:rsidRDefault="00E31A80" w:rsidP="00E31A80">
      <w:pPr>
        <w:bidi w:val="0"/>
        <w:jc w:val="both"/>
      </w:pPr>
    </w:p>
    <w:p w14:paraId="5213F454" w14:textId="77777777" w:rsidR="00E932DD" w:rsidRDefault="00F7707F" w:rsidP="004675C1">
      <w:pPr>
        <w:bidi w:val="0"/>
        <w:jc w:val="both"/>
        <w:rPr>
          <w:b/>
          <w:bCs/>
        </w:rPr>
      </w:pPr>
      <w:r>
        <w:rPr>
          <w:b/>
          <w:bCs/>
        </w:rPr>
        <w:t>The forecast</w:t>
      </w:r>
    </w:p>
    <w:p w14:paraId="629113FA" w14:textId="77777777" w:rsidR="00F7707F" w:rsidRPr="00F7707F" w:rsidRDefault="00F7707F" w:rsidP="00F7707F">
      <w:pPr>
        <w:bidi w:val="0"/>
        <w:jc w:val="both"/>
        <w:rPr>
          <w:b/>
          <w:bCs/>
        </w:rPr>
      </w:pPr>
    </w:p>
    <w:p w14:paraId="72B85960" w14:textId="776529A2" w:rsidR="004675C1" w:rsidRDefault="004675C1" w:rsidP="009C7A47">
      <w:pPr>
        <w:bidi w:val="0"/>
        <w:jc w:val="both"/>
        <w:rPr>
          <w:rtl/>
        </w:rPr>
      </w:pPr>
      <w:r w:rsidRPr="0048372A">
        <w:t xml:space="preserve">The Bank of Israel Research Department compiles a staff forecast of macroeconomic </w:t>
      </w:r>
      <w:r w:rsidR="00E142DB" w:rsidRPr="0048372A">
        <w:t xml:space="preserve">developments based on several models, various data sources, and assessments based on </w:t>
      </w:r>
      <w:r w:rsidRPr="0048372A">
        <w:t>economists</w:t>
      </w:r>
      <w:r w:rsidR="0086132E">
        <w:t>’</w:t>
      </w:r>
      <w:r w:rsidRPr="0048372A">
        <w:t xml:space="preserve"> judgment. The Bank</w:t>
      </w:r>
      <w:r w:rsidR="0086132E">
        <w:t>’</w:t>
      </w:r>
      <w:r w:rsidRPr="0048372A">
        <w:t>s DSGE (Dynamic Stochastic General Equilibrium) model</w:t>
      </w:r>
      <w:r w:rsidR="009C7A47">
        <w:t>s</w:t>
      </w:r>
      <w:r w:rsidRPr="0048372A">
        <w:t>—structural model</w:t>
      </w:r>
      <w:r w:rsidR="009C7A47">
        <w:t>s</w:t>
      </w:r>
      <w:r w:rsidRPr="0048372A">
        <w:t xml:space="preserve"> </w:t>
      </w:r>
      <w:r w:rsidR="00F7707F" w:rsidRPr="0048372A">
        <w:t xml:space="preserve">developed in the Research Department </w:t>
      </w:r>
      <w:r w:rsidR="00F7707F">
        <w:t xml:space="preserve">and </w:t>
      </w:r>
      <w:r w:rsidRPr="0048372A">
        <w:t>based on microeconomic foundations—play a prim</w:t>
      </w:r>
      <w:r w:rsidR="00A83C38">
        <w:t>e</w:t>
      </w:r>
      <w:r w:rsidRPr="0048372A">
        <w:t xml:space="preserve"> role in formulating the macroeconomic forecast. The model</w:t>
      </w:r>
      <w:r w:rsidR="00E142DB">
        <w:t>s</w:t>
      </w:r>
      <w:r w:rsidRPr="0048372A">
        <w:t xml:space="preserve"> provide a framework for analyzing the forces that have an effect on the economy, and allow information from various sources to </w:t>
      </w:r>
      <w:proofErr w:type="gramStart"/>
      <w:r w:rsidRPr="0048372A">
        <w:t>be combined</w:t>
      </w:r>
      <w:proofErr w:type="gramEnd"/>
      <w:r w:rsidRPr="0048372A">
        <w:t xml:space="preserve"> into a macroeconomic forecast of real and nominal variables, with an internally consistent “economic story”.</w:t>
      </w:r>
      <w:r w:rsidR="00E142DB">
        <w:t xml:space="preserve">  The models also help analyze scenarios and policy alternatives, and thereby support the formulation of policy under uncertain conditions.</w:t>
      </w:r>
    </w:p>
    <w:p w14:paraId="2549A5DF" w14:textId="77777777" w:rsidR="00D975F7" w:rsidRDefault="00D975F7" w:rsidP="00D975F7">
      <w:pPr>
        <w:bidi w:val="0"/>
        <w:jc w:val="both"/>
      </w:pPr>
    </w:p>
    <w:p w14:paraId="2F7952B8" w14:textId="77777777" w:rsidR="00A21D01" w:rsidRPr="00B50AE3" w:rsidRDefault="00A21D01" w:rsidP="00A21D01">
      <w:pPr>
        <w:numPr>
          <w:ilvl w:val="0"/>
          <w:numId w:val="9"/>
        </w:numPr>
        <w:bidi w:val="0"/>
        <w:spacing w:line="360" w:lineRule="auto"/>
        <w:ind w:left="357" w:hanging="357"/>
        <w:jc w:val="both"/>
        <w:rPr>
          <w:b/>
          <w:bCs/>
        </w:rPr>
      </w:pPr>
      <w:r w:rsidRPr="00B50AE3">
        <w:rPr>
          <w:b/>
          <w:bCs/>
        </w:rPr>
        <w:t>The global environment</w:t>
      </w:r>
    </w:p>
    <w:p w14:paraId="7FBA13D9" w14:textId="17C55BE9" w:rsidR="00EC4295" w:rsidRDefault="00A21D01" w:rsidP="000E21F7">
      <w:pPr>
        <w:bidi w:val="0"/>
        <w:jc w:val="both"/>
      </w:pPr>
      <w:r>
        <w:t xml:space="preserve">Our assessments of expected developments in the global economy </w:t>
      </w:r>
      <w:proofErr w:type="gramStart"/>
      <w:r>
        <w:t>are based</w:t>
      </w:r>
      <w:proofErr w:type="gramEnd"/>
      <w:r>
        <w:t xml:space="preserve"> mainly on projections by international </w:t>
      </w:r>
      <w:r w:rsidR="00C45D20">
        <w:t xml:space="preserve">financial </w:t>
      </w:r>
      <w:r>
        <w:t>institutions and foreign investment houses.</w:t>
      </w:r>
      <w:r w:rsidR="00C55EB9">
        <w:t xml:space="preserve"> </w:t>
      </w:r>
      <w:r w:rsidR="00EC4295">
        <w:t xml:space="preserve"> </w:t>
      </w:r>
      <w:proofErr w:type="gramStart"/>
      <w:r w:rsidR="00EC4295">
        <w:t xml:space="preserve">Accordingly, we assume that </w:t>
      </w:r>
      <w:r w:rsidR="002F53E5">
        <w:t>GDP in the advanced economies will grow by 1.</w:t>
      </w:r>
      <w:r w:rsidR="0059481A">
        <w:t>5</w:t>
      </w:r>
      <w:r w:rsidR="002F53E5">
        <w:t xml:space="preserve"> percent in </w:t>
      </w:r>
      <w:r w:rsidR="00E45791">
        <w:t>2026</w:t>
      </w:r>
      <w:r w:rsidR="0059481A">
        <w:t>, and by 1.6 percent in 2027</w:t>
      </w:r>
      <w:r w:rsidR="00EC4295">
        <w:t xml:space="preserve"> (</w:t>
      </w:r>
      <w:r w:rsidR="00A241A2">
        <w:t>unchanged from</w:t>
      </w:r>
      <w:r w:rsidR="00EC4295">
        <w:t xml:space="preserve"> the </w:t>
      </w:r>
      <w:r w:rsidR="00A241A2">
        <w:t>January</w:t>
      </w:r>
      <w:r w:rsidR="00EC4295">
        <w:t xml:space="preserve"> forecast), </w:t>
      </w:r>
      <w:r w:rsidR="00E45791">
        <w:t>inflation in these economies will be 2.</w:t>
      </w:r>
      <w:r w:rsidR="00A241A2">
        <w:t>4</w:t>
      </w:r>
      <w:r w:rsidR="00E45791">
        <w:t xml:space="preserve"> percent in 202</w:t>
      </w:r>
      <w:r w:rsidR="0059481A">
        <w:t>6</w:t>
      </w:r>
      <w:r w:rsidR="00E45791">
        <w:t xml:space="preserve"> </w:t>
      </w:r>
      <w:r w:rsidR="00A241A2">
        <w:t xml:space="preserve">(compared with 2.3 percent in the January forecast) </w:t>
      </w:r>
      <w:r w:rsidR="00E45791">
        <w:t>and 2.</w:t>
      </w:r>
      <w:r w:rsidR="00A241A2">
        <w:t>0</w:t>
      </w:r>
      <w:r w:rsidR="00E45791">
        <w:t xml:space="preserve"> percent in 202</w:t>
      </w:r>
      <w:r w:rsidR="0059481A">
        <w:t>7</w:t>
      </w:r>
      <w:r w:rsidR="00E45791">
        <w:t xml:space="preserve"> (</w:t>
      </w:r>
      <w:r w:rsidR="00A241A2">
        <w:t>compared with 2.2 percent in the January</w:t>
      </w:r>
      <w:r w:rsidR="00E45791">
        <w:t xml:space="preserve"> forecast), </w:t>
      </w:r>
      <w:r w:rsidR="00EC4295">
        <w:t xml:space="preserve">and the interest rate will be </w:t>
      </w:r>
      <w:r w:rsidR="0059481A">
        <w:t>2.</w:t>
      </w:r>
      <w:r w:rsidR="00A241A2">
        <w:t>8</w:t>
      </w:r>
      <w:r w:rsidR="00EC4295">
        <w:t xml:space="preserve"> percent in 2026</w:t>
      </w:r>
      <w:r w:rsidR="00A241A2">
        <w:t xml:space="preserve"> (compared with 2.</w:t>
      </w:r>
      <w:r w:rsidR="000E21F7">
        <w:t>6</w:t>
      </w:r>
      <w:r w:rsidR="00A241A2">
        <w:t xml:space="preserve"> percent in the January forecast)</w:t>
      </w:r>
      <w:r w:rsidR="0059481A">
        <w:t xml:space="preserve"> and</w:t>
      </w:r>
      <w:r w:rsidR="00A241A2">
        <w:t xml:space="preserve"> 2.6 percent in</w:t>
      </w:r>
      <w:r w:rsidR="0059481A">
        <w:t xml:space="preserve"> 2027</w:t>
      </w:r>
      <w:r w:rsidR="00EC4295">
        <w:t xml:space="preserve"> (</w:t>
      </w:r>
      <w:r w:rsidR="0059481A">
        <w:t>unchanged from</w:t>
      </w:r>
      <w:r w:rsidR="00EC4295">
        <w:t xml:space="preserve"> the </w:t>
      </w:r>
      <w:r w:rsidR="00A241A2">
        <w:t>January</w:t>
      </w:r>
      <w:r w:rsidR="00EC4295">
        <w:t xml:space="preserve"> forecast)</w:t>
      </w:r>
      <w:r w:rsidR="002F53E5">
        <w:t>.</w:t>
      </w:r>
      <w:proofErr w:type="gramEnd"/>
      <w:r w:rsidR="002F53E5">
        <w:t xml:space="preserve">  </w:t>
      </w:r>
    </w:p>
    <w:p w14:paraId="3BA4D05D" w14:textId="77777777" w:rsidR="009C7A47" w:rsidRDefault="009C7A47" w:rsidP="000E21F7">
      <w:pPr>
        <w:bidi w:val="0"/>
        <w:jc w:val="both"/>
      </w:pPr>
    </w:p>
    <w:p w14:paraId="5C67345C" w14:textId="76B5E87C" w:rsidR="00D52059" w:rsidRDefault="00060B61" w:rsidP="009C7A47">
      <w:pPr>
        <w:bidi w:val="0"/>
        <w:jc w:val="both"/>
      </w:pPr>
      <w:r>
        <w:t>T</w:t>
      </w:r>
      <w:r w:rsidR="008F34C7">
        <w:t xml:space="preserve">he price of Brent crude oil </w:t>
      </w:r>
      <w:r w:rsidR="00A241A2">
        <w:t>rose from</w:t>
      </w:r>
      <w:r w:rsidR="00D9026F">
        <w:t xml:space="preserve"> </w:t>
      </w:r>
      <w:r>
        <w:t>$</w:t>
      </w:r>
      <w:r w:rsidR="0017294A">
        <w:t>6</w:t>
      </w:r>
      <w:r w:rsidR="0059481A">
        <w:t>1</w:t>
      </w:r>
      <w:r w:rsidR="00D9026F">
        <w:t xml:space="preserve"> </w:t>
      </w:r>
      <w:r>
        <w:t>per barrel</w:t>
      </w:r>
      <w:r w:rsidR="00A241A2">
        <w:t xml:space="preserve"> at the time of the January forecast to $1</w:t>
      </w:r>
      <w:r w:rsidR="000E21F7">
        <w:t>1</w:t>
      </w:r>
      <w:r w:rsidR="00A241A2">
        <w:t>5 per barrel currently</w:t>
      </w:r>
      <w:r w:rsidR="00323260">
        <w:t>.</w:t>
      </w:r>
    </w:p>
    <w:p w14:paraId="0E2050CB" w14:textId="77777777" w:rsidR="009C7A47" w:rsidRDefault="009C7A47" w:rsidP="009C7A47">
      <w:pPr>
        <w:bidi w:val="0"/>
        <w:jc w:val="both"/>
      </w:pPr>
    </w:p>
    <w:p w14:paraId="7320E8E2" w14:textId="70A8363F" w:rsidR="00A241A2" w:rsidRDefault="00A241A2" w:rsidP="000E21F7">
      <w:pPr>
        <w:bidi w:val="0"/>
        <w:jc w:val="both"/>
      </w:pPr>
      <w:r>
        <w:t xml:space="preserve">The slight revision to the global environment forecast reflects an </w:t>
      </w:r>
      <w:r w:rsidR="000E21F7">
        <w:t xml:space="preserve">assessment regarding </w:t>
      </w:r>
      <w:r>
        <w:t xml:space="preserve">a relatively rapid end </w:t>
      </w:r>
      <w:proofErr w:type="gramStart"/>
      <w:r>
        <w:t>to the confrontation in the Middle East, with the effect of energy prices on inflation in advanced economies noted mainly in the second quarter of 2026</w:t>
      </w:r>
      <w:proofErr w:type="gramEnd"/>
      <w:r>
        <w:t>.  The working assumption in the forecast is that following the end of the military campaign, oil prices will decline gradually but will remain higher than their level prior to the campaign.</w:t>
      </w:r>
    </w:p>
    <w:p w14:paraId="1281EA28" w14:textId="5E536698" w:rsidR="009C7A47" w:rsidRDefault="009C7A47">
      <w:pPr>
        <w:bidi w:val="0"/>
        <w:spacing w:after="200" w:line="276" w:lineRule="auto"/>
      </w:pPr>
      <w:r>
        <w:br w:type="page"/>
      </w:r>
    </w:p>
    <w:p w14:paraId="4093B67A" w14:textId="77777777" w:rsidR="00AE6BBB" w:rsidRDefault="00AE6BBB" w:rsidP="00AE6BBB">
      <w:pPr>
        <w:bidi w:val="0"/>
        <w:jc w:val="both"/>
        <w:rPr>
          <w:rtl/>
        </w:rPr>
      </w:pPr>
    </w:p>
    <w:tbl>
      <w:tblPr>
        <w:tblStyle w:val="a7"/>
        <w:tblpPr w:leftFromText="181" w:rightFromText="181" w:vertAnchor="text" w:horzAnchor="margin" w:tblpY="12"/>
        <w:tblOverlap w:val="never"/>
        <w:tblW w:w="8926" w:type="dxa"/>
        <w:tblLayout w:type="fixed"/>
        <w:tblLook w:val="04A0" w:firstRow="1" w:lastRow="0" w:firstColumn="1" w:lastColumn="0" w:noHBand="0" w:noVBand="1"/>
      </w:tblPr>
      <w:tblGrid>
        <w:gridCol w:w="4390"/>
        <w:gridCol w:w="850"/>
        <w:gridCol w:w="851"/>
        <w:gridCol w:w="992"/>
        <w:gridCol w:w="850"/>
        <w:gridCol w:w="993"/>
      </w:tblGrid>
      <w:tr w:rsidR="00A241A2" w:rsidRPr="007A4B17" w14:paraId="7F2EDA87" w14:textId="77777777" w:rsidTr="008A07D0">
        <w:tc>
          <w:tcPr>
            <w:tcW w:w="8926" w:type="dxa"/>
            <w:gridSpan w:val="6"/>
            <w:tcBorders>
              <w:bottom w:val="nil"/>
            </w:tcBorders>
          </w:tcPr>
          <w:p w14:paraId="69C6A63B" w14:textId="77777777" w:rsidR="00A241A2" w:rsidRPr="00F52232" w:rsidRDefault="00A241A2" w:rsidP="00A241A2">
            <w:pPr>
              <w:bidi w:val="0"/>
              <w:rPr>
                <w:b/>
                <w:bCs/>
                <w:color w:val="0070C0"/>
                <w:sz w:val="16"/>
                <w:szCs w:val="16"/>
              </w:rPr>
            </w:pPr>
            <w:r w:rsidRPr="00F52232">
              <w:rPr>
                <w:b/>
                <w:bCs/>
                <w:color w:val="0070C0"/>
                <w:sz w:val="16"/>
                <w:szCs w:val="16"/>
              </w:rPr>
              <w:t>Table 1</w:t>
            </w:r>
          </w:p>
          <w:p w14:paraId="04E4160E" w14:textId="77777777" w:rsidR="00A241A2" w:rsidRPr="00F52232" w:rsidRDefault="00A241A2" w:rsidP="00A241A2">
            <w:pPr>
              <w:bidi w:val="0"/>
              <w:rPr>
                <w:b/>
                <w:bCs/>
                <w:color w:val="0070C0"/>
                <w:sz w:val="16"/>
                <w:szCs w:val="16"/>
              </w:rPr>
            </w:pPr>
            <w:r w:rsidRPr="00F52232">
              <w:rPr>
                <w:b/>
                <w:bCs/>
                <w:color w:val="0070C0"/>
                <w:sz w:val="16"/>
                <w:szCs w:val="16"/>
              </w:rPr>
              <w:t>Research Department Staff Forecast for 202</w:t>
            </w:r>
            <w:r>
              <w:rPr>
                <w:b/>
                <w:bCs/>
                <w:color w:val="0070C0"/>
                <w:sz w:val="16"/>
                <w:szCs w:val="16"/>
              </w:rPr>
              <w:t>6</w:t>
            </w:r>
            <w:r w:rsidRPr="00F52232">
              <w:rPr>
                <w:b/>
                <w:bCs/>
                <w:color w:val="0070C0"/>
                <w:sz w:val="16"/>
                <w:szCs w:val="16"/>
              </w:rPr>
              <w:t>–202</w:t>
            </w:r>
            <w:r>
              <w:rPr>
                <w:b/>
                <w:bCs/>
                <w:color w:val="0070C0"/>
                <w:sz w:val="16"/>
                <w:szCs w:val="16"/>
              </w:rPr>
              <w:t>7</w:t>
            </w:r>
          </w:p>
          <w:p w14:paraId="4C58A13F" w14:textId="3D2ECAC9" w:rsidR="00A241A2" w:rsidRPr="00F52232" w:rsidRDefault="00A241A2" w:rsidP="00A241A2">
            <w:pPr>
              <w:bidi w:val="0"/>
              <w:jc w:val="center"/>
              <w:rPr>
                <w:rFonts w:asciiTheme="majorBidi" w:hAnsiTheme="majorBidi" w:cstheme="majorBidi"/>
                <w:sz w:val="16"/>
                <w:szCs w:val="16"/>
              </w:rPr>
            </w:pPr>
            <w:r w:rsidRPr="00F52232">
              <w:rPr>
                <w:color w:val="0070C0"/>
                <w:sz w:val="16"/>
                <w:szCs w:val="16"/>
              </w:rPr>
              <w:t xml:space="preserve">(rates of change, </w:t>
            </w:r>
            <w:proofErr w:type="spellStart"/>
            <w:r w:rsidRPr="00F52232">
              <w:rPr>
                <w:color w:val="0070C0"/>
                <w:sz w:val="16"/>
                <w:szCs w:val="16"/>
              </w:rPr>
              <w:t>percent</w:t>
            </w:r>
            <w:r w:rsidRPr="00F52232">
              <w:rPr>
                <w:color w:val="0070C0"/>
                <w:sz w:val="16"/>
                <w:szCs w:val="16"/>
                <w:vertAlign w:val="superscript"/>
              </w:rPr>
              <w:t>a</w:t>
            </w:r>
            <w:proofErr w:type="spellEnd"/>
            <w:r w:rsidRPr="00F52232">
              <w:rPr>
                <w:color w:val="0070C0"/>
                <w:sz w:val="16"/>
                <w:szCs w:val="16"/>
              </w:rPr>
              <w:t>, unless stated otherwise)</w:t>
            </w:r>
          </w:p>
        </w:tc>
      </w:tr>
      <w:tr w:rsidR="00A241A2" w:rsidRPr="007A4B17" w14:paraId="6EF4F85E" w14:textId="77777777" w:rsidTr="00A241A2">
        <w:tc>
          <w:tcPr>
            <w:tcW w:w="4390" w:type="dxa"/>
            <w:tcBorders>
              <w:bottom w:val="nil"/>
            </w:tcBorders>
            <w:vAlign w:val="center"/>
          </w:tcPr>
          <w:p w14:paraId="05613D9E" w14:textId="77777777" w:rsidR="00A241A2" w:rsidRPr="00F52232" w:rsidRDefault="00A241A2" w:rsidP="00A241A2">
            <w:pPr>
              <w:bidi w:val="0"/>
              <w:jc w:val="center"/>
              <w:rPr>
                <w:rFonts w:asciiTheme="majorBidi" w:hAnsiTheme="majorBidi" w:cstheme="majorBidi"/>
                <w:sz w:val="16"/>
                <w:szCs w:val="16"/>
              </w:rPr>
            </w:pPr>
            <w:r w:rsidRPr="00F52232">
              <w:rPr>
                <w:color w:val="000000"/>
                <w:sz w:val="16"/>
                <w:szCs w:val="16"/>
              </w:rPr>
              <w:t> </w:t>
            </w:r>
          </w:p>
        </w:tc>
        <w:tc>
          <w:tcPr>
            <w:tcW w:w="850" w:type="dxa"/>
            <w:tcBorders>
              <w:bottom w:val="nil"/>
            </w:tcBorders>
            <w:vAlign w:val="center"/>
          </w:tcPr>
          <w:p w14:paraId="7E858AD8" w14:textId="4D6F2363" w:rsidR="00A241A2" w:rsidRPr="00F52232" w:rsidRDefault="00A241A2" w:rsidP="00A241A2">
            <w:pPr>
              <w:bidi w:val="0"/>
              <w:jc w:val="center"/>
              <w:rPr>
                <w:color w:val="000000"/>
                <w:sz w:val="16"/>
                <w:szCs w:val="16"/>
              </w:rPr>
            </w:pPr>
            <w:r w:rsidRPr="00F52232">
              <w:rPr>
                <w:color w:val="000000"/>
                <w:sz w:val="16"/>
                <w:szCs w:val="16"/>
              </w:rPr>
              <w:t>202</w:t>
            </w:r>
            <w:r>
              <w:rPr>
                <w:color w:val="000000"/>
                <w:sz w:val="16"/>
                <w:szCs w:val="16"/>
              </w:rPr>
              <w:t>5</w:t>
            </w:r>
            <w:r w:rsidRPr="00F52232">
              <w:rPr>
                <w:color w:val="000000"/>
                <w:sz w:val="16"/>
                <w:szCs w:val="16"/>
              </w:rPr>
              <w:t xml:space="preserve"> actual figures</w:t>
            </w:r>
          </w:p>
        </w:tc>
        <w:tc>
          <w:tcPr>
            <w:tcW w:w="851" w:type="dxa"/>
            <w:tcBorders>
              <w:left w:val="single" w:sz="4" w:space="0" w:color="auto"/>
              <w:bottom w:val="nil"/>
              <w:right w:val="single" w:sz="4" w:space="0" w:color="auto"/>
            </w:tcBorders>
            <w:shd w:val="clear" w:color="auto" w:fill="auto"/>
            <w:vAlign w:val="center"/>
          </w:tcPr>
          <w:p w14:paraId="642C865D" w14:textId="54734F7D" w:rsidR="00A241A2" w:rsidRPr="00F52232" w:rsidRDefault="00A241A2" w:rsidP="00A241A2">
            <w:pPr>
              <w:bidi w:val="0"/>
              <w:jc w:val="center"/>
              <w:rPr>
                <w:rFonts w:asciiTheme="majorBidi" w:hAnsiTheme="majorBidi" w:cstheme="majorBidi"/>
                <w:sz w:val="16"/>
                <w:szCs w:val="16"/>
              </w:rPr>
            </w:pPr>
            <w:r w:rsidRPr="00F52232">
              <w:rPr>
                <w:color w:val="000000"/>
                <w:sz w:val="16"/>
                <w:szCs w:val="16"/>
              </w:rPr>
              <w:t>Forecast for 2026</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B2B8E68" w14:textId="67288A5A" w:rsidR="00A241A2" w:rsidRPr="00F52232" w:rsidRDefault="00A241A2" w:rsidP="00A241A2">
            <w:pPr>
              <w:bidi w:val="0"/>
              <w:jc w:val="center"/>
              <w:rPr>
                <w:rFonts w:asciiTheme="majorBidi" w:hAnsiTheme="majorBidi" w:cstheme="majorBidi"/>
                <w:sz w:val="16"/>
                <w:szCs w:val="16"/>
              </w:rPr>
            </w:pPr>
            <w:r w:rsidRPr="00F52232">
              <w:rPr>
                <w:color w:val="000000"/>
                <w:sz w:val="16"/>
                <w:szCs w:val="16"/>
              </w:rPr>
              <w:t xml:space="preserve">Change from the </w:t>
            </w:r>
            <w:r>
              <w:rPr>
                <w:color w:val="000000"/>
                <w:sz w:val="16"/>
                <w:szCs w:val="16"/>
              </w:rPr>
              <w:t>January</w:t>
            </w:r>
            <w:r w:rsidRPr="00F52232">
              <w:rPr>
                <w:color w:val="000000"/>
                <w:sz w:val="16"/>
                <w:szCs w:val="16"/>
              </w:rPr>
              <w:t xml:space="preserve"> forecast</w:t>
            </w:r>
          </w:p>
        </w:tc>
        <w:tc>
          <w:tcPr>
            <w:tcW w:w="850" w:type="dxa"/>
            <w:tcBorders>
              <w:left w:val="nil"/>
              <w:bottom w:val="single" w:sz="4" w:space="0" w:color="auto"/>
              <w:right w:val="single" w:sz="4" w:space="0" w:color="auto"/>
            </w:tcBorders>
            <w:shd w:val="clear" w:color="auto" w:fill="auto"/>
            <w:vAlign w:val="center"/>
          </w:tcPr>
          <w:p w14:paraId="7102DF7B" w14:textId="0539570F" w:rsidR="00A241A2" w:rsidRPr="00F52232" w:rsidRDefault="00A241A2" w:rsidP="00A241A2">
            <w:pPr>
              <w:bidi w:val="0"/>
              <w:jc w:val="center"/>
              <w:rPr>
                <w:rFonts w:asciiTheme="majorBidi" w:hAnsiTheme="majorBidi" w:cstheme="majorBidi"/>
                <w:sz w:val="16"/>
                <w:szCs w:val="16"/>
              </w:rPr>
            </w:pPr>
            <w:r w:rsidRPr="00F52232">
              <w:rPr>
                <w:color w:val="000000"/>
                <w:sz w:val="16"/>
                <w:szCs w:val="16"/>
              </w:rPr>
              <w:t>Forecast for 2027</w:t>
            </w:r>
          </w:p>
        </w:tc>
        <w:tc>
          <w:tcPr>
            <w:tcW w:w="993" w:type="dxa"/>
            <w:shd w:val="clear" w:color="auto" w:fill="B8CCE4" w:themeFill="accent1" w:themeFillTint="66"/>
            <w:vAlign w:val="center"/>
          </w:tcPr>
          <w:p w14:paraId="16445843" w14:textId="3BB47CB2"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Change from the January forecast</w:t>
            </w:r>
          </w:p>
        </w:tc>
      </w:tr>
      <w:tr w:rsidR="00A241A2" w:rsidRPr="007A4B17" w14:paraId="2831CD36" w14:textId="77777777" w:rsidTr="00A241A2">
        <w:tc>
          <w:tcPr>
            <w:tcW w:w="4390" w:type="dxa"/>
            <w:tcBorders>
              <w:bottom w:val="single" w:sz="4" w:space="0" w:color="auto"/>
            </w:tcBorders>
            <w:vAlign w:val="center"/>
          </w:tcPr>
          <w:p w14:paraId="46E91194" w14:textId="77777777" w:rsidR="00A241A2" w:rsidRPr="00F52232" w:rsidRDefault="00A241A2" w:rsidP="00A241A2">
            <w:pPr>
              <w:bidi w:val="0"/>
              <w:rPr>
                <w:rFonts w:asciiTheme="majorBidi" w:hAnsiTheme="majorBidi" w:cstheme="majorBidi"/>
                <w:b/>
                <w:bCs/>
                <w:sz w:val="16"/>
                <w:szCs w:val="16"/>
              </w:rPr>
            </w:pPr>
            <w:r w:rsidRPr="00F52232">
              <w:rPr>
                <w:b/>
                <w:bCs/>
                <w:color w:val="000000"/>
                <w:sz w:val="16"/>
                <w:szCs w:val="16"/>
              </w:rPr>
              <w:t>GDP</w:t>
            </w:r>
          </w:p>
        </w:tc>
        <w:tc>
          <w:tcPr>
            <w:tcW w:w="850" w:type="dxa"/>
            <w:tcBorders>
              <w:bottom w:val="single" w:sz="4" w:space="0" w:color="auto"/>
            </w:tcBorders>
            <w:vAlign w:val="center"/>
          </w:tcPr>
          <w:p w14:paraId="7654361A" w14:textId="0E32C6FB" w:rsidR="00A241A2" w:rsidRPr="00F52232" w:rsidRDefault="00A241A2" w:rsidP="00A241A2">
            <w:pPr>
              <w:bidi w:val="0"/>
              <w:jc w:val="center"/>
              <w:rPr>
                <w:b/>
                <w:bCs/>
                <w:color w:val="000000"/>
                <w:sz w:val="16"/>
                <w:szCs w:val="16"/>
              </w:rPr>
            </w:pPr>
            <w:r>
              <w:rPr>
                <w:b/>
                <w:bCs/>
                <w:color w:val="000000"/>
                <w:sz w:val="16"/>
                <w:szCs w:val="16"/>
              </w:rPr>
              <w:t>2.9</w:t>
            </w:r>
          </w:p>
        </w:tc>
        <w:tc>
          <w:tcPr>
            <w:tcW w:w="851" w:type="dxa"/>
            <w:tcBorders>
              <w:left w:val="single" w:sz="4" w:space="0" w:color="auto"/>
              <w:bottom w:val="single" w:sz="4" w:space="0" w:color="auto"/>
              <w:right w:val="single" w:sz="4" w:space="0" w:color="auto"/>
            </w:tcBorders>
            <w:shd w:val="clear" w:color="auto" w:fill="auto"/>
            <w:vAlign w:val="center"/>
          </w:tcPr>
          <w:p w14:paraId="17AC6D66" w14:textId="0673486B" w:rsidR="00A241A2" w:rsidRPr="00F52232" w:rsidRDefault="00A241A2" w:rsidP="00A241A2">
            <w:pPr>
              <w:bidi w:val="0"/>
              <w:jc w:val="center"/>
              <w:rPr>
                <w:rFonts w:asciiTheme="majorBidi" w:hAnsiTheme="majorBidi" w:cstheme="majorBidi"/>
                <w:b/>
                <w:bCs/>
                <w:sz w:val="16"/>
                <w:szCs w:val="16"/>
              </w:rPr>
            </w:pPr>
            <w:r>
              <w:rPr>
                <w:b/>
                <w:bCs/>
                <w:color w:val="000000"/>
                <w:sz w:val="16"/>
                <w:szCs w:val="16"/>
              </w:rPr>
              <w:t>3.8</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CED8F89" w14:textId="75268C82" w:rsidR="00A241A2" w:rsidRPr="00F52232" w:rsidRDefault="00A241A2" w:rsidP="00A241A2">
            <w:pPr>
              <w:bidi w:val="0"/>
              <w:jc w:val="center"/>
              <w:rPr>
                <w:rFonts w:asciiTheme="majorBidi" w:hAnsiTheme="majorBidi" w:cstheme="majorBidi"/>
                <w:b/>
                <w:bCs/>
                <w:sz w:val="16"/>
                <w:szCs w:val="16"/>
              </w:rPr>
            </w:pPr>
            <w:r>
              <w:rPr>
                <w:b/>
                <w:bCs/>
                <w:color w:val="000000"/>
                <w:sz w:val="16"/>
                <w:szCs w:val="16"/>
              </w:rPr>
              <w:t>-1.4</w:t>
            </w:r>
          </w:p>
        </w:tc>
        <w:tc>
          <w:tcPr>
            <w:tcW w:w="850" w:type="dxa"/>
            <w:tcBorders>
              <w:left w:val="nil"/>
              <w:bottom w:val="single" w:sz="4" w:space="0" w:color="auto"/>
              <w:right w:val="single" w:sz="4" w:space="0" w:color="auto"/>
            </w:tcBorders>
            <w:shd w:val="clear" w:color="auto" w:fill="auto"/>
            <w:vAlign w:val="bottom"/>
          </w:tcPr>
          <w:p w14:paraId="50A85E6C" w14:textId="1FF76043" w:rsidR="00A241A2" w:rsidRPr="00F52232" w:rsidRDefault="00A241A2" w:rsidP="00A241A2">
            <w:pPr>
              <w:bidi w:val="0"/>
              <w:jc w:val="center"/>
              <w:rPr>
                <w:rFonts w:asciiTheme="majorBidi" w:hAnsiTheme="majorBidi" w:cstheme="majorBidi"/>
                <w:b/>
                <w:bCs/>
                <w:sz w:val="16"/>
                <w:szCs w:val="16"/>
              </w:rPr>
            </w:pPr>
            <w:r>
              <w:rPr>
                <w:rFonts w:asciiTheme="majorBidi" w:hAnsiTheme="majorBidi" w:cstheme="majorBidi"/>
                <w:color w:val="000000"/>
                <w:sz w:val="16"/>
                <w:szCs w:val="16"/>
              </w:rPr>
              <w:t>5.5</w:t>
            </w:r>
          </w:p>
        </w:tc>
        <w:tc>
          <w:tcPr>
            <w:tcW w:w="993" w:type="dxa"/>
            <w:shd w:val="clear" w:color="auto" w:fill="B8CCE4" w:themeFill="accent1" w:themeFillTint="66"/>
            <w:vAlign w:val="center"/>
          </w:tcPr>
          <w:p w14:paraId="663B4566" w14:textId="2CCA533E" w:rsidR="00A241A2" w:rsidRPr="00F52232" w:rsidRDefault="00A241A2" w:rsidP="00A241A2">
            <w:pPr>
              <w:bidi w:val="0"/>
              <w:jc w:val="center"/>
              <w:rPr>
                <w:rFonts w:asciiTheme="majorBidi" w:hAnsiTheme="majorBidi" w:cstheme="majorBidi"/>
                <w:b/>
                <w:bCs/>
                <w:sz w:val="16"/>
                <w:szCs w:val="16"/>
              </w:rPr>
            </w:pPr>
            <w:r>
              <w:rPr>
                <w:rFonts w:asciiTheme="majorBidi" w:hAnsiTheme="majorBidi" w:cstheme="majorBidi"/>
                <w:b/>
                <w:bCs/>
                <w:sz w:val="16"/>
                <w:szCs w:val="16"/>
              </w:rPr>
              <w:t>1.2</w:t>
            </w:r>
          </w:p>
        </w:tc>
      </w:tr>
      <w:tr w:rsidR="00A241A2" w:rsidRPr="007A4B17" w14:paraId="22A91E55" w14:textId="77777777" w:rsidTr="00A241A2">
        <w:tc>
          <w:tcPr>
            <w:tcW w:w="4390" w:type="dxa"/>
            <w:tcBorders>
              <w:bottom w:val="single" w:sz="4" w:space="0" w:color="auto"/>
            </w:tcBorders>
            <w:vAlign w:val="center"/>
          </w:tcPr>
          <w:p w14:paraId="199A5B66"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Private consumption</w:t>
            </w:r>
          </w:p>
        </w:tc>
        <w:tc>
          <w:tcPr>
            <w:tcW w:w="850" w:type="dxa"/>
            <w:tcBorders>
              <w:bottom w:val="single" w:sz="4" w:space="0" w:color="auto"/>
            </w:tcBorders>
            <w:vAlign w:val="center"/>
          </w:tcPr>
          <w:p w14:paraId="51B1162B" w14:textId="5288C87E" w:rsidR="00A241A2" w:rsidRPr="00F52232" w:rsidRDefault="00A241A2" w:rsidP="00A241A2">
            <w:pPr>
              <w:bidi w:val="0"/>
              <w:jc w:val="center"/>
              <w:rPr>
                <w:color w:val="000000"/>
                <w:sz w:val="16"/>
                <w:szCs w:val="16"/>
              </w:rPr>
            </w:pPr>
            <w:r>
              <w:rPr>
                <w:color w:val="000000"/>
                <w:sz w:val="16"/>
                <w:szCs w:val="16"/>
              </w:rPr>
              <w:t>2.6</w:t>
            </w:r>
          </w:p>
        </w:tc>
        <w:tc>
          <w:tcPr>
            <w:tcW w:w="851" w:type="dxa"/>
            <w:tcBorders>
              <w:left w:val="single" w:sz="4" w:space="0" w:color="auto"/>
              <w:bottom w:val="single" w:sz="4" w:space="0" w:color="auto"/>
              <w:right w:val="single" w:sz="4" w:space="0" w:color="auto"/>
            </w:tcBorders>
            <w:shd w:val="clear" w:color="auto" w:fill="auto"/>
            <w:vAlign w:val="center"/>
          </w:tcPr>
          <w:p w14:paraId="11AC5FB8" w14:textId="265955EB" w:rsidR="00A241A2" w:rsidRPr="00F52232" w:rsidRDefault="00A241A2" w:rsidP="00A241A2">
            <w:pPr>
              <w:bidi w:val="0"/>
              <w:jc w:val="center"/>
              <w:rPr>
                <w:rFonts w:asciiTheme="majorBidi" w:hAnsiTheme="majorBidi" w:cstheme="majorBidi"/>
                <w:sz w:val="16"/>
                <w:szCs w:val="16"/>
              </w:rPr>
            </w:pPr>
            <w:r>
              <w:rPr>
                <w:color w:val="000000"/>
                <w:sz w:val="16"/>
                <w:szCs w:val="16"/>
              </w:rPr>
              <w:t>3.0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CE0BF22" w14:textId="1B1734BB" w:rsidR="00A241A2" w:rsidRPr="00F52232" w:rsidRDefault="00A241A2" w:rsidP="00A241A2">
            <w:pPr>
              <w:bidi w:val="0"/>
              <w:jc w:val="center"/>
              <w:rPr>
                <w:rFonts w:asciiTheme="majorBidi" w:hAnsiTheme="majorBidi" w:cstheme="majorBidi"/>
                <w:sz w:val="16"/>
                <w:szCs w:val="16"/>
              </w:rPr>
            </w:pPr>
            <w:r>
              <w:rPr>
                <w:color w:val="000000"/>
                <w:sz w:val="16"/>
                <w:szCs w:val="16"/>
              </w:rPr>
              <w:t>-4.5</w:t>
            </w:r>
          </w:p>
        </w:tc>
        <w:tc>
          <w:tcPr>
            <w:tcW w:w="850" w:type="dxa"/>
            <w:tcBorders>
              <w:left w:val="nil"/>
              <w:bottom w:val="single" w:sz="4" w:space="0" w:color="auto"/>
              <w:right w:val="single" w:sz="4" w:space="0" w:color="auto"/>
            </w:tcBorders>
            <w:shd w:val="clear" w:color="auto" w:fill="auto"/>
            <w:vAlign w:val="bottom"/>
          </w:tcPr>
          <w:p w14:paraId="7511320C" w14:textId="23A35D23"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7</w:t>
            </w:r>
            <w:r w:rsidRPr="00F52232">
              <w:rPr>
                <w:rFonts w:asciiTheme="majorBidi" w:hAnsiTheme="majorBidi" w:cstheme="majorBidi"/>
                <w:color w:val="000000"/>
                <w:sz w:val="16"/>
                <w:szCs w:val="16"/>
              </w:rPr>
              <w:t>.0</w:t>
            </w:r>
          </w:p>
        </w:tc>
        <w:tc>
          <w:tcPr>
            <w:tcW w:w="993" w:type="dxa"/>
            <w:shd w:val="clear" w:color="auto" w:fill="B8CCE4" w:themeFill="accent1" w:themeFillTint="66"/>
            <w:vAlign w:val="center"/>
          </w:tcPr>
          <w:p w14:paraId="2FB9E721" w14:textId="74CEB2E5"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2.0</w:t>
            </w:r>
          </w:p>
        </w:tc>
      </w:tr>
      <w:tr w:rsidR="00A241A2" w:rsidRPr="007A4B17" w14:paraId="62FE491C" w14:textId="77777777" w:rsidTr="00A241A2">
        <w:tc>
          <w:tcPr>
            <w:tcW w:w="4390" w:type="dxa"/>
            <w:tcBorders>
              <w:bottom w:val="single" w:sz="4" w:space="0" w:color="auto"/>
            </w:tcBorders>
            <w:vAlign w:val="center"/>
          </w:tcPr>
          <w:p w14:paraId="4CFD6C88"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Fixed capital formation (excl. ships and aircraft)</w:t>
            </w:r>
          </w:p>
        </w:tc>
        <w:tc>
          <w:tcPr>
            <w:tcW w:w="850" w:type="dxa"/>
            <w:tcBorders>
              <w:bottom w:val="single" w:sz="4" w:space="0" w:color="auto"/>
            </w:tcBorders>
            <w:vAlign w:val="center"/>
          </w:tcPr>
          <w:p w14:paraId="31398C74" w14:textId="11D3A4E6" w:rsidR="00A241A2" w:rsidRPr="00F52232" w:rsidRDefault="00A241A2" w:rsidP="00A241A2">
            <w:pPr>
              <w:bidi w:val="0"/>
              <w:jc w:val="center"/>
              <w:rPr>
                <w:color w:val="000000"/>
                <w:sz w:val="16"/>
                <w:szCs w:val="16"/>
              </w:rPr>
            </w:pPr>
            <w:r>
              <w:rPr>
                <w:color w:val="000000"/>
                <w:sz w:val="16"/>
                <w:szCs w:val="16"/>
              </w:rPr>
              <w:t>8.5</w:t>
            </w:r>
          </w:p>
        </w:tc>
        <w:tc>
          <w:tcPr>
            <w:tcW w:w="851" w:type="dxa"/>
            <w:tcBorders>
              <w:left w:val="single" w:sz="4" w:space="0" w:color="auto"/>
              <w:bottom w:val="single" w:sz="4" w:space="0" w:color="auto"/>
              <w:right w:val="single" w:sz="4" w:space="0" w:color="auto"/>
            </w:tcBorders>
            <w:shd w:val="clear" w:color="auto" w:fill="auto"/>
            <w:vAlign w:val="center"/>
          </w:tcPr>
          <w:p w14:paraId="07CDF8F7" w14:textId="6267B92F" w:rsidR="00A241A2" w:rsidRPr="00F52232" w:rsidRDefault="00A241A2" w:rsidP="00A241A2">
            <w:pPr>
              <w:bidi w:val="0"/>
              <w:jc w:val="center"/>
              <w:rPr>
                <w:rFonts w:asciiTheme="majorBidi" w:hAnsiTheme="majorBidi" w:cstheme="majorBidi"/>
                <w:sz w:val="16"/>
                <w:szCs w:val="16"/>
              </w:rPr>
            </w:pPr>
            <w:r>
              <w:rPr>
                <w:color w:val="000000"/>
                <w:sz w:val="16"/>
                <w:szCs w:val="16"/>
              </w:rPr>
              <w:t>6.5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03D4BF66" w14:textId="47513A06" w:rsidR="00A241A2" w:rsidRPr="00F52232" w:rsidRDefault="00A241A2" w:rsidP="00A241A2">
            <w:pPr>
              <w:bidi w:val="0"/>
              <w:jc w:val="center"/>
              <w:rPr>
                <w:rFonts w:asciiTheme="majorBidi" w:hAnsiTheme="majorBidi" w:cstheme="majorBidi"/>
                <w:sz w:val="16"/>
                <w:szCs w:val="16"/>
              </w:rPr>
            </w:pPr>
            <w:r>
              <w:rPr>
                <w:color w:val="000000"/>
                <w:sz w:val="16"/>
                <w:szCs w:val="16"/>
              </w:rPr>
              <w:t>-6.5</w:t>
            </w:r>
          </w:p>
        </w:tc>
        <w:tc>
          <w:tcPr>
            <w:tcW w:w="850" w:type="dxa"/>
            <w:tcBorders>
              <w:left w:val="nil"/>
              <w:bottom w:val="single" w:sz="4" w:space="0" w:color="auto"/>
              <w:right w:val="single" w:sz="4" w:space="0" w:color="auto"/>
            </w:tcBorders>
            <w:shd w:val="clear" w:color="auto" w:fill="auto"/>
            <w:vAlign w:val="bottom"/>
          </w:tcPr>
          <w:p w14:paraId="13BF7137" w14:textId="6D0D6E9C"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14.5</w:t>
            </w:r>
          </w:p>
        </w:tc>
        <w:tc>
          <w:tcPr>
            <w:tcW w:w="993" w:type="dxa"/>
            <w:shd w:val="clear" w:color="auto" w:fill="B8CCE4" w:themeFill="accent1" w:themeFillTint="66"/>
            <w:vAlign w:val="center"/>
          </w:tcPr>
          <w:p w14:paraId="3267178F" w14:textId="4771E6F8"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6.5</w:t>
            </w:r>
          </w:p>
        </w:tc>
      </w:tr>
      <w:tr w:rsidR="00A241A2" w:rsidRPr="007A4B17" w14:paraId="5119F09F" w14:textId="77777777" w:rsidTr="00A241A2">
        <w:tc>
          <w:tcPr>
            <w:tcW w:w="4390" w:type="dxa"/>
            <w:tcBorders>
              <w:bottom w:val="single" w:sz="4" w:space="0" w:color="auto"/>
            </w:tcBorders>
            <w:vAlign w:val="center"/>
          </w:tcPr>
          <w:p w14:paraId="50478FD0"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Public consumption (excl. defense imports)</w:t>
            </w:r>
          </w:p>
        </w:tc>
        <w:tc>
          <w:tcPr>
            <w:tcW w:w="850" w:type="dxa"/>
            <w:tcBorders>
              <w:bottom w:val="single" w:sz="4" w:space="0" w:color="auto"/>
            </w:tcBorders>
            <w:vAlign w:val="center"/>
          </w:tcPr>
          <w:p w14:paraId="6464F3D4" w14:textId="38624C15" w:rsidR="00A241A2" w:rsidRPr="00F52232" w:rsidRDefault="00A241A2" w:rsidP="00A241A2">
            <w:pPr>
              <w:bidi w:val="0"/>
              <w:jc w:val="center"/>
              <w:rPr>
                <w:color w:val="000000"/>
                <w:sz w:val="16"/>
                <w:szCs w:val="16"/>
              </w:rPr>
            </w:pPr>
            <w:r>
              <w:rPr>
                <w:color w:val="000000"/>
                <w:sz w:val="16"/>
                <w:szCs w:val="16"/>
              </w:rPr>
              <w:t>2.0</w:t>
            </w:r>
          </w:p>
        </w:tc>
        <w:tc>
          <w:tcPr>
            <w:tcW w:w="851" w:type="dxa"/>
            <w:tcBorders>
              <w:left w:val="single" w:sz="4" w:space="0" w:color="auto"/>
              <w:bottom w:val="single" w:sz="4" w:space="0" w:color="auto"/>
              <w:right w:val="single" w:sz="4" w:space="0" w:color="auto"/>
            </w:tcBorders>
            <w:shd w:val="clear" w:color="auto" w:fill="auto"/>
            <w:vAlign w:val="center"/>
          </w:tcPr>
          <w:p w14:paraId="0FEB00FB" w14:textId="56952ECF" w:rsidR="00A241A2" w:rsidRPr="00F52232" w:rsidRDefault="00A241A2" w:rsidP="00A241A2">
            <w:pPr>
              <w:bidi w:val="0"/>
              <w:jc w:val="center"/>
              <w:rPr>
                <w:rFonts w:asciiTheme="majorBidi" w:hAnsiTheme="majorBidi" w:cstheme="majorBidi"/>
                <w:sz w:val="16"/>
                <w:szCs w:val="16"/>
              </w:rPr>
            </w:pPr>
            <w:r>
              <w:rPr>
                <w:color w:val="000000"/>
                <w:sz w:val="16"/>
                <w:szCs w:val="16"/>
              </w:rPr>
              <w:t>2.5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591656A" w14:textId="0C257E4C" w:rsidR="00A241A2" w:rsidRPr="00F52232" w:rsidRDefault="00A241A2" w:rsidP="00A241A2">
            <w:pPr>
              <w:bidi w:val="0"/>
              <w:jc w:val="center"/>
              <w:rPr>
                <w:rFonts w:asciiTheme="majorBidi" w:hAnsiTheme="majorBidi" w:cstheme="majorBidi"/>
                <w:sz w:val="16"/>
                <w:szCs w:val="16"/>
              </w:rPr>
            </w:pPr>
            <w:r>
              <w:rPr>
                <w:color w:val="000000"/>
                <w:sz w:val="16"/>
                <w:szCs w:val="16"/>
              </w:rPr>
              <w:t>1.5</w:t>
            </w:r>
          </w:p>
        </w:tc>
        <w:tc>
          <w:tcPr>
            <w:tcW w:w="850" w:type="dxa"/>
            <w:tcBorders>
              <w:left w:val="nil"/>
              <w:bottom w:val="single" w:sz="4" w:space="0" w:color="auto"/>
              <w:right w:val="single" w:sz="4" w:space="0" w:color="auto"/>
            </w:tcBorders>
            <w:shd w:val="clear" w:color="auto" w:fill="auto"/>
            <w:vAlign w:val="bottom"/>
          </w:tcPr>
          <w:p w14:paraId="75EC713D" w14:textId="019D8F46"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2</w:t>
            </w:r>
            <w:r w:rsidRPr="00F52232">
              <w:rPr>
                <w:rFonts w:asciiTheme="majorBidi" w:hAnsiTheme="majorBidi" w:cstheme="majorBidi"/>
                <w:color w:val="000000"/>
                <w:sz w:val="16"/>
                <w:szCs w:val="16"/>
              </w:rPr>
              <w:t>.5</w:t>
            </w:r>
          </w:p>
        </w:tc>
        <w:tc>
          <w:tcPr>
            <w:tcW w:w="993" w:type="dxa"/>
            <w:shd w:val="clear" w:color="auto" w:fill="B8CCE4" w:themeFill="accent1" w:themeFillTint="66"/>
            <w:vAlign w:val="center"/>
          </w:tcPr>
          <w:p w14:paraId="0AC13A48" w14:textId="3F4FF12C"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-1.0</w:t>
            </w:r>
          </w:p>
        </w:tc>
      </w:tr>
      <w:tr w:rsidR="00A241A2" w:rsidRPr="007A4B17" w14:paraId="7289C9A9" w14:textId="77777777" w:rsidTr="00A241A2">
        <w:tc>
          <w:tcPr>
            <w:tcW w:w="4390" w:type="dxa"/>
            <w:tcBorders>
              <w:bottom w:val="single" w:sz="4" w:space="0" w:color="auto"/>
            </w:tcBorders>
            <w:vAlign w:val="center"/>
          </w:tcPr>
          <w:p w14:paraId="6B30F653" w14:textId="77777777" w:rsidR="00A241A2" w:rsidRPr="00F52232" w:rsidRDefault="00A241A2" w:rsidP="00A241A2">
            <w:pPr>
              <w:bidi w:val="0"/>
              <w:rPr>
                <w:rFonts w:asciiTheme="majorBidi" w:hAnsiTheme="majorBidi" w:cstheme="majorBidi"/>
                <w:color w:val="FF0000"/>
                <w:sz w:val="16"/>
                <w:szCs w:val="16"/>
              </w:rPr>
            </w:pPr>
            <w:r w:rsidRPr="00F52232">
              <w:rPr>
                <w:color w:val="000000"/>
                <w:sz w:val="16"/>
                <w:szCs w:val="16"/>
              </w:rPr>
              <w:t>Exports (excl. diamonds and startups)</w:t>
            </w:r>
          </w:p>
        </w:tc>
        <w:tc>
          <w:tcPr>
            <w:tcW w:w="850" w:type="dxa"/>
            <w:tcBorders>
              <w:bottom w:val="single" w:sz="4" w:space="0" w:color="auto"/>
            </w:tcBorders>
            <w:vAlign w:val="center"/>
          </w:tcPr>
          <w:p w14:paraId="5066C3F0" w14:textId="76CF556D" w:rsidR="00A241A2" w:rsidRPr="00F52232" w:rsidRDefault="00A241A2" w:rsidP="00A241A2">
            <w:pPr>
              <w:bidi w:val="0"/>
              <w:jc w:val="center"/>
              <w:rPr>
                <w:color w:val="000000"/>
                <w:sz w:val="16"/>
                <w:szCs w:val="16"/>
              </w:rPr>
            </w:pPr>
            <w:r>
              <w:rPr>
                <w:color w:val="000000"/>
                <w:sz w:val="16"/>
                <w:szCs w:val="16"/>
              </w:rPr>
              <w:t>5.9</w:t>
            </w:r>
          </w:p>
        </w:tc>
        <w:tc>
          <w:tcPr>
            <w:tcW w:w="851" w:type="dxa"/>
            <w:tcBorders>
              <w:left w:val="single" w:sz="4" w:space="0" w:color="auto"/>
              <w:bottom w:val="single" w:sz="4" w:space="0" w:color="auto"/>
              <w:right w:val="single" w:sz="4" w:space="0" w:color="auto"/>
            </w:tcBorders>
            <w:shd w:val="clear" w:color="auto" w:fill="auto"/>
            <w:vAlign w:val="center"/>
          </w:tcPr>
          <w:p w14:paraId="1177BCB6" w14:textId="6E9B7B0A" w:rsidR="00A241A2" w:rsidRPr="00F52232" w:rsidRDefault="00A241A2" w:rsidP="00A241A2">
            <w:pPr>
              <w:bidi w:val="0"/>
              <w:jc w:val="center"/>
              <w:rPr>
                <w:rFonts w:asciiTheme="majorBidi" w:hAnsiTheme="majorBidi" w:cstheme="majorBidi"/>
                <w:sz w:val="16"/>
                <w:szCs w:val="16"/>
              </w:rPr>
            </w:pPr>
            <w:r>
              <w:rPr>
                <w:color w:val="000000"/>
                <w:sz w:val="16"/>
                <w:szCs w:val="16"/>
              </w:rPr>
              <w:t>5.5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398F4286" w14:textId="5D9A8990" w:rsidR="00A241A2" w:rsidRPr="00F52232" w:rsidRDefault="00A241A2" w:rsidP="00A241A2">
            <w:pPr>
              <w:bidi w:val="0"/>
              <w:jc w:val="center"/>
              <w:rPr>
                <w:rFonts w:asciiTheme="majorBidi" w:hAnsiTheme="majorBidi" w:cstheme="majorBidi"/>
                <w:sz w:val="16"/>
                <w:szCs w:val="16"/>
              </w:rPr>
            </w:pPr>
            <w:r w:rsidRPr="00F52232">
              <w:rPr>
                <w:color w:val="000000"/>
                <w:sz w:val="16"/>
                <w:szCs w:val="16"/>
              </w:rPr>
              <w:t>1.0</w:t>
            </w:r>
          </w:p>
        </w:tc>
        <w:tc>
          <w:tcPr>
            <w:tcW w:w="850" w:type="dxa"/>
            <w:tcBorders>
              <w:left w:val="nil"/>
              <w:bottom w:val="single" w:sz="4" w:space="0" w:color="auto"/>
              <w:right w:val="single" w:sz="4" w:space="0" w:color="auto"/>
            </w:tcBorders>
            <w:shd w:val="clear" w:color="auto" w:fill="auto"/>
            <w:vAlign w:val="bottom"/>
          </w:tcPr>
          <w:p w14:paraId="47F7CF31" w14:textId="5841FF2A" w:rsidR="00A241A2" w:rsidRPr="00F52232" w:rsidRDefault="000E21F7"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8</w:t>
            </w:r>
            <w:r w:rsidR="00A241A2" w:rsidRPr="00F52232">
              <w:rPr>
                <w:rFonts w:asciiTheme="majorBidi" w:hAnsiTheme="majorBidi" w:cstheme="majorBidi"/>
                <w:color w:val="000000"/>
                <w:sz w:val="16"/>
                <w:szCs w:val="16"/>
              </w:rPr>
              <w:t>.0</w:t>
            </w:r>
          </w:p>
        </w:tc>
        <w:tc>
          <w:tcPr>
            <w:tcW w:w="993" w:type="dxa"/>
            <w:shd w:val="clear" w:color="auto" w:fill="B8CCE4" w:themeFill="accent1" w:themeFillTint="66"/>
            <w:vAlign w:val="center"/>
          </w:tcPr>
          <w:p w14:paraId="08D473B4" w14:textId="7635DA6B" w:rsidR="00A241A2" w:rsidRPr="00F52232" w:rsidRDefault="000E21F7" w:rsidP="00A241A2">
            <w:pPr>
              <w:bidi w:val="0"/>
              <w:jc w:val="center"/>
              <w:rPr>
                <w:rFonts w:asciiTheme="majorBidi" w:hAnsiTheme="majorBidi" w:cstheme="majorBidi"/>
                <w:sz w:val="16"/>
                <w:szCs w:val="16"/>
              </w:rPr>
            </w:pPr>
            <w:r>
              <w:rPr>
                <w:rFonts w:asciiTheme="majorBidi" w:hAnsiTheme="majorBidi" w:cstheme="majorBidi"/>
                <w:sz w:val="16"/>
                <w:szCs w:val="16"/>
              </w:rPr>
              <w:t>3</w:t>
            </w:r>
            <w:r w:rsidR="00A241A2">
              <w:rPr>
                <w:rFonts w:asciiTheme="majorBidi" w:hAnsiTheme="majorBidi" w:cstheme="majorBidi"/>
                <w:sz w:val="16"/>
                <w:szCs w:val="16"/>
              </w:rPr>
              <w:t>.0</w:t>
            </w:r>
          </w:p>
        </w:tc>
      </w:tr>
      <w:tr w:rsidR="00A241A2" w:rsidRPr="007A4B17" w14:paraId="570DE07D" w14:textId="77777777" w:rsidTr="00A241A2">
        <w:tc>
          <w:tcPr>
            <w:tcW w:w="4390" w:type="dxa"/>
            <w:tcBorders>
              <w:bottom w:val="nil"/>
            </w:tcBorders>
            <w:vAlign w:val="center"/>
          </w:tcPr>
          <w:p w14:paraId="2B0A4B90"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Civilian imports (excl. diamonds, ships, and aircraft)</w:t>
            </w:r>
          </w:p>
        </w:tc>
        <w:tc>
          <w:tcPr>
            <w:tcW w:w="850" w:type="dxa"/>
            <w:tcBorders>
              <w:bottom w:val="nil"/>
            </w:tcBorders>
            <w:vAlign w:val="center"/>
          </w:tcPr>
          <w:p w14:paraId="45018DD5" w14:textId="5DB7B06E" w:rsidR="00A241A2" w:rsidRPr="00F52232" w:rsidRDefault="00A241A2" w:rsidP="00A241A2">
            <w:pPr>
              <w:bidi w:val="0"/>
              <w:jc w:val="center"/>
              <w:rPr>
                <w:color w:val="000000"/>
                <w:sz w:val="16"/>
                <w:szCs w:val="16"/>
              </w:rPr>
            </w:pPr>
            <w:r>
              <w:rPr>
                <w:color w:val="000000"/>
                <w:sz w:val="16"/>
                <w:szCs w:val="16"/>
              </w:rPr>
              <w:t>8.8</w:t>
            </w:r>
          </w:p>
        </w:tc>
        <w:tc>
          <w:tcPr>
            <w:tcW w:w="851" w:type="dxa"/>
            <w:tcBorders>
              <w:left w:val="single" w:sz="4" w:space="0" w:color="auto"/>
              <w:bottom w:val="nil"/>
              <w:right w:val="single" w:sz="4" w:space="0" w:color="auto"/>
            </w:tcBorders>
            <w:shd w:val="clear" w:color="auto" w:fill="auto"/>
            <w:vAlign w:val="center"/>
          </w:tcPr>
          <w:p w14:paraId="67AAF8E5" w14:textId="0A95226D" w:rsidR="00A241A2" w:rsidRPr="00F52232" w:rsidRDefault="00A241A2" w:rsidP="00A241A2">
            <w:pPr>
              <w:bidi w:val="0"/>
              <w:jc w:val="center"/>
              <w:rPr>
                <w:rFonts w:asciiTheme="majorBidi" w:hAnsiTheme="majorBidi" w:cstheme="majorBidi"/>
                <w:sz w:val="16"/>
                <w:szCs w:val="16"/>
              </w:rPr>
            </w:pPr>
            <w:r>
              <w:rPr>
                <w:color w:val="000000"/>
                <w:sz w:val="16"/>
                <w:szCs w:val="16"/>
              </w:rPr>
              <w:t>10.0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251B6533" w14:textId="3D2F7056" w:rsidR="00A241A2" w:rsidRPr="00F52232" w:rsidRDefault="00A241A2" w:rsidP="00A241A2">
            <w:pPr>
              <w:bidi w:val="0"/>
              <w:jc w:val="center"/>
              <w:rPr>
                <w:rFonts w:asciiTheme="majorBidi" w:hAnsiTheme="majorBidi" w:cstheme="majorBidi"/>
                <w:sz w:val="16"/>
                <w:szCs w:val="16"/>
              </w:rPr>
            </w:pPr>
            <w:r>
              <w:rPr>
                <w:color w:val="000000"/>
                <w:sz w:val="16"/>
                <w:szCs w:val="16"/>
              </w:rPr>
              <w:t>2.0</w:t>
            </w:r>
          </w:p>
        </w:tc>
        <w:tc>
          <w:tcPr>
            <w:tcW w:w="850" w:type="dxa"/>
            <w:tcBorders>
              <w:left w:val="nil"/>
              <w:bottom w:val="single" w:sz="4" w:space="0" w:color="auto"/>
              <w:right w:val="single" w:sz="4" w:space="0" w:color="auto"/>
            </w:tcBorders>
            <w:shd w:val="clear" w:color="auto" w:fill="auto"/>
            <w:vAlign w:val="bottom"/>
          </w:tcPr>
          <w:p w14:paraId="2706209B" w14:textId="4C17AD26" w:rsidR="00A241A2" w:rsidRPr="00F52232" w:rsidRDefault="00A241A2" w:rsidP="000E21F7">
            <w:pPr>
              <w:bidi w:val="0"/>
              <w:jc w:val="center"/>
              <w:rPr>
                <w:rFonts w:asciiTheme="majorBidi" w:hAnsiTheme="majorBidi" w:cstheme="majorBidi"/>
                <w:sz w:val="16"/>
                <w:szCs w:val="16"/>
              </w:rPr>
            </w:pPr>
            <w:r>
              <w:rPr>
                <w:rFonts w:asciiTheme="majorBidi" w:hAnsiTheme="majorBidi" w:cstheme="majorBidi"/>
                <w:color w:val="000000"/>
                <w:sz w:val="16"/>
                <w:szCs w:val="16"/>
              </w:rPr>
              <w:t>1</w:t>
            </w:r>
            <w:r w:rsidR="000E21F7">
              <w:rPr>
                <w:rFonts w:asciiTheme="majorBidi" w:hAnsiTheme="majorBidi" w:cstheme="majorBidi"/>
                <w:color w:val="000000"/>
                <w:sz w:val="16"/>
                <w:szCs w:val="16"/>
              </w:rPr>
              <w:t>2</w:t>
            </w:r>
            <w:r w:rsidRPr="00F52232">
              <w:rPr>
                <w:rFonts w:asciiTheme="majorBidi" w:hAnsiTheme="majorBidi" w:cstheme="majorBidi"/>
                <w:color w:val="000000"/>
                <w:sz w:val="16"/>
                <w:szCs w:val="16"/>
              </w:rPr>
              <w:t>.0</w:t>
            </w:r>
          </w:p>
        </w:tc>
        <w:tc>
          <w:tcPr>
            <w:tcW w:w="993" w:type="dxa"/>
            <w:shd w:val="clear" w:color="auto" w:fill="B8CCE4" w:themeFill="accent1" w:themeFillTint="66"/>
            <w:vAlign w:val="center"/>
          </w:tcPr>
          <w:p w14:paraId="311DB44C" w14:textId="12F76D0C" w:rsidR="00A241A2" w:rsidRPr="00F52232" w:rsidRDefault="000E21F7" w:rsidP="00A241A2">
            <w:pPr>
              <w:bidi w:val="0"/>
              <w:jc w:val="center"/>
              <w:rPr>
                <w:rFonts w:asciiTheme="majorBidi" w:hAnsiTheme="majorBidi" w:cstheme="majorBidi"/>
                <w:sz w:val="16"/>
                <w:szCs w:val="16"/>
              </w:rPr>
            </w:pPr>
            <w:r>
              <w:rPr>
                <w:rFonts w:asciiTheme="majorBidi" w:hAnsiTheme="majorBidi" w:cstheme="majorBidi"/>
                <w:sz w:val="16"/>
                <w:szCs w:val="16"/>
              </w:rPr>
              <w:t>5</w:t>
            </w:r>
            <w:r w:rsidR="00A241A2">
              <w:rPr>
                <w:rFonts w:asciiTheme="majorBidi" w:hAnsiTheme="majorBidi" w:cstheme="majorBidi"/>
                <w:sz w:val="16"/>
                <w:szCs w:val="16"/>
              </w:rPr>
              <w:t>.0</w:t>
            </w:r>
          </w:p>
        </w:tc>
      </w:tr>
      <w:tr w:rsidR="00A241A2" w:rsidRPr="007A4B17" w14:paraId="7F55C636" w14:textId="77777777" w:rsidTr="00A241A2">
        <w:tc>
          <w:tcPr>
            <w:tcW w:w="4390" w:type="dxa"/>
            <w:tcBorders>
              <w:top w:val="single" w:sz="4" w:space="0" w:color="auto"/>
              <w:bottom w:val="single" w:sz="4" w:space="0" w:color="auto"/>
            </w:tcBorders>
            <w:vAlign w:val="center"/>
          </w:tcPr>
          <w:p w14:paraId="4A6A10BF"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Broad unemployment rate (average for the year, ages 25–64)</w:t>
            </w:r>
            <w:r w:rsidRPr="00F52232">
              <w:rPr>
                <w:color w:val="000000"/>
                <w:sz w:val="16"/>
                <w:szCs w:val="16"/>
                <w:vertAlign w:val="superscript"/>
              </w:rPr>
              <w:t>b</w:t>
            </w:r>
          </w:p>
        </w:tc>
        <w:tc>
          <w:tcPr>
            <w:tcW w:w="850" w:type="dxa"/>
            <w:tcBorders>
              <w:top w:val="single" w:sz="4" w:space="0" w:color="auto"/>
              <w:bottom w:val="single" w:sz="4" w:space="0" w:color="auto"/>
            </w:tcBorders>
            <w:vAlign w:val="center"/>
          </w:tcPr>
          <w:p w14:paraId="62115A75" w14:textId="6F0C5A9D" w:rsidR="00A241A2" w:rsidRPr="00F52232" w:rsidRDefault="00A241A2" w:rsidP="00A241A2">
            <w:pPr>
              <w:bidi w:val="0"/>
              <w:jc w:val="center"/>
              <w:rPr>
                <w:color w:val="000000"/>
                <w:sz w:val="16"/>
                <w:szCs w:val="16"/>
              </w:rPr>
            </w:pPr>
            <w:r>
              <w:rPr>
                <w:color w:val="000000"/>
                <w:sz w:val="16"/>
                <w:szCs w:val="16"/>
              </w:rPr>
              <w:t>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C829FF" w14:textId="1711473C" w:rsidR="00A241A2" w:rsidRPr="00F52232" w:rsidRDefault="00A241A2" w:rsidP="00A241A2">
            <w:pPr>
              <w:bidi w:val="0"/>
              <w:jc w:val="center"/>
              <w:rPr>
                <w:rFonts w:asciiTheme="majorBidi" w:hAnsiTheme="majorBidi" w:cstheme="majorBidi"/>
                <w:sz w:val="16"/>
                <w:szCs w:val="16"/>
              </w:rPr>
            </w:pPr>
            <w:r>
              <w:rPr>
                <w:color w:val="000000"/>
                <w:sz w:val="16"/>
                <w:szCs w:val="16"/>
              </w:rPr>
              <w:t>4.5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00043" w14:textId="31C10635" w:rsidR="00A241A2" w:rsidRPr="00F52232" w:rsidRDefault="00A241A2" w:rsidP="00A241A2">
            <w:pPr>
              <w:bidi w:val="0"/>
              <w:jc w:val="center"/>
              <w:rPr>
                <w:rFonts w:asciiTheme="majorBidi" w:hAnsiTheme="majorBidi" w:cstheme="majorBidi"/>
                <w:sz w:val="16"/>
                <w:szCs w:val="16"/>
              </w:rPr>
            </w:pPr>
            <w:r>
              <w:rPr>
                <w:color w:val="000000"/>
                <w:sz w:val="16"/>
                <w:szCs w:val="16"/>
              </w:rPr>
              <w:t>1.2</w:t>
            </w:r>
          </w:p>
        </w:tc>
        <w:tc>
          <w:tcPr>
            <w:tcW w:w="850" w:type="dxa"/>
            <w:tcBorders>
              <w:top w:val="single" w:sz="4" w:space="0" w:color="auto"/>
              <w:left w:val="nil"/>
              <w:bottom w:val="single" w:sz="4" w:space="0" w:color="auto"/>
              <w:right w:val="single" w:sz="4" w:space="0" w:color="auto"/>
            </w:tcBorders>
            <w:shd w:val="clear" w:color="auto" w:fill="auto"/>
            <w:vAlign w:val="bottom"/>
          </w:tcPr>
          <w:p w14:paraId="4B17085E" w14:textId="108F051C" w:rsidR="00A241A2" w:rsidRPr="00F52232" w:rsidRDefault="00A241A2" w:rsidP="00A241A2">
            <w:pPr>
              <w:bidi w:val="0"/>
              <w:jc w:val="center"/>
              <w:rPr>
                <w:rFonts w:asciiTheme="majorBidi" w:hAnsiTheme="majorBidi" w:cstheme="majorBidi"/>
                <w:sz w:val="16"/>
                <w:szCs w:val="16"/>
              </w:rPr>
            </w:pPr>
            <w:r w:rsidRPr="00F52232">
              <w:rPr>
                <w:rFonts w:asciiTheme="majorBidi" w:hAnsiTheme="majorBidi" w:cstheme="majorBidi"/>
                <w:color w:val="000000"/>
                <w:sz w:val="16"/>
                <w:szCs w:val="16"/>
              </w:rPr>
              <w:t>3.</w:t>
            </w:r>
            <w:r>
              <w:rPr>
                <w:rFonts w:asciiTheme="majorBidi" w:hAnsiTheme="majorBidi" w:cstheme="majorBidi"/>
                <w:color w:val="000000"/>
                <w:sz w:val="16"/>
                <w:szCs w:val="16"/>
              </w:rPr>
              <w:t>4</w:t>
            </w:r>
          </w:p>
        </w:tc>
        <w:tc>
          <w:tcPr>
            <w:tcW w:w="993" w:type="dxa"/>
            <w:shd w:val="clear" w:color="auto" w:fill="B8CCE4" w:themeFill="accent1" w:themeFillTint="66"/>
            <w:vAlign w:val="center"/>
          </w:tcPr>
          <w:p w14:paraId="4DA8EC11" w14:textId="6708D731"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-0.1</w:t>
            </w:r>
          </w:p>
        </w:tc>
      </w:tr>
      <w:tr w:rsidR="00A241A2" w:rsidRPr="007A4B17" w14:paraId="1EE51633" w14:textId="77777777" w:rsidTr="00A241A2">
        <w:tc>
          <w:tcPr>
            <w:tcW w:w="4390" w:type="dxa"/>
            <w:tcBorders>
              <w:top w:val="single" w:sz="4" w:space="0" w:color="auto"/>
              <w:bottom w:val="single" w:sz="4" w:space="0" w:color="auto"/>
            </w:tcBorders>
            <w:vAlign w:val="center"/>
          </w:tcPr>
          <w:p w14:paraId="18A211E3"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Adjusted employment rate (average for the year, ages 25–64)</w:t>
            </w:r>
            <w:r w:rsidRPr="00F52232">
              <w:rPr>
                <w:color w:val="000000"/>
                <w:sz w:val="16"/>
                <w:szCs w:val="16"/>
                <w:vertAlign w:val="superscript"/>
              </w:rPr>
              <w:t>b</w:t>
            </w:r>
          </w:p>
        </w:tc>
        <w:tc>
          <w:tcPr>
            <w:tcW w:w="850" w:type="dxa"/>
            <w:tcBorders>
              <w:top w:val="single" w:sz="4" w:space="0" w:color="auto"/>
              <w:bottom w:val="single" w:sz="4" w:space="0" w:color="auto"/>
            </w:tcBorders>
            <w:vAlign w:val="center"/>
          </w:tcPr>
          <w:p w14:paraId="1C94E624" w14:textId="62DC4ED4" w:rsidR="00A241A2" w:rsidRPr="00F52232" w:rsidRDefault="00A241A2" w:rsidP="00A241A2">
            <w:pPr>
              <w:bidi w:val="0"/>
              <w:jc w:val="center"/>
              <w:rPr>
                <w:color w:val="000000"/>
                <w:sz w:val="16"/>
                <w:szCs w:val="16"/>
              </w:rPr>
            </w:pPr>
            <w:r>
              <w:rPr>
                <w:color w:val="000000"/>
                <w:sz w:val="16"/>
                <w:szCs w:val="16"/>
              </w:rPr>
              <w:t>7</w:t>
            </w:r>
            <w:r w:rsidRPr="00F52232">
              <w:rPr>
                <w:color w:val="000000"/>
                <w:sz w:val="16"/>
                <w:szCs w:val="16"/>
              </w:rPr>
              <w:t>8</w:t>
            </w:r>
            <w:r>
              <w:rPr>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4DC128" w14:textId="07425739" w:rsidR="00A241A2" w:rsidRPr="00F52232" w:rsidRDefault="00A241A2" w:rsidP="00A241A2">
            <w:pPr>
              <w:bidi w:val="0"/>
              <w:jc w:val="center"/>
              <w:rPr>
                <w:rFonts w:asciiTheme="majorBidi" w:hAnsiTheme="majorBidi" w:cstheme="majorBidi"/>
                <w:sz w:val="16"/>
                <w:szCs w:val="16"/>
              </w:rPr>
            </w:pPr>
            <w:r>
              <w:rPr>
                <w:color w:val="000000"/>
                <w:sz w:val="16"/>
                <w:szCs w:val="16"/>
              </w:rPr>
              <w:t>77.5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7D959" w14:textId="5DA83BE2" w:rsidR="00A241A2" w:rsidRPr="00F52232" w:rsidRDefault="00A241A2" w:rsidP="00A241A2">
            <w:pPr>
              <w:bidi w:val="0"/>
              <w:jc w:val="center"/>
              <w:rPr>
                <w:rFonts w:asciiTheme="majorBidi" w:hAnsiTheme="majorBidi" w:cstheme="majorBidi"/>
                <w:sz w:val="16"/>
                <w:szCs w:val="16"/>
              </w:rPr>
            </w:pPr>
            <w:r>
              <w:rPr>
                <w:color w:val="000000"/>
                <w:sz w:val="16"/>
                <w:szCs w:val="16"/>
              </w:rPr>
              <w:t>-2.6</w:t>
            </w:r>
          </w:p>
        </w:tc>
        <w:tc>
          <w:tcPr>
            <w:tcW w:w="850" w:type="dxa"/>
            <w:tcBorders>
              <w:top w:val="single" w:sz="4" w:space="0" w:color="auto"/>
              <w:left w:val="nil"/>
              <w:bottom w:val="single" w:sz="4" w:space="0" w:color="auto"/>
              <w:right w:val="single" w:sz="4" w:space="0" w:color="auto"/>
            </w:tcBorders>
            <w:shd w:val="clear" w:color="auto" w:fill="auto"/>
            <w:vAlign w:val="bottom"/>
          </w:tcPr>
          <w:p w14:paraId="6B59FF8D" w14:textId="435EFE5B"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78.6</w:t>
            </w:r>
          </w:p>
        </w:tc>
        <w:tc>
          <w:tcPr>
            <w:tcW w:w="993" w:type="dxa"/>
            <w:shd w:val="clear" w:color="auto" w:fill="B8CCE4" w:themeFill="accent1" w:themeFillTint="66"/>
            <w:vAlign w:val="center"/>
          </w:tcPr>
          <w:p w14:paraId="76ADA45A" w14:textId="5DE03CBB"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-2.5</w:t>
            </w:r>
          </w:p>
        </w:tc>
      </w:tr>
      <w:tr w:rsidR="00A241A2" w:rsidRPr="007A4B17" w14:paraId="0483E331" w14:textId="77777777" w:rsidTr="00A241A2">
        <w:tc>
          <w:tcPr>
            <w:tcW w:w="4390" w:type="dxa"/>
            <w:tcBorders>
              <w:top w:val="single" w:sz="4" w:space="0" w:color="auto"/>
              <w:bottom w:val="single" w:sz="4" w:space="0" w:color="auto"/>
            </w:tcBorders>
            <w:vAlign w:val="center"/>
          </w:tcPr>
          <w:p w14:paraId="55916CC8" w14:textId="77777777" w:rsidR="00A241A2" w:rsidRPr="00F52232" w:rsidRDefault="00A241A2" w:rsidP="00A241A2">
            <w:pPr>
              <w:bidi w:val="0"/>
              <w:rPr>
                <w:rFonts w:asciiTheme="majorBidi" w:hAnsiTheme="majorBidi" w:cstheme="majorBidi"/>
                <w:sz w:val="16"/>
                <w:szCs w:val="16"/>
                <w:rtl/>
              </w:rPr>
            </w:pPr>
            <w:r w:rsidRPr="00F52232">
              <w:rPr>
                <w:color w:val="000000"/>
                <w:sz w:val="16"/>
                <w:szCs w:val="16"/>
              </w:rPr>
              <w:t>Government deficit (percent of GDP)</w:t>
            </w:r>
          </w:p>
        </w:tc>
        <w:tc>
          <w:tcPr>
            <w:tcW w:w="850" w:type="dxa"/>
            <w:tcBorders>
              <w:top w:val="single" w:sz="4" w:space="0" w:color="auto"/>
              <w:bottom w:val="single" w:sz="4" w:space="0" w:color="auto"/>
            </w:tcBorders>
            <w:vAlign w:val="center"/>
          </w:tcPr>
          <w:p w14:paraId="47070EB8" w14:textId="129F45E0" w:rsidR="00A241A2" w:rsidRPr="00F52232" w:rsidRDefault="00A241A2" w:rsidP="00A241A2">
            <w:pPr>
              <w:bidi w:val="0"/>
              <w:jc w:val="center"/>
              <w:rPr>
                <w:color w:val="000000"/>
                <w:sz w:val="16"/>
                <w:szCs w:val="16"/>
              </w:rPr>
            </w:pPr>
            <w:r>
              <w:rPr>
                <w:color w:val="000000"/>
                <w:sz w:val="16"/>
                <w:szCs w:val="16"/>
              </w:rPr>
              <w:t>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CC8F6B" w14:textId="541DF66A" w:rsidR="00A241A2" w:rsidRPr="00F52232" w:rsidRDefault="00A241A2" w:rsidP="00A241A2">
            <w:pPr>
              <w:bidi w:val="0"/>
              <w:jc w:val="center"/>
              <w:rPr>
                <w:rFonts w:asciiTheme="majorBidi" w:hAnsiTheme="majorBidi" w:cstheme="majorBidi"/>
                <w:sz w:val="16"/>
                <w:szCs w:val="16"/>
              </w:rPr>
            </w:pPr>
            <w:r>
              <w:rPr>
                <w:color w:val="000000"/>
                <w:sz w:val="16"/>
                <w:szCs w:val="16"/>
              </w:rPr>
              <w:t>5.3</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6EF42" w14:textId="07C82798" w:rsidR="00A241A2" w:rsidRPr="00F52232" w:rsidRDefault="00A241A2" w:rsidP="00A241A2">
            <w:pPr>
              <w:bidi w:val="0"/>
              <w:jc w:val="center"/>
              <w:rPr>
                <w:rFonts w:asciiTheme="majorBidi" w:hAnsiTheme="majorBidi" w:cstheme="majorBidi"/>
                <w:sz w:val="16"/>
                <w:szCs w:val="16"/>
              </w:rPr>
            </w:pPr>
            <w:r>
              <w:rPr>
                <w:color w:val="000000"/>
                <w:sz w:val="16"/>
                <w:szCs w:val="16"/>
              </w:rPr>
              <w:t>1.4</w:t>
            </w:r>
          </w:p>
        </w:tc>
        <w:tc>
          <w:tcPr>
            <w:tcW w:w="850" w:type="dxa"/>
            <w:tcBorders>
              <w:top w:val="single" w:sz="4" w:space="0" w:color="auto"/>
              <w:left w:val="nil"/>
              <w:bottom w:val="single" w:sz="4" w:space="0" w:color="auto"/>
              <w:right w:val="single" w:sz="4" w:space="0" w:color="auto"/>
            </w:tcBorders>
            <w:shd w:val="clear" w:color="auto" w:fill="auto"/>
            <w:vAlign w:val="bottom"/>
          </w:tcPr>
          <w:p w14:paraId="2D35ACB1" w14:textId="30806F42"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4.4</w:t>
            </w:r>
          </w:p>
        </w:tc>
        <w:tc>
          <w:tcPr>
            <w:tcW w:w="993" w:type="dxa"/>
            <w:shd w:val="clear" w:color="auto" w:fill="B8CCE4" w:themeFill="accent1" w:themeFillTint="66"/>
            <w:vAlign w:val="center"/>
          </w:tcPr>
          <w:p w14:paraId="7F2EC37C" w14:textId="74301A55"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sz w:val="16"/>
                <w:szCs w:val="16"/>
              </w:rPr>
              <w:t>0.8</w:t>
            </w:r>
          </w:p>
        </w:tc>
      </w:tr>
      <w:tr w:rsidR="00A241A2" w:rsidRPr="007A4B17" w14:paraId="2A914462" w14:textId="77777777" w:rsidTr="00A241A2">
        <w:tc>
          <w:tcPr>
            <w:tcW w:w="4390" w:type="dxa"/>
            <w:tcBorders>
              <w:top w:val="single" w:sz="4" w:space="0" w:color="auto"/>
              <w:bottom w:val="single" w:sz="4" w:space="0" w:color="auto"/>
            </w:tcBorders>
            <w:vAlign w:val="center"/>
          </w:tcPr>
          <w:p w14:paraId="52AF7577" w14:textId="77777777" w:rsidR="00A241A2" w:rsidRPr="00F52232" w:rsidRDefault="00A241A2" w:rsidP="00A241A2">
            <w:pPr>
              <w:bidi w:val="0"/>
              <w:rPr>
                <w:rFonts w:asciiTheme="majorBidi" w:hAnsiTheme="majorBidi" w:cstheme="majorBidi"/>
                <w:sz w:val="16"/>
                <w:szCs w:val="16"/>
              </w:rPr>
            </w:pPr>
            <w:r w:rsidRPr="00F52232">
              <w:rPr>
                <w:color w:val="000000"/>
                <w:sz w:val="16"/>
                <w:szCs w:val="16"/>
              </w:rPr>
              <w:t>Debt to GDP ratio (percent)</w:t>
            </w:r>
          </w:p>
        </w:tc>
        <w:tc>
          <w:tcPr>
            <w:tcW w:w="850" w:type="dxa"/>
            <w:tcBorders>
              <w:top w:val="single" w:sz="4" w:space="0" w:color="auto"/>
              <w:bottom w:val="single" w:sz="4" w:space="0" w:color="auto"/>
            </w:tcBorders>
            <w:vAlign w:val="center"/>
          </w:tcPr>
          <w:p w14:paraId="303A2595" w14:textId="765118FE" w:rsidR="00A241A2" w:rsidRPr="00F52232" w:rsidRDefault="00A241A2" w:rsidP="00A241A2">
            <w:pPr>
              <w:bidi w:val="0"/>
              <w:jc w:val="center"/>
              <w:rPr>
                <w:color w:val="000000"/>
                <w:sz w:val="16"/>
                <w:szCs w:val="16"/>
              </w:rPr>
            </w:pPr>
            <w:r>
              <w:rPr>
                <w:color w:val="000000"/>
                <w:sz w:val="16"/>
                <w:szCs w:val="16"/>
              </w:rPr>
              <w:t>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08651" w14:textId="40C7240C" w:rsidR="00A241A2" w:rsidRPr="00F52232" w:rsidRDefault="00A241A2" w:rsidP="00A241A2">
            <w:pPr>
              <w:bidi w:val="0"/>
              <w:jc w:val="center"/>
              <w:rPr>
                <w:rFonts w:asciiTheme="majorBidi" w:hAnsiTheme="majorBidi" w:cstheme="majorBidi"/>
                <w:sz w:val="16"/>
                <w:szCs w:val="16"/>
              </w:rPr>
            </w:pPr>
            <w:r>
              <w:rPr>
                <w:color w:val="000000"/>
                <w:sz w:val="16"/>
                <w:szCs w:val="16"/>
              </w:rPr>
              <w:t>70.5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DAC51" w14:textId="64303DFE" w:rsidR="00A241A2" w:rsidRPr="00F52232" w:rsidRDefault="00A241A2" w:rsidP="00A241A2">
            <w:pPr>
              <w:bidi w:val="0"/>
              <w:jc w:val="center"/>
              <w:rPr>
                <w:rFonts w:asciiTheme="majorBidi" w:hAnsiTheme="majorBidi" w:cstheme="majorBidi"/>
                <w:sz w:val="16"/>
                <w:szCs w:val="16"/>
              </w:rPr>
            </w:pPr>
            <w:r>
              <w:rPr>
                <w:color w:val="000000"/>
                <w:sz w:val="16"/>
                <w:szCs w:val="16"/>
              </w:rPr>
              <w:t>2.0</w:t>
            </w:r>
          </w:p>
        </w:tc>
        <w:tc>
          <w:tcPr>
            <w:tcW w:w="850" w:type="dxa"/>
            <w:tcBorders>
              <w:top w:val="single" w:sz="4" w:space="0" w:color="auto"/>
              <w:left w:val="nil"/>
              <w:bottom w:val="single" w:sz="4" w:space="0" w:color="auto"/>
              <w:right w:val="single" w:sz="4" w:space="0" w:color="auto"/>
            </w:tcBorders>
            <w:shd w:val="clear" w:color="auto" w:fill="auto"/>
            <w:vAlign w:val="bottom"/>
          </w:tcPr>
          <w:p w14:paraId="65F85F90" w14:textId="0F785760" w:rsidR="00A241A2" w:rsidRPr="00F52232" w:rsidRDefault="00A241A2" w:rsidP="00A241A2">
            <w:pPr>
              <w:bidi w:val="0"/>
              <w:jc w:val="center"/>
              <w:rPr>
                <w:rFonts w:asciiTheme="majorBidi" w:hAnsiTheme="majorBidi" w:cstheme="majorBidi"/>
                <w:sz w:val="16"/>
                <w:szCs w:val="16"/>
              </w:rPr>
            </w:pPr>
            <w:r>
              <w:rPr>
                <w:rFonts w:asciiTheme="majorBidi" w:hAnsiTheme="majorBidi" w:cstheme="majorBidi"/>
                <w:color w:val="000000"/>
                <w:sz w:val="16"/>
                <w:szCs w:val="16"/>
              </w:rPr>
              <w:t>70</w:t>
            </w:r>
            <w:r w:rsidRPr="00F52232">
              <w:rPr>
                <w:rFonts w:asciiTheme="majorBidi" w:hAnsiTheme="majorBidi" w:cstheme="majorBidi"/>
                <w:color w:val="000000"/>
                <w:sz w:val="16"/>
                <w:szCs w:val="16"/>
              </w:rPr>
              <w:t>.5</w:t>
            </w:r>
          </w:p>
        </w:tc>
        <w:tc>
          <w:tcPr>
            <w:tcW w:w="993" w:type="dxa"/>
            <w:shd w:val="clear" w:color="auto" w:fill="B8CCE4" w:themeFill="accent1" w:themeFillTint="66"/>
            <w:vAlign w:val="center"/>
          </w:tcPr>
          <w:p w14:paraId="047703BD" w14:textId="362DE32D" w:rsidR="00A241A2" w:rsidRPr="00F52232" w:rsidRDefault="00A241A2" w:rsidP="00A241A2">
            <w:pPr>
              <w:bidi w:val="0"/>
              <w:jc w:val="center"/>
              <w:rPr>
                <w:rFonts w:asciiTheme="majorBidi" w:hAnsiTheme="majorBidi" w:cstheme="majorBidi"/>
                <w:sz w:val="16"/>
                <w:szCs w:val="16"/>
                <w:rtl/>
              </w:rPr>
            </w:pPr>
            <w:r>
              <w:rPr>
                <w:rFonts w:asciiTheme="majorBidi" w:hAnsiTheme="majorBidi" w:cstheme="majorBidi"/>
                <w:sz w:val="16"/>
                <w:szCs w:val="16"/>
              </w:rPr>
              <w:t>2.0</w:t>
            </w:r>
          </w:p>
        </w:tc>
      </w:tr>
      <w:tr w:rsidR="00A241A2" w:rsidRPr="007A4B17" w14:paraId="2F7F00F7" w14:textId="77777777" w:rsidTr="00A241A2">
        <w:tc>
          <w:tcPr>
            <w:tcW w:w="4390" w:type="dxa"/>
            <w:tcBorders>
              <w:top w:val="single" w:sz="4" w:space="0" w:color="auto"/>
              <w:bottom w:val="single" w:sz="4" w:space="0" w:color="auto"/>
            </w:tcBorders>
            <w:vAlign w:val="center"/>
          </w:tcPr>
          <w:p w14:paraId="21F91BA6" w14:textId="77777777" w:rsidR="00A241A2" w:rsidRPr="00F52232" w:rsidRDefault="00A241A2" w:rsidP="00A241A2">
            <w:pPr>
              <w:bidi w:val="0"/>
              <w:rPr>
                <w:rFonts w:asciiTheme="majorBidi" w:hAnsiTheme="majorBidi" w:cstheme="majorBidi"/>
                <w:b/>
                <w:bCs/>
                <w:sz w:val="16"/>
                <w:szCs w:val="16"/>
              </w:rPr>
            </w:pPr>
            <w:r w:rsidRPr="00F52232">
              <w:rPr>
                <w:color w:val="000000"/>
                <w:sz w:val="16"/>
                <w:szCs w:val="16"/>
              </w:rPr>
              <w:t>Inflation (percent)</w:t>
            </w:r>
            <w:r w:rsidRPr="00F52232">
              <w:rPr>
                <w:color w:val="000000"/>
                <w:sz w:val="16"/>
                <w:szCs w:val="16"/>
                <w:vertAlign w:val="superscript"/>
              </w:rPr>
              <w:t>c</w:t>
            </w:r>
          </w:p>
        </w:tc>
        <w:tc>
          <w:tcPr>
            <w:tcW w:w="850" w:type="dxa"/>
            <w:tcBorders>
              <w:top w:val="single" w:sz="4" w:space="0" w:color="auto"/>
              <w:bottom w:val="single" w:sz="4" w:space="0" w:color="auto"/>
            </w:tcBorders>
            <w:vAlign w:val="center"/>
          </w:tcPr>
          <w:p w14:paraId="6CA6840C" w14:textId="05EB6A7C" w:rsidR="00A241A2" w:rsidRPr="00F52232" w:rsidRDefault="00A241A2" w:rsidP="00A241A2">
            <w:pPr>
              <w:bidi w:val="0"/>
              <w:jc w:val="center"/>
              <w:rPr>
                <w:color w:val="000000"/>
                <w:sz w:val="16"/>
                <w:szCs w:val="16"/>
              </w:rPr>
            </w:pPr>
            <w:r>
              <w:rPr>
                <w:color w:val="000000"/>
                <w:sz w:val="16"/>
                <w:szCs w:val="16"/>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24AAE8" w14:textId="0192A05B" w:rsidR="00A241A2" w:rsidRPr="00F52232" w:rsidRDefault="00A241A2" w:rsidP="00A241A2">
            <w:pPr>
              <w:bidi w:val="0"/>
              <w:jc w:val="center"/>
              <w:rPr>
                <w:rFonts w:asciiTheme="majorBidi" w:hAnsiTheme="majorBidi" w:cstheme="majorBidi"/>
                <w:b/>
                <w:bCs/>
                <w:sz w:val="16"/>
                <w:szCs w:val="16"/>
              </w:rPr>
            </w:pPr>
            <w:r>
              <w:rPr>
                <w:b/>
                <w:bCs/>
                <w:color w:val="000000"/>
                <w:sz w:val="16"/>
                <w:szCs w:val="16"/>
              </w:rPr>
              <w:t>2.2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BD6B82" w14:textId="512F5C1A" w:rsidR="00A241A2" w:rsidRPr="00F52232" w:rsidRDefault="00A241A2" w:rsidP="00A241A2">
            <w:pPr>
              <w:bidi w:val="0"/>
              <w:jc w:val="center"/>
              <w:rPr>
                <w:rFonts w:asciiTheme="majorBidi" w:hAnsiTheme="majorBidi" w:cstheme="majorBidi"/>
                <w:b/>
                <w:bCs/>
                <w:sz w:val="16"/>
                <w:szCs w:val="16"/>
              </w:rPr>
            </w:pPr>
            <w:r w:rsidRPr="00F52232">
              <w:rPr>
                <w:b/>
                <w:bCs/>
                <w:color w:val="000000"/>
                <w:sz w:val="16"/>
                <w:szCs w:val="16"/>
              </w:rPr>
              <w:t>0.</w:t>
            </w:r>
            <w:r>
              <w:rPr>
                <w:b/>
                <w:bCs/>
                <w:color w:val="000000"/>
                <w:sz w:val="16"/>
                <w:szCs w:val="16"/>
              </w:rPr>
              <w:t>5</w:t>
            </w:r>
          </w:p>
        </w:tc>
        <w:tc>
          <w:tcPr>
            <w:tcW w:w="850" w:type="dxa"/>
            <w:tcBorders>
              <w:top w:val="single" w:sz="4" w:space="0" w:color="auto"/>
              <w:left w:val="nil"/>
              <w:bottom w:val="single" w:sz="4" w:space="0" w:color="auto"/>
              <w:right w:val="single" w:sz="4" w:space="0" w:color="auto"/>
            </w:tcBorders>
            <w:shd w:val="clear" w:color="auto" w:fill="auto"/>
            <w:vAlign w:val="bottom"/>
          </w:tcPr>
          <w:p w14:paraId="75D24346" w14:textId="759179B3" w:rsidR="00A241A2" w:rsidRPr="00F52232" w:rsidRDefault="00A241A2" w:rsidP="00A241A2">
            <w:pPr>
              <w:bidi w:val="0"/>
              <w:jc w:val="center"/>
              <w:rPr>
                <w:rFonts w:asciiTheme="majorBidi" w:hAnsiTheme="majorBidi" w:cstheme="majorBidi"/>
                <w:b/>
                <w:bCs/>
                <w:sz w:val="16"/>
                <w:szCs w:val="16"/>
              </w:rPr>
            </w:pPr>
            <w:r>
              <w:rPr>
                <w:rFonts w:asciiTheme="majorBidi" w:hAnsiTheme="majorBidi" w:cstheme="majorBidi"/>
                <w:b/>
                <w:bCs/>
                <w:sz w:val="16"/>
                <w:szCs w:val="16"/>
              </w:rPr>
              <w:t>1.8</w:t>
            </w:r>
          </w:p>
        </w:tc>
        <w:tc>
          <w:tcPr>
            <w:tcW w:w="993" w:type="dxa"/>
            <w:shd w:val="clear" w:color="auto" w:fill="B8CCE4" w:themeFill="accent1" w:themeFillTint="66"/>
            <w:vAlign w:val="center"/>
          </w:tcPr>
          <w:p w14:paraId="1E6BC799" w14:textId="48E05AE1" w:rsidR="00A241A2" w:rsidRPr="00F52232" w:rsidRDefault="00A241A2" w:rsidP="00A241A2">
            <w:pPr>
              <w:bidi w:val="0"/>
              <w:jc w:val="center"/>
              <w:rPr>
                <w:rFonts w:asciiTheme="majorBidi" w:hAnsiTheme="majorBidi" w:cstheme="majorBidi"/>
                <w:b/>
                <w:bCs/>
                <w:sz w:val="16"/>
                <w:szCs w:val="16"/>
              </w:rPr>
            </w:pPr>
            <w:r>
              <w:rPr>
                <w:rFonts w:asciiTheme="majorBidi" w:hAnsiTheme="majorBidi" w:cstheme="majorBidi"/>
                <w:b/>
                <w:bCs/>
                <w:sz w:val="16"/>
                <w:szCs w:val="16"/>
              </w:rPr>
              <w:t>-0.2</w:t>
            </w:r>
          </w:p>
        </w:tc>
      </w:tr>
      <w:tr w:rsidR="00A241A2" w:rsidRPr="007A4B17" w14:paraId="786A298B" w14:textId="77777777" w:rsidTr="009523FF">
        <w:tc>
          <w:tcPr>
            <w:tcW w:w="8926" w:type="dxa"/>
            <w:gridSpan w:val="6"/>
            <w:tcBorders>
              <w:top w:val="single" w:sz="4" w:space="0" w:color="auto"/>
              <w:bottom w:val="single" w:sz="4" w:space="0" w:color="auto"/>
            </w:tcBorders>
            <w:vAlign w:val="center"/>
          </w:tcPr>
          <w:p w14:paraId="712960FB" w14:textId="4A10D905" w:rsidR="00A241A2" w:rsidRPr="00F52232" w:rsidRDefault="00A241A2" w:rsidP="00A241A2">
            <w:pPr>
              <w:bidi w:val="0"/>
              <w:rPr>
                <w:rFonts w:asciiTheme="majorBidi" w:hAnsiTheme="majorBidi" w:cstheme="majorBidi"/>
                <w:sz w:val="16"/>
                <w:szCs w:val="16"/>
              </w:rPr>
            </w:pPr>
            <w:proofErr w:type="spellStart"/>
            <w:proofErr w:type="gramStart"/>
            <w:r w:rsidRPr="00F52232">
              <w:rPr>
                <w:rFonts w:asciiTheme="majorBidi" w:hAnsiTheme="majorBidi" w:cstheme="majorBidi"/>
                <w:sz w:val="16"/>
                <w:szCs w:val="16"/>
                <w:vertAlign w:val="superscript"/>
              </w:rPr>
              <w:t>a</w:t>
            </w:r>
            <w:proofErr w:type="spellEnd"/>
            <w:proofErr w:type="gramEnd"/>
            <w:r w:rsidRPr="00F52232">
              <w:rPr>
                <w:rFonts w:asciiTheme="majorBidi" w:hAnsiTheme="majorBidi" w:cstheme="majorBidi"/>
                <w:sz w:val="16"/>
                <w:szCs w:val="16"/>
                <w:vertAlign w:val="superscript"/>
              </w:rPr>
              <w:t xml:space="preserve"> </w:t>
            </w:r>
            <w:r w:rsidRPr="00F52232">
              <w:rPr>
                <w:rFonts w:asciiTheme="majorBidi" w:hAnsiTheme="majorBidi" w:cstheme="majorBidi"/>
                <w:sz w:val="16"/>
                <w:szCs w:val="16"/>
              </w:rPr>
              <w:t>The forecasts of the National Accounts components</w:t>
            </w:r>
            <w:r>
              <w:rPr>
                <w:rFonts w:asciiTheme="majorBidi" w:hAnsiTheme="majorBidi" w:cstheme="majorBidi"/>
                <w:sz w:val="16"/>
                <w:szCs w:val="16"/>
              </w:rPr>
              <w:t xml:space="preserve"> </w:t>
            </w:r>
            <w:r w:rsidRPr="00F52232">
              <w:rPr>
                <w:rFonts w:asciiTheme="majorBidi" w:hAnsiTheme="majorBidi" w:cstheme="majorBidi"/>
                <w:sz w:val="16"/>
                <w:szCs w:val="16"/>
              </w:rPr>
              <w:t>and of public debt  are rounded to the nearest half percentage point.</w:t>
            </w:r>
          </w:p>
          <w:p w14:paraId="5B7A778A" w14:textId="5CDE842F" w:rsidR="00A241A2" w:rsidRPr="00F52232" w:rsidRDefault="00A241A2" w:rsidP="000E21F7">
            <w:pPr>
              <w:bidi w:val="0"/>
              <w:rPr>
                <w:rFonts w:asciiTheme="majorBidi" w:hAnsiTheme="majorBidi" w:cstheme="majorBidi"/>
                <w:sz w:val="16"/>
                <w:szCs w:val="16"/>
              </w:rPr>
            </w:pPr>
            <w:proofErr w:type="gramStart"/>
            <w:r w:rsidRPr="00F52232">
              <w:rPr>
                <w:rFonts w:asciiTheme="majorBidi" w:hAnsiTheme="majorBidi" w:cstheme="majorBidi"/>
                <w:sz w:val="16"/>
                <w:szCs w:val="16"/>
                <w:vertAlign w:val="superscript"/>
              </w:rPr>
              <w:t>b</w:t>
            </w:r>
            <w:proofErr w:type="gramEnd"/>
            <w:r w:rsidRPr="00F52232">
              <w:rPr>
                <w:rFonts w:asciiTheme="majorBidi" w:hAnsiTheme="majorBidi" w:cstheme="majorBidi"/>
                <w:sz w:val="16"/>
                <w:szCs w:val="16"/>
              </w:rPr>
              <w:t xml:space="preserve"> Annual average. According to the Central Bureau of Statistics definition, the broad unemployment rate includes the unemployed under the normal definition (someone who has not worked, wanted to work, was available to work, and searched for work), as well as employees who were temporarily absent from their jobs for economic reasons (including furloughed workers).  Accordingly, the adjusted employment rate does not include those temporarily absent from their jobs for economic reasons. </w:t>
            </w:r>
            <w:r>
              <w:rPr>
                <w:rFonts w:asciiTheme="majorBidi" w:hAnsiTheme="majorBidi" w:cstheme="majorBidi"/>
                <w:sz w:val="16"/>
                <w:szCs w:val="16"/>
              </w:rPr>
              <w:t xml:space="preserve">The </w:t>
            </w:r>
            <w:r w:rsidR="000E21F7">
              <w:rPr>
                <w:rFonts w:asciiTheme="majorBidi" w:hAnsiTheme="majorBidi" w:cstheme="majorBidi"/>
                <w:sz w:val="16"/>
                <w:szCs w:val="16"/>
              </w:rPr>
              <w:t xml:space="preserve">revision to the forecast </w:t>
            </w:r>
            <w:r>
              <w:rPr>
                <w:rFonts w:asciiTheme="majorBidi" w:hAnsiTheme="majorBidi" w:cstheme="majorBidi"/>
                <w:sz w:val="16"/>
                <w:szCs w:val="16"/>
              </w:rPr>
              <w:t>employment rate in 20</w:t>
            </w:r>
            <w:r w:rsidR="000E21F7">
              <w:rPr>
                <w:rFonts w:asciiTheme="majorBidi" w:hAnsiTheme="majorBidi" w:cstheme="majorBidi"/>
                <w:sz w:val="16"/>
                <w:szCs w:val="16"/>
              </w:rPr>
              <w:t>26 and 2027 relative to the January forecast mainly</w:t>
            </w:r>
            <w:r>
              <w:rPr>
                <w:rFonts w:asciiTheme="majorBidi" w:hAnsiTheme="majorBidi" w:cstheme="majorBidi"/>
                <w:sz w:val="16"/>
                <w:szCs w:val="16"/>
              </w:rPr>
              <w:t xml:space="preserve"> reflects a</w:t>
            </w:r>
            <w:r w:rsidR="000E21F7">
              <w:rPr>
                <w:rFonts w:asciiTheme="majorBidi" w:hAnsiTheme="majorBidi" w:cstheme="majorBidi"/>
                <w:sz w:val="16"/>
                <w:szCs w:val="16"/>
              </w:rPr>
              <w:t>n error correction in the figure published in the January forecast.  The forecast employment rate for 2026 also includes the impact of Operation Roaring Lion</w:t>
            </w:r>
            <w:r>
              <w:rPr>
                <w:rFonts w:asciiTheme="majorBidi" w:hAnsiTheme="majorBidi" w:cstheme="majorBidi"/>
                <w:sz w:val="16"/>
                <w:szCs w:val="16"/>
              </w:rPr>
              <w:t>.</w:t>
            </w:r>
          </w:p>
          <w:p w14:paraId="3B9C5B5F" w14:textId="0448DACE" w:rsidR="00A241A2" w:rsidRPr="00A241A2" w:rsidRDefault="00A241A2" w:rsidP="00A241A2">
            <w:pPr>
              <w:bidi w:val="0"/>
              <w:rPr>
                <w:rFonts w:asciiTheme="majorBidi" w:hAnsiTheme="majorBidi" w:cstheme="majorBidi"/>
                <w:sz w:val="16"/>
                <w:szCs w:val="16"/>
              </w:rPr>
            </w:pPr>
            <w:proofErr w:type="gramStart"/>
            <w:r w:rsidRPr="00F52232">
              <w:rPr>
                <w:rFonts w:asciiTheme="majorBidi" w:hAnsiTheme="majorBidi" w:cstheme="majorBidi"/>
                <w:sz w:val="16"/>
                <w:szCs w:val="16"/>
                <w:vertAlign w:val="superscript"/>
              </w:rPr>
              <w:t>c</w:t>
            </w:r>
            <w:proofErr w:type="gramEnd"/>
            <w:r w:rsidRPr="00F52232">
              <w:rPr>
                <w:rFonts w:asciiTheme="majorBidi" w:hAnsiTheme="majorBidi" w:cstheme="majorBidi"/>
                <w:sz w:val="16"/>
                <w:szCs w:val="16"/>
              </w:rPr>
              <w:t xml:space="preserve"> The average of the Consumer Price Index in the last quarter of the year compared with the average in the last quarter of the previous year.</w:t>
            </w:r>
          </w:p>
        </w:tc>
      </w:tr>
    </w:tbl>
    <w:p w14:paraId="7E508D40" w14:textId="77777777" w:rsidR="00D52059" w:rsidRDefault="00D52059" w:rsidP="00D52059">
      <w:pPr>
        <w:bidi w:val="0"/>
        <w:jc w:val="both"/>
      </w:pPr>
    </w:p>
    <w:p w14:paraId="26E94EE2" w14:textId="77777777" w:rsidR="00A21D01" w:rsidRDefault="00A21D01" w:rsidP="0087184F">
      <w:pPr>
        <w:numPr>
          <w:ilvl w:val="0"/>
          <w:numId w:val="9"/>
        </w:numPr>
        <w:bidi w:val="0"/>
        <w:spacing w:line="360" w:lineRule="auto"/>
        <w:ind w:left="357" w:hanging="357"/>
        <w:jc w:val="both"/>
        <w:rPr>
          <w:b/>
          <w:bCs/>
        </w:rPr>
      </w:pPr>
      <w:r w:rsidRPr="00D66FAE">
        <w:rPr>
          <w:b/>
          <w:bCs/>
        </w:rPr>
        <w:t>Real activity in</w:t>
      </w:r>
      <w:r w:rsidRPr="00D60117">
        <w:rPr>
          <w:b/>
          <w:bCs/>
        </w:rPr>
        <w:t xml:space="preserve"> Israel</w:t>
      </w:r>
    </w:p>
    <w:p w14:paraId="47523CE8" w14:textId="3B8689FB" w:rsidR="00A241A2" w:rsidRDefault="00323260" w:rsidP="000E21F7">
      <w:pPr>
        <w:bidi w:val="0"/>
        <w:jc w:val="both"/>
      </w:pPr>
      <w:r w:rsidRPr="005537E5">
        <w:rPr>
          <w:b/>
          <w:bCs/>
        </w:rPr>
        <w:t xml:space="preserve">GDP </w:t>
      </w:r>
      <w:r w:rsidR="00A241A2">
        <w:rPr>
          <w:b/>
          <w:bCs/>
        </w:rPr>
        <w:t xml:space="preserve">is expected to </w:t>
      </w:r>
      <w:r w:rsidR="00AE6BBB">
        <w:rPr>
          <w:b/>
          <w:bCs/>
        </w:rPr>
        <w:t>g</w:t>
      </w:r>
      <w:r w:rsidRPr="005537E5">
        <w:rPr>
          <w:b/>
          <w:bCs/>
        </w:rPr>
        <w:t>r</w:t>
      </w:r>
      <w:r w:rsidR="00A241A2">
        <w:rPr>
          <w:b/>
          <w:bCs/>
        </w:rPr>
        <w:t>ow</w:t>
      </w:r>
      <w:r w:rsidRPr="005537E5">
        <w:rPr>
          <w:b/>
          <w:bCs/>
        </w:rPr>
        <w:t xml:space="preserve"> by </w:t>
      </w:r>
      <w:r w:rsidR="00A241A2">
        <w:rPr>
          <w:b/>
          <w:bCs/>
        </w:rPr>
        <w:t>3</w:t>
      </w:r>
      <w:r w:rsidR="00EA41E8">
        <w:rPr>
          <w:b/>
          <w:bCs/>
        </w:rPr>
        <w:t>.</w:t>
      </w:r>
      <w:r w:rsidR="0045680E">
        <w:rPr>
          <w:b/>
          <w:bCs/>
        </w:rPr>
        <w:t>8</w:t>
      </w:r>
      <w:r w:rsidR="0055377E">
        <w:rPr>
          <w:b/>
          <w:bCs/>
        </w:rPr>
        <w:t xml:space="preserve"> percent</w:t>
      </w:r>
      <w:r w:rsidR="00AE6BBB">
        <w:rPr>
          <w:b/>
          <w:bCs/>
        </w:rPr>
        <w:t xml:space="preserve"> in</w:t>
      </w:r>
      <w:r w:rsidR="000003FE" w:rsidRPr="005537E5">
        <w:rPr>
          <w:b/>
          <w:bCs/>
        </w:rPr>
        <w:t xml:space="preserve"> </w:t>
      </w:r>
      <w:proofErr w:type="gramStart"/>
      <w:r w:rsidR="000003FE" w:rsidRPr="005537E5">
        <w:rPr>
          <w:b/>
          <w:bCs/>
        </w:rPr>
        <w:t>202</w:t>
      </w:r>
      <w:r w:rsidR="00A241A2">
        <w:rPr>
          <w:b/>
          <w:bCs/>
        </w:rPr>
        <w:t>6</w:t>
      </w:r>
      <w:r w:rsidR="0045680E">
        <w:rPr>
          <w:b/>
          <w:bCs/>
        </w:rPr>
        <w:t>,</w:t>
      </w:r>
      <w:proofErr w:type="gramEnd"/>
      <w:r w:rsidR="00AE6BBB">
        <w:rPr>
          <w:b/>
          <w:bCs/>
        </w:rPr>
        <w:t xml:space="preserve"> </w:t>
      </w:r>
      <w:r w:rsidR="00A241A2">
        <w:rPr>
          <w:b/>
          <w:bCs/>
        </w:rPr>
        <w:t>and</w:t>
      </w:r>
      <w:r w:rsidR="00AE6BBB">
        <w:rPr>
          <w:b/>
          <w:bCs/>
        </w:rPr>
        <w:t xml:space="preserve"> by </w:t>
      </w:r>
      <w:r w:rsidR="0045680E">
        <w:rPr>
          <w:b/>
          <w:bCs/>
        </w:rPr>
        <w:t>5.</w:t>
      </w:r>
      <w:r w:rsidR="00A241A2">
        <w:rPr>
          <w:b/>
          <w:bCs/>
        </w:rPr>
        <w:t>5</w:t>
      </w:r>
      <w:r w:rsidR="00AE6BBB">
        <w:rPr>
          <w:b/>
          <w:bCs/>
        </w:rPr>
        <w:t xml:space="preserve"> percent in 202</w:t>
      </w:r>
      <w:r w:rsidR="00A241A2">
        <w:rPr>
          <w:b/>
          <w:bCs/>
        </w:rPr>
        <w:t>7</w:t>
      </w:r>
      <w:r w:rsidR="00AE6BBB">
        <w:rPr>
          <w:b/>
          <w:bCs/>
        </w:rPr>
        <w:t xml:space="preserve"> </w:t>
      </w:r>
      <w:r w:rsidR="00AE6BBB">
        <w:t>(Table 1)</w:t>
      </w:r>
      <w:r w:rsidR="00226664">
        <w:t>.</w:t>
      </w:r>
      <w:r w:rsidR="0045680E">
        <w:t xml:space="preserve"> </w:t>
      </w:r>
      <w:r w:rsidR="00A241A2">
        <w:t xml:space="preserve">The end of the military operation </w:t>
      </w:r>
      <w:proofErr w:type="gramStart"/>
      <w:r w:rsidR="00A241A2">
        <w:t>is expected</w:t>
      </w:r>
      <w:proofErr w:type="gramEnd"/>
      <w:r w:rsidR="00A241A2">
        <w:t xml:space="preserve"> to support a rapid recovery of economic activity during the second quarter of 2026.  Economic activity </w:t>
      </w:r>
      <w:proofErr w:type="gramStart"/>
      <w:r w:rsidR="00A241A2">
        <w:t>is being negatively affected</w:t>
      </w:r>
      <w:proofErr w:type="gramEnd"/>
      <w:r w:rsidR="00A241A2">
        <w:t xml:space="preserve"> mainly by restrictions on the home front due to missile fire and threats, absences from work due to the shutdown of the educational system and mobilization of the military reserves.  In addition, the forecast assumes that the fighting in Lebanon will continue to have an impact on activity, mainly through continued mobilization of the reserves and restrictions on activity in the north, until the end of the campaign in April. </w:t>
      </w:r>
    </w:p>
    <w:p w14:paraId="77139B48" w14:textId="2D0EC48A" w:rsidR="00A241A2" w:rsidRDefault="00A241A2" w:rsidP="00A241A2">
      <w:pPr>
        <w:bidi w:val="0"/>
        <w:jc w:val="both"/>
      </w:pPr>
    </w:p>
    <w:p w14:paraId="2A969C47" w14:textId="7CE07781" w:rsidR="00A241A2" w:rsidRDefault="00A241A2" w:rsidP="005F7583">
      <w:pPr>
        <w:bidi w:val="0"/>
        <w:jc w:val="both"/>
      </w:pPr>
      <w:r>
        <w:t xml:space="preserve">Accordingly, private consumption </w:t>
      </w:r>
      <w:proofErr w:type="gramStart"/>
      <w:r>
        <w:t>is expected</w:t>
      </w:r>
      <w:proofErr w:type="gramEnd"/>
      <w:r>
        <w:t xml:space="preserve"> to expand by 3.0 percent in 2026 and by 7.0 percent in 2027, and fixed capital formation is expected to increase by 6.5 percent in 2026 and by 14.5 percent in 2027.</w:t>
      </w:r>
      <w:r w:rsidR="00227A43">
        <w:t xml:space="preserve">  Exports </w:t>
      </w:r>
      <w:proofErr w:type="gramStart"/>
      <w:r w:rsidR="00227A43">
        <w:t>are expected</w:t>
      </w:r>
      <w:proofErr w:type="gramEnd"/>
      <w:r w:rsidR="00227A43">
        <w:t xml:space="preserve"> to grow by 5.5 percent in 2026 and by </w:t>
      </w:r>
      <w:r w:rsidR="000E21F7">
        <w:t>8</w:t>
      </w:r>
      <w:r w:rsidR="00227A43">
        <w:t>.0 percent in 2027, and civilian imports are expected to grow by 10.0 percent in 2026 and by 1</w:t>
      </w:r>
      <w:r w:rsidR="00615CDF">
        <w:t>2</w:t>
      </w:r>
      <w:r w:rsidR="00227A43">
        <w:t xml:space="preserve">.0 percent in 2027.  The broad unemployment rate </w:t>
      </w:r>
      <w:proofErr w:type="gramStart"/>
      <w:r w:rsidR="00227A43">
        <w:t>is expected</w:t>
      </w:r>
      <w:proofErr w:type="gramEnd"/>
      <w:r w:rsidR="00227A43">
        <w:t xml:space="preserve"> to average 4.5 percent in 2026, mainly due to the sharp increase during the military campaign, and to decline to 3.4 percent in 2027.  The adjusted employment rate is expected to be 77.5 percent in 2026 and 78.6 percent in 2027.</w:t>
      </w:r>
    </w:p>
    <w:p w14:paraId="1FFE3C21" w14:textId="16AC835D" w:rsidR="0036519C" w:rsidRDefault="00FD35C7" w:rsidP="00615CDF">
      <w:pPr>
        <w:pStyle w:val="NormalWeb"/>
        <w:jc w:val="both"/>
      </w:pPr>
      <w:r w:rsidRPr="0063072B">
        <w:rPr>
          <w:b/>
          <w:bCs/>
        </w:rPr>
        <w:t>The s</w:t>
      </w:r>
      <w:r w:rsidRPr="00FD35C7">
        <w:rPr>
          <w:b/>
          <w:bCs/>
        </w:rPr>
        <w:t xml:space="preserve">tate budget deficit </w:t>
      </w:r>
      <w:proofErr w:type="gramStart"/>
      <w:r w:rsidRPr="00FD35C7">
        <w:rPr>
          <w:b/>
          <w:bCs/>
        </w:rPr>
        <w:t>is expected</w:t>
      </w:r>
      <w:proofErr w:type="gramEnd"/>
      <w:r w:rsidRPr="00FD35C7">
        <w:rPr>
          <w:b/>
          <w:bCs/>
        </w:rPr>
        <w:t xml:space="preserve"> to be </w:t>
      </w:r>
      <w:r w:rsidR="00227A43">
        <w:rPr>
          <w:b/>
          <w:bCs/>
        </w:rPr>
        <w:t>5.3</w:t>
      </w:r>
      <w:r w:rsidRPr="00FD35C7">
        <w:rPr>
          <w:b/>
          <w:bCs/>
        </w:rPr>
        <w:t xml:space="preserve"> percent of GDP in 202</w:t>
      </w:r>
      <w:r w:rsidR="008C462B">
        <w:rPr>
          <w:b/>
          <w:bCs/>
        </w:rPr>
        <w:t>6</w:t>
      </w:r>
      <w:r w:rsidRPr="00FD35C7">
        <w:rPr>
          <w:b/>
          <w:bCs/>
        </w:rPr>
        <w:t xml:space="preserve"> and </w:t>
      </w:r>
      <w:r w:rsidR="00227A43">
        <w:rPr>
          <w:b/>
          <w:bCs/>
        </w:rPr>
        <w:t>4.4</w:t>
      </w:r>
      <w:r w:rsidRPr="00FD35C7">
        <w:rPr>
          <w:b/>
          <w:bCs/>
        </w:rPr>
        <w:t xml:space="preserve"> percent of GDP in 202</w:t>
      </w:r>
      <w:r w:rsidR="008C462B">
        <w:rPr>
          <w:b/>
          <w:bCs/>
        </w:rPr>
        <w:t>7</w:t>
      </w:r>
      <w:r w:rsidRPr="00FD35C7">
        <w:rPr>
          <w:b/>
          <w:bCs/>
        </w:rPr>
        <w:t xml:space="preserve">. Public debt </w:t>
      </w:r>
      <w:proofErr w:type="gramStart"/>
      <w:r w:rsidRPr="00FD35C7">
        <w:rPr>
          <w:b/>
          <w:bCs/>
        </w:rPr>
        <w:t>is projected</w:t>
      </w:r>
      <w:proofErr w:type="gramEnd"/>
      <w:r w:rsidRPr="00FD35C7">
        <w:rPr>
          <w:b/>
          <w:bCs/>
        </w:rPr>
        <w:t xml:space="preserve"> to be </w:t>
      </w:r>
      <w:r w:rsidR="00227A43">
        <w:rPr>
          <w:b/>
          <w:bCs/>
        </w:rPr>
        <w:t>70</w:t>
      </w:r>
      <w:r w:rsidR="008C462B">
        <w:rPr>
          <w:b/>
          <w:bCs/>
        </w:rPr>
        <w:t>.5</w:t>
      </w:r>
      <w:r w:rsidRPr="00FD35C7">
        <w:rPr>
          <w:b/>
          <w:bCs/>
        </w:rPr>
        <w:t xml:space="preserve"> percent of GDP in </w:t>
      </w:r>
      <w:r w:rsidR="0063072B">
        <w:rPr>
          <w:b/>
          <w:bCs/>
        </w:rPr>
        <w:t>202</w:t>
      </w:r>
      <w:r w:rsidR="008C462B">
        <w:rPr>
          <w:b/>
          <w:bCs/>
        </w:rPr>
        <w:t>6</w:t>
      </w:r>
      <w:r w:rsidR="0063072B">
        <w:rPr>
          <w:b/>
          <w:bCs/>
        </w:rPr>
        <w:t xml:space="preserve"> and</w:t>
      </w:r>
      <w:r w:rsidR="00227A43">
        <w:rPr>
          <w:b/>
          <w:bCs/>
        </w:rPr>
        <w:t xml:space="preserve"> in</w:t>
      </w:r>
      <w:r w:rsidR="0063072B">
        <w:rPr>
          <w:b/>
          <w:bCs/>
        </w:rPr>
        <w:t xml:space="preserve"> </w:t>
      </w:r>
      <w:r w:rsidRPr="00FD35C7">
        <w:rPr>
          <w:b/>
          <w:bCs/>
        </w:rPr>
        <w:t>202</w:t>
      </w:r>
      <w:r w:rsidR="008C462B">
        <w:rPr>
          <w:b/>
          <w:bCs/>
        </w:rPr>
        <w:t>7</w:t>
      </w:r>
      <w:r w:rsidRPr="00FD35C7">
        <w:rPr>
          <w:b/>
          <w:bCs/>
        </w:rPr>
        <w:t>.</w:t>
      </w:r>
      <w:r w:rsidR="00EF27B8">
        <w:t xml:space="preserve"> </w:t>
      </w:r>
      <w:r w:rsidR="008C462B">
        <w:t>T</w:t>
      </w:r>
      <w:r w:rsidR="00094F60">
        <w:t>he</w:t>
      </w:r>
      <w:r w:rsidR="00227A43">
        <w:t xml:space="preserve"> increase in the deficit rate and in the debt-to-GDP ratio in 2026 relative to 2025, and the upward revision relative to the Research Department’s January forecast are due to the high cost of Operation Roaring Lion, which </w:t>
      </w:r>
      <w:proofErr w:type="gramStart"/>
      <w:r w:rsidR="00227A43">
        <w:t>has been reflected</w:t>
      </w:r>
      <w:proofErr w:type="gramEnd"/>
      <w:r w:rsidR="00227A43">
        <w:t xml:space="preserve"> in </w:t>
      </w:r>
      <w:r w:rsidR="00615CDF">
        <w:t>the decision to increase</w:t>
      </w:r>
      <w:r w:rsidR="00227A43">
        <w:t xml:space="preserve"> the defense budget </w:t>
      </w:r>
      <w:r w:rsidR="00615CDF">
        <w:t>by NIS 32 billion</w:t>
      </w:r>
      <w:r w:rsidR="00227A43">
        <w:t xml:space="preserve">.  The working assumption in the forecast is that even if the fighting ends </w:t>
      </w:r>
      <w:r w:rsidR="00615CDF">
        <w:t>toward the end of</w:t>
      </w:r>
      <w:r w:rsidR="00227A43">
        <w:t xml:space="preserve"> April and </w:t>
      </w:r>
      <w:proofErr w:type="gramStart"/>
      <w:r w:rsidR="00227A43">
        <w:t>is not renewed</w:t>
      </w:r>
      <w:proofErr w:type="gramEnd"/>
      <w:r w:rsidR="00227A43">
        <w:t xml:space="preserve"> before the end of 2027, the mobilization of IDF reserves will be higher than the level in the original budget for several months following the end of intense warfare.  The forecast assumes that in such a case, the reserve allocated by the government (NIS 12.8 billion) </w:t>
      </w:r>
      <w:proofErr w:type="gramStart"/>
      <w:r w:rsidR="00227A43">
        <w:t>will be fully utilized</w:t>
      </w:r>
      <w:proofErr w:type="gramEnd"/>
      <w:r w:rsidR="00227A43">
        <w:t xml:space="preserve">, mainly for those defense needs.  </w:t>
      </w:r>
    </w:p>
    <w:p w14:paraId="5DF5F142" w14:textId="06D5FDE2" w:rsidR="00227A43" w:rsidRDefault="00227A43" w:rsidP="00615CDF">
      <w:pPr>
        <w:pStyle w:val="NormalWeb"/>
        <w:jc w:val="both"/>
      </w:pPr>
      <w:r>
        <w:lastRenderedPageBreak/>
        <w:t>In addition, due to the continuation of the fighting, we assume t</w:t>
      </w:r>
      <w:r w:rsidR="0036519C">
        <w:t xml:space="preserve">hat claims in respect of property damage and </w:t>
      </w:r>
      <w:r>
        <w:t>assi</w:t>
      </w:r>
      <w:r w:rsidR="0036519C">
        <w:t xml:space="preserve">stance for businesses will total about NIS 8 billion, and that they will be financing outside the budget through the Property Tax Fund—an expenditure that requires additional funds to </w:t>
      </w:r>
      <w:proofErr w:type="gramStart"/>
      <w:r w:rsidR="0036519C">
        <w:t>be raised</w:t>
      </w:r>
      <w:proofErr w:type="gramEnd"/>
      <w:r w:rsidR="0036519C">
        <w:t xml:space="preserve"> but is not reflected in the deficit.  </w:t>
      </w:r>
      <w:r w:rsidR="00615CDF">
        <w:t>H</w:t>
      </w:r>
      <w:r w:rsidR="0036519C">
        <w:t>igher-than-expected temporary revenues in January and February slightly moderated the upward revision of the deficit and debt-to-GDP ratio forecasts.</w:t>
      </w:r>
    </w:p>
    <w:p w14:paraId="23367591" w14:textId="1385E606" w:rsidR="0036519C" w:rsidRDefault="0036519C" w:rsidP="00615CDF">
      <w:pPr>
        <w:pStyle w:val="NormalWeb"/>
        <w:jc w:val="both"/>
      </w:pPr>
      <w:proofErr w:type="gramStart"/>
      <w:r>
        <w:t>The upward revision of the deficit forecast for 2027 relative to the January forecast is due to the assumption that the defense budget will increase because of the need to prepare for a potential further military confrontation in the medium term, and is also a result of the delay in discussions regarding permanent measures to increase state revenues, chiefly land purchase tax.</w:t>
      </w:r>
      <w:proofErr w:type="gramEnd"/>
      <w:r>
        <w:t xml:space="preserve">  The narrowing of the deficit in 2027 relative to 2026 is due to the end of direct expenses for the war, and the fact that some of the revenues </w:t>
      </w:r>
      <w:r w:rsidR="00615CDF">
        <w:t>in 2026</w:t>
      </w:r>
      <w:r>
        <w:t xml:space="preserve"> will be one-off revenues (such as bringing forward payments due to the taxation of undistributed dividends, and income tax on the sale of Wiz).</w:t>
      </w:r>
    </w:p>
    <w:p w14:paraId="2A7CBC84" w14:textId="77777777" w:rsidR="00A21D01" w:rsidRPr="005C08DC" w:rsidRDefault="00A21D01" w:rsidP="0086132E">
      <w:pPr>
        <w:numPr>
          <w:ilvl w:val="0"/>
          <w:numId w:val="9"/>
        </w:numPr>
        <w:bidi w:val="0"/>
        <w:spacing w:line="360" w:lineRule="auto"/>
        <w:ind w:left="357" w:hanging="357"/>
        <w:jc w:val="both"/>
        <w:rPr>
          <w:b/>
          <w:bCs/>
        </w:rPr>
      </w:pPr>
      <w:r w:rsidRPr="00615CDF">
        <w:rPr>
          <w:b/>
          <w:bCs/>
        </w:rPr>
        <w:t>Inflation a</w:t>
      </w:r>
      <w:r w:rsidRPr="00422142">
        <w:rPr>
          <w:b/>
          <w:bCs/>
        </w:rPr>
        <w:t>nd</w:t>
      </w:r>
      <w:r w:rsidRPr="007A06BA">
        <w:rPr>
          <w:b/>
          <w:bCs/>
        </w:rPr>
        <w:t xml:space="preserve"> int</w:t>
      </w:r>
      <w:r w:rsidRPr="005C08DC">
        <w:rPr>
          <w:b/>
          <w:bCs/>
        </w:rPr>
        <w:t xml:space="preserve">erest rates </w:t>
      </w:r>
    </w:p>
    <w:p w14:paraId="327176FF" w14:textId="527F5DD8" w:rsidR="00A345AE" w:rsidRDefault="000A661B" w:rsidP="000E4216">
      <w:pPr>
        <w:pStyle w:val="NormalWeb"/>
        <w:jc w:val="both"/>
      </w:pPr>
      <w:r w:rsidRPr="000A661B">
        <w:rPr>
          <w:b/>
          <w:bCs/>
        </w:rPr>
        <w:t xml:space="preserve">The inflation rate over the four quarters ending in the </w:t>
      </w:r>
      <w:r w:rsidR="000E4216">
        <w:rPr>
          <w:b/>
          <w:bCs/>
        </w:rPr>
        <w:t>first</w:t>
      </w:r>
      <w:r w:rsidRPr="000A661B">
        <w:rPr>
          <w:b/>
          <w:bCs/>
        </w:rPr>
        <w:t xml:space="preserve"> quarter of 202</w:t>
      </w:r>
      <w:r w:rsidR="000E4216">
        <w:rPr>
          <w:b/>
          <w:bCs/>
        </w:rPr>
        <w:t>7</w:t>
      </w:r>
      <w:r w:rsidRPr="000A661B">
        <w:rPr>
          <w:b/>
          <w:bCs/>
        </w:rPr>
        <w:t xml:space="preserve"> </w:t>
      </w:r>
      <w:proofErr w:type="gramStart"/>
      <w:r w:rsidRPr="000A661B">
        <w:rPr>
          <w:b/>
          <w:bCs/>
        </w:rPr>
        <w:t>is expected</w:t>
      </w:r>
      <w:proofErr w:type="gramEnd"/>
      <w:r w:rsidRPr="000A661B">
        <w:rPr>
          <w:b/>
          <w:bCs/>
        </w:rPr>
        <w:t xml:space="preserve"> to be </w:t>
      </w:r>
      <w:r w:rsidR="000E4216">
        <w:rPr>
          <w:b/>
          <w:bCs/>
        </w:rPr>
        <w:t>2.3</w:t>
      </w:r>
      <w:r w:rsidRPr="000A661B">
        <w:rPr>
          <w:b/>
          <w:bCs/>
        </w:rPr>
        <w:t xml:space="preserve"> percent (Table 2).</w:t>
      </w:r>
      <w:r>
        <w:t xml:space="preserve"> </w:t>
      </w:r>
      <w:r w:rsidR="000E4216">
        <w:t>The increase in the price of oil is contributing to an increase in the short-term inflation environment.  In contrast, expectations of a decline in oil prices thereafter, an easing of supply constraints, and a decline in uncertainty with the end of the military campaign in the coming weeks, lead to an assessment that inflation will moderate in the second half of the year.</w:t>
      </w:r>
    </w:p>
    <w:p w14:paraId="1088C79C" w14:textId="5209D087" w:rsidR="000A661B" w:rsidRPr="000E4216" w:rsidRDefault="000A661B" w:rsidP="000E4216">
      <w:pPr>
        <w:pStyle w:val="NormalWeb"/>
        <w:jc w:val="both"/>
        <w:rPr>
          <w:rFonts w:asciiTheme="majorBidi" w:hAnsiTheme="majorBidi" w:cstheme="majorBidi"/>
          <w:sz w:val="28"/>
          <w:szCs w:val="28"/>
        </w:rPr>
      </w:pPr>
      <w:r w:rsidRPr="000A661B">
        <w:rPr>
          <w:b/>
          <w:bCs/>
        </w:rPr>
        <w:t>The</w:t>
      </w:r>
      <w:r w:rsidR="00677A3F">
        <w:rPr>
          <w:b/>
          <w:bCs/>
        </w:rPr>
        <w:t xml:space="preserve"> Bank of Israel</w:t>
      </w:r>
      <w:r w:rsidRPr="000A661B">
        <w:rPr>
          <w:b/>
          <w:bCs/>
        </w:rPr>
        <w:t xml:space="preserve"> interest rate </w:t>
      </w:r>
      <w:proofErr w:type="gramStart"/>
      <w:r w:rsidRPr="000A661B">
        <w:rPr>
          <w:b/>
          <w:bCs/>
        </w:rPr>
        <w:t>is expected</w:t>
      </w:r>
      <w:proofErr w:type="gramEnd"/>
      <w:r w:rsidRPr="000A661B">
        <w:rPr>
          <w:b/>
          <w:bCs/>
        </w:rPr>
        <w:t xml:space="preserve"> to average </w:t>
      </w:r>
      <w:r w:rsidR="00677A3F">
        <w:rPr>
          <w:b/>
          <w:bCs/>
        </w:rPr>
        <w:t>3.5</w:t>
      </w:r>
      <w:r w:rsidR="000E4216">
        <w:rPr>
          <w:b/>
          <w:bCs/>
        </w:rPr>
        <w:t>/3.75</w:t>
      </w:r>
      <w:r w:rsidRPr="000A661B">
        <w:rPr>
          <w:b/>
          <w:bCs/>
        </w:rPr>
        <w:t xml:space="preserve"> percent in the </w:t>
      </w:r>
      <w:r w:rsidR="008730D4">
        <w:rPr>
          <w:b/>
          <w:bCs/>
        </w:rPr>
        <w:t>f</w:t>
      </w:r>
      <w:r w:rsidR="000E4216">
        <w:rPr>
          <w:b/>
          <w:bCs/>
        </w:rPr>
        <w:t>irst</w:t>
      </w:r>
      <w:r w:rsidRPr="000A661B">
        <w:rPr>
          <w:b/>
          <w:bCs/>
        </w:rPr>
        <w:t xml:space="preserve"> quarter of 202</w:t>
      </w:r>
      <w:r w:rsidR="000E4216">
        <w:rPr>
          <w:b/>
          <w:bCs/>
        </w:rPr>
        <w:t>7</w:t>
      </w:r>
      <w:r>
        <w:t xml:space="preserve"> (Table 2). This forecast reflects </w:t>
      </w:r>
      <w:r w:rsidR="000E4216">
        <w:t>one or two</w:t>
      </w:r>
      <w:r>
        <w:t xml:space="preserve"> interest rate</w:t>
      </w:r>
      <w:r w:rsidR="000E4216">
        <w:t xml:space="preserve"> reductions in the coming year</w:t>
      </w:r>
      <w:r>
        <w:t>.</w:t>
      </w:r>
      <w:r w:rsidR="000E4216">
        <w:t xml:space="preserve">  The interest rate path will be determined in accordance with the </w:t>
      </w:r>
      <w:r w:rsidR="000E4216" w:rsidRPr="000E4216">
        <w:rPr>
          <w:rFonts w:asciiTheme="majorBidi" w:hAnsiTheme="majorBidi" w:cstheme="majorBidi"/>
        </w:rPr>
        <w:t>development of inflation, economic activity, and developments in the financial markets and in the geopolitical sphere.</w:t>
      </w:r>
    </w:p>
    <w:p w14:paraId="593BE5DD" w14:textId="0777791E" w:rsidR="000A661B" w:rsidRDefault="000A661B" w:rsidP="00615CDF">
      <w:pPr>
        <w:pStyle w:val="NormalWeb"/>
        <w:jc w:val="both"/>
        <w:rPr>
          <w:b/>
          <w:bCs/>
        </w:rPr>
      </w:pPr>
      <w:r w:rsidRPr="005946CC">
        <w:t xml:space="preserve">Table </w:t>
      </w:r>
      <w:proofErr w:type="gramStart"/>
      <w:r w:rsidRPr="005946CC">
        <w:t>2</w:t>
      </w:r>
      <w:proofErr w:type="gramEnd"/>
      <w:r w:rsidRPr="005946CC">
        <w:t xml:space="preserve"> </w:t>
      </w:r>
      <w:r w:rsidR="00F93D9D" w:rsidRPr="005946CC">
        <w:t>shows</w:t>
      </w:r>
      <w:r>
        <w:t xml:space="preserve"> that the Research Department</w:t>
      </w:r>
      <w:r w:rsidR="0086132E">
        <w:t>’</w:t>
      </w:r>
      <w:r>
        <w:t xml:space="preserve">s </w:t>
      </w:r>
      <w:r w:rsidR="002E13EC">
        <w:t xml:space="preserve">forecast for inflation in the next four quarters </w:t>
      </w:r>
      <w:r w:rsidR="002439E9">
        <w:t xml:space="preserve">is higher than the forecast derived from the capital market and </w:t>
      </w:r>
      <w:r w:rsidR="000E4216">
        <w:t>similar to</w:t>
      </w:r>
      <w:r w:rsidR="002439E9">
        <w:t xml:space="preserve"> the private forecasters’ average projections. The Research Department’s</w:t>
      </w:r>
      <w:r w:rsidR="008730D4">
        <w:t xml:space="preserve"> interest rate forecast for the next four quarters </w:t>
      </w:r>
      <w:r w:rsidR="002439E9">
        <w:t>is</w:t>
      </w:r>
      <w:r w:rsidR="002E13EC">
        <w:t xml:space="preserve"> </w:t>
      </w:r>
      <w:r w:rsidR="00615CDF">
        <w:t>lower than</w:t>
      </w:r>
      <w:r>
        <w:t xml:space="preserve"> </w:t>
      </w:r>
      <w:r w:rsidR="000E4216">
        <w:t xml:space="preserve">the forecast derived from the capital market and </w:t>
      </w:r>
      <w:r w:rsidR="00615CDF">
        <w:t>similar</w:t>
      </w:r>
      <w:r w:rsidR="000E4216">
        <w:t xml:space="preserve"> the professional forecasters’ average projections</w:t>
      </w:r>
      <w:r w:rsidR="008730D4">
        <w:t>.</w:t>
      </w:r>
    </w:p>
    <w:p w14:paraId="367091CB" w14:textId="77777777" w:rsidR="000A661B" w:rsidRDefault="000A661B" w:rsidP="000A661B">
      <w:pPr>
        <w:bidi w:val="0"/>
        <w:jc w:val="both"/>
        <w:rPr>
          <w:b/>
          <w:bCs/>
        </w:rPr>
      </w:pPr>
    </w:p>
    <w:tbl>
      <w:tblPr>
        <w:tblW w:w="8233" w:type="dxa"/>
        <w:tblInd w:w="93" w:type="dxa"/>
        <w:tblLook w:val="04A0" w:firstRow="1" w:lastRow="0" w:firstColumn="1" w:lastColumn="0" w:noHBand="0" w:noVBand="1"/>
      </w:tblPr>
      <w:tblGrid>
        <w:gridCol w:w="2480"/>
        <w:gridCol w:w="2094"/>
        <w:gridCol w:w="1540"/>
        <w:gridCol w:w="2119"/>
      </w:tblGrid>
      <w:tr w:rsidR="00A21D01" w:rsidRPr="00B23575" w14:paraId="273577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32C0BD93" w14:textId="77777777" w:rsidR="00A21D01" w:rsidRPr="00F75C0A" w:rsidRDefault="002945D2" w:rsidP="00014365">
            <w:pPr>
              <w:bidi w:val="0"/>
              <w:rPr>
                <w:rFonts w:asciiTheme="majorBidi" w:hAnsiTheme="majorBidi" w:cstheme="majorBidi"/>
                <w:b/>
                <w:bCs/>
                <w:color w:val="0070C0"/>
              </w:rPr>
            </w:pPr>
            <w:r w:rsidRPr="00F75C0A">
              <w:rPr>
                <w:color w:val="0070C0"/>
              </w:rPr>
              <w:lastRenderedPageBreak/>
              <w:br w:type="page"/>
            </w:r>
            <w:r w:rsidR="00A21D01" w:rsidRPr="00F75C0A">
              <w:rPr>
                <w:rFonts w:asciiTheme="majorBidi" w:hAnsiTheme="majorBidi" w:cstheme="majorBidi"/>
                <w:b/>
                <w:bCs/>
                <w:color w:val="0070C0"/>
              </w:rPr>
              <w:t xml:space="preserve">Table </w:t>
            </w:r>
            <w:r w:rsidR="00E718CD">
              <w:rPr>
                <w:rFonts w:asciiTheme="majorBidi" w:hAnsiTheme="majorBidi" w:cstheme="majorBidi"/>
                <w:b/>
                <w:bCs/>
                <w:color w:val="0070C0"/>
              </w:rPr>
              <w:t>2</w:t>
            </w:r>
          </w:p>
        </w:tc>
      </w:tr>
      <w:tr w:rsidR="00A21D01" w:rsidRPr="00B23575" w14:paraId="1652CD54"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92B1F0B" w14:textId="77777777" w:rsidR="00A21D01" w:rsidRPr="00F75C0A" w:rsidRDefault="00453D2B" w:rsidP="00D62B59">
            <w:pPr>
              <w:bidi w:val="0"/>
              <w:rPr>
                <w:rFonts w:asciiTheme="majorBidi" w:hAnsiTheme="majorBidi" w:cstheme="majorBidi"/>
                <w:b/>
                <w:bCs/>
                <w:color w:val="0070C0"/>
              </w:rPr>
            </w:pPr>
            <w:r w:rsidRPr="00F75C0A">
              <w:rPr>
                <w:rFonts w:asciiTheme="majorBidi" w:hAnsiTheme="majorBidi" w:cstheme="majorBidi"/>
                <w:b/>
                <w:bCs/>
                <w:color w:val="0070C0"/>
              </w:rPr>
              <w:t>I</w:t>
            </w:r>
            <w:r w:rsidR="00A21D01" w:rsidRPr="00F75C0A">
              <w:rPr>
                <w:rFonts w:asciiTheme="majorBidi" w:hAnsiTheme="majorBidi" w:cstheme="majorBidi"/>
                <w:b/>
                <w:bCs/>
                <w:color w:val="0070C0"/>
              </w:rPr>
              <w:t xml:space="preserve">nflation </w:t>
            </w:r>
            <w:r w:rsidRPr="00F75C0A">
              <w:rPr>
                <w:rFonts w:asciiTheme="majorBidi" w:hAnsiTheme="majorBidi" w:cstheme="majorBidi"/>
                <w:b/>
                <w:bCs/>
                <w:color w:val="0070C0"/>
              </w:rPr>
              <w:t xml:space="preserve">forecast </w:t>
            </w:r>
            <w:r w:rsidR="00A21D01" w:rsidRPr="00F75C0A">
              <w:rPr>
                <w:rFonts w:asciiTheme="majorBidi" w:hAnsiTheme="majorBidi" w:cstheme="majorBidi"/>
                <w:b/>
                <w:bCs/>
                <w:color w:val="0070C0"/>
              </w:rPr>
              <w:t>for the coming year</w:t>
            </w:r>
            <w:r w:rsidR="00D62B59">
              <w:rPr>
                <w:rFonts w:asciiTheme="majorBidi" w:hAnsiTheme="majorBidi" w:cstheme="majorBidi"/>
                <w:b/>
                <w:bCs/>
                <w:color w:val="0070C0"/>
              </w:rPr>
              <w:t xml:space="preserve"> </w:t>
            </w:r>
            <w:r w:rsidR="00D62B59" w:rsidRPr="00F75C0A">
              <w:rPr>
                <w:rFonts w:asciiTheme="majorBidi" w:hAnsiTheme="majorBidi" w:cstheme="majorBidi"/>
                <w:b/>
                <w:bCs/>
                <w:color w:val="0070C0"/>
              </w:rPr>
              <w:t>and interest rate</w:t>
            </w:r>
            <w:r w:rsidR="00D62B59">
              <w:rPr>
                <w:rFonts w:asciiTheme="majorBidi" w:hAnsiTheme="majorBidi" w:cstheme="majorBidi"/>
                <w:b/>
                <w:bCs/>
                <w:color w:val="0070C0"/>
              </w:rPr>
              <w:t xml:space="preserve"> forecast for one year from now</w:t>
            </w:r>
          </w:p>
        </w:tc>
      </w:tr>
      <w:tr w:rsidR="00A21D01" w:rsidRPr="00B23575" w14:paraId="50D36D97"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019BCB50" w14:textId="77777777" w:rsidR="00A21D01" w:rsidRPr="00F75C0A" w:rsidRDefault="00A21D01" w:rsidP="00211EF7">
            <w:pPr>
              <w:bidi w:val="0"/>
              <w:jc w:val="right"/>
              <w:rPr>
                <w:rFonts w:asciiTheme="majorBidi" w:hAnsiTheme="majorBidi" w:cstheme="majorBidi"/>
                <w:color w:val="0070C0"/>
                <w:sz w:val="22"/>
                <w:szCs w:val="22"/>
              </w:rPr>
            </w:pPr>
            <w:r w:rsidRPr="00F75C0A">
              <w:rPr>
                <w:rFonts w:asciiTheme="majorBidi" w:hAnsiTheme="majorBidi" w:cstheme="majorBidi"/>
                <w:color w:val="0070C0"/>
                <w:sz w:val="22"/>
                <w:szCs w:val="22"/>
              </w:rPr>
              <w:t>(percent)</w:t>
            </w:r>
          </w:p>
        </w:tc>
      </w:tr>
      <w:tr w:rsidR="00A21D01" w:rsidRPr="00B23575" w14:paraId="6F08B337" w14:textId="77777777" w:rsidTr="0044397B">
        <w:trPr>
          <w:trHeight w:val="683"/>
          <w:tblHeader/>
        </w:trPr>
        <w:tc>
          <w:tcPr>
            <w:tcW w:w="2480" w:type="dxa"/>
            <w:tcBorders>
              <w:top w:val="nil"/>
              <w:left w:val="nil"/>
              <w:bottom w:val="nil"/>
              <w:right w:val="nil"/>
            </w:tcBorders>
            <w:shd w:val="clear" w:color="000000" w:fill="FFFFFF"/>
            <w:vAlign w:val="center"/>
            <w:hideMark/>
          </w:tcPr>
          <w:p w14:paraId="5A20162B" w14:textId="77777777" w:rsidR="00A21D01" w:rsidRPr="00211EF7" w:rsidRDefault="00A21D01" w:rsidP="0044397B">
            <w:pPr>
              <w:bidi w:val="0"/>
              <w:jc w:val="center"/>
              <w:rPr>
                <w:rFonts w:asciiTheme="majorBidi" w:hAnsiTheme="majorBidi" w:cstheme="majorBidi"/>
              </w:rPr>
            </w:pPr>
          </w:p>
        </w:tc>
        <w:tc>
          <w:tcPr>
            <w:tcW w:w="2094" w:type="dxa"/>
            <w:tcBorders>
              <w:top w:val="nil"/>
              <w:left w:val="nil"/>
              <w:bottom w:val="nil"/>
              <w:right w:val="nil"/>
            </w:tcBorders>
            <w:shd w:val="clear" w:color="000000" w:fill="FFFFFF"/>
            <w:vAlign w:val="center"/>
            <w:hideMark/>
          </w:tcPr>
          <w:p w14:paraId="1BFF4C89" w14:textId="32F70915" w:rsidR="00A21D01" w:rsidRPr="00F93D9D" w:rsidRDefault="00A21D01" w:rsidP="0044397B">
            <w:pPr>
              <w:bidi w:val="0"/>
              <w:jc w:val="center"/>
              <w:rPr>
                <w:rFonts w:asciiTheme="majorBidi" w:hAnsiTheme="majorBidi" w:cstheme="majorBidi"/>
                <w:vertAlign w:val="superscript"/>
              </w:rPr>
            </w:pPr>
            <w:r w:rsidRPr="00211EF7">
              <w:rPr>
                <w:rFonts w:asciiTheme="majorBidi" w:hAnsiTheme="majorBidi" w:cstheme="majorBidi"/>
              </w:rPr>
              <w:t xml:space="preserve">Bank of Israel Research </w:t>
            </w:r>
            <w:proofErr w:type="spellStart"/>
            <w:r w:rsidRPr="00211EF7">
              <w:rPr>
                <w:rFonts w:asciiTheme="majorBidi" w:hAnsiTheme="majorBidi" w:cstheme="majorBidi"/>
              </w:rPr>
              <w:t>Department</w:t>
            </w:r>
            <w:r w:rsidR="00F93D9D">
              <w:rPr>
                <w:rFonts w:asciiTheme="majorBidi" w:hAnsiTheme="majorBidi" w:cstheme="majorBidi"/>
                <w:vertAlign w:val="superscript"/>
              </w:rPr>
              <w:t>a</w:t>
            </w:r>
            <w:proofErr w:type="spellEnd"/>
          </w:p>
        </w:tc>
        <w:tc>
          <w:tcPr>
            <w:tcW w:w="1540" w:type="dxa"/>
            <w:tcBorders>
              <w:top w:val="nil"/>
              <w:left w:val="nil"/>
              <w:bottom w:val="nil"/>
              <w:right w:val="nil"/>
            </w:tcBorders>
            <w:shd w:val="clear" w:color="000000" w:fill="FFFFFF"/>
            <w:vAlign w:val="center"/>
            <w:hideMark/>
          </w:tcPr>
          <w:p w14:paraId="2C27E03D" w14:textId="20F09656"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 xml:space="preserve">Capital </w:t>
            </w:r>
            <w:proofErr w:type="spellStart"/>
            <w:r w:rsidRPr="00211EF7">
              <w:rPr>
                <w:rFonts w:asciiTheme="majorBidi" w:hAnsiTheme="majorBidi" w:cstheme="majorBidi"/>
              </w:rPr>
              <w:t>markets</w:t>
            </w:r>
            <w:r w:rsidR="00F93D9D">
              <w:rPr>
                <w:rFonts w:asciiTheme="majorBidi" w:hAnsiTheme="majorBidi" w:cstheme="majorBidi"/>
                <w:vertAlign w:val="superscript"/>
              </w:rPr>
              <w:t>b</w:t>
            </w:r>
            <w:proofErr w:type="spellEnd"/>
          </w:p>
        </w:tc>
        <w:tc>
          <w:tcPr>
            <w:tcW w:w="2119" w:type="dxa"/>
            <w:tcBorders>
              <w:top w:val="nil"/>
              <w:left w:val="nil"/>
              <w:bottom w:val="nil"/>
              <w:right w:val="nil"/>
            </w:tcBorders>
            <w:shd w:val="clear" w:color="000000" w:fill="FFFFFF"/>
            <w:vAlign w:val="center"/>
            <w:hideMark/>
          </w:tcPr>
          <w:p w14:paraId="10D24E0B" w14:textId="02D9E8C6" w:rsidR="00A21D01" w:rsidRPr="00F93D9D" w:rsidRDefault="00A21D01" w:rsidP="0044397B">
            <w:pPr>
              <w:bidi w:val="0"/>
              <w:jc w:val="center"/>
              <w:rPr>
                <w:rFonts w:asciiTheme="majorBidi" w:hAnsiTheme="majorBidi" w:cstheme="majorBidi"/>
              </w:rPr>
            </w:pPr>
            <w:r w:rsidRPr="00211EF7">
              <w:rPr>
                <w:rFonts w:asciiTheme="majorBidi" w:hAnsiTheme="majorBidi" w:cstheme="majorBidi"/>
              </w:rPr>
              <w:t xml:space="preserve">Private </w:t>
            </w:r>
            <w:proofErr w:type="spellStart"/>
            <w:r w:rsidRPr="00211EF7">
              <w:rPr>
                <w:rFonts w:asciiTheme="majorBidi" w:hAnsiTheme="majorBidi" w:cstheme="majorBidi"/>
              </w:rPr>
              <w:t>forecasters</w:t>
            </w:r>
            <w:r w:rsidR="00F93D9D">
              <w:rPr>
                <w:rFonts w:asciiTheme="majorBidi" w:hAnsiTheme="majorBidi" w:cstheme="majorBidi"/>
                <w:vertAlign w:val="superscript"/>
              </w:rPr>
              <w:t>c</w:t>
            </w:r>
            <w:proofErr w:type="spellEnd"/>
            <w:r w:rsidR="00F93D9D">
              <w:rPr>
                <w:rFonts w:asciiTheme="majorBidi" w:hAnsiTheme="majorBidi" w:cstheme="majorBidi"/>
              </w:rPr>
              <w:t xml:space="preserve"> (range of forecasts)</w:t>
            </w:r>
          </w:p>
        </w:tc>
      </w:tr>
      <w:tr w:rsidR="00F53855" w:rsidRPr="00B23575" w14:paraId="2A7A5559"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3BD0402A" w14:textId="54408167" w:rsidR="00F53855" w:rsidRPr="00211EF7" w:rsidRDefault="00F53855" w:rsidP="00F93D9D">
            <w:pPr>
              <w:bidi w:val="0"/>
              <w:jc w:val="center"/>
              <w:rPr>
                <w:rFonts w:asciiTheme="majorBidi" w:hAnsiTheme="majorBidi" w:cstheme="majorBidi"/>
              </w:rPr>
            </w:pPr>
            <w:r w:rsidRPr="00211EF7">
              <w:rPr>
                <w:rFonts w:asciiTheme="majorBidi" w:hAnsiTheme="majorBidi" w:cstheme="majorBidi"/>
              </w:rPr>
              <w:t>Inflation rate</w:t>
            </w:r>
          </w:p>
        </w:tc>
        <w:tc>
          <w:tcPr>
            <w:tcW w:w="2094" w:type="dxa"/>
            <w:tcBorders>
              <w:top w:val="single" w:sz="4" w:space="0" w:color="auto"/>
              <w:left w:val="nil"/>
              <w:bottom w:val="nil"/>
              <w:right w:val="nil"/>
            </w:tcBorders>
            <w:shd w:val="clear" w:color="auto" w:fill="auto"/>
            <w:vAlign w:val="center"/>
          </w:tcPr>
          <w:p w14:paraId="3F3A5669" w14:textId="462E159D" w:rsidR="00A2696D" w:rsidRPr="00211EF7" w:rsidRDefault="000E4216" w:rsidP="002E13EC">
            <w:pPr>
              <w:bidi w:val="0"/>
              <w:jc w:val="center"/>
              <w:rPr>
                <w:rFonts w:asciiTheme="majorBidi" w:hAnsiTheme="majorBidi" w:cstheme="majorBidi"/>
              </w:rPr>
            </w:pPr>
            <w:r>
              <w:rPr>
                <w:rFonts w:asciiTheme="majorBidi" w:hAnsiTheme="majorBidi" w:cstheme="majorBidi"/>
              </w:rPr>
              <w:t>2.3</w:t>
            </w:r>
          </w:p>
        </w:tc>
        <w:tc>
          <w:tcPr>
            <w:tcW w:w="1540" w:type="dxa"/>
            <w:tcBorders>
              <w:top w:val="single" w:sz="4" w:space="0" w:color="auto"/>
              <w:left w:val="nil"/>
              <w:bottom w:val="nil"/>
              <w:right w:val="nil"/>
            </w:tcBorders>
            <w:shd w:val="clear" w:color="auto" w:fill="auto"/>
            <w:vAlign w:val="center"/>
          </w:tcPr>
          <w:p w14:paraId="3C11DB1A" w14:textId="7E5B6851" w:rsidR="00F53855" w:rsidRPr="00211EF7" w:rsidRDefault="008730D4" w:rsidP="00615CDF">
            <w:pPr>
              <w:bidi w:val="0"/>
              <w:jc w:val="center"/>
              <w:rPr>
                <w:rFonts w:asciiTheme="majorBidi" w:hAnsiTheme="majorBidi" w:cstheme="majorBidi"/>
              </w:rPr>
            </w:pPr>
            <w:r>
              <w:rPr>
                <w:rFonts w:asciiTheme="majorBidi" w:hAnsiTheme="majorBidi" w:cstheme="majorBidi"/>
              </w:rPr>
              <w:t>1.</w:t>
            </w:r>
            <w:r w:rsidR="00615CDF">
              <w:rPr>
                <w:rFonts w:asciiTheme="majorBidi" w:hAnsiTheme="majorBidi" w:cstheme="majorBidi"/>
              </w:rPr>
              <w:t>8</w:t>
            </w:r>
          </w:p>
        </w:tc>
        <w:tc>
          <w:tcPr>
            <w:tcW w:w="2119" w:type="dxa"/>
            <w:tcBorders>
              <w:top w:val="single" w:sz="4" w:space="0" w:color="auto"/>
              <w:left w:val="nil"/>
              <w:bottom w:val="nil"/>
              <w:right w:val="nil"/>
            </w:tcBorders>
            <w:shd w:val="clear" w:color="auto" w:fill="auto"/>
            <w:vAlign w:val="center"/>
          </w:tcPr>
          <w:p w14:paraId="140F4FF0" w14:textId="2EB33756" w:rsidR="00F53855" w:rsidRPr="00211EF7" w:rsidRDefault="00EC32FA" w:rsidP="00615CDF">
            <w:pPr>
              <w:bidi w:val="0"/>
              <w:jc w:val="center"/>
              <w:rPr>
                <w:rFonts w:asciiTheme="majorBidi" w:hAnsiTheme="majorBidi" w:cstheme="majorBidi"/>
              </w:rPr>
            </w:pPr>
            <w:r>
              <w:rPr>
                <w:rFonts w:asciiTheme="majorBidi" w:hAnsiTheme="majorBidi" w:cstheme="majorBidi"/>
              </w:rPr>
              <w:t>2.</w:t>
            </w:r>
            <w:r w:rsidR="00615CDF">
              <w:rPr>
                <w:rFonts w:asciiTheme="majorBidi" w:hAnsiTheme="majorBidi" w:cstheme="majorBidi"/>
              </w:rPr>
              <w:t>3</w:t>
            </w:r>
          </w:p>
        </w:tc>
      </w:tr>
      <w:tr w:rsidR="00F53855" w:rsidRPr="00B23575" w14:paraId="7CA280C5"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322902C9"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tcPr>
          <w:p w14:paraId="6A5CAF7C"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tcPr>
          <w:p w14:paraId="00C5196B"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nil"/>
              <w:right w:val="nil"/>
            </w:tcBorders>
            <w:shd w:val="clear" w:color="auto" w:fill="auto"/>
            <w:noWrap/>
            <w:vAlign w:val="center"/>
          </w:tcPr>
          <w:p w14:paraId="246CCA88" w14:textId="49BCA686" w:rsidR="00F53855" w:rsidRPr="00211EF7" w:rsidRDefault="000D5119" w:rsidP="00856207">
            <w:pPr>
              <w:bidi w:val="0"/>
              <w:jc w:val="center"/>
              <w:rPr>
                <w:rFonts w:asciiTheme="majorBidi" w:hAnsiTheme="majorBidi" w:cstheme="majorBidi"/>
              </w:rPr>
            </w:pPr>
            <w:r>
              <w:rPr>
                <w:rFonts w:asciiTheme="majorBidi" w:hAnsiTheme="majorBidi" w:cstheme="majorBidi"/>
              </w:rPr>
              <w:t>(</w:t>
            </w:r>
            <w:r w:rsidR="00615CDF">
              <w:rPr>
                <w:rFonts w:asciiTheme="majorBidi" w:hAnsiTheme="majorBidi" w:cstheme="majorBidi"/>
              </w:rPr>
              <w:t>2.0</w:t>
            </w:r>
            <w:r>
              <w:rPr>
                <w:rFonts w:asciiTheme="majorBidi" w:hAnsiTheme="majorBidi" w:cstheme="majorBidi"/>
              </w:rPr>
              <w:t>–</w:t>
            </w:r>
            <w:r w:rsidR="00856207">
              <w:rPr>
                <w:rFonts w:asciiTheme="majorBidi" w:hAnsiTheme="majorBidi" w:cstheme="majorBidi" w:hint="cs"/>
                <w:rtl/>
              </w:rPr>
              <w:t>3</w:t>
            </w:r>
            <w:r w:rsidR="00677A3F">
              <w:rPr>
                <w:rFonts w:asciiTheme="majorBidi" w:hAnsiTheme="majorBidi" w:cstheme="majorBidi"/>
              </w:rPr>
              <w:t>.</w:t>
            </w:r>
            <w:r w:rsidR="00615CDF">
              <w:rPr>
                <w:rFonts w:asciiTheme="majorBidi" w:hAnsiTheme="majorBidi" w:cstheme="majorBidi"/>
              </w:rPr>
              <w:t>0</w:t>
            </w:r>
            <w:r>
              <w:rPr>
                <w:rFonts w:asciiTheme="majorBidi" w:hAnsiTheme="majorBidi" w:cstheme="majorBidi"/>
              </w:rPr>
              <w:t>)</w:t>
            </w:r>
          </w:p>
        </w:tc>
      </w:tr>
      <w:tr w:rsidR="00F53855" w:rsidRPr="00B23575" w14:paraId="50390345" w14:textId="77777777" w:rsidTr="004C2B26">
        <w:trPr>
          <w:trHeight w:val="274"/>
          <w:tblHeader/>
        </w:trPr>
        <w:tc>
          <w:tcPr>
            <w:tcW w:w="2480" w:type="dxa"/>
            <w:tcBorders>
              <w:top w:val="nil"/>
              <w:left w:val="nil"/>
              <w:bottom w:val="nil"/>
              <w:right w:val="nil"/>
            </w:tcBorders>
            <w:shd w:val="clear" w:color="auto" w:fill="auto"/>
            <w:vAlign w:val="center"/>
            <w:hideMark/>
          </w:tcPr>
          <w:p w14:paraId="01330835" w14:textId="23DB0028" w:rsidR="00F53855" w:rsidRPr="00211EF7" w:rsidRDefault="00F53855" w:rsidP="00F93D9D">
            <w:pPr>
              <w:bidi w:val="0"/>
              <w:jc w:val="center"/>
              <w:rPr>
                <w:rFonts w:asciiTheme="majorBidi" w:hAnsiTheme="majorBidi" w:cstheme="majorBidi"/>
              </w:rPr>
            </w:pPr>
            <w:r w:rsidRPr="00211EF7">
              <w:rPr>
                <w:rFonts w:asciiTheme="majorBidi" w:hAnsiTheme="majorBidi" w:cstheme="majorBidi"/>
              </w:rPr>
              <w:t>Interest rate</w:t>
            </w:r>
          </w:p>
        </w:tc>
        <w:tc>
          <w:tcPr>
            <w:tcW w:w="2094" w:type="dxa"/>
            <w:tcBorders>
              <w:top w:val="nil"/>
              <w:left w:val="nil"/>
              <w:bottom w:val="nil"/>
              <w:right w:val="nil"/>
            </w:tcBorders>
            <w:shd w:val="clear" w:color="auto" w:fill="auto"/>
            <w:vAlign w:val="center"/>
          </w:tcPr>
          <w:p w14:paraId="1DCE9413" w14:textId="10F09C78" w:rsidR="00F53855" w:rsidRPr="00211EF7" w:rsidRDefault="00677A3F" w:rsidP="008730D4">
            <w:pPr>
              <w:bidi w:val="0"/>
              <w:jc w:val="center"/>
              <w:rPr>
                <w:rFonts w:asciiTheme="majorBidi" w:hAnsiTheme="majorBidi" w:cstheme="majorBidi"/>
              </w:rPr>
            </w:pPr>
            <w:r>
              <w:rPr>
                <w:rFonts w:asciiTheme="majorBidi" w:hAnsiTheme="majorBidi" w:cstheme="majorBidi"/>
              </w:rPr>
              <w:t>3.5</w:t>
            </w:r>
            <w:r w:rsidR="000E4216">
              <w:rPr>
                <w:rFonts w:asciiTheme="majorBidi" w:hAnsiTheme="majorBidi" w:cstheme="majorBidi"/>
              </w:rPr>
              <w:t>/3.75</w:t>
            </w:r>
          </w:p>
        </w:tc>
        <w:tc>
          <w:tcPr>
            <w:tcW w:w="1540" w:type="dxa"/>
            <w:tcBorders>
              <w:top w:val="nil"/>
              <w:left w:val="nil"/>
              <w:bottom w:val="nil"/>
              <w:right w:val="nil"/>
            </w:tcBorders>
            <w:shd w:val="clear" w:color="auto" w:fill="auto"/>
            <w:vAlign w:val="center"/>
          </w:tcPr>
          <w:p w14:paraId="191366EF" w14:textId="5A375BB5" w:rsidR="004C2B26" w:rsidRPr="00211EF7" w:rsidRDefault="00871F11" w:rsidP="000E4216">
            <w:pPr>
              <w:bidi w:val="0"/>
              <w:jc w:val="center"/>
              <w:rPr>
                <w:rFonts w:asciiTheme="majorBidi" w:hAnsiTheme="majorBidi" w:cstheme="majorBidi"/>
              </w:rPr>
            </w:pPr>
            <w:r>
              <w:rPr>
                <w:rFonts w:asciiTheme="majorBidi" w:hAnsiTheme="majorBidi" w:cstheme="majorBidi"/>
              </w:rPr>
              <w:t>3.</w:t>
            </w:r>
            <w:r w:rsidR="00615CDF">
              <w:rPr>
                <w:rFonts w:asciiTheme="majorBidi" w:hAnsiTheme="majorBidi" w:cstheme="majorBidi"/>
              </w:rPr>
              <w:t>9</w:t>
            </w:r>
          </w:p>
        </w:tc>
        <w:tc>
          <w:tcPr>
            <w:tcW w:w="2119" w:type="dxa"/>
            <w:tcBorders>
              <w:top w:val="single" w:sz="4" w:space="0" w:color="auto"/>
              <w:left w:val="nil"/>
              <w:bottom w:val="nil"/>
              <w:right w:val="nil"/>
            </w:tcBorders>
            <w:shd w:val="clear" w:color="auto" w:fill="auto"/>
            <w:vAlign w:val="center"/>
            <w:hideMark/>
          </w:tcPr>
          <w:p w14:paraId="1860AF7D" w14:textId="6345DBF8" w:rsidR="00F53855" w:rsidRPr="00211EF7" w:rsidRDefault="00EC32FA" w:rsidP="00615CDF">
            <w:pPr>
              <w:bidi w:val="0"/>
              <w:jc w:val="center"/>
              <w:rPr>
                <w:rFonts w:asciiTheme="majorBidi" w:hAnsiTheme="majorBidi" w:cstheme="majorBidi"/>
                <w:rtl/>
              </w:rPr>
            </w:pPr>
            <w:r>
              <w:rPr>
                <w:rFonts w:asciiTheme="majorBidi" w:hAnsiTheme="majorBidi" w:cstheme="majorBidi"/>
              </w:rPr>
              <w:t>3.</w:t>
            </w:r>
            <w:r w:rsidR="00615CDF">
              <w:rPr>
                <w:rFonts w:asciiTheme="majorBidi" w:hAnsiTheme="majorBidi" w:cstheme="majorBidi"/>
              </w:rPr>
              <w:t>5</w:t>
            </w:r>
          </w:p>
        </w:tc>
      </w:tr>
      <w:tr w:rsidR="00F53855" w:rsidRPr="00B23575" w14:paraId="67D96607" w14:textId="77777777" w:rsidTr="000D5119">
        <w:trPr>
          <w:trHeight w:val="238"/>
          <w:tblHeader/>
        </w:trPr>
        <w:tc>
          <w:tcPr>
            <w:tcW w:w="2480" w:type="dxa"/>
            <w:tcBorders>
              <w:top w:val="nil"/>
              <w:left w:val="nil"/>
              <w:bottom w:val="single" w:sz="4" w:space="0" w:color="auto"/>
              <w:right w:val="nil"/>
            </w:tcBorders>
            <w:shd w:val="clear" w:color="auto" w:fill="auto"/>
            <w:vAlign w:val="center"/>
            <w:hideMark/>
          </w:tcPr>
          <w:p w14:paraId="363F60BF"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hideMark/>
          </w:tcPr>
          <w:p w14:paraId="386F461F"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hideMark/>
          </w:tcPr>
          <w:p w14:paraId="1FE1D8B9"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single" w:sz="4" w:space="0" w:color="auto"/>
              <w:right w:val="nil"/>
            </w:tcBorders>
            <w:shd w:val="clear" w:color="auto" w:fill="auto"/>
            <w:noWrap/>
            <w:vAlign w:val="center"/>
            <w:hideMark/>
          </w:tcPr>
          <w:p w14:paraId="3643F34B" w14:textId="19A0F0FC" w:rsidR="00F53855" w:rsidRPr="00211EF7" w:rsidRDefault="00F53855" w:rsidP="000E4216">
            <w:pPr>
              <w:bidi w:val="0"/>
              <w:jc w:val="center"/>
              <w:rPr>
                <w:rFonts w:asciiTheme="majorBidi" w:hAnsiTheme="majorBidi" w:cstheme="majorBidi"/>
              </w:rPr>
            </w:pPr>
            <w:r w:rsidRPr="00211EF7">
              <w:rPr>
                <w:rFonts w:asciiTheme="majorBidi" w:hAnsiTheme="majorBidi" w:cstheme="majorBidi"/>
              </w:rPr>
              <w:t>(</w:t>
            </w:r>
            <w:r w:rsidR="00EC32FA">
              <w:rPr>
                <w:rFonts w:asciiTheme="majorBidi" w:hAnsiTheme="majorBidi" w:cstheme="majorBidi"/>
              </w:rPr>
              <w:t>3.</w:t>
            </w:r>
            <w:r w:rsidR="000E4216">
              <w:rPr>
                <w:rFonts w:asciiTheme="majorBidi" w:hAnsiTheme="majorBidi" w:cstheme="majorBidi"/>
              </w:rPr>
              <w:t>0</w:t>
            </w:r>
            <w:r w:rsidR="00A2696D">
              <w:rPr>
                <w:rFonts w:asciiTheme="majorBidi" w:hAnsiTheme="majorBidi" w:cstheme="majorBidi"/>
              </w:rPr>
              <w:t>–</w:t>
            </w:r>
            <w:r w:rsidR="008730D4">
              <w:rPr>
                <w:rFonts w:asciiTheme="majorBidi" w:hAnsiTheme="majorBidi" w:cstheme="majorBidi"/>
              </w:rPr>
              <w:t>3.</w:t>
            </w:r>
            <w:r w:rsidR="00615CDF">
              <w:rPr>
                <w:rFonts w:asciiTheme="majorBidi" w:hAnsiTheme="majorBidi" w:cstheme="majorBidi"/>
              </w:rPr>
              <w:t>75</w:t>
            </w:r>
            <w:r w:rsidR="001C55F7">
              <w:rPr>
                <w:rFonts w:asciiTheme="majorBidi" w:hAnsiTheme="majorBidi" w:cstheme="majorBidi"/>
              </w:rPr>
              <w:t>)</w:t>
            </w:r>
          </w:p>
        </w:tc>
      </w:tr>
      <w:tr w:rsidR="00A21D01" w:rsidRPr="00B23575" w14:paraId="79FE25C5" w14:textId="77777777" w:rsidTr="00A21D01">
        <w:trPr>
          <w:trHeight w:val="257"/>
          <w:tblHeader/>
        </w:trPr>
        <w:tc>
          <w:tcPr>
            <w:tcW w:w="8233" w:type="dxa"/>
            <w:gridSpan w:val="4"/>
            <w:tcBorders>
              <w:top w:val="nil"/>
              <w:left w:val="nil"/>
              <w:bottom w:val="nil"/>
              <w:right w:val="nil"/>
            </w:tcBorders>
            <w:shd w:val="clear" w:color="auto" w:fill="auto"/>
            <w:hideMark/>
          </w:tcPr>
          <w:p w14:paraId="7B7E2DE2" w14:textId="31627760" w:rsidR="00F93D9D" w:rsidRDefault="00F93D9D" w:rsidP="000E4216">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 xml:space="preserve">The inflation rate during the four quarters ending in the </w:t>
            </w:r>
            <w:r w:rsidR="000E4216">
              <w:rPr>
                <w:rFonts w:asciiTheme="majorBidi" w:hAnsiTheme="majorBidi" w:cstheme="majorBidi"/>
                <w:sz w:val="20"/>
                <w:szCs w:val="20"/>
              </w:rPr>
              <w:t>first</w:t>
            </w:r>
            <w:r>
              <w:rPr>
                <w:rFonts w:asciiTheme="majorBidi" w:hAnsiTheme="majorBidi" w:cstheme="majorBidi"/>
                <w:sz w:val="20"/>
                <w:szCs w:val="20"/>
              </w:rPr>
              <w:t xml:space="preserve"> quarter of 202</w:t>
            </w:r>
            <w:r w:rsidR="000E4216">
              <w:rPr>
                <w:rFonts w:asciiTheme="majorBidi" w:hAnsiTheme="majorBidi" w:cstheme="majorBidi"/>
                <w:sz w:val="20"/>
                <w:szCs w:val="20"/>
              </w:rPr>
              <w:t>7</w:t>
            </w:r>
            <w:r>
              <w:rPr>
                <w:rFonts w:asciiTheme="majorBidi" w:hAnsiTheme="majorBidi" w:cstheme="majorBidi"/>
                <w:sz w:val="20"/>
                <w:szCs w:val="20"/>
              </w:rPr>
              <w:t xml:space="preserve">, and the average interest rate in the </w:t>
            </w:r>
            <w:r w:rsidR="000E4216">
              <w:rPr>
                <w:rFonts w:asciiTheme="majorBidi" w:hAnsiTheme="majorBidi" w:cstheme="majorBidi"/>
                <w:sz w:val="20"/>
                <w:szCs w:val="20"/>
              </w:rPr>
              <w:t>first</w:t>
            </w:r>
            <w:r>
              <w:rPr>
                <w:rFonts w:asciiTheme="majorBidi" w:hAnsiTheme="majorBidi" w:cstheme="majorBidi"/>
                <w:sz w:val="20"/>
                <w:szCs w:val="20"/>
              </w:rPr>
              <w:t xml:space="preserve"> quarter of 202</w:t>
            </w:r>
            <w:r w:rsidR="000E4216">
              <w:rPr>
                <w:rFonts w:asciiTheme="majorBidi" w:hAnsiTheme="majorBidi" w:cstheme="majorBidi"/>
                <w:sz w:val="20"/>
                <w:szCs w:val="20"/>
              </w:rPr>
              <w:t>7</w:t>
            </w:r>
            <w:r>
              <w:rPr>
                <w:rFonts w:asciiTheme="majorBidi" w:hAnsiTheme="majorBidi" w:cstheme="majorBidi"/>
                <w:sz w:val="20"/>
                <w:szCs w:val="20"/>
              </w:rPr>
              <w:t>.</w:t>
            </w:r>
          </w:p>
          <w:p w14:paraId="1A2BF5F5" w14:textId="2925350A" w:rsidR="00446B32" w:rsidRPr="007A06BA" w:rsidRDefault="00F93D9D" w:rsidP="00615CDF">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A</w:t>
            </w:r>
            <w:r w:rsidR="00862770" w:rsidRPr="007A06BA">
              <w:rPr>
                <w:rFonts w:asciiTheme="majorBidi" w:hAnsiTheme="majorBidi" w:cstheme="majorBidi"/>
                <w:sz w:val="20"/>
                <w:szCs w:val="20"/>
              </w:rPr>
              <w:t xml:space="preserve">s of </w:t>
            </w:r>
            <w:r w:rsidR="000E4216">
              <w:rPr>
                <w:rFonts w:asciiTheme="majorBidi" w:hAnsiTheme="majorBidi" w:cstheme="majorBidi"/>
                <w:sz w:val="20"/>
                <w:szCs w:val="20"/>
              </w:rPr>
              <w:t xml:space="preserve">March </w:t>
            </w:r>
            <w:r w:rsidR="00615CDF">
              <w:rPr>
                <w:rFonts w:asciiTheme="majorBidi" w:hAnsiTheme="majorBidi" w:cstheme="majorBidi" w:hint="cs"/>
                <w:sz w:val="20"/>
                <w:szCs w:val="20"/>
                <w:rtl/>
              </w:rPr>
              <w:t>30</w:t>
            </w:r>
            <w:r w:rsidR="008730D4">
              <w:rPr>
                <w:rFonts w:asciiTheme="majorBidi" w:hAnsiTheme="majorBidi" w:cstheme="majorBidi"/>
                <w:sz w:val="20"/>
                <w:szCs w:val="20"/>
              </w:rPr>
              <w:t>, 2026</w:t>
            </w:r>
            <w:r w:rsidR="005650EE" w:rsidRPr="007A06BA">
              <w:rPr>
                <w:rFonts w:asciiTheme="majorBidi" w:hAnsiTheme="majorBidi" w:cstheme="majorBidi"/>
                <w:sz w:val="20"/>
                <w:szCs w:val="20"/>
              </w:rPr>
              <w:t>.</w:t>
            </w:r>
            <w:r>
              <w:rPr>
                <w:rFonts w:asciiTheme="majorBidi" w:hAnsiTheme="majorBidi" w:cstheme="majorBidi"/>
                <w:sz w:val="20"/>
                <w:szCs w:val="20"/>
              </w:rPr>
              <w:t xml:space="preserve"> Inflation expectations </w:t>
            </w:r>
            <w:proofErr w:type="gramStart"/>
            <w:r>
              <w:rPr>
                <w:rFonts w:asciiTheme="majorBidi" w:hAnsiTheme="majorBidi" w:cstheme="majorBidi"/>
                <w:sz w:val="20"/>
                <w:szCs w:val="20"/>
              </w:rPr>
              <w:t>are seasonally adjusted</w:t>
            </w:r>
            <w:proofErr w:type="gramEnd"/>
            <w:r>
              <w:rPr>
                <w:rFonts w:asciiTheme="majorBidi" w:hAnsiTheme="majorBidi" w:cstheme="majorBidi"/>
                <w:sz w:val="20"/>
                <w:szCs w:val="20"/>
              </w:rPr>
              <w:t xml:space="preserve"> and </w:t>
            </w:r>
            <w:r w:rsidR="008730D4">
              <w:rPr>
                <w:rFonts w:asciiTheme="majorBidi" w:hAnsiTheme="majorBidi" w:cstheme="majorBidi"/>
                <w:sz w:val="20"/>
                <w:szCs w:val="20"/>
              </w:rPr>
              <w:t>relate to one year forward. I</w:t>
            </w:r>
            <w:r>
              <w:rPr>
                <w:rFonts w:asciiTheme="majorBidi" w:hAnsiTheme="majorBidi" w:cstheme="majorBidi"/>
                <w:sz w:val="20"/>
                <w:szCs w:val="20"/>
              </w:rPr>
              <w:t xml:space="preserve">nterest rate expectations </w:t>
            </w:r>
            <w:proofErr w:type="gramStart"/>
            <w:r>
              <w:rPr>
                <w:rFonts w:asciiTheme="majorBidi" w:hAnsiTheme="majorBidi" w:cstheme="majorBidi"/>
                <w:sz w:val="20"/>
                <w:szCs w:val="20"/>
              </w:rPr>
              <w:t>are based</w:t>
            </w:r>
            <w:proofErr w:type="gramEnd"/>
            <w:r>
              <w:rPr>
                <w:rFonts w:asciiTheme="majorBidi" w:hAnsiTheme="majorBidi" w:cstheme="majorBidi"/>
                <w:sz w:val="20"/>
                <w:szCs w:val="20"/>
              </w:rPr>
              <w:t xml:space="preserve"> on </w:t>
            </w:r>
            <w:r w:rsidR="00E57458">
              <w:rPr>
                <w:rFonts w:asciiTheme="majorBidi" w:hAnsiTheme="majorBidi" w:cstheme="majorBidi"/>
                <w:sz w:val="20"/>
                <w:szCs w:val="20"/>
              </w:rPr>
              <w:t xml:space="preserve">the Bank of Israel’s analysis of </w:t>
            </w:r>
            <w:r>
              <w:rPr>
                <w:rFonts w:asciiTheme="majorBidi" w:hAnsiTheme="majorBidi" w:cstheme="majorBidi"/>
                <w:sz w:val="20"/>
                <w:szCs w:val="20"/>
              </w:rPr>
              <w:t xml:space="preserve">the </w:t>
            </w:r>
            <w:r w:rsidR="00410812">
              <w:rPr>
                <w:rFonts w:asciiTheme="majorBidi" w:hAnsiTheme="majorBidi" w:cstheme="majorBidi"/>
                <w:sz w:val="20"/>
                <w:szCs w:val="20"/>
              </w:rPr>
              <w:t xml:space="preserve">average quotes </w:t>
            </w:r>
            <w:r w:rsidR="00817D4A">
              <w:rPr>
                <w:rFonts w:asciiTheme="majorBidi" w:hAnsiTheme="majorBidi" w:cstheme="majorBidi"/>
                <w:sz w:val="20"/>
                <w:szCs w:val="20"/>
              </w:rPr>
              <w:t>from the SHIR market</w:t>
            </w:r>
            <w:r>
              <w:rPr>
                <w:rFonts w:asciiTheme="majorBidi" w:hAnsiTheme="majorBidi" w:cstheme="majorBidi"/>
                <w:sz w:val="20"/>
                <w:szCs w:val="20"/>
              </w:rPr>
              <w:t>.</w:t>
            </w:r>
          </w:p>
          <w:p w14:paraId="20A87786" w14:textId="4F2C526F" w:rsidR="007A06BA" w:rsidRPr="00F93D9D" w:rsidRDefault="00F93D9D" w:rsidP="00615CDF">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A</w:t>
            </w:r>
            <w:r w:rsidR="007A06BA">
              <w:rPr>
                <w:rFonts w:asciiTheme="majorBidi" w:hAnsiTheme="majorBidi" w:cstheme="majorBidi"/>
                <w:sz w:val="20"/>
                <w:szCs w:val="20"/>
              </w:rPr>
              <w:t xml:space="preserve">s of </w:t>
            </w:r>
            <w:r w:rsidR="000E4216">
              <w:rPr>
                <w:rFonts w:asciiTheme="majorBidi" w:hAnsiTheme="majorBidi" w:cstheme="majorBidi"/>
                <w:sz w:val="20"/>
                <w:szCs w:val="20"/>
              </w:rPr>
              <w:t xml:space="preserve">March </w:t>
            </w:r>
            <w:r w:rsidR="00615CDF">
              <w:rPr>
                <w:rFonts w:asciiTheme="majorBidi" w:hAnsiTheme="majorBidi" w:cstheme="majorBidi" w:hint="cs"/>
                <w:sz w:val="20"/>
                <w:szCs w:val="20"/>
                <w:rtl/>
              </w:rPr>
              <w:t>30</w:t>
            </w:r>
            <w:r w:rsidR="008730D4">
              <w:rPr>
                <w:rFonts w:asciiTheme="majorBidi" w:hAnsiTheme="majorBidi" w:cstheme="majorBidi"/>
                <w:sz w:val="20"/>
                <w:szCs w:val="20"/>
              </w:rPr>
              <w:t>, 2026</w:t>
            </w:r>
            <w:r w:rsidR="007A06BA">
              <w:rPr>
                <w:rFonts w:asciiTheme="majorBidi" w:hAnsiTheme="majorBidi" w:cstheme="majorBidi"/>
                <w:sz w:val="20"/>
                <w:szCs w:val="20"/>
              </w:rPr>
              <w:t>.</w:t>
            </w:r>
            <w:r w:rsidR="004B7FE3">
              <w:rPr>
                <w:rFonts w:asciiTheme="majorBidi" w:hAnsiTheme="majorBidi" w:cstheme="majorBidi"/>
                <w:sz w:val="20"/>
                <w:szCs w:val="20"/>
              </w:rPr>
              <w:t xml:space="preserve">  The forecasters’ projections relate to the coming 12 index readings.</w:t>
            </w:r>
          </w:p>
        </w:tc>
      </w:tr>
      <w:tr w:rsidR="00A21D01" w:rsidRPr="00B23575" w14:paraId="184B4910" w14:textId="77777777" w:rsidTr="00A21D01">
        <w:trPr>
          <w:trHeight w:val="445"/>
          <w:tblHeader/>
        </w:trPr>
        <w:tc>
          <w:tcPr>
            <w:tcW w:w="8233" w:type="dxa"/>
            <w:gridSpan w:val="4"/>
            <w:tcBorders>
              <w:top w:val="nil"/>
              <w:left w:val="nil"/>
              <w:bottom w:val="nil"/>
              <w:right w:val="nil"/>
            </w:tcBorders>
            <w:shd w:val="clear" w:color="auto" w:fill="auto"/>
            <w:hideMark/>
          </w:tcPr>
          <w:p w14:paraId="4C84A8C4" w14:textId="77777777" w:rsidR="00FE6484" w:rsidRPr="00B23575" w:rsidRDefault="00FE6484" w:rsidP="00FE6484">
            <w:pPr>
              <w:bidi w:val="0"/>
              <w:rPr>
                <w:rFonts w:asciiTheme="majorBidi" w:hAnsiTheme="majorBidi" w:cstheme="majorBidi"/>
                <w:sz w:val="20"/>
                <w:szCs w:val="20"/>
                <w:rtl/>
              </w:rPr>
            </w:pPr>
            <w:r>
              <w:rPr>
                <w:rFonts w:asciiTheme="majorBidi" w:hAnsiTheme="majorBidi" w:cstheme="majorBidi"/>
                <w:sz w:val="20"/>
                <w:szCs w:val="20"/>
              </w:rPr>
              <w:t>SOURCE: Bank of Israel.</w:t>
            </w:r>
          </w:p>
        </w:tc>
      </w:tr>
    </w:tbl>
    <w:p w14:paraId="1B3EA6D5" w14:textId="77777777" w:rsidR="00D211EC" w:rsidRDefault="00D211EC" w:rsidP="009335C7">
      <w:pPr>
        <w:bidi w:val="0"/>
        <w:jc w:val="both"/>
        <w:rPr>
          <w:b/>
          <w:bCs/>
        </w:rPr>
      </w:pPr>
    </w:p>
    <w:p w14:paraId="6BD73EDD" w14:textId="77777777" w:rsidR="007A06BA" w:rsidRDefault="007A06BA" w:rsidP="007A06BA">
      <w:pPr>
        <w:bidi w:val="0"/>
        <w:spacing w:line="300" w:lineRule="exact"/>
        <w:jc w:val="both"/>
      </w:pPr>
    </w:p>
    <w:p w14:paraId="1B6C9E83" w14:textId="77777777" w:rsidR="00A21D01" w:rsidRPr="00CD2FC5" w:rsidRDefault="006648AB" w:rsidP="00202CCB">
      <w:pPr>
        <w:numPr>
          <w:ilvl w:val="0"/>
          <w:numId w:val="9"/>
        </w:numPr>
        <w:bidi w:val="0"/>
        <w:spacing w:line="360" w:lineRule="auto"/>
        <w:ind w:left="357" w:hanging="357"/>
        <w:jc w:val="both"/>
        <w:rPr>
          <w:b/>
          <w:bCs/>
        </w:rPr>
      </w:pPr>
      <w:r w:rsidRPr="00764EAD">
        <w:rPr>
          <w:b/>
          <w:bCs/>
        </w:rPr>
        <w:t>Main r</w:t>
      </w:r>
      <w:r w:rsidR="00A21D01" w:rsidRPr="00764EAD">
        <w:rPr>
          <w:b/>
          <w:bCs/>
        </w:rPr>
        <w:t xml:space="preserve">isks </w:t>
      </w:r>
      <w:r w:rsidR="00202CCB" w:rsidRPr="00764EAD">
        <w:rPr>
          <w:b/>
          <w:bCs/>
        </w:rPr>
        <w:t>to</w:t>
      </w:r>
      <w:r w:rsidR="00202CCB">
        <w:rPr>
          <w:b/>
          <w:bCs/>
        </w:rPr>
        <w:t xml:space="preserve"> </w:t>
      </w:r>
      <w:r w:rsidR="00A21D01">
        <w:rPr>
          <w:b/>
          <w:bCs/>
        </w:rPr>
        <w:t>the forecast</w:t>
      </w:r>
    </w:p>
    <w:p w14:paraId="35D32187" w14:textId="49C6B576" w:rsidR="00615CDF" w:rsidRDefault="000E4216" w:rsidP="00615CDF">
      <w:pPr>
        <w:bidi w:val="0"/>
        <w:jc w:val="both"/>
      </w:pPr>
      <w:r>
        <w:t xml:space="preserve">In view of the particularly high level of uncertainty, the Research Department also examined alternative scenarios relating to the duration of </w:t>
      </w:r>
      <w:proofErr w:type="gramStart"/>
      <w:r>
        <w:t>the military campaign and how it will end</w:t>
      </w:r>
      <w:proofErr w:type="gramEnd"/>
      <w:r>
        <w:t>.  A continuation of the fighting and the restrictions on activ</w:t>
      </w:r>
      <w:r w:rsidR="002C5C16">
        <w:t>ity o</w:t>
      </w:r>
      <w:r>
        <w:t>n the home front may lead to a more prolonged impairment of economic activity</w:t>
      </w:r>
      <w:r w:rsidR="00615CDF">
        <w:t>, which may worsen and expand to other channels</w:t>
      </w:r>
      <w:r>
        <w:t>.</w:t>
      </w:r>
      <w:r w:rsidR="00615CDF">
        <w:t xml:space="preserve">  Furthermore, how the campaign ends may have a material impact on the inflation environment, the risk premium, and the need for fiscal adjustments, particularly through energy prices, the exchange rate, and the defense budget. In this regard, the risks surrounding inflation </w:t>
      </w:r>
      <w:proofErr w:type="spellStart"/>
      <w:r w:rsidR="00615CDF">
        <w:t>tend</w:t>
      </w:r>
      <w:proofErr w:type="spellEnd"/>
      <w:r w:rsidR="00615CDF">
        <w:t xml:space="preserve"> upward, insofar as the prolonged geopolitical uncertainty is reflected in a </w:t>
      </w:r>
      <w:proofErr w:type="gramStart"/>
      <w:r w:rsidR="00615CDF">
        <w:t>high risk</w:t>
      </w:r>
      <w:proofErr w:type="gramEnd"/>
      <w:r w:rsidR="00615CDF">
        <w:t xml:space="preserve"> premium, depreciation of the shekel, and energy prices that are higher than the assumptions underlying the forecast. </w:t>
      </w:r>
    </w:p>
    <w:p w14:paraId="4D89C5A1" w14:textId="77777777" w:rsidR="00615CDF" w:rsidRDefault="00615CDF" w:rsidP="00615CDF">
      <w:pPr>
        <w:bidi w:val="0"/>
        <w:jc w:val="both"/>
      </w:pPr>
    </w:p>
    <w:p w14:paraId="31237AB4" w14:textId="4E64550B" w:rsidR="00615CDF" w:rsidRDefault="00615CDF" w:rsidP="00094E50">
      <w:pPr>
        <w:bidi w:val="0"/>
        <w:jc w:val="both"/>
      </w:pPr>
      <w:r>
        <w:t xml:space="preserve">In contrast, </w:t>
      </w:r>
      <w:proofErr w:type="gramStart"/>
      <w:r>
        <w:t>more positive geopol</w:t>
      </w:r>
      <w:r w:rsidR="00222265">
        <w:t>itical developments</w:t>
      </w:r>
      <w:proofErr w:type="gramEnd"/>
      <w:r w:rsidR="00222265">
        <w:t xml:space="preserve"> may support a more rapid recovery of economic activity</w:t>
      </w:r>
      <w:r w:rsidR="00094E50">
        <w:t xml:space="preserve"> and a decline of inflation, or alternatively, an increase in excess demand and an increase in inflation</w:t>
      </w:r>
      <w:r w:rsidR="00222265">
        <w:t xml:space="preserve">.  Accordingly, monetary policy will react to developments in the inflation environment and in activity.  If the inflationary pressures turn out to </w:t>
      </w:r>
      <w:proofErr w:type="gramStart"/>
      <w:r w:rsidR="00222265">
        <w:t>be more prolonged</w:t>
      </w:r>
      <w:proofErr w:type="gramEnd"/>
      <w:r w:rsidR="00222265">
        <w:t>, it would support a more restraining interest rate path, and if inflation moderates more quickly than expected alongside a decline in the risk premium, it would create room for a more rapid interest rate reduction.</w:t>
      </w:r>
    </w:p>
    <w:p w14:paraId="67BFDF8D" w14:textId="68291C1C" w:rsidR="00222265" w:rsidRDefault="00222265" w:rsidP="00222265">
      <w:pPr>
        <w:bidi w:val="0"/>
        <w:jc w:val="both"/>
      </w:pPr>
    </w:p>
    <w:p w14:paraId="00DE5816" w14:textId="29E588A5" w:rsidR="007E5779" w:rsidRDefault="007E5779" w:rsidP="005775AE">
      <w:pPr>
        <w:bidi w:val="0"/>
        <w:jc w:val="both"/>
        <w:rPr>
          <w:rtl/>
        </w:rPr>
      </w:pPr>
      <w:r>
        <w:t xml:space="preserve">Overall, looking at the variety of potential scenarios, the balance of risks tends </w:t>
      </w:r>
      <w:r w:rsidR="005775AE">
        <w:t>to point to lower growth than in the baseline scenario</w:t>
      </w:r>
      <w:r>
        <w:t xml:space="preserve">, while the risks of inflation </w:t>
      </w:r>
      <w:proofErr w:type="spellStart"/>
      <w:r>
        <w:t>tend</w:t>
      </w:r>
      <w:proofErr w:type="spellEnd"/>
      <w:r>
        <w:t xml:space="preserve"> upward.</w:t>
      </w:r>
    </w:p>
    <w:bookmarkEnd w:id="0"/>
    <w:p w14:paraId="171EECDA" w14:textId="77777777" w:rsidR="007E5779" w:rsidRDefault="007E5779" w:rsidP="007E5779">
      <w:pPr>
        <w:bidi w:val="0"/>
        <w:jc w:val="both"/>
        <w:rPr>
          <w:rtl/>
        </w:rPr>
      </w:pPr>
    </w:p>
    <w:sectPr w:rsidR="007E5779" w:rsidSect="00F52232">
      <w:footerReference w:type="default" r:id="rId12"/>
      <w:footerReference w:type="first" r:id="rId13"/>
      <w:pgSz w:w="11906" w:h="16838"/>
      <w:pgMar w:top="1134" w:right="1416" w:bottom="1418"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69D7" w14:textId="77777777" w:rsidR="007C1A7A" w:rsidRDefault="007C1A7A" w:rsidP="00AD16FC">
      <w:r>
        <w:separator/>
      </w:r>
    </w:p>
  </w:endnote>
  <w:endnote w:type="continuationSeparator" w:id="0">
    <w:p w14:paraId="6794927A" w14:textId="77777777" w:rsidR="007C1A7A" w:rsidRDefault="007C1A7A"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6FAB" w14:textId="3931D82B" w:rsidR="00A16ACA" w:rsidRDefault="00A16ACA" w:rsidP="00615CDF">
    <w:pPr>
      <w:pStyle w:val="a5"/>
      <w:bidi w:val="0"/>
      <w:jc w:val="center"/>
    </w:pPr>
    <w:r>
      <w:t>Bank of Israel — Research Department Macroeconomic Staff Forecast</w:t>
    </w:r>
    <w:r w:rsidR="004A4BD6">
      <w:t xml:space="preserve">, </w:t>
    </w:r>
    <w:r w:rsidR="00615CDF">
      <w:t>March</w:t>
    </w:r>
    <w:r w:rsidR="004A4BD6">
      <w:t xml:space="preserve"> 202</w:t>
    </w:r>
    <w:r w:rsidR="00A345AE">
      <w:t>6</w:t>
    </w:r>
  </w:p>
  <w:p w14:paraId="61039E0D" w14:textId="7E80C288" w:rsidR="00CA0296"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5E4ECA">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E4ECA">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FBB0" w14:textId="7CA1B3F8" w:rsidR="00CA0296" w:rsidRDefault="00AE0ADC" w:rsidP="009F1D5C">
    <w:pPr>
      <w:pStyle w:val="a5"/>
      <w:bidi w:val="0"/>
      <w:jc w:val="center"/>
    </w:pPr>
    <w:r>
      <w:t xml:space="preserve">Bank of Israel — Research Department Macroeconomic Staff Forecast, </w:t>
    </w:r>
    <w:r w:rsidR="009F1D5C">
      <w:t>March</w:t>
    </w:r>
    <w:r w:rsidR="0093113B">
      <w:t xml:space="preserve"> 2026</w:t>
    </w:r>
  </w:p>
  <w:p w14:paraId="6622DCD0" w14:textId="3DA753B2" w:rsidR="00AE0ADC"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5E4EC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E4ECA">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6FAA" w14:textId="77777777" w:rsidR="007C1A7A" w:rsidRDefault="007C1A7A" w:rsidP="00AD16FC">
      <w:r>
        <w:separator/>
      </w:r>
    </w:p>
  </w:footnote>
  <w:footnote w:type="continuationSeparator" w:id="0">
    <w:p w14:paraId="510CB41C" w14:textId="77777777" w:rsidR="007C1A7A" w:rsidRDefault="007C1A7A" w:rsidP="00AD16FC">
      <w:r>
        <w:continuationSeparator/>
      </w:r>
    </w:p>
  </w:footnote>
  <w:footnote w:id="1">
    <w:p w14:paraId="7F2E1BD5" w14:textId="476AD98C" w:rsidR="00A30AC5" w:rsidRPr="00F31BDD" w:rsidRDefault="00A30AC5" w:rsidP="009C7A47">
      <w:pPr>
        <w:pStyle w:val="aa"/>
        <w:bidi w:val="0"/>
        <w:jc w:val="both"/>
        <w:rPr>
          <w:rtl/>
        </w:rPr>
      </w:pPr>
      <w:r>
        <w:rPr>
          <w:rStyle w:val="ac"/>
        </w:rPr>
        <w:footnoteRef/>
      </w:r>
      <w:r>
        <w:rPr>
          <w:rtl/>
        </w:rPr>
        <w:t xml:space="preserve"> </w:t>
      </w:r>
      <w:r>
        <w:t xml:space="preserve"> The forecast </w:t>
      </w:r>
      <w:proofErr w:type="gramStart"/>
      <w:r>
        <w:t>was presented</w:t>
      </w:r>
      <w:proofErr w:type="gramEnd"/>
      <w:r>
        <w:t xml:space="preserve"> to the Bank of Israel Monetary Committee on </w:t>
      </w:r>
      <w:r w:rsidR="009C7A47">
        <w:t>March 29</w:t>
      </w:r>
      <w:r w:rsidR="0059481A">
        <w:t>, 2026</w:t>
      </w:r>
      <w:r>
        <w:t xml:space="preserve">, prior to the </w:t>
      </w:r>
      <w:r w:rsidRPr="00F31BDD">
        <w:t xml:space="preserve">decision on the interest rate made </w:t>
      </w:r>
      <w:r w:rsidR="00757359">
        <w:t xml:space="preserve">on </w:t>
      </w:r>
      <w:r w:rsidR="009C7A47">
        <w:t>March 30</w:t>
      </w:r>
      <w:r w:rsidR="0059481A">
        <w:t>, 2026</w:t>
      </w:r>
      <w:r w:rsidR="00D81515" w:rsidRPr="00F31BDD">
        <w:t>.</w:t>
      </w:r>
    </w:p>
  </w:footnote>
  <w:footnote w:id="2">
    <w:p w14:paraId="33B7A271" w14:textId="704E4363" w:rsidR="00E31A80" w:rsidRDefault="00E31A80" w:rsidP="009F1D5C">
      <w:pPr>
        <w:pStyle w:val="aa"/>
        <w:bidi w:val="0"/>
      </w:pPr>
      <w:r>
        <w:rPr>
          <w:rStyle w:val="ac"/>
        </w:rPr>
        <w:footnoteRef/>
      </w:r>
      <w:r>
        <w:rPr>
          <w:rtl/>
        </w:rPr>
        <w:t xml:space="preserve"> </w:t>
      </w:r>
      <w:r>
        <w:t xml:space="preserve"> </w:t>
      </w:r>
      <w:r w:rsidR="009F1D5C">
        <w:rPr>
          <w:rFonts w:hint="cs"/>
        </w:rPr>
        <w:t>T</w:t>
      </w:r>
      <w:r w:rsidR="009F1D5C">
        <w:t xml:space="preserve">he revised expenditure framework is NIS 699 billion, including a reserve of NIS 12.8 billion set aside for financing expenses that </w:t>
      </w:r>
      <w:proofErr w:type="gramStart"/>
      <w:r w:rsidR="009F1D5C">
        <w:t>are directly related</w:t>
      </w:r>
      <w:proofErr w:type="gramEnd"/>
      <w:r w:rsidR="009F1D5C">
        <w:t xml:space="preserve"> to the continuation of Operation Roaring Lion.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E2D49"/>
    <w:multiLevelType w:val="hybridMultilevel"/>
    <w:tmpl w:val="B8A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E1"/>
    <w:multiLevelType w:val="hybridMultilevel"/>
    <w:tmpl w:val="F9A62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03FE"/>
    <w:rsid w:val="000011B9"/>
    <w:rsid w:val="00003666"/>
    <w:rsid w:val="0000410B"/>
    <w:rsid w:val="00004767"/>
    <w:rsid w:val="000062AB"/>
    <w:rsid w:val="00006C8A"/>
    <w:rsid w:val="00007CCB"/>
    <w:rsid w:val="00012A9C"/>
    <w:rsid w:val="00012DBD"/>
    <w:rsid w:val="00014365"/>
    <w:rsid w:val="00015BD8"/>
    <w:rsid w:val="0001708B"/>
    <w:rsid w:val="000212CE"/>
    <w:rsid w:val="00021A8C"/>
    <w:rsid w:val="0002620A"/>
    <w:rsid w:val="000268BA"/>
    <w:rsid w:val="00030DCE"/>
    <w:rsid w:val="00036F1B"/>
    <w:rsid w:val="000379D4"/>
    <w:rsid w:val="0004151F"/>
    <w:rsid w:val="0004160A"/>
    <w:rsid w:val="0004176B"/>
    <w:rsid w:val="00044F2F"/>
    <w:rsid w:val="00045015"/>
    <w:rsid w:val="000463A7"/>
    <w:rsid w:val="00046EE6"/>
    <w:rsid w:val="000502B3"/>
    <w:rsid w:val="00050365"/>
    <w:rsid w:val="00051A87"/>
    <w:rsid w:val="0005428E"/>
    <w:rsid w:val="00056568"/>
    <w:rsid w:val="00060A3E"/>
    <w:rsid w:val="00060B61"/>
    <w:rsid w:val="00060F00"/>
    <w:rsid w:val="00061D28"/>
    <w:rsid w:val="00062FE3"/>
    <w:rsid w:val="00064736"/>
    <w:rsid w:val="0006649E"/>
    <w:rsid w:val="00075533"/>
    <w:rsid w:val="00077136"/>
    <w:rsid w:val="00080851"/>
    <w:rsid w:val="000821AD"/>
    <w:rsid w:val="00083E17"/>
    <w:rsid w:val="00085169"/>
    <w:rsid w:val="00087BFF"/>
    <w:rsid w:val="000905F1"/>
    <w:rsid w:val="00090662"/>
    <w:rsid w:val="00090AA3"/>
    <w:rsid w:val="0009185E"/>
    <w:rsid w:val="00091EE0"/>
    <w:rsid w:val="00094471"/>
    <w:rsid w:val="00094E50"/>
    <w:rsid w:val="00094F60"/>
    <w:rsid w:val="00095B99"/>
    <w:rsid w:val="00095D99"/>
    <w:rsid w:val="0009681A"/>
    <w:rsid w:val="000975CA"/>
    <w:rsid w:val="00097B7A"/>
    <w:rsid w:val="000A0CDA"/>
    <w:rsid w:val="000A3230"/>
    <w:rsid w:val="000A5761"/>
    <w:rsid w:val="000A661B"/>
    <w:rsid w:val="000A776C"/>
    <w:rsid w:val="000B091C"/>
    <w:rsid w:val="000B2298"/>
    <w:rsid w:val="000B2D7E"/>
    <w:rsid w:val="000B4DDD"/>
    <w:rsid w:val="000B566D"/>
    <w:rsid w:val="000B5F0C"/>
    <w:rsid w:val="000C0CAD"/>
    <w:rsid w:val="000C3AA1"/>
    <w:rsid w:val="000C4899"/>
    <w:rsid w:val="000C62F4"/>
    <w:rsid w:val="000C73AF"/>
    <w:rsid w:val="000C7FAC"/>
    <w:rsid w:val="000D1147"/>
    <w:rsid w:val="000D5119"/>
    <w:rsid w:val="000D5367"/>
    <w:rsid w:val="000D5A6B"/>
    <w:rsid w:val="000E0ABD"/>
    <w:rsid w:val="000E21F7"/>
    <w:rsid w:val="000E2E12"/>
    <w:rsid w:val="000E4216"/>
    <w:rsid w:val="000E5247"/>
    <w:rsid w:val="000E5777"/>
    <w:rsid w:val="000E5976"/>
    <w:rsid w:val="000E72C6"/>
    <w:rsid w:val="000F2234"/>
    <w:rsid w:val="000F3385"/>
    <w:rsid w:val="000F36F2"/>
    <w:rsid w:val="000F48F1"/>
    <w:rsid w:val="000F4B6C"/>
    <w:rsid w:val="000F6AA3"/>
    <w:rsid w:val="0010114F"/>
    <w:rsid w:val="00101C11"/>
    <w:rsid w:val="001031DD"/>
    <w:rsid w:val="00110005"/>
    <w:rsid w:val="00110630"/>
    <w:rsid w:val="00110CD6"/>
    <w:rsid w:val="00113C06"/>
    <w:rsid w:val="0011502F"/>
    <w:rsid w:val="0011529C"/>
    <w:rsid w:val="001156D4"/>
    <w:rsid w:val="0011627D"/>
    <w:rsid w:val="00117D18"/>
    <w:rsid w:val="001216CB"/>
    <w:rsid w:val="001218D4"/>
    <w:rsid w:val="00121BFE"/>
    <w:rsid w:val="001222A5"/>
    <w:rsid w:val="001222BC"/>
    <w:rsid w:val="00122462"/>
    <w:rsid w:val="00125698"/>
    <w:rsid w:val="00130360"/>
    <w:rsid w:val="00131338"/>
    <w:rsid w:val="00131A6A"/>
    <w:rsid w:val="00134075"/>
    <w:rsid w:val="00134B36"/>
    <w:rsid w:val="00136000"/>
    <w:rsid w:val="00136B68"/>
    <w:rsid w:val="00136F62"/>
    <w:rsid w:val="00144D12"/>
    <w:rsid w:val="001478D9"/>
    <w:rsid w:val="00151EC6"/>
    <w:rsid w:val="00153D2D"/>
    <w:rsid w:val="0016240A"/>
    <w:rsid w:val="001626C6"/>
    <w:rsid w:val="0016380B"/>
    <w:rsid w:val="001643BB"/>
    <w:rsid w:val="001723D2"/>
    <w:rsid w:val="0017294A"/>
    <w:rsid w:val="00172E4F"/>
    <w:rsid w:val="00176F0B"/>
    <w:rsid w:val="00177DD6"/>
    <w:rsid w:val="0018085C"/>
    <w:rsid w:val="001819F6"/>
    <w:rsid w:val="00184300"/>
    <w:rsid w:val="00184744"/>
    <w:rsid w:val="001914F7"/>
    <w:rsid w:val="00191E60"/>
    <w:rsid w:val="00194094"/>
    <w:rsid w:val="001971AC"/>
    <w:rsid w:val="001A27EF"/>
    <w:rsid w:val="001A39E4"/>
    <w:rsid w:val="001A3F54"/>
    <w:rsid w:val="001A4262"/>
    <w:rsid w:val="001A44B1"/>
    <w:rsid w:val="001A5342"/>
    <w:rsid w:val="001A794B"/>
    <w:rsid w:val="001A7A07"/>
    <w:rsid w:val="001B28EA"/>
    <w:rsid w:val="001B362F"/>
    <w:rsid w:val="001B55FD"/>
    <w:rsid w:val="001B7045"/>
    <w:rsid w:val="001B7D9D"/>
    <w:rsid w:val="001C0AC9"/>
    <w:rsid w:val="001C2571"/>
    <w:rsid w:val="001C2680"/>
    <w:rsid w:val="001C3544"/>
    <w:rsid w:val="001C55F7"/>
    <w:rsid w:val="001D21D1"/>
    <w:rsid w:val="001D76F5"/>
    <w:rsid w:val="001E0DAC"/>
    <w:rsid w:val="001E1311"/>
    <w:rsid w:val="001E14D5"/>
    <w:rsid w:val="001E2700"/>
    <w:rsid w:val="001E52BF"/>
    <w:rsid w:val="001E5C9F"/>
    <w:rsid w:val="001F2F2F"/>
    <w:rsid w:val="001F390D"/>
    <w:rsid w:val="001F57FB"/>
    <w:rsid w:val="001F69AF"/>
    <w:rsid w:val="00200E9B"/>
    <w:rsid w:val="0020285E"/>
    <w:rsid w:val="00202CCB"/>
    <w:rsid w:val="00205E52"/>
    <w:rsid w:val="00206BD3"/>
    <w:rsid w:val="00207522"/>
    <w:rsid w:val="00207CCA"/>
    <w:rsid w:val="0021167C"/>
    <w:rsid w:val="00211EF7"/>
    <w:rsid w:val="00213E62"/>
    <w:rsid w:val="002142E4"/>
    <w:rsid w:val="00217D29"/>
    <w:rsid w:val="00221B38"/>
    <w:rsid w:val="00222265"/>
    <w:rsid w:val="00225FAA"/>
    <w:rsid w:val="002260C5"/>
    <w:rsid w:val="00226664"/>
    <w:rsid w:val="00227A43"/>
    <w:rsid w:val="00233A26"/>
    <w:rsid w:val="002345E4"/>
    <w:rsid w:val="00234A33"/>
    <w:rsid w:val="00235170"/>
    <w:rsid w:val="0023631B"/>
    <w:rsid w:val="002363D1"/>
    <w:rsid w:val="00236603"/>
    <w:rsid w:val="002405BC"/>
    <w:rsid w:val="00241E66"/>
    <w:rsid w:val="0024200C"/>
    <w:rsid w:val="00242401"/>
    <w:rsid w:val="0024299E"/>
    <w:rsid w:val="002439E9"/>
    <w:rsid w:val="0024454F"/>
    <w:rsid w:val="0024467B"/>
    <w:rsid w:val="002452B1"/>
    <w:rsid w:val="002461FF"/>
    <w:rsid w:val="00247644"/>
    <w:rsid w:val="002512BB"/>
    <w:rsid w:val="00252B31"/>
    <w:rsid w:val="002558D9"/>
    <w:rsid w:val="0025636F"/>
    <w:rsid w:val="00256A10"/>
    <w:rsid w:val="00256BCE"/>
    <w:rsid w:val="00257892"/>
    <w:rsid w:val="002621A5"/>
    <w:rsid w:val="00262227"/>
    <w:rsid w:val="00262C88"/>
    <w:rsid w:val="00266083"/>
    <w:rsid w:val="0026626A"/>
    <w:rsid w:val="00270252"/>
    <w:rsid w:val="0027063A"/>
    <w:rsid w:val="00273C4C"/>
    <w:rsid w:val="00275A36"/>
    <w:rsid w:val="00282853"/>
    <w:rsid w:val="002857E1"/>
    <w:rsid w:val="00291398"/>
    <w:rsid w:val="002945D2"/>
    <w:rsid w:val="002966D2"/>
    <w:rsid w:val="002A1839"/>
    <w:rsid w:val="002A3BC1"/>
    <w:rsid w:val="002A4261"/>
    <w:rsid w:val="002A4B84"/>
    <w:rsid w:val="002B1C60"/>
    <w:rsid w:val="002B2C54"/>
    <w:rsid w:val="002B3EAC"/>
    <w:rsid w:val="002C0AF6"/>
    <w:rsid w:val="002C2B40"/>
    <w:rsid w:val="002C5C16"/>
    <w:rsid w:val="002C67C7"/>
    <w:rsid w:val="002C74F7"/>
    <w:rsid w:val="002D152A"/>
    <w:rsid w:val="002D3C08"/>
    <w:rsid w:val="002D50CF"/>
    <w:rsid w:val="002D581C"/>
    <w:rsid w:val="002D6565"/>
    <w:rsid w:val="002E13EC"/>
    <w:rsid w:val="002E1A22"/>
    <w:rsid w:val="002E2BE2"/>
    <w:rsid w:val="002E350D"/>
    <w:rsid w:val="002E37F1"/>
    <w:rsid w:val="002E3EE1"/>
    <w:rsid w:val="002E5ED3"/>
    <w:rsid w:val="002E616F"/>
    <w:rsid w:val="002F0472"/>
    <w:rsid w:val="002F4ECB"/>
    <w:rsid w:val="002F53E5"/>
    <w:rsid w:val="002F70E9"/>
    <w:rsid w:val="0030038B"/>
    <w:rsid w:val="00300699"/>
    <w:rsid w:val="00302E2F"/>
    <w:rsid w:val="00303FDE"/>
    <w:rsid w:val="00304398"/>
    <w:rsid w:val="00304BF1"/>
    <w:rsid w:val="00305C7B"/>
    <w:rsid w:val="003071BC"/>
    <w:rsid w:val="00307FE2"/>
    <w:rsid w:val="0031335E"/>
    <w:rsid w:val="00314260"/>
    <w:rsid w:val="00314D4E"/>
    <w:rsid w:val="00320A7D"/>
    <w:rsid w:val="00322A23"/>
    <w:rsid w:val="00323260"/>
    <w:rsid w:val="00323FE7"/>
    <w:rsid w:val="00324468"/>
    <w:rsid w:val="00326605"/>
    <w:rsid w:val="00326B5C"/>
    <w:rsid w:val="00327BB0"/>
    <w:rsid w:val="00333B0C"/>
    <w:rsid w:val="003366FD"/>
    <w:rsid w:val="003379D1"/>
    <w:rsid w:val="003415C9"/>
    <w:rsid w:val="0034489A"/>
    <w:rsid w:val="00353C9A"/>
    <w:rsid w:val="00354E0E"/>
    <w:rsid w:val="00363628"/>
    <w:rsid w:val="003638DE"/>
    <w:rsid w:val="0036519C"/>
    <w:rsid w:val="0036663A"/>
    <w:rsid w:val="00367112"/>
    <w:rsid w:val="00371244"/>
    <w:rsid w:val="003723AE"/>
    <w:rsid w:val="00374016"/>
    <w:rsid w:val="0037682D"/>
    <w:rsid w:val="00382474"/>
    <w:rsid w:val="0038300A"/>
    <w:rsid w:val="00391040"/>
    <w:rsid w:val="00391BF2"/>
    <w:rsid w:val="003936A5"/>
    <w:rsid w:val="003955F5"/>
    <w:rsid w:val="00395ECA"/>
    <w:rsid w:val="003979D7"/>
    <w:rsid w:val="003A16A5"/>
    <w:rsid w:val="003A247B"/>
    <w:rsid w:val="003A2BCF"/>
    <w:rsid w:val="003A4EDD"/>
    <w:rsid w:val="003A6075"/>
    <w:rsid w:val="003A6415"/>
    <w:rsid w:val="003B0F6C"/>
    <w:rsid w:val="003B1806"/>
    <w:rsid w:val="003B4955"/>
    <w:rsid w:val="003B5BA1"/>
    <w:rsid w:val="003B6E09"/>
    <w:rsid w:val="003C02C4"/>
    <w:rsid w:val="003C3A13"/>
    <w:rsid w:val="003C3A73"/>
    <w:rsid w:val="003C51B3"/>
    <w:rsid w:val="003C5F5C"/>
    <w:rsid w:val="003C6D39"/>
    <w:rsid w:val="003C7BEB"/>
    <w:rsid w:val="003C7C25"/>
    <w:rsid w:val="003D04E1"/>
    <w:rsid w:val="003D3BC1"/>
    <w:rsid w:val="003D3C91"/>
    <w:rsid w:val="003D41B1"/>
    <w:rsid w:val="003D71BE"/>
    <w:rsid w:val="003E041D"/>
    <w:rsid w:val="003E08B6"/>
    <w:rsid w:val="003E266A"/>
    <w:rsid w:val="003E5DCB"/>
    <w:rsid w:val="003F0CAA"/>
    <w:rsid w:val="003F1F24"/>
    <w:rsid w:val="003F33D5"/>
    <w:rsid w:val="003F40AA"/>
    <w:rsid w:val="003F5174"/>
    <w:rsid w:val="00404ACD"/>
    <w:rsid w:val="00407E88"/>
    <w:rsid w:val="00410736"/>
    <w:rsid w:val="00410812"/>
    <w:rsid w:val="00413594"/>
    <w:rsid w:val="00416C49"/>
    <w:rsid w:val="00422142"/>
    <w:rsid w:val="00422170"/>
    <w:rsid w:val="0042257A"/>
    <w:rsid w:val="00422A8D"/>
    <w:rsid w:val="00423EEF"/>
    <w:rsid w:val="004246B5"/>
    <w:rsid w:val="004247E4"/>
    <w:rsid w:val="00425B3F"/>
    <w:rsid w:val="00425D38"/>
    <w:rsid w:val="00431AC5"/>
    <w:rsid w:val="00432907"/>
    <w:rsid w:val="00432F14"/>
    <w:rsid w:val="00434CA0"/>
    <w:rsid w:val="00435505"/>
    <w:rsid w:val="004355BE"/>
    <w:rsid w:val="00435DE5"/>
    <w:rsid w:val="00436407"/>
    <w:rsid w:val="00442670"/>
    <w:rsid w:val="0044397B"/>
    <w:rsid w:val="00444B06"/>
    <w:rsid w:val="00446B32"/>
    <w:rsid w:val="004501E8"/>
    <w:rsid w:val="00452B89"/>
    <w:rsid w:val="00452BAE"/>
    <w:rsid w:val="00453D2B"/>
    <w:rsid w:val="00454090"/>
    <w:rsid w:val="004548EA"/>
    <w:rsid w:val="0045680E"/>
    <w:rsid w:val="00456CAD"/>
    <w:rsid w:val="00460495"/>
    <w:rsid w:val="004634B5"/>
    <w:rsid w:val="00463684"/>
    <w:rsid w:val="004654C3"/>
    <w:rsid w:val="0046610D"/>
    <w:rsid w:val="00466491"/>
    <w:rsid w:val="00466E45"/>
    <w:rsid w:val="00467167"/>
    <w:rsid w:val="004675C1"/>
    <w:rsid w:val="004679ED"/>
    <w:rsid w:val="004706AE"/>
    <w:rsid w:val="00470DAC"/>
    <w:rsid w:val="00472053"/>
    <w:rsid w:val="0047600F"/>
    <w:rsid w:val="00477EF7"/>
    <w:rsid w:val="0048096C"/>
    <w:rsid w:val="00480B23"/>
    <w:rsid w:val="004850D5"/>
    <w:rsid w:val="00487712"/>
    <w:rsid w:val="004902DA"/>
    <w:rsid w:val="00490AF3"/>
    <w:rsid w:val="0049210C"/>
    <w:rsid w:val="0049358B"/>
    <w:rsid w:val="00493F59"/>
    <w:rsid w:val="00495C8C"/>
    <w:rsid w:val="00496D92"/>
    <w:rsid w:val="004975C8"/>
    <w:rsid w:val="004A0284"/>
    <w:rsid w:val="004A0C32"/>
    <w:rsid w:val="004A4413"/>
    <w:rsid w:val="004A4BD6"/>
    <w:rsid w:val="004A5916"/>
    <w:rsid w:val="004A6595"/>
    <w:rsid w:val="004A7A34"/>
    <w:rsid w:val="004B16A2"/>
    <w:rsid w:val="004B178F"/>
    <w:rsid w:val="004B2862"/>
    <w:rsid w:val="004B3835"/>
    <w:rsid w:val="004B39F5"/>
    <w:rsid w:val="004B415E"/>
    <w:rsid w:val="004B687A"/>
    <w:rsid w:val="004B7FE3"/>
    <w:rsid w:val="004C06F2"/>
    <w:rsid w:val="004C2B26"/>
    <w:rsid w:val="004C4648"/>
    <w:rsid w:val="004C64DB"/>
    <w:rsid w:val="004C6D8F"/>
    <w:rsid w:val="004C77DF"/>
    <w:rsid w:val="004D3688"/>
    <w:rsid w:val="004D4B4E"/>
    <w:rsid w:val="004D5A93"/>
    <w:rsid w:val="004E0BC8"/>
    <w:rsid w:val="004E1A6E"/>
    <w:rsid w:val="004E439A"/>
    <w:rsid w:val="004E4EDE"/>
    <w:rsid w:val="004E6580"/>
    <w:rsid w:val="004E71DD"/>
    <w:rsid w:val="004F4469"/>
    <w:rsid w:val="004F5B5B"/>
    <w:rsid w:val="004F6E9A"/>
    <w:rsid w:val="004F6FA6"/>
    <w:rsid w:val="004F745B"/>
    <w:rsid w:val="004F764E"/>
    <w:rsid w:val="00500C71"/>
    <w:rsid w:val="00501059"/>
    <w:rsid w:val="00502A88"/>
    <w:rsid w:val="005049F9"/>
    <w:rsid w:val="00505C3E"/>
    <w:rsid w:val="005064F4"/>
    <w:rsid w:val="005079F6"/>
    <w:rsid w:val="00511532"/>
    <w:rsid w:val="005138D9"/>
    <w:rsid w:val="00513EBA"/>
    <w:rsid w:val="005145B3"/>
    <w:rsid w:val="00514812"/>
    <w:rsid w:val="00517AA1"/>
    <w:rsid w:val="00522485"/>
    <w:rsid w:val="005259C8"/>
    <w:rsid w:val="005263C5"/>
    <w:rsid w:val="00526A3D"/>
    <w:rsid w:val="00527802"/>
    <w:rsid w:val="00530763"/>
    <w:rsid w:val="00532260"/>
    <w:rsid w:val="005338C6"/>
    <w:rsid w:val="005353CA"/>
    <w:rsid w:val="005371B8"/>
    <w:rsid w:val="00537D44"/>
    <w:rsid w:val="00541457"/>
    <w:rsid w:val="00541F01"/>
    <w:rsid w:val="005430AC"/>
    <w:rsid w:val="005462CC"/>
    <w:rsid w:val="005464BF"/>
    <w:rsid w:val="00547FE2"/>
    <w:rsid w:val="00550719"/>
    <w:rsid w:val="00550958"/>
    <w:rsid w:val="00550DB9"/>
    <w:rsid w:val="0055377E"/>
    <w:rsid w:val="005537E5"/>
    <w:rsid w:val="00553BFE"/>
    <w:rsid w:val="005608BA"/>
    <w:rsid w:val="00560FF6"/>
    <w:rsid w:val="00561A58"/>
    <w:rsid w:val="005650EE"/>
    <w:rsid w:val="005660D0"/>
    <w:rsid w:val="00566CFA"/>
    <w:rsid w:val="00567BBF"/>
    <w:rsid w:val="00567BD9"/>
    <w:rsid w:val="00571311"/>
    <w:rsid w:val="005715D5"/>
    <w:rsid w:val="00571AF0"/>
    <w:rsid w:val="005746E6"/>
    <w:rsid w:val="0057714E"/>
    <w:rsid w:val="005775AE"/>
    <w:rsid w:val="00577844"/>
    <w:rsid w:val="005778CC"/>
    <w:rsid w:val="00580B69"/>
    <w:rsid w:val="00586880"/>
    <w:rsid w:val="00587791"/>
    <w:rsid w:val="00591B6F"/>
    <w:rsid w:val="005946CC"/>
    <w:rsid w:val="0059481A"/>
    <w:rsid w:val="00595042"/>
    <w:rsid w:val="0059526F"/>
    <w:rsid w:val="0059707C"/>
    <w:rsid w:val="005A37A5"/>
    <w:rsid w:val="005A3805"/>
    <w:rsid w:val="005A4028"/>
    <w:rsid w:val="005A6809"/>
    <w:rsid w:val="005A7EDF"/>
    <w:rsid w:val="005B2620"/>
    <w:rsid w:val="005B6C8C"/>
    <w:rsid w:val="005B7FE0"/>
    <w:rsid w:val="005C16EC"/>
    <w:rsid w:val="005C1FD5"/>
    <w:rsid w:val="005C2BD4"/>
    <w:rsid w:val="005C4E0D"/>
    <w:rsid w:val="005C5507"/>
    <w:rsid w:val="005C636E"/>
    <w:rsid w:val="005C7192"/>
    <w:rsid w:val="005C76FE"/>
    <w:rsid w:val="005D1848"/>
    <w:rsid w:val="005D38C9"/>
    <w:rsid w:val="005D5BC7"/>
    <w:rsid w:val="005D6EBF"/>
    <w:rsid w:val="005D773A"/>
    <w:rsid w:val="005D77B9"/>
    <w:rsid w:val="005D7D3B"/>
    <w:rsid w:val="005E0237"/>
    <w:rsid w:val="005E18E9"/>
    <w:rsid w:val="005E4ECA"/>
    <w:rsid w:val="005E6AD1"/>
    <w:rsid w:val="005E6CFC"/>
    <w:rsid w:val="005E7BD3"/>
    <w:rsid w:val="005F1F9D"/>
    <w:rsid w:val="005F2B24"/>
    <w:rsid w:val="005F6371"/>
    <w:rsid w:val="005F638E"/>
    <w:rsid w:val="005F6830"/>
    <w:rsid w:val="005F7583"/>
    <w:rsid w:val="006001D0"/>
    <w:rsid w:val="0060705B"/>
    <w:rsid w:val="006100B7"/>
    <w:rsid w:val="0061045E"/>
    <w:rsid w:val="00611D9B"/>
    <w:rsid w:val="006120B8"/>
    <w:rsid w:val="00614BA6"/>
    <w:rsid w:val="00615CDF"/>
    <w:rsid w:val="00621127"/>
    <w:rsid w:val="006220D7"/>
    <w:rsid w:val="006264EC"/>
    <w:rsid w:val="0063072B"/>
    <w:rsid w:val="00631795"/>
    <w:rsid w:val="00632EEB"/>
    <w:rsid w:val="00637B9C"/>
    <w:rsid w:val="006418B2"/>
    <w:rsid w:val="00641EA5"/>
    <w:rsid w:val="006476B5"/>
    <w:rsid w:val="00651E7C"/>
    <w:rsid w:val="0065321D"/>
    <w:rsid w:val="00653278"/>
    <w:rsid w:val="00653705"/>
    <w:rsid w:val="00654B16"/>
    <w:rsid w:val="00655875"/>
    <w:rsid w:val="00655AFC"/>
    <w:rsid w:val="0065681F"/>
    <w:rsid w:val="00657FD2"/>
    <w:rsid w:val="0066009C"/>
    <w:rsid w:val="00660ADD"/>
    <w:rsid w:val="00663523"/>
    <w:rsid w:val="00664763"/>
    <w:rsid w:val="006648AB"/>
    <w:rsid w:val="00667BE4"/>
    <w:rsid w:val="00667C18"/>
    <w:rsid w:val="00670CEE"/>
    <w:rsid w:val="00672A9F"/>
    <w:rsid w:val="00675998"/>
    <w:rsid w:val="00677A3F"/>
    <w:rsid w:val="00677FE0"/>
    <w:rsid w:val="00680EDD"/>
    <w:rsid w:val="0068229E"/>
    <w:rsid w:val="00682563"/>
    <w:rsid w:val="006866C5"/>
    <w:rsid w:val="00686EBE"/>
    <w:rsid w:val="00690F17"/>
    <w:rsid w:val="0069716E"/>
    <w:rsid w:val="00697916"/>
    <w:rsid w:val="006979F4"/>
    <w:rsid w:val="006A1A74"/>
    <w:rsid w:val="006A647D"/>
    <w:rsid w:val="006A71E3"/>
    <w:rsid w:val="006A7E98"/>
    <w:rsid w:val="006B2402"/>
    <w:rsid w:val="006B2670"/>
    <w:rsid w:val="006B2EE9"/>
    <w:rsid w:val="006B64B8"/>
    <w:rsid w:val="006B72C0"/>
    <w:rsid w:val="006C03C8"/>
    <w:rsid w:val="006C0D25"/>
    <w:rsid w:val="006C2D83"/>
    <w:rsid w:val="006C48FC"/>
    <w:rsid w:val="006C6293"/>
    <w:rsid w:val="006D3F0D"/>
    <w:rsid w:val="006D561A"/>
    <w:rsid w:val="006D574F"/>
    <w:rsid w:val="006D7526"/>
    <w:rsid w:val="006D7BD2"/>
    <w:rsid w:val="006E0D2E"/>
    <w:rsid w:val="006E2552"/>
    <w:rsid w:val="006E6A4A"/>
    <w:rsid w:val="006F0F8C"/>
    <w:rsid w:val="006F28D8"/>
    <w:rsid w:val="006F3960"/>
    <w:rsid w:val="006F3A76"/>
    <w:rsid w:val="006F513A"/>
    <w:rsid w:val="00700196"/>
    <w:rsid w:val="007002DD"/>
    <w:rsid w:val="00704513"/>
    <w:rsid w:val="00705A5F"/>
    <w:rsid w:val="00705C0E"/>
    <w:rsid w:val="007065E7"/>
    <w:rsid w:val="00712802"/>
    <w:rsid w:val="00715AB2"/>
    <w:rsid w:val="00716661"/>
    <w:rsid w:val="00717133"/>
    <w:rsid w:val="007179F2"/>
    <w:rsid w:val="00717F8A"/>
    <w:rsid w:val="00725CB0"/>
    <w:rsid w:val="00732673"/>
    <w:rsid w:val="00733360"/>
    <w:rsid w:val="00734E01"/>
    <w:rsid w:val="00735B53"/>
    <w:rsid w:val="00736708"/>
    <w:rsid w:val="00736C6C"/>
    <w:rsid w:val="00737CE5"/>
    <w:rsid w:val="00740773"/>
    <w:rsid w:val="007456D1"/>
    <w:rsid w:val="00746090"/>
    <w:rsid w:val="00747482"/>
    <w:rsid w:val="00756CD9"/>
    <w:rsid w:val="00757359"/>
    <w:rsid w:val="00761C27"/>
    <w:rsid w:val="00762E0A"/>
    <w:rsid w:val="00763872"/>
    <w:rsid w:val="007638FC"/>
    <w:rsid w:val="00763946"/>
    <w:rsid w:val="00763A43"/>
    <w:rsid w:val="00763FAB"/>
    <w:rsid w:val="00764EAD"/>
    <w:rsid w:val="007669FC"/>
    <w:rsid w:val="00766FCF"/>
    <w:rsid w:val="007674CC"/>
    <w:rsid w:val="00767CA2"/>
    <w:rsid w:val="0077284B"/>
    <w:rsid w:val="00777384"/>
    <w:rsid w:val="00785144"/>
    <w:rsid w:val="007864A7"/>
    <w:rsid w:val="007871AC"/>
    <w:rsid w:val="00787523"/>
    <w:rsid w:val="00790C99"/>
    <w:rsid w:val="007953DF"/>
    <w:rsid w:val="007A06BA"/>
    <w:rsid w:val="007A2D96"/>
    <w:rsid w:val="007A3D38"/>
    <w:rsid w:val="007A4B17"/>
    <w:rsid w:val="007A782B"/>
    <w:rsid w:val="007B1CDB"/>
    <w:rsid w:val="007B2F40"/>
    <w:rsid w:val="007B3087"/>
    <w:rsid w:val="007B40F4"/>
    <w:rsid w:val="007B4AFB"/>
    <w:rsid w:val="007B4F27"/>
    <w:rsid w:val="007B7F32"/>
    <w:rsid w:val="007C0339"/>
    <w:rsid w:val="007C1A7A"/>
    <w:rsid w:val="007C4EFD"/>
    <w:rsid w:val="007D04C3"/>
    <w:rsid w:val="007D063F"/>
    <w:rsid w:val="007D1DF5"/>
    <w:rsid w:val="007D4F49"/>
    <w:rsid w:val="007D509C"/>
    <w:rsid w:val="007D6422"/>
    <w:rsid w:val="007D70EA"/>
    <w:rsid w:val="007E05AB"/>
    <w:rsid w:val="007E0AB6"/>
    <w:rsid w:val="007E443D"/>
    <w:rsid w:val="007E523C"/>
    <w:rsid w:val="007E5779"/>
    <w:rsid w:val="007F2871"/>
    <w:rsid w:val="007F3C4C"/>
    <w:rsid w:val="007F509E"/>
    <w:rsid w:val="008009B5"/>
    <w:rsid w:val="00802B46"/>
    <w:rsid w:val="00803944"/>
    <w:rsid w:val="00804864"/>
    <w:rsid w:val="008052B5"/>
    <w:rsid w:val="008065C4"/>
    <w:rsid w:val="00813118"/>
    <w:rsid w:val="0081390B"/>
    <w:rsid w:val="00814623"/>
    <w:rsid w:val="00814E81"/>
    <w:rsid w:val="0081703A"/>
    <w:rsid w:val="00817D4A"/>
    <w:rsid w:val="0082256B"/>
    <w:rsid w:val="00823618"/>
    <w:rsid w:val="00826421"/>
    <w:rsid w:val="008277E1"/>
    <w:rsid w:val="008305AA"/>
    <w:rsid w:val="00832B9D"/>
    <w:rsid w:val="00833768"/>
    <w:rsid w:val="00834D8E"/>
    <w:rsid w:val="00834DA7"/>
    <w:rsid w:val="00835712"/>
    <w:rsid w:val="00836E60"/>
    <w:rsid w:val="00840221"/>
    <w:rsid w:val="0084185E"/>
    <w:rsid w:val="00843592"/>
    <w:rsid w:val="00844652"/>
    <w:rsid w:val="0084562F"/>
    <w:rsid w:val="00845C66"/>
    <w:rsid w:val="008512DE"/>
    <w:rsid w:val="00856207"/>
    <w:rsid w:val="0085644E"/>
    <w:rsid w:val="00860246"/>
    <w:rsid w:val="00860679"/>
    <w:rsid w:val="0086132E"/>
    <w:rsid w:val="00861F13"/>
    <w:rsid w:val="00862770"/>
    <w:rsid w:val="0086369E"/>
    <w:rsid w:val="00863B19"/>
    <w:rsid w:val="00864D44"/>
    <w:rsid w:val="00864E97"/>
    <w:rsid w:val="0086708B"/>
    <w:rsid w:val="00870412"/>
    <w:rsid w:val="00870695"/>
    <w:rsid w:val="008707BC"/>
    <w:rsid w:val="0087184F"/>
    <w:rsid w:val="00871E07"/>
    <w:rsid w:val="00871E54"/>
    <w:rsid w:val="00871F11"/>
    <w:rsid w:val="008730D4"/>
    <w:rsid w:val="00876B2F"/>
    <w:rsid w:val="008823BA"/>
    <w:rsid w:val="008826C5"/>
    <w:rsid w:val="008839C3"/>
    <w:rsid w:val="00883D6F"/>
    <w:rsid w:val="008862AC"/>
    <w:rsid w:val="00886302"/>
    <w:rsid w:val="00887FE6"/>
    <w:rsid w:val="00890A34"/>
    <w:rsid w:val="00891991"/>
    <w:rsid w:val="00891E50"/>
    <w:rsid w:val="00892A41"/>
    <w:rsid w:val="0089451E"/>
    <w:rsid w:val="008954B2"/>
    <w:rsid w:val="00896FC1"/>
    <w:rsid w:val="0089777D"/>
    <w:rsid w:val="008A0250"/>
    <w:rsid w:val="008A08E9"/>
    <w:rsid w:val="008A0E53"/>
    <w:rsid w:val="008B34A2"/>
    <w:rsid w:val="008B48AF"/>
    <w:rsid w:val="008B6821"/>
    <w:rsid w:val="008B6A6E"/>
    <w:rsid w:val="008C1D94"/>
    <w:rsid w:val="008C462B"/>
    <w:rsid w:val="008C5D59"/>
    <w:rsid w:val="008C5F5F"/>
    <w:rsid w:val="008C68E4"/>
    <w:rsid w:val="008C7898"/>
    <w:rsid w:val="008D3638"/>
    <w:rsid w:val="008D65F1"/>
    <w:rsid w:val="008D6A2E"/>
    <w:rsid w:val="008E00AA"/>
    <w:rsid w:val="008E12B0"/>
    <w:rsid w:val="008E27BC"/>
    <w:rsid w:val="008E2CD2"/>
    <w:rsid w:val="008E5126"/>
    <w:rsid w:val="008E5631"/>
    <w:rsid w:val="008E6FFD"/>
    <w:rsid w:val="008F2323"/>
    <w:rsid w:val="008F34C7"/>
    <w:rsid w:val="008F5935"/>
    <w:rsid w:val="008F5BA4"/>
    <w:rsid w:val="008F5DD7"/>
    <w:rsid w:val="008F7582"/>
    <w:rsid w:val="00900D37"/>
    <w:rsid w:val="00905330"/>
    <w:rsid w:val="009120C7"/>
    <w:rsid w:val="0091296D"/>
    <w:rsid w:val="00912F53"/>
    <w:rsid w:val="0091354C"/>
    <w:rsid w:val="00914404"/>
    <w:rsid w:val="00915695"/>
    <w:rsid w:val="00917EB4"/>
    <w:rsid w:val="00921594"/>
    <w:rsid w:val="0092271E"/>
    <w:rsid w:val="00922843"/>
    <w:rsid w:val="009229D2"/>
    <w:rsid w:val="00924F7B"/>
    <w:rsid w:val="0093113B"/>
    <w:rsid w:val="00931604"/>
    <w:rsid w:val="009335C7"/>
    <w:rsid w:val="009336FC"/>
    <w:rsid w:val="00937DAA"/>
    <w:rsid w:val="00942F47"/>
    <w:rsid w:val="00944B53"/>
    <w:rsid w:val="00947E8A"/>
    <w:rsid w:val="009523E0"/>
    <w:rsid w:val="009532A5"/>
    <w:rsid w:val="00955DCC"/>
    <w:rsid w:val="009561DE"/>
    <w:rsid w:val="00956988"/>
    <w:rsid w:val="00957029"/>
    <w:rsid w:val="009571F6"/>
    <w:rsid w:val="0096005F"/>
    <w:rsid w:val="0096107D"/>
    <w:rsid w:val="009638C2"/>
    <w:rsid w:val="00964BF9"/>
    <w:rsid w:val="00966BA2"/>
    <w:rsid w:val="00966BA9"/>
    <w:rsid w:val="00967A8C"/>
    <w:rsid w:val="00970D63"/>
    <w:rsid w:val="009733B5"/>
    <w:rsid w:val="00974091"/>
    <w:rsid w:val="0097503F"/>
    <w:rsid w:val="0097522F"/>
    <w:rsid w:val="009816FB"/>
    <w:rsid w:val="00982F32"/>
    <w:rsid w:val="00986A17"/>
    <w:rsid w:val="00987826"/>
    <w:rsid w:val="00987A72"/>
    <w:rsid w:val="00987DC0"/>
    <w:rsid w:val="00990177"/>
    <w:rsid w:val="00990197"/>
    <w:rsid w:val="00991A64"/>
    <w:rsid w:val="00995148"/>
    <w:rsid w:val="00995A4F"/>
    <w:rsid w:val="00995EB0"/>
    <w:rsid w:val="00996AA8"/>
    <w:rsid w:val="00997AD1"/>
    <w:rsid w:val="009A24EF"/>
    <w:rsid w:val="009A5B34"/>
    <w:rsid w:val="009A6F35"/>
    <w:rsid w:val="009A7496"/>
    <w:rsid w:val="009B2FDE"/>
    <w:rsid w:val="009B66F6"/>
    <w:rsid w:val="009B6B0B"/>
    <w:rsid w:val="009C23BF"/>
    <w:rsid w:val="009C52DE"/>
    <w:rsid w:val="009C5388"/>
    <w:rsid w:val="009C6342"/>
    <w:rsid w:val="009C6E29"/>
    <w:rsid w:val="009C7987"/>
    <w:rsid w:val="009C7A47"/>
    <w:rsid w:val="009D0346"/>
    <w:rsid w:val="009D0EE8"/>
    <w:rsid w:val="009D18E9"/>
    <w:rsid w:val="009D204E"/>
    <w:rsid w:val="009D3DC3"/>
    <w:rsid w:val="009D7FDA"/>
    <w:rsid w:val="009E0E54"/>
    <w:rsid w:val="009E1313"/>
    <w:rsid w:val="009E1656"/>
    <w:rsid w:val="009E1E37"/>
    <w:rsid w:val="009E3036"/>
    <w:rsid w:val="009E690A"/>
    <w:rsid w:val="009E7277"/>
    <w:rsid w:val="009E7E21"/>
    <w:rsid w:val="009F0CCE"/>
    <w:rsid w:val="009F17F3"/>
    <w:rsid w:val="009F1D5C"/>
    <w:rsid w:val="009F1F95"/>
    <w:rsid w:val="009F20C5"/>
    <w:rsid w:val="009F20F0"/>
    <w:rsid w:val="009F4404"/>
    <w:rsid w:val="009F4481"/>
    <w:rsid w:val="009F6812"/>
    <w:rsid w:val="009F6F89"/>
    <w:rsid w:val="009F7322"/>
    <w:rsid w:val="009F7CC0"/>
    <w:rsid w:val="00A0124F"/>
    <w:rsid w:val="00A02BD8"/>
    <w:rsid w:val="00A034A0"/>
    <w:rsid w:val="00A04ADE"/>
    <w:rsid w:val="00A05E9D"/>
    <w:rsid w:val="00A10196"/>
    <w:rsid w:val="00A11C88"/>
    <w:rsid w:val="00A1285C"/>
    <w:rsid w:val="00A12CDD"/>
    <w:rsid w:val="00A13295"/>
    <w:rsid w:val="00A15315"/>
    <w:rsid w:val="00A168E3"/>
    <w:rsid w:val="00A16ACA"/>
    <w:rsid w:val="00A21D01"/>
    <w:rsid w:val="00A22607"/>
    <w:rsid w:val="00A22DC8"/>
    <w:rsid w:val="00A23F35"/>
    <w:rsid w:val="00A241A2"/>
    <w:rsid w:val="00A259DD"/>
    <w:rsid w:val="00A2696D"/>
    <w:rsid w:val="00A30AC5"/>
    <w:rsid w:val="00A31317"/>
    <w:rsid w:val="00A32E5F"/>
    <w:rsid w:val="00A3378A"/>
    <w:rsid w:val="00A345AE"/>
    <w:rsid w:val="00A346A5"/>
    <w:rsid w:val="00A379B9"/>
    <w:rsid w:val="00A43FBA"/>
    <w:rsid w:val="00A43FFF"/>
    <w:rsid w:val="00A47365"/>
    <w:rsid w:val="00A50C95"/>
    <w:rsid w:val="00A51500"/>
    <w:rsid w:val="00A51FEB"/>
    <w:rsid w:val="00A53B6A"/>
    <w:rsid w:val="00A53FEA"/>
    <w:rsid w:val="00A5432B"/>
    <w:rsid w:val="00A602A3"/>
    <w:rsid w:val="00A61B99"/>
    <w:rsid w:val="00A63D50"/>
    <w:rsid w:val="00A651A5"/>
    <w:rsid w:val="00A65273"/>
    <w:rsid w:val="00A669EF"/>
    <w:rsid w:val="00A7026F"/>
    <w:rsid w:val="00A70E02"/>
    <w:rsid w:val="00A73E62"/>
    <w:rsid w:val="00A749D0"/>
    <w:rsid w:val="00A756DD"/>
    <w:rsid w:val="00A75CBA"/>
    <w:rsid w:val="00A77F12"/>
    <w:rsid w:val="00A8038E"/>
    <w:rsid w:val="00A80511"/>
    <w:rsid w:val="00A80A37"/>
    <w:rsid w:val="00A81DEF"/>
    <w:rsid w:val="00A82108"/>
    <w:rsid w:val="00A834AE"/>
    <w:rsid w:val="00A83C38"/>
    <w:rsid w:val="00A83E54"/>
    <w:rsid w:val="00A872A7"/>
    <w:rsid w:val="00A9061B"/>
    <w:rsid w:val="00A9134F"/>
    <w:rsid w:val="00A93C19"/>
    <w:rsid w:val="00A9470A"/>
    <w:rsid w:val="00A94ED2"/>
    <w:rsid w:val="00A954C5"/>
    <w:rsid w:val="00A962EB"/>
    <w:rsid w:val="00A9787B"/>
    <w:rsid w:val="00AA01B7"/>
    <w:rsid w:val="00AA34D9"/>
    <w:rsid w:val="00AA5B2F"/>
    <w:rsid w:val="00AA6475"/>
    <w:rsid w:val="00AB183B"/>
    <w:rsid w:val="00AB32FD"/>
    <w:rsid w:val="00AB4B8C"/>
    <w:rsid w:val="00AB4FC8"/>
    <w:rsid w:val="00AB5DE3"/>
    <w:rsid w:val="00AB6192"/>
    <w:rsid w:val="00AB635D"/>
    <w:rsid w:val="00AB7494"/>
    <w:rsid w:val="00AC3AB9"/>
    <w:rsid w:val="00AC4199"/>
    <w:rsid w:val="00AC4564"/>
    <w:rsid w:val="00AD16FC"/>
    <w:rsid w:val="00AD1EB9"/>
    <w:rsid w:val="00AD21E2"/>
    <w:rsid w:val="00AD2662"/>
    <w:rsid w:val="00AD2C7B"/>
    <w:rsid w:val="00AD3BF0"/>
    <w:rsid w:val="00AD43AF"/>
    <w:rsid w:val="00AD4C9B"/>
    <w:rsid w:val="00AD5C82"/>
    <w:rsid w:val="00AE0ADC"/>
    <w:rsid w:val="00AE186F"/>
    <w:rsid w:val="00AE3308"/>
    <w:rsid w:val="00AE4B42"/>
    <w:rsid w:val="00AE552C"/>
    <w:rsid w:val="00AE6BBB"/>
    <w:rsid w:val="00AF330E"/>
    <w:rsid w:val="00AF4517"/>
    <w:rsid w:val="00AF613D"/>
    <w:rsid w:val="00B1128D"/>
    <w:rsid w:val="00B1173D"/>
    <w:rsid w:val="00B12495"/>
    <w:rsid w:val="00B13C35"/>
    <w:rsid w:val="00B22B39"/>
    <w:rsid w:val="00B2349C"/>
    <w:rsid w:val="00B32D05"/>
    <w:rsid w:val="00B3457B"/>
    <w:rsid w:val="00B34D7A"/>
    <w:rsid w:val="00B35C9B"/>
    <w:rsid w:val="00B37CA4"/>
    <w:rsid w:val="00B42DBC"/>
    <w:rsid w:val="00B432BB"/>
    <w:rsid w:val="00B44B19"/>
    <w:rsid w:val="00B45809"/>
    <w:rsid w:val="00B509C5"/>
    <w:rsid w:val="00B50AE3"/>
    <w:rsid w:val="00B50BA7"/>
    <w:rsid w:val="00B518A6"/>
    <w:rsid w:val="00B52491"/>
    <w:rsid w:val="00B525A8"/>
    <w:rsid w:val="00B525D0"/>
    <w:rsid w:val="00B540ED"/>
    <w:rsid w:val="00B555ED"/>
    <w:rsid w:val="00B61879"/>
    <w:rsid w:val="00B64E48"/>
    <w:rsid w:val="00B70EB0"/>
    <w:rsid w:val="00B727F3"/>
    <w:rsid w:val="00B766FF"/>
    <w:rsid w:val="00B76C3E"/>
    <w:rsid w:val="00B772E5"/>
    <w:rsid w:val="00B806EB"/>
    <w:rsid w:val="00B8089B"/>
    <w:rsid w:val="00B82756"/>
    <w:rsid w:val="00B836CA"/>
    <w:rsid w:val="00B85FD7"/>
    <w:rsid w:val="00B904FF"/>
    <w:rsid w:val="00B9210D"/>
    <w:rsid w:val="00B94616"/>
    <w:rsid w:val="00B95044"/>
    <w:rsid w:val="00B95850"/>
    <w:rsid w:val="00B95DCF"/>
    <w:rsid w:val="00B97AB5"/>
    <w:rsid w:val="00B97C6C"/>
    <w:rsid w:val="00BA041B"/>
    <w:rsid w:val="00BA2F5F"/>
    <w:rsid w:val="00BA40EB"/>
    <w:rsid w:val="00BA4EBD"/>
    <w:rsid w:val="00BA6033"/>
    <w:rsid w:val="00BA6DB4"/>
    <w:rsid w:val="00BA6E4C"/>
    <w:rsid w:val="00BB6223"/>
    <w:rsid w:val="00BB64BE"/>
    <w:rsid w:val="00BB6822"/>
    <w:rsid w:val="00BC0E38"/>
    <w:rsid w:val="00BC385E"/>
    <w:rsid w:val="00BC423A"/>
    <w:rsid w:val="00BC65EF"/>
    <w:rsid w:val="00BC70AC"/>
    <w:rsid w:val="00BD0469"/>
    <w:rsid w:val="00BD084F"/>
    <w:rsid w:val="00BD179B"/>
    <w:rsid w:val="00BD2F5F"/>
    <w:rsid w:val="00BD37A9"/>
    <w:rsid w:val="00BD45C6"/>
    <w:rsid w:val="00BD4CA3"/>
    <w:rsid w:val="00BD5A5E"/>
    <w:rsid w:val="00BD7343"/>
    <w:rsid w:val="00BD77E6"/>
    <w:rsid w:val="00BE2C29"/>
    <w:rsid w:val="00BE556B"/>
    <w:rsid w:val="00BE6943"/>
    <w:rsid w:val="00BE6CF7"/>
    <w:rsid w:val="00BE7467"/>
    <w:rsid w:val="00BE7EE2"/>
    <w:rsid w:val="00BF0E02"/>
    <w:rsid w:val="00BF22DC"/>
    <w:rsid w:val="00BF2375"/>
    <w:rsid w:val="00BF575F"/>
    <w:rsid w:val="00C018C7"/>
    <w:rsid w:val="00C0260F"/>
    <w:rsid w:val="00C031F8"/>
    <w:rsid w:val="00C1167E"/>
    <w:rsid w:val="00C1349C"/>
    <w:rsid w:val="00C1382C"/>
    <w:rsid w:val="00C16253"/>
    <w:rsid w:val="00C215C7"/>
    <w:rsid w:val="00C21DB7"/>
    <w:rsid w:val="00C22025"/>
    <w:rsid w:val="00C231D1"/>
    <w:rsid w:val="00C25E14"/>
    <w:rsid w:val="00C26FE7"/>
    <w:rsid w:val="00C27023"/>
    <w:rsid w:val="00C27C5C"/>
    <w:rsid w:val="00C313E4"/>
    <w:rsid w:val="00C31FC1"/>
    <w:rsid w:val="00C3415C"/>
    <w:rsid w:val="00C34927"/>
    <w:rsid w:val="00C378E2"/>
    <w:rsid w:val="00C401A1"/>
    <w:rsid w:val="00C40235"/>
    <w:rsid w:val="00C40927"/>
    <w:rsid w:val="00C4235A"/>
    <w:rsid w:val="00C44809"/>
    <w:rsid w:val="00C45D20"/>
    <w:rsid w:val="00C45ED5"/>
    <w:rsid w:val="00C4613B"/>
    <w:rsid w:val="00C476C4"/>
    <w:rsid w:val="00C518BB"/>
    <w:rsid w:val="00C51B50"/>
    <w:rsid w:val="00C53E1E"/>
    <w:rsid w:val="00C53EF6"/>
    <w:rsid w:val="00C54F8B"/>
    <w:rsid w:val="00C55EB9"/>
    <w:rsid w:val="00C621BD"/>
    <w:rsid w:val="00C623CE"/>
    <w:rsid w:val="00C62493"/>
    <w:rsid w:val="00C62C76"/>
    <w:rsid w:val="00C6306D"/>
    <w:rsid w:val="00C6384E"/>
    <w:rsid w:val="00C6598F"/>
    <w:rsid w:val="00C65E19"/>
    <w:rsid w:val="00C66D60"/>
    <w:rsid w:val="00C67AB5"/>
    <w:rsid w:val="00C71567"/>
    <w:rsid w:val="00C74AEF"/>
    <w:rsid w:val="00C74FB1"/>
    <w:rsid w:val="00C769B1"/>
    <w:rsid w:val="00C8006E"/>
    <w:rsid w:val="00C8362F"/>
    <w:rsid w:val="00C8406C"/>
    <w:rsid w:val="00C8590C"/>
    <w:rsid w:val="00C87351"/>
    <w:rsid w:val="00C90721"/>
    <w:rsid w:val="00C91931"/>
    <w:rsid w:val="00C922E7"/>
    <w:rsid w:val="00C92943"/>
    <w:rsid w:val="00C953AC"/>
    <w:rsid w:val="00C95533"/>
    <w:rsid w:val="00C970BB"/>
    <w:rsid w:val="00CA0296"/>
    <w:rsid w:val="00CA6D37"/>
    <w:rsid w:val="00CA7733"/>
    <w:rsid w:val="00CA7CFC"/>
    <w:rsid w:val="00CB0155"/>
    <w:rsid w:val="00CB178B"/>
    <w:rsid w:val="00CB1B47"/>
    <w:rsid w:val="00CB43C6"/>
    <w:rsid w:val="00CB6585"/>
    <w:rsid w:val="00CB7971"/>
    <w:rsid w:val="00CC3BC3"/>
    <w:rsid w:val="00CC5455"/>
    <w:rsid w:val="00CC6CDD"/>
    <w:rsid w:val="00CD22BB"/>
    <w:rsid w:val="00CD2BEE"/>
    <w:rsid w:val="00CD369F"/>
    <w:rsid w:val="00CD57F7"/>
    <w:rsid w:val="00CD761D"/>
    <w:rsid w:val="00CD77F0"/>
    <w:rsid w:val="00CD79C1"/>
    <w:rsid w:val="00CD7F8B"/>
    <w:rsid w:val="00CE143C"/>
    <w:rsid w:val="00CE72F3"/>
    <w:rsid w:val="00CE7F17"/>
    <w:rsid w:val="00CF1CDA"/>
    <w:rsid w:val="00CF38A0"/>
    <w:rsid w:val="00CF5541"/>
    <w:rsid w:val="00CF669B"/>
    <w:rsid w:val="00CF7D39"/>
    <w:rsid w:val="00D04735"/>
    <w:rsid w:val="00D061FC"/>
    <w:rsid w:val="00D06D1C"/>
    <w:rsid w:val="00D103A1"/>
    <w:rsid w:val="00D114B9"/>
    <w:rsid w:val="00D166DB"/>
    <w:rsid w:val="00D16DFB"/>
    <w:rsid w:val="00D17CE0"/>
    <w:rsid w:val="00D211EC"/>
    <w:rsid w:val="00D22293"/>
    <w:rsid w:val="00D261C7"/>
    <w:rsid w:val="00D31E77"/>
    <w:rsid w:val="00D32664"/>
    <w:rsid w:val="00D334F9"/>
    <w:rsid w:val="00D340F8"/>
    <w:rsid w:val="00D367DC"/>
    <w:rsid w:val="00D36E14"/>
    <w:rsid w:val="00D37267"/>
    <w:rsid w:val="00D372F5"/>
    <w:rsid w:val="00D376AF"/>
    <w:rsid w:val="00D40032"/>
    <w:rsid w:val="00D413D3"/>
    <w:rsid w:val="00D41588"/>
    <w:rsid w:val="00D44004"/>
    <w:rsid w:val="00D44EA6"/>
    <w:rsid w:val="00D45EF8"/>
    <w:rsid w:val="00D45F40"/>
    <w:rsid w:val="00D47D4A"/>
    <w:rsid w:val="00D514B3"/>
    <w:rsid w:val="00D5175F"/>
    <w:rsid w:val="00D51ADF"/>
    <w:rsid w:val="00D52059"/>
    <w:rsid w:val="00D62B59"/>
    <w:rsid w:val="00D6443A"/>
    <w:rsid w:val="00D66FAE"/>
    <w:rsid w:val="00D67632"/>
    <w:rsid w:val="00D7044B"/>
    <w:rsid w:val="00D711D4"/>
    <w:rsid w:val="00D72547"/>
    <w:rsid w:val="00D74481"/>
    <w:rsid w:val="00D7448E"/>
    <w:rsid w:val="00D747B2"/>
    <w:rsid w:val="00D75696"/>
    <w:rsid w:val="00D75E63"/>
    <w:rsid w:val="00D7728C"/>
    <w:rsid w:val="00D809BE"/>
    <w:rsid w:val="00D81515"/>
    <w:rsid w:val="00D82501"/>
    <w:rsid w:val="00D860B7"/>
    <w:rsid w:val="00D9026F"/>
    <w:rsid w:val="00D9118C"/>
    <w:rsid w:val="00D914FA"/>
    <w:rsid w:val="00D91D85"/>
    <w:rsid w:val="00D949B6"/>
    <w:rsid w:val="00D96A40"/>
    <w:rsid w:val="00D975F7"/>
    <w:rsid w:val="00DA0788"/>
    <w:rsid w:val="00DA1966"/>
    <w:rsid w:val="00DA4590"/>
    <w:rsid w:val="00DA623D"/>
    <w:rsid w:val="00DB4C53"/>
    <w:rsid w:val="00DB4F15"/>
    <w:rsid w:val="00DC0990"/>
    <w:rsid w:val="00DC15F5"/>
    <w:rsid w:val="00DC20D4"/>
    <w:rsid w:val="00DC3395"/>
    <w:rsid w:val="00DC3F7B"/>
    <w:rsid w:val="00DC4374"/>
    <w:rsid w:val="00DC4821"/>
    <w:rsid w:val="00DD3474"/>
    <w:rsid w:val="00DD44D1"/>
    <w:rsid w:val="00DD695B"/>
    <w:rsid w:val="00DE3941"/>
    <w:rsid w:val="00DE3D73"/>
    <w:rsid w:val="00DE7EEA"/>
    <w:rsid w:val="00DF033B"/>
    <w:rsid w:val="00DF57AC"/>
    <w:rsid w:val="00DF5E82"/>
    <w:rsid w:val="00DF7CF5"/>
    <w:rsid w:val="00E00733"/>
    <w:rsid w:val="00E01B49"/>
    <w:rsid w:val="00E02101"/>
    <w:rsid w:val="00E02B2C"/>
    <w:rsid w:val="00E035A7"/>
    <w:rsid w:val="00E03A8A"/>
    <w:rsid w:val="00E05B3F"/>
    <w:rsid w:val="00E11913"/>
    <w:rsid w:val="00E13A79"/>
    <w:rsid w:val="00E1417D"/>
    <w:rsid w:val="00E142DB"/>
    <w:rsid w:val="00E15173"/>
    <w:rsid w:val="00E151AA"/>
    <w:rsid w:val="00E20475"/>
    <w:rsid w:val="00E21C8A"/>
    <w:rsid w:val="00E24D13"/>
    <w:rsid w:val="00E27A4C"/>
    <w:rsid w:val="00E27CE1"/>
    <w:rsid w:val="00E3127C"/>
    <w:rsid w:val="00E31A80"/>
    <w:rsid w:val="00E33C8E"/>
    <w:rsid w:val="00E352B9"/>
    <w:rsid w:val="00E3673D"/>
    <w:rsid w:val="00E37ABC"/>
    <w:rsid w:val="00E40FF6"/>
    <w:rsid w:val="00E41CB3"/>
    <w:rsid w:val="00E42712"/>
    <w:rsid w:val="00E43CBB"/>
    <w:rsid w:val="00E44693"/>
    <w:rsid w:val="00E45791"/>
    <w:rsid w:val="00E500A5"/>
    <w:rsid w:val="00E525D9"/>
    <w:rsid w:val="00E55A62"/>
    <w:rsid w:val="00E56B0F"/>
    <w:rsid w:val="00E57458"/>
    <w:rsid w:val="00E60A82"/>
    <w:rsid w:val="00E61CA2"/>
    <w:rsid w:val="00E63B9B"/>
    <w:rsid w:val="00E64B7F"/>
    <w:rsid w:val="00E6514E"/>
    <w:rsid w:val="00E65C57"/>
    <w:rsid w:val="00E662FF"/>
    <w:rsid w:val="00E66516"/>
    <w:rsid w:val="00E66C4B"/>
    <w:rsid w:val="00E70F48"/>
    <w:rsid w:val="00E718CD"/>
    <w:rsid w:val="00E719C4"/>
    <w:rsid w:val="00E72E57"/>
    <w:rsid w:val="00E73417"/>
    <w:rsid w:val="00E76D25"/>
    <w:rsid w:val="00E81591"/>
    <w:rsid w:val="00E81B6C"/>
    <w:rsid w:val="00E828BF"/>
    <w:rsid w:val="00E84BF6"/>
    <w:rsid w:val="00E87D3D"/>
    <w:rsid w:val="00E911EA"/>
    <w:rsid w:val="00E913EE"/>
    <w:rsid w:val="00E932DD"/>
    <w:rsid w:val="00E948FF"/>
    <w:rsid w:val="00E96831"/>
    <w:rsid w:val="00EA41E8"/>
    <w:rsid w:val="00EA4733"/>
    <w:rsid w:val="00EA5E1C"/>
    <w:rsid w:val="00EB0375"/>
    <w:rsid w:val="00EB1D08"/>
    <w:rsid w:val="00EB1E9F"/>
    <w:rsid w:val="00EB31FC"/>
    <w:rsid w:val="00EB4EC6"/>
    <w:rsid w:val="00EC0AF4"/>
    <w:rsid w:val="00EC21CC"/>
    <w:rsid w:val="00EC32FA"/>
    <w:rsid w:val="00EC3622"/>
    <w:rsid w:val="00EC4006"/>
    <w:rsid w:val="00EC4295"/>
    <w:rsid w:val="00EC42C6"/>
    <w:rsid w:val="00EC685B"/>
    <w:rsid w:val="00ED1A2C"/>
    <w:rsid w:val="00ED3F52"/>
    <w:rsid w:val="00ED4E9B"/>
    <w:rsid w:val="00ED6FEF"/>
    <w:rsid w:val="00ED7711"/>
    <w:rsid w:val="00EE082A"/>
    <w:rsid w:val="00EE0A32"/>
    <w:rsid w:val="00EE17A9"/>
    <w:rsid w:val="00EE1F2F"/>
    <w:rsid w:val="00EE57B7"/>
    <w:rsid w:val="00EE5A6D"/>
    <w:rsid w:val="00EF27B8"/>
    <w:rsid w:val="00EF49FC"/>
    <w:rsid w:val="00EF70C1"/>
    <w:rsid w:val="00F0702B"/>
    <w:rsid w:val="00F073B4"/>
    <w:rsid w:val="00F1274A"/>
    <w:rsid w:val="00F12FFE"/>
    <w:rsid w:val="00F14BD2"/>
    <w:rsid w:val="00F15900"/>
    <w:rsid w:val="00F161C8"/>
    <w:rsid w:val="00F21CC5"/>
    <w:rsid w:val="00F22F22"/>
    <w:rsid w:val="00F25FE0"/>
    <w:rsid w:val="00F27029"/>
    <w:rsid w:val="00F31BDD"/>
    <w:rsid w:val="00F35A67"/>
    <w:rsid w:val="00F36C49"/>
    <w:rsid w:val="00F4116E"/>
    <w:rsid w:val="00F43758"/>
    <w:rsid w:val="00F44218"/>
    <w:rsid w:val="00F4472E"/>
    <w:rsid w:val="00F50B29"/>
    <w:rsid w:val="00F5107E"/>
    <w:rsid w:val="00F52232"/>
    <w:rsid w:val="00F53855"/>
    <w:rsid w:val="00F53C9A"/>
    <w:rsid w:val="00F63250"/>
    <w:rsid w:val="00F647DE"/>
    <w:rsid w:val="00F6480D"/>
    <w:rsid w:val="00F65F58"/>
    <w:rsid w:val="00F70963"/>
    <w:rsid w:val="00F71387"/>
    <w:rsid w:val="00F71723"/>
    <w:rsid w:val="00F71FEA"/>
    <w:rsid w:val="00F73566"/>
    <w:rsid w:val="00F735B1"/>
    <w:rsid w:val="00F753EF"/>
    <w:rsid w:val="00F75C0A"/>
    <w:rsid w:val="00F7669C"/>
    <w:rsid w:val="00F7707F"/>
    <w:rsid w:val="00F77EE8"/>
    <w:rsid w:val="00F77FDE"/>
    <w:rsid w:val="00F81754"/>
    <w:rsid w:val="00F84544"/>
    <w:rsid w:val="00F85D90"/>
    <w:rsid w:val="00F86F4E"/>
    <w:rsid w:val="00F87297"/>
    <w:rsid w:val="00F9046D"/>
    <w:rsid w:val="00F90516"/>
    <w:rsid w:val="00F90556"/>
    <w:rsid w:val="00F90897"/>
    <w:rsid w:val="00F9192D"/>
    <w:rsid w:val="00F93D9A"/>
    <w:rsid w:val="00F93D9D"/>
    <w:rsid w:val="00F969CD"/>
    <w:rsid w:val="00F974D9"/>
    <w:rsid w:val="00F97DDA"/>
    <w:rsid w:val="00FA046B"/>
    <w:rsid w:val="00FA25F5"/>
    <w:rsid w:val="00FA5315"/>
    <w:rsid w:val="00FA56BE"/>
    <w:rsid w:val="00FC01F7"/>
    <w:rsid w:val="00FC352C"/>
    <w:rsid w:val="00FC78B5"/>
    <w:rsid w:val="00FD18B0"/>
    <w:rsid w:val="00FD35C7"/>
    <w:rsid w:val="00FD5019"/>
    <w:rsid w:val="00FD75FB"/>
    <w:rsid w:val="00FE1A7E"/>
    <w:rsid w:val="00FE4827"/>
    <w:rsid w:val="00FE48BA"/>
    <w:rsid w:val="00FE6484"/>
    <w:rsid w:val="00FF098B"/>
    <w:rsid w:val="00FF10BA"/>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2B9A155"/>
  <w15:docId w15:val="{3CD70602-4560-4C88-B38F-A3A2AE7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 w:type="character" w:customStyle="1" w:styleId="fui-primitive">
    <w:name w:val="fui-primitive"/>
    <w:basedOn w:val="a0"/>
    <w:rsid w:val="00416C49"/>
  </w:style>
  <w:style w:type="paragraph" w:styleId="NormalWeb">
    <w:name w:val="Normal (Web)"/>
    <w:basedOn w:val="a"/>
    <w:uiPriority w:val="99"/>
    <w:unhideWhenUsed/>
    <w:rsid w:val="00416C49"/>
    <w:pPr>
      <w:bidi w:val="0"/>
      <w:spacing w:before="100" w:beforeAutospacing="1" w:after="100" w:afterAutospacing="1"/>
    </w:pPr>
  </w:style>
  <w:style w:type="character" w:customStyle="1" w:styleId="fui-readerheading">
    <w:name w:val="fui-readerheading"/>
    <w:basedOn w:val="a0"/>
    <w:rsid w:val="00F93D9D"/>
  </w:style>
  <w:style w:type="character" w:customStyle="1" w:styleId="fui-styledtext">
    <w:name w:val="fui-styledtext"/>
    <w:basedOn w:val="a0"/>
    <w:rsid w:val="00F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801">
      <w:bodyDiv w:val="1"/>
      <w:marLeft w:val="0"/>
      <w:marRight w:val="0"/>
      <w:marTop w:val="0"/>
      <w:marBottom w:val="0"/>
      <w:divBdr>
        <w:top w:val="none" w:sz="0" w:space="0" w:color="auto"/>
        <w:left w:val="none" w:sz="0" w:space="0" w:color="auto"/>
        <w:bottom w:val="none" w:sz="0" w:space="0" w:color="auto"/>
        <w:right w:val="none" w:sz="0" w:space="0" w:color="auto"/>
      </w:divBdr>
    </w:div>
    <w:div w:id="241381015">
      <w:bodyDiv w:val="1"/>
      <w:marLeft w:val="0"/>
      <w:marRight w:val="0"/>
      <w:marTop w:val="0"/>
      <w:marBottom w:val="0"/>
      <w:divBdr>
        <w:top w:val="none" w:sz="0" w:space="0" w:color="auto"/>
        <w:left w:val="none" w:sz="0" w:space="0" w:color="auto"/>
        <w:bottom w:val="none" w:sz="0" w:space="0" w:color="auto"/>
        <w:right w:val="none" w:sz="0" w:space="0" w:color="auto"/>
      </w:divBdr>
    </w:div>
    <w:div w:id="418716691">
      <w:bodyDiv w:val="1"/>
      <w:marLeft w:val="0"/>
      <w:marRight w:val="0"/>
      <w:marTop w:val="0"/>
      <w:marBottom w:val="0"/>
      <w:divBdr>
        <w:top w:val="none" w:sz="0" w:space="0" w:color="auto"/>
        <w:left w:val="none" w:sz="0" w:space="0" w:color="auto"/>
        <w:bottom w:val="none" w:sz="0" w:space="0" w:color="auto"/>
        <w:right w:val="none" w:sz="0" w:space="0" w:color="auto"/>
      </w:divBdr>
    </w:div>
    <w:div w:id="460417961">
      <w:bodyDiv w:val="1"/>
      <w:marLeft w:val="0"/>
      <w:marRight w:val="0"/>
      <w:marTop w:val="0"/>
      <w:marBottom w:val="0"/>
      <w:divBdr>
        <w:top w:val="none" w:sz="0" w:space="0" w:color="auto"/>
        <w:left w:val="none" w:sz="0" w:space="0" w:color="auto"/>
        <w:bottom w:val="none" w:sz="0" w:space="0" w:color="auto"/>
        <w:right w:val="none" w:sz="0" w:space="0" w:color="auto"/>
      </w:divBdr>
    </w:div>
    <w:div w:id="635914100">
      <w:bodyDiv w:val="1"/>
      <w:marLeft w:val="0"/>
      <w:marRight w:val="0"/>
      <w:marTop w:val="0"/>
      <w:marBottom w:val="0"/>
      <w:divBdr>
        <w:top w:val="none" w:sz="0" w:space="0" w:color="auto"/>
        <w:left w:val="none" w:sz="0" w:space="0" w:color="auto"/>
        <w:bottom w:val="none" w:sz="0" w:space="0" w:color="auto"/>
        <w:right w:val="none" w:sz="0" w:space="0" w:color="auto"/>
      </w:divBdr>
    </w:div>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182743306">
      <w:bodyDiv w:val="1"/>
      <w:marLeft w:val="0"/>
      <w:marRight w:val="0"/>
      <w:marTop w:val="0"/>
      <w:marBottom w:val="0"/>
      <w:divBdr>
        <w:top w:val="none" w:sz="0" w:space="0" w:color="auto"/>
        <w:left w:val="none" w:sz="0" w:space="0" w:color="auto"/>
        <w:bottom w:val="none" w:sz="0" w:space="0" w:color="auto"/>
        <w:right w:val="none" w:sz="0" w:space="0" w:color="auto"/>
      </w:divBdr>
    </w:div>
    <w:div w:id="1235815620">
      <w:bodyDiv w:val="1"/>
      <w:marLeft w:val="0"/>
      <w:marRight w:val="0"/>
      <w:marTop w:val="0"/>
      <w:marBottom w:val="0"/>
      <w:divBdr>
        <w:top w:val="none" w:sz="0" w:space="0" w:color="auto"/>
        <w:left w:val="none" w:sz="0" w:space="0" w:color="auto"/>
        <w:bottom w:val="none" w:sz="0" w:space="0" w:color="auto"/>
        <w:right w:val="none" w:sz="0" w:space="0" w:color="auto"/>
      </w:divBdr>
    </w:div>
    <w:div w:id="145228468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8E4F78-4ADB-41F4-A694-4EA04E6865D5}">
  <ds:schemaRefs>
    <ds:schemaRef ds:uri="http://schemas.microsoft.com/sharepoint/v3/contenttype/forms"/>
  </ds:schemaRefs>
</ds:datastoreItem>
</file>

<file path=customXml/itemProps2.xml><?xml version="1.0" encoding="utf-8"?>
<ds:datastoreItem xmlns:ds="http://schemas.openxmlformats.org/officeDocument/2006/customXml" ds:itemID="{DAC57AAB-9898-4DE2-BDAA-17A292961A92}">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A32405-AFA6-4CB9-BBAF-433B329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9E5C7-AA3B-4B4B-993B-883F1F61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2373</Words>
  <Characters>11870</Characters>
  <Application>Microsoft Office Word</Application>
  <DocSecurity>4</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דוד בן מיכאל</dc:creator>
  <cp:lastModifiedBy>רוסול דכוור</cp:lastModifiedBy>
  <cp:revision>2</cp:revision>
  <cp:lastPrinted>2018-07-08T13:15:00Z</cp:lastPrinted>
  <dcterms:created xsi:type="dcterms:W3CDTF">2026-03-30T12:42:00Z</dcterms:created>
  <dcterms:modified xsi:type="dcterms:W3CDTF">2026-03-30T12:42:00Z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