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9273" w14:textId="77777777" w:rsidR="000E2A9D" w:rsidRPr="000E2A9D" w:rsidRDefault="00D52248" w:rsidP="00AA2628">
      <w:pPr>
        <w:bidi w:val="0"/>
        <w:jc w:val="center"/>
        <w:rPr>
          <w:rtl/>
        </w:rPr>
      </w:pPr>
      <w:r>
        <w:rPr>
          <w:noProof/>
        </w:rPr>
        <w:drawing>
          <wp:anchor distT="0" distB="0" distL="114300" distR="114300" simplePos="0" relativeHeight="251658240" behindDoc="0" locked="0" layoutInCell="1" allowOverlap="1" wp14:anchorId="483CA92A" wp14:editId="5A075F4B">
            <wp:simplePos x="0" y="0"/>
            <wp:positionH relativeFrom="column">
              <wp:posOffset>2237740</wp:posOffset>
            </wp:positionH>
            <wp:positionV relativeFrom="paragraph">
              <wp:posOffset>-662940</wp:posOffset>
            </wp:positionV>
            <wp:extent cx="1424940" cy="1424940"/>
            <wp:effectExtent l="0" t="0" r="3810" b="3810"/>
            <wp:wrapNone/>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A0B89" w14:textId="77777777" w:rsidR="0082061C" w:rsidRDefault="0082061C" w:rsidP="00F81E5A">
      <w:pPr>
        <w:pStyle w:val="regpar"/>
        <w:spacing w:line="300" w:lineRule="atLeast"/>
        <w:ind w:firstLine="0"/>
        <w:jc w:val="center"/>
        <w:rPr>
          <w:rFonts w:ascii="Times New Roman" w:hAnsi="Times New Roman" w:cs="David"/>
          <w:b/>
        </w:rPr>
      </w:pPr>
    </w:p>
    <w:p w14:paraId="2D607C32" w14:textId="77777777" w:rsidR="001B53D6" w:rsidRDefault="001B53D6" w:rsidP="00F81E5A">
      <w:pPr>
        <w:pStyle w:val="regpar"/>
        <w:spacing w:line="300" w:lineRule="atLeast"/>
        <w:ind w:firstLine="0"/>
        <w:jc w:val="center"/>
        <w:rPr>
          <w:rFonts w:ascii="Times New Roman" w:hAnsi="Times New Roman" w:cs="David"/>
          <w:b/>
        </w:rPr>
      </w:pPr>
    </w:p>
    <w:p w14:paraId="54F9C11D" w14:textId="77777777" w:rsidR="001B53D6" w:rsidRDefault="001B53D6" w:rsidP="00F81E5A">
      <w:pPr>
        <w:pStyle w:val="regpar"/>
        <w:spacing w:line="300" w:lineRule="atLeast"/>
        <w:ind w:firstLine="0"/>
        <w:jc w:val="center"/>
        <w:rPr>
          <w:rFonts w:ascii="Times New Roman" w:hAnsi="Times New Roman" w:cs="David"/>
          <w:b/>
        </w:rPr>
      </w:pPr>
    </w:p>
    <w:p w14:paraId="769964BA" w14:textId="698957CA" w:rsidR="000E2A9D" w:rsidRPr="000E2A9D" w:rsidRDefault="000E2A9D" w:rsidP="00F81E5A">
      <w:pPr>
        <w:pStyle w:val="regpar"/>
        <w:spacing w:line="300" w:lineRule="atLeast"/>
        <w:ind w:firstLine="0"/>
        <w:jc w:val="center"/>
        <w:rPr>
          <w:rFonts w:ascii="Times New Roman" w:hAnsi="Times New Roman" w:cs="David"/>
          <w:b/>
        </w:rPr>
      </w:pPr>
      <w:r w:rsidRPr="000E2A9D">
        <w:rPr>
          <w:rFonts w:ascii="Times New Roman" w:hAnsi="Times New Roman" w:cs="David"/>
          <w:b/>
        </w:rPr>
        <w:t>BANK OF ISRAEL</w:t>
      </w:r>
    </w:p>
    <w:p w14:paraId="75BA2B3A" w14:textId="5D272FE6" w:rsidR="000E2A9D" w:rsidRPr="000E2A9D" w:rsidRDefault="003D76A3" w:rsidP="00F81E5A">
      <w:pPr>
        <w:pStyle w:val="regpar"/>
        <w:spacing w:line="300" w:lineRule="atLeast"/>
        <w:ind w:firstLine="0"/>
        <w:jc w:val="center"/>
        <w:rPr>
          <w:rFonts w:ascii="Times New Roman" w:hAnsi="Times New Roman" w:cs="Times New Roman"/>
          <w:b/>
        </w:rPr>
      </w:pPr>
      <w:r>
        <w:rPr>
          <w:rFonts w:ascii="Times New Roman" w:hAnsi="Times New Roman" w:cs="Times New Roman" w:hint="cs"/>
        </w:rPr>
        <w:t>O</w:t>
      </w:r>
      <w:r>
        <w:rPr>
          <w:rFonts w:ascii="Times New Roman" w:hAnsi="Times New Roman" w:cs="Times New Roman"/>
        </w:rPr>
        <w:t>ffice of the Spokesperson and Economic Information</w:t>
      </w:r>
    </w:p>
    <w:p w14:paraId="0219536C" w14:textId="77777777" w:rsidR="000E2A9D" w:rsidRPr="000E2A9D" w:rsidRDefault="000E2A9D" w:rsidP="00F81E5A">
      <w:pPr>
        <w:bidi w:val="0"/>
        <w:jc w:val="right"/>
      </w:pPr>
    </w:p>
    <w:p w14:paraId="20A219BF" w14:textId="77777777" w:rsidR="00016E25" w:rsidRDefault="00016E25" w:rsidP="003F5DE6">
      <w:pPr>
        <w:bidi w:val="0"/>
      </w:pPr>
    </w:p>
    <w:p w14:paraId="05C2811F" w14:textId="69B44BE8" w:rsidR="00A0243E" w:rsidRPr="000E2A9D" w:rsidRDefault="00DB2785" w:rsidP="0082061C">
      <w:pPr>
        <w:bidi w:val="0"/>
        <w:jc w:val="right"/>
      </w:pPr>
      <w:r>
        <w:t>January 10, 2023</w:t>
      </w:r>
    </w:p>
    <w:p w14:paraId="11E02661" w14:textId="177B42A5" w:rsidR="0000617B" w:rsidRDefault="0000617B" w:rsidP="009F6223">
      <w:pPr>
        <w:tabs>
          <w:tab w:val="center" w:pos="4156"/>
          <w:tab w:val="right" w:pos="8312"/>
        </w:tabs>
        <w:bidi w:val="0"/>
        <w:jc w:val="center"/>
        <w:rPr>
          <w:rFonts w:cs="David"/>
        </w:rPr>
      </w:pPr>
    </w:p>
    <w:p w14:paraId="6EB87B7F" w14:textId="77777777" w:rsidR="00ED3F41" w:rsidRPr="000E2A9D" w:rsidRDefault="00ED3F41" w:rsidP="00ED3F41">
      <w:pPr>
        <w:tabs>
          <w:tab w:val="center" w:pos="4156"/>
          <w:tab w:val="right" w:pos="8312"/>
        </w:tabs>
        <w:bidi w:val="0"/>
        <w:jc w:val="center"/>
        <w:rPr>
          <w:rFonts w:cs="David"/>
        </w:rPr>
      </w:pPr>
    </w:p>
    <w:p w14:paraId="5F2D1FD8" w14:textId="77777777" w:rsidR="000E2A9D" w:rsidRPr="000E2A9D" w:rsidRDefault="000E2A9D" w:rsidP="0082061C">
      <w:pPr>
        <w:tabs>
          <w:tab w:val="center" w:pos="4156"/>
          <w:tab w:val="right" w:pos="8312"/>
        </w:tabs>
        <w:bidi w:val="0"/>
        <w:jc w:val="center"/>
        <w:rPr>
          <w:rFonts w:cs="David"/>
        </w:rPr>
      </w:pPr>
      <w:r w:rsidRPr="000E2A9D">
        <w:rPr>
          <w:rFonts w:cs="David"/>
        </w:rPr>
        <w:t>Press Release</w:t>
      </w:r>
      <w:r w:rsidR="0082061C">
        <w:rPr>
          <w:rFonts w:cs="David"/>
        </w:rPr>
        <w:t>:</w:t>
      </w:r>
    </w:p>
    <w:p w14:paraId="612B7BAE" w14:textId="77777777" w:rsidR="00A0243E" w:rsidRPr="000E2A9D" w:rsidRDefault="00A0243E" w:rsidP="009F6223">
      <w:pPr>
        <w:bidi w:val="0"/>
        <w:rPr>
          <w:b/>
          <w:bCs/>
        </w:rPr>
      </w:pPr>
    </w:p>
    <w:p w14:paraId="5C34B6B9" w14:textId="1282777B" w:rsidR="006817AE" w:rsidRPr="00773F3A" w:rsidRDefault="00DB2785" w:rsidP="00213953">
      <w:pPr>
        <w:bidi w:val="0"/>
        <w:jc w:val="center"/>
        <w:rPr>
          <w:b/>
          <w:bCs/>
          <w:sz w:val="26"/>
          <w:szCs w:val="26"/>
        </w:rPr>
      </w:pPr>
      <w:bookmarkStart w:id="0" w:name="_GoBack"/>
      <w:bookmarkEnd w:id="0"/>
      <w:r w:rsidRPr="007307AE">
        <w:rPr>
          <w:b/>
          <w:bCs/>
          <w:sz w:val="26"/>
          <w:szCs w:val="26"/>
        </w:rPr>
        <w:t xml:space="preserve">Limor Grobglas appointed as Head of the </w:t>
      </w:r>
      <w:r w:rsidR="00CA2CB5" w:rsidRPr="007307AE">
        <w:rPr>
          <w:b/>
          <w:bCs/>
          <w:sz w:val="26"/>
          <w:szCs w:val="26"/>
        </w:rPr>
        <w:t>Clearinghouse Division in the Payment and Settlement Systems Department</w:t>
      </w:r>
    </w:p>
    <w:p w14:paraId="2F977383" w14:textId="30169A8E" w:rsidR="00B67804" w:rsidRDefault="00B67804" w:rsidP="00B67804">
      <w:pPr>
        <w:bidi w:val="0"/>
        <w:jc w:val="center"/>
        <w:rPr>
          <w:b/>
          <w:bCs/>
        </w:rPr>
      </w:pPr>
    </w:p>
    <w:p w14:paraId="6E340A0E" w14:textId="7B035BB8" w:rsidR="002E267A" w:rsidRDefault="002E267A" w:rsidP="002E267A">
      <w:pPr>
        <w:bidi w:val="0"/>
        <w:jc w:val="both"/>
      </w:pPr>
      <w:r w:rsidRPr="002E267A">
        <w:t>Following</w:t>
      </w:r>
      <w:r>
        <w:t xml:space="preserve"> a tenders process held by the Bank of Israel, Ms. Limor Grobglas has been chosen for the position of Head of the Clearinghouse Division in the Payment and Settlement Systems Department.</w:t>
      </w:r>
    </w:p>
    <w:p w14:paraId="4AE2A771" w14:textId="743E6ECB" w:rsidR="002E267A" w:rsidRDefault="002E267A" w:rsidP="002E267A">
      <w:pPr>
        <w:bidi w:val="0"/>
        <w:jc w:val="both"/>
      </w:pPr>
    </w:p>
    <w:p w14:paraId="1A2D4C4C" w14:textId="05CC875B" w:rsidR="002E267A" w:rsidRDefault="002E267A" w:rsidP="002E267A">
      <w:pPr>
        <w:bidi w:val="0"/>
        <w:jc w:val="both"/>
      </w:pPr>
      <w:r>
        <w:t>Ms. Grobglas has 25 years of professional experience</w:t>
      </w:r>
      <w:r w:rsidR="00CD45C5">
        <w:t xml:space="preserve">.  She began working at the Bank of Israel 17 years ago, and during that time she has served in a number of positions.  Among those, she participated in the establishment of the ZAHAV (RTGS) system and </w:t>
      </w:r>
      <w:r w:rsidR="000E5E74">
        <w:t>both established and led the are of acceptance examinations for the system.</w:t>
      </w:r>
      <w:r w:rsidR="007F60F4">
        <w:t xml:space="preserve">  Since 2017, Limor has managed the Banking Technology Unit in the Banking Supervision Department, which she established.  As part of her work in that Unit, she has led technological reforms and changes in the banking system, some of which have a direct effect on </w:t>
      </w:r>
      <w:r w:rsidR="009B1978">
        <w:t>consumers, and has also led the establishment and entrenchment of enforcement processes in the area of technological risk management.  In her previous positions</w:t>
      </w:r>
      <w:r w:rsidR="005D307E">
        <w:t xml:space="preserve"> at the Bank of Israel, Limor managed the </w:t>
      </w:r>
      <w:r w:rsidR="000817D8">
        <w:t xml:space="preserve">Operations Unit in the Information Technology Department, as part of which she managed an interdepartmental strategic project.  Limor is an accountant by profession, </w:t>
      </w:r>
      <w:r w:rsidR="006417E4">
        <w:t xml:space="preserve">and holds a Bachelor’s degree in Accounting and Economics from the Hebrew University of Jerusalem and a Master’s degree in Law (accounting track with thesis) from Bar-Ilan University, the latter of which she completed </w:t>
      </w:r>
      <w:r w:rsidR="006417E4">
        <w:rPr>
          <w:i/>
          <w:iCs/>
        </w:rPr>
        <w:t>cum laude</w:t>
      </w:r>
      <w:r w:rsidR="006417E4">
        <w:t>.</w:t>
      </w:r>
    </w:p>
    <w:p w14:paraId="127154BA" w14:textId="20CC0C8F" w:rsidR="00481735" w:rsidRDefault="00481735" w:rsidP="00481735">
      <w:pPr>
        <w:bidi w:val="0"/>
        <w:jc w:val="both"/>
      </w:pPr>
    </w:p>
    <w:p w14:paraId="4F0A8B23" w14:textId="1DED334B" w:rsidR="00481735" w:rsidRDefault="00481735" w:rsidP="00481735">
      <w:pPr>
        <w:bidi w:val="0"/>
        <w:jc w:val="both"/>
      </w:pPr>
      <w:r>
        <w:t xml:space="preserve">The Bank of Israel’s Payment and Settlement Systems Department plays an essential role in designing the payments array in the financial system and in implementing changes that take place in the field of payments.  The Clearinghouse Unit manages </w:t>
      </w:r>
      <w:r w:rsidR="00E0290A">
        <w:t>the systems while maintaining their stability and ensuring their proper functioning, alongside the advancement of innovation, which enables connection and participation by new participants, among other things.</w:t>
      </w:r>
    </w:p>
    <w:p w14:paraId="2FD57879" w14:textId="2B7B8496" w:rsidR="00E0290A" w:rsidRDefault="00E0290A" w:rsidP="00E0290A">
      <w:pPr>
        <w:bidi w:val="0"/>
        <w:jc w:val="both"/>
      </w:pPr>
    </w:p>
    <w:p w14:paraId="3C9A4509" w14:textId="25FF8745" w:rsidR="00E0290A" w:rsidRDefault="00E0290A" w:rsidP="00E0290A">
      <w:pPr>
        <w:bidi w:val="0"/>
        <w:jc w:val="both"/>
      </w:pPr>
      <w:r>
        <w:t>In this important role, Ms. Grobglas will lead the management of two critical systems that are operated by the bank of Israel—</w:t>
      </w:r>
      <w:r w:rsidR="00EF4C39">
        <w:t>the ZAHAV (real-time gross settlement) system, and the Paper-Based (Checks) Clearinghouse.  These systems form a strong basis for the operation of significant parts of the business sector, from both business and technical standpoints.</w:t>
      </w:r>
    </w:p>
    <w:p w14:paraId="56F51A1D" w14:textId="13F79F48" w:rsidR="00EF4C39" w:rsidRDefault="00EF4C39" w:rsidP="00EF4C39">
      <w:pPr>
        <w:bidi w:val="0"/>
        <w:jc w:val="both"/>
      </w:pPr>
    </w:p>
    <w:p w14:paraId="1DA65158" w14:textId="352C9DD8" w:rsidR="00EF4C39" w:rsidRPr="006417E4" w:rsidRDefault="00905E5C" w:rsidP="00EF4C39">
      <w:pPr>
        <w:bidi w:val="0"/>
        <w:jc w:val="both"/>
      </w:pPr>
      <w:r>
        <w:t xml:space="preserve">Payment and Settlement Systems Department Head Oded Salomy said, “The Bank of Israel continues to lead in a changing payments environment.  Alongside maintaining the strong stability of the payment systems, particularly those operated by the Bank of Israel, we are opening the market to new participants.  Led by Limor Groblas, the Clearinghouse Division will continue to </w:t>
      </w:r>
      <w:r>
        <w:lastRenderedPageBreak/>
        <w:t xml:space="preserve">lead market changes by enabling new participants, including nonbank participants, to join and </w:t>
      </w:r>
      <w:r w:rsidR="00FC73DF">
        <w:t xml:space="preserve">act in the core systems of the Bank of Israel and of the economy.  The new participants are expected to provide new value offers and improve financial services for the Israeli public.  Limor’s knowledge and experience in interfacing fields will add tremendous value </w:t>
      </w:r>
      <w:r w:rsidR="00954F46">
        <w:t>to the Department’s work.  I would like to thank Ronit Chitayate, who is leaving the position following many years of work in the field.”</w:t>
      </w:r>
    </w:p>
    <w:sectPr w:rsidR="00EF4C39" w:rsidRPr="006417E4" w:rsidSect="00801EDB">
      <w:pgSz w:w="11906" w:h="16838"/>
      <w:pgMar w:top="1440" w:right="1274"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877C3" w14:textId="77777777" w:rsidR="00D544B4" w:rsidRDefault="00D544B4">
      <w:r>
        <w:separator/>
      </w:r>
    </w:p>
  </w:endnote>
  <w:endnote w:type="continuationSeparator" w:id="0">
    <w:p w14:paraId="4BA4793E" w14:textId="77777777" w:rsidR="00D544B4" w:rsidRDefault="00D5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259C" w14:textId="77777777" w:rsidR="00D544B4" w:rsidRDefault="00D544B4">
      <w:r>
        <w:separator/>
      </w:r>
    </w:p>
  </w:footnote>
  <w:footnote w:type="continuationSeparator" w:id="0">
    <w:p w14:paraId="1B194CE4" w14:textId="77777777" w:rsidR="00D544B4" w:rsidRDefault="00D5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955"/>
    <w:multiLevelType w:val="hybridMultilevel"/>
    <w:tmpl w:val="455A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43C0"/>
    <w:multiLevelType w:val="hybridMultilevel"/>
    <w:tmpl w:val="BA2A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C3B6A"/>
    <w:multiLevelType w:val="hybridMultilevel"/>
    <w:tmpl w:val="9ECA2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F3550"/>
    <w:multiLevelType w:val="hybridMultilevel"/>
    <w:tmpl w:val="E0D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A3D"/>
    <w:multiLevelType w:val="hybridMultilevel"/>
    <w:tmpl w:val="E41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174E0"/>
    <w:multiLevelType w:val="hybridMultilevel"/>
    <w:tmpl w:val="F37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44D44"/>
    <w:multiLevelType w:val="hybridMultilevel"/>
    <w:tmpl w:val="909EAB30"/>
    <w:lvl w:ilvl="0" w:tplc="0409000F">
      <w:start w:val="1"/>
      <w:numFmt w:val="decimal"/>
      <w:lvlText w:val="%1."/>
      <w:lvlJc w:val="left"/>
      <w:pPr>
        <w:tabs>
          <w:tab w:val="num" w:pos="360"/>
        </w:tabs>
        <w:ind w:left="360" w:hanging="360"/>
      </w:pPr>
      <w:rPr>
        <w:rFont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A48BE"/>
    <w:multiLevelType w:val="hybridMultilevel"/>
    <w:tmpl w:val="AEC41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B27F2"/>
    <w:multiLevelType w:val="hybridMultilevel"/>
    <w:tmpl w:val="7D86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16"/>
    <w:rsid w:val="00000D99"/>
    <w:rsid w:val="0000617B"/>
    <w:rsid w:val="00012712"/>
    <w:rsid w:val="00014439"/>
    <w:rsid w:val="00016700"/>
    <w:rsid w:val="00016E25"/>
    <w:rsid w:val="00023CFE"/>
    <w:rsid w:val="00026095"/>
    <w:rsid w:val="000315C9"/>
    <w:rsid w:val="00032E67"/>
    <w:rsid w:val="000365A9"/>
    <w:rsid w:val="0004358A"/>
    <w:rsid w:val="00044537"/>
    <w:rsid w:val="00044766"/>
    <w:rsid w:val="0004578E"/>
    <w:rsid w:val="0004625D"/>
    <w:rsid w:val="00046EAD"/>
    <w:rsid w:val="000507E7"/>
    <w:rsid w:val="00050F7D"/>
    <w:rsid w:val="000514A9"/>
    <w:rsid w:val="00056F79"/>
    <w:rsid w:val="000623E5"/>
    <w:rsid w:val="000634E4"/>
    <w:rsid w:val="000665EB"/>
    <w:rsid w:val="000668E9"/>
    <w:rsid w:val="00073923"/>
    <w:rsid w:val="00076282"/>
    <w:rsid w:val="0007673B"/>
    <w:rsid w:val="000817D8"/>
    <w:rsid w:val="000826A4"/>
    <w:rsid w:val="000846E6"/>
    <w:rsid w:val="00086CED"/>
    <w:rsid w:val="00090B7C"/>
    <w:rsid w:val="000948A3"/>
    <w:rsid w:val="00095E42"/>
    <w:rsid w:val="00096E32"/>
    <w:rsid w:val="000A2403"/>
    <w:rsid w:val="000A289E"/>
    <w:rsid w:val="000A4394"/>
    <w:rsid w:val="000A480B"/>
    <w:rsid w:val="000B3848"/>
    <w:rsid w:val="000B5E78"/>
    <w:rsid w:val="000C0965"/>
    <w:rsid w:val="000C25BD"/>
    <w:rsid w:val="000C4278"/>
    <w:rsid w:val="000C5458"/>
    <w:rsid w:val="000C574D"/>
    <w:rsid w:val="000D13D9"/>
    <w:rsid w:val="000D3306"/>
    <w:rsid w:val="000D7416"/>
    <w:rsid w:val="000E2A9D"/>
    <w:rsid w:val="000E4E26"/>
    <w:rsid w:val="000E5E74"/>
    <w:rsid w:val="000E7627"/>
    <w:rsid w:val="000F75CD"/>
    <w:rsid w:val="0010074A"/>
    <w:rsid w:val="00106B25"/>
    <w:rsid w:val="0011468F"/>
    <w:rsid w:val="00114CA7"/>
    <w:rsid w:val="001312C4"/>
    <w:rsid w:val="0013680E"/>
    <w:rsid w:val="00136F33"/>
    <w:rsid w:val="00145B6F"/>
    <w:rsid w:val="00157194"/>
    <w:rsid w:val="001572FD"/>
    <w:rsid w:val="0016034A"/>
    <w:rsid w:val="00163140"/>
    <w:rsid w:val="00167E0B"/>
    <w:rsid w:val="00171599"/>
    <w:rsid w:val="00171C7C"/>
    <w:rsid w:val="00171EC4"/>
    <w:rsid w:val="0018475E"/>
    <w:rsid w:val="00186464"/>
    <w:rsid w:val="00187FFB"/>
    <w:rsid w:val="00192FB2"/>
    <w:rsid w:val="00193EC0"/>
    <w:rsid w:val="00195EEE"/>
    <w:rsid w:val="001A03A6"/>
    <w:rsid w:val="001A0514"/>
    <w:rsid w:val="001A3CB4"/>
    <w:rsid w:val="001A6A34"/>
    <w:rsid w:val="001B1BC1"/>
    <w:rsid w:val="001B2D23"/>
    <w:rsid w:val="001B53D6"/>
    <w:rsid w:val="001C156A"/>
    <w:rsid w:val="001C47C6"/>
    <w:rsid w:val="001D1418"/>
    <w:rsid w:val="001D21EB"/>
    <w:rsid w:val="001D27D1"/>
    <w:rsid w:val="001D2C60"/>
    <w:rsid w:val="001D7E9E"/>
    <w:rsid w:val="001E07CE"/>
    <w:rsid w:val="001E5142"/>
    <w:rsid w:val="001E52D3"/>
    <w:rsid w:val="001E6583"/>
    <w:rsid w:val="001F4516"/>
    <w:rsid w:val="00202EB1"/>
    <w:rsid w:val="00210A95"/>
    <w:rsid w:val="002135FA"/>
    <w:rsid w:val="00213953"/>
    <w:rsid w:val="00220309"/>
    <w:rsid w:val="00221376"/>
    <w:rsid w:val="00225DA6"/>
    <w:rsid w:val="00226CCC"/>
    <w:rsid w:val="00236F7B"/>
    <w:rsid w:val="00242464"/>
    <w:rsid w:val="002432F0"/>
    <w:rsid w:val="0024599A"/>
    <w:rsid w:val="00247672"/>
    <w:rsid w:val="00252EDC"/>
    <w:rsid w:val="00262B7A"/>
    <w:rsid w:val="00267E7B"/>
    <w:rsid w:val="0027085E"/>
    <w:rsid w:val="0027697B"/>
    <w:rsid w:val="00283445"/>
    <w:rsid w:val="00284538"/>
    <w:rsid w:val="002A18D5"/>
    <w:rsid w:val="002A310A"/>
    <w:rsid w:val="002A3B21"/>
    <w:rsid w:val="002A5FC9"/>
    <w:rsid w:val="002B01ED"/>
    <w:rsid w:val="002B1EB1"/>
    <w:rsid w:val="002B293D"/>
    <w:rsid w:val="002B4547"/>
    <w:rsid w:val="002C3351"/>
    <w:rsid w:val="002C3EE9"/>
    <w:rsid w:val="002C4DAA"/>
    <w:rsid w:val="002D2D09"/>
    <w:rsid w:val="002D3999"/>
    <w:rsid w:val="002E08D2"/>
    <w:rsid w:val="002E090F"/>
    <w:rsid w:val="002E267A"/>
    <w:rsid w:val="002E7A29"/>
    <w:rsid w:val="002F1B63"/>
    <w:rsid w:val="002F2216"/>
    <w:rsid w:val="002F3543"/>
    <w:rsid w:val="003013E3"/>
    <w:rsid w:val="00301CB0"/>
    <w:rsid w:val="00304927"/>
    <w:rsid w:val="0030514B"/>
    <w:rsid w:val="003134E2"/>
    <w:rsid w:val="003163B2"/>
    <w:rsid w:val="0031705F"/>
    <w:rsid w:val="0032166E"/>
    <w:rsid w:val="0033081F"/>
    <w:rsid w:val="00330F04"/>
    <w:rsid w:val="00331094"/>
    <w:rsid w:val="00333CE7"/>
    <w:rsid w:val="0034074B"/>
    <w:rsid w:val="00341077"/>
    <w:rsid w:val="00342373"/>
    <w:rsid w:val="003529E4"/>
    <w:rsid w:val="00353E63"/>
    <w:rsid w:val="00353F97"/>
    <w:rsid w:val="00354178"/>
    <w:rsid w:val="0036413F"/>
    <w:rsid w:val="00365258"/>
    <w:rsid w:val="0037080B"/>
    <w:rsid w:val="00372200"/>
    <w:rsid w:val="003A0DFC"/>
    <w:rsid w:val="003A7D9D"/>
    <w:rsid w:val="003B1B13"/>
    <w:rsid w:val="003B2C94"/>
    <w:rsid w:val="003B5446"/>
    <w:rsid w:val="003D4A60"/>
    <w:rsid w:val="003D4C68"/>
    <w:rsid w:val="003D76A3"/>
    <w:rsid w:val="003E0231"/>
    <w:rsid w:val="003E1FF4"/>
    <w:rsid w:val="003E2CF3"/>
    <w:rsid w:val="003E3681"/>
    <w:rsid w:val="003E5443"/>
    <w:rsid w:val="003E778C"/>
    <w:rsid w:val="003F3D35"/>
    <w:rsid w:val="003F5DE6"/>
    <w:rsid w:val="003F74BE"/>
    <w:rsid w:val="003F7A32"/>
    <w:rsid w:val="00400986"/>
    <w:rsid w:val="00404A79"/>
    <w:rsid w:val="004051FD"/>
    <w:rsid w:val="00405BCE"/>
    <w:rsid w:val="004105D7"/>
    <w:rsid w:val="004119FE"/>
    <w:rsid w:val="004128EF"/>
    <w:rsid w:val="0041292B"/>
    <w:rsid w:val="00416AE2"/>
    <w:rsid w:val="0041758F"/>
    <w:rsid w:val="004222BA"/>
    <w:rsid w:val="00426835"/>
    <w:rsid w:val="004300B6"/>
    <w:rsid w:val="0043467A"/>
    <w:rsid w:val="00434A1B"/>
    <w:rsid w:val="004367A1"/>
    <w:rsid w:val="004373F5"/>
    <w:rsid w:val="00437DF1"/>
    <w:rsid w:val="004435AB"/>
    <w:rsid w:val="004446AA"/>
    <w:rsid w:val="0044749B"/>
    <w:rsid w:val="00450EFA"/>
    <w:rsid w:val="0045409A"/>
    <w:rsid w:val="004549F0"/>
    <w:rsid w:val="00470950"/>
    <w:rsid w:val="004728B3"/>
    <w:rsid w:val="00473BB8"/>
    <w:rsid w:val="004750E7"/>
    <w:rsid w:val="004768D4"/>
    <w:rsid w:val="004804CF"/>
    <w:rsid w:val="00481735"/>
    <w:rsid w:val="00482D4C"/>
    <w:rsid w:val="00484EA3"/>
    <w:rsid w:val="004A2945"/>
    <w:rsid w:val="004A4704"/>
    <w:rsid w:val="004A7ADA"/>
    <w:rsid w:val="004B08DC"/>
    <w:rsid w:val="004B104B"/>
    <w:rsid w:val="004B2CBF"/>
    <w:rsid w:val="004B4586"/>
    <w:rsid w:val="004C2A80"/>
    <w:rsid w:val="004C40C5"/>
    <w:rsid w:val="004C66F6"/>
    <w:rsid w:val="004D1180"/>
    <w:rsid w:val="004D4F13"/>
    <w:rsid w:val="004D538A"/>
    <w:rsid w:val="004D5C6A"/>
    <w:rsid w:val="004D5F9D"/>
    <w:rsid w:val="004E094A"/>
    <w:rsid w:val="004E2833"/>
    <w:rsid w:val="004E3AF0"/>
    <w:rsid w:val="004E43F9"/>
    <w:rsid w:val="004E631F"/>
    <w:rsid w:val="004E707D"/>
    <w:rsid w:val="004F3D04"/>
    <w:rsid w:val="004F5395"/>
    <w:rsid w:val="004F625E"/>
    <w:rsid w:val="00514FF8"/>
    <w:rsid w:val="00516147"/>
    <w:rsid w:val="00523591"/>
    <w:rsid w:val="005255FF"/>
    <w:rsid w:val="00526FED"/>
    <w:rsid w:val="00534211"/>
    <w:rsid w:val="00534A0B"/>
    <w:rsid w:val="00534EE8"/>
    <w:rsid w:val="00537517"/>
    <w:rsid w:val="0053771B"/>
    <w:rsid w:val="00537C93"/>
    <w:rsid w:val="005404AB"/>
    <w:rsid w:val="005410C8"/>
    <w:rsid w:val="00541C1D"/>
    <w:rsid w:val="00546CF1"/>
    <w:rsid w:val="00553CCB"/>
    <w:rsid w:val="00556DBC"/>
    <w:rsid w:val="00564AF7"/>
    <w:rsid w:val="00566134"/>
    <w:rsid w:val="00570B5D"/>
    <w:rsid w:val="00574507"/>
    <w:rsid w:val="00575B71"/>
    <w:rsid w:val="00581774"/>
    <w:rsid w:val="00586549"/>
    <w:rsid w:val="005904DC"/>
    <w:rsid w:val="005917DF"/>
    <w:rsid w:val="0059442E"/>
    <w:rsid w:val="00595E7F"/>
    <w:rsid w:val="0059746D"/>
    <w:rsid w:val="00597546"/>
    <w:rsid w:val="00597A57"/>
    <w:rsid w:val="005A1786"/>
    <w:rsid w:val="005A5969"/>
    <w:rsid w:val="005B363E"/>
    <w:rsid w:val="005B3D1C"/>
    <w:rsid w:val="005B4BA6"/>
    <w:rsid w:val="005B62DB"/>
    <w:rsid w:val="005C19E3"/>
    <w:rsid w:val="005C6129"/>
    <w:rsid w:val="005D21FC"/>
    <w:rsid w:val="005D28E6"/>
    <w:rsid w:val="005D307E"/>
    <w:rsid w:val="005D3378"/>
    <w:rsid w:val="005D359E"/>
    <w:rsid w:val="005D37D2"/>
    <w:rsid w:val="005D5950"/>
    <w:rsid w:val="005D71D3"/>
    <w:rsid w:val="005E031B"/>
    <w:rsid w:val="005E361B"/>
    <w:rsid w:val="005E3B38"/>
    <w:rsid w:val="005F1F25"/>
    <w:rsid w:val="005F268F"/>
    <w:rsid w:val="005F555C"/>
    <w:rsid w:val="005F6D75"/>
    <w:rsid w:val="00601B64"/>
    <w:rsid w:val="00604C3C"/>
    <w:rsid w:val="00605E01"/>
    <w:rsid w:val="0061557F"/>
    <w:rsid w:val="00615C6F"/>
    <w:rsid w:val="00615E05"/>
    <w:rsid w:val="00620249"/>
    <w:rsid w:val="0062072A"/>
    <w:rsid w:val="00620CFA"/>
    <w:rsid w:val="006223F7"/>
    <w:rsid w:val="0063117D"/>
    <w:rsid w:val="00634D28"/>
    <w:rsid w:val="006402E3"/>
    <w:rsid w:val="006414D3"/>
    <w:rsid w:val="006417E4"/>
    <w:rsid w:val="00642910"/>
    <w:rsid w:val="00643B93"/>
    <w:rsid w:val="00655A5F"/>
    <w:rsid w:val="006561B6"/>
    <w:rsid w:val="00660DF0"/>
    <w:rsid w:val="0066382D"/>
    <w:rsid w:val="006649C6"/>
    <w:rsid w:val="00672449"/>
    <w:rsid w:val="00673F0C"/>
    <w:rsid w:val="00675F95"/>
    <w:rsid w:val="00675FBD"/>
    <w:rsid w:val="006817AE"/>
    <w:rsid w:val="00690B9D"/>
    <w:rsid w:val="00697715"/>
    <w:rsid w:val="006A05D6"/>
    <w:rsid w:val="006A06C5"/>
    <w:rsid w:val="006A3144"/>
    <w:rsid w:val="006A3BFA"/>
    <w:rsid w:val="006A3FBF"/>
    <w:rsid w:val="006A5D86"/>
    <w:rsid w:val="006A79BE"/>
    <w:rsid w:val="006B03E6"/>
    <w:rsid w:val="006B55F1"/>
    <w:rsid w:val="006B71F7"/>
    <w:rsid w:val="006B7E4D"/>
    <w:rsid w:val="006B7EBC"/>
    <w:rsid w:val="006C12D8"/>
    <w:rsid w:val="006D3ED0"/>
    <w:rsid w:val="006E0775"/>
    <w:rsid w:val="006E0FF8"/>
    <w:rsid w:val="006E26D9"/>
    <w:rsid w:val="006E513F"/>
    <w:rsid w:val="006F2C4E"/>
    <w:rsid w:val="006F356E"/>
    <w:rsid w:val="00701D97"/>
    <w:rsid w:val="007068BB"/>
    <w:rsid w:val="00707B2D"/>
    <w:rsid w:val="007207FE"/>
    <w:rsid w:val="00722A25"/>
    <w:rsid w:val="007234A6"/>
    <w:rsid w:val="00724B08"/>
    <w:rsid w:val="007306F1"/>
    <w:rsid w:val="007307AE"/>
    <w:rsid w:val="00730F74"/>
    <w:rsid w:val="00732793"/>
    <w:rsid w:val="00734474"/>
    <w:rsid w:val="00736920"/>
    <w:rsid w:val="00737F82"/>
    <w:rsid w:val="00741DC5"/>
    <w:rsid w:val="007423F4"/>
    <w:rsid w:val="0074477D"/>
    <w:rsid w:val="00745C84"/>
    <w:rsid w:val="00746B87"/>
    <w:rsid w:val="00753F90"/>
    <w:rsid w:val="0075490B"/>
    <w:rsid w:val="0076143B"/>
    <w:rsid w:val="00761A51"/>
    <w:rsid w:val="0076741A"/>
    <w:rsid w:val="00767B51"/>
    <w:rsid w:val="00773F3A"/>
    <w:rsid w:val="007747DD"/>
    <w:rsid w:val="00774FAD"/>
    <w:rsid w:val="00776455"/>
    <w:rsid w:val="00786645"/>
    <w:rsid w:val="00790119"/>
    <w:rsid w:val="00792A08"/>
    <w:rsid w:val="007943FE"/>
    <w:rsid w:val="00794F29"/>
    <w:rsid w:val="00795623"/>
    <w:rsid w:val="0079566B"/>
    <w:rsid w:val="007A35B4"/>
    <w:rsid w:val="007A475A"/>
    <w:rsid w:val="007A5C0D"/>
    <w:rsid w:val="007A7F00"/>
    <w:rsid w:val="007B1453"/>
    <w:rsid w:val="007B3B55"/>
    <w:rsid w:val="007B7479"/>
    <w:rsid w:val="007B7AF4"/>
    <w:rsid w:val="007C0D31"/>
    <w:rsid w:val="007C4AA3"/>
    <w:rsid w:val="007C4C2F"/>
    <w:rsid w:val="007C540C"/>
    <w:rsid w:val="007C5B40"/>
    <w:rsid w:val="007C614F"/>
    <w:rsid w:val="007D1D14"/>
    <w:rsid w:val="007D3CC9"/>
    <w:rsid w:val="007D3FE8"/>
    <w:rsid w:val="007D5335"/>
    <w:rsid w:val="007D634B"/>
    <w:rsid w:val="007D7427"/>
    <w:rsid w:val="007E58E1"/>
    <w:rsid w:val="007E72B9"/>
    <w:rsid w:val="007E75FC"/>
    <w:rsid w:val="007F11D7"/>
    <w:rsid w:val="007F60F4"/>
    <w:rsid w:val="00800181"/>
    <w:rsid w:val="008006F6"/>
    <w:rsid w:val="00800B41"/>
    <w:rsid w:val="00801EDB"/>
    <w:rsid w:val="008035CA"/>
    <w:rsid w:val="0080509D"/>
    <w:rsid w:val="0080552C"/>
    <w:rsid w:val="0081461B"/>
    <w:rsid w:val="0081685B"/>
    <w:rsid w:val="0082061C"/>
    <w:rsid w:val="00820B0C"/>
    <w:rsid w:val="00822B3F"/>
    <w:rsid w:val="00841EA6"/>
    <w:rsid w:val="0085330D"/>
    <w:rsid w:val="008540D3"/>
    <w:rsid w:val="008548F8"/>
    <w:rsid w:val="00857A74"/>
    <w:rsid w:val="00864D21"/>
    <w:rsid w:val="00867508"/>
    <w:rsid w:val="00870B3A"/>
    <w:rsid w:val="00871C00"/>
    <w:rsid w:val="008732F4"/>
    <w:rsid w:val="00880409"/>
    <w:rsid w:val="00881717"/>
    <w:rsid w:val="00881F22"/>
    <w:rsid w:val="00890AE8"/>
    <w:rsid w:val="0089520B"/>
    <w:rsid w:val="00895613"/>
    <w:rsid w:val="00896151"/>
    <w:rsid w:val="008A1906"/>
    <w:rsid w:val="008A247F"/>
    <w:rsid w:val="008A3255"/>
    <w:rsid w:val="008A410E"/>
    <w:rsid w:val="008A5EED"/>
    <w:rsid w:val="008B2D6D"/>
    <w:rsid w:val="008B63FA"/>
    <w:rsid w:val="008B731E"/>
    <w:rsid w:val="008C0C38"/>
    <w:rsid w:val="008C5013"/>
    <w:rsid w:val="008D2FEA"/>
    <w:rsid w:val="008E050E"/>
    <w:rsid w:val="008E5517"/>
    <w:rsid w:val="008E6FF8"/>
    <w:rsid w:val="008E7C44"/>
    <w:rsid w:val="008F424E"/>
    <w:rsid w:val="008F6BD8"/>
    <w:rsid w:val="00904427"/>
    <w:rsid w:val="00905E5C"/>
    <w:rsid w:val="009063FB"/>
    <w:rsid w:val="00907BBF"/>
    <w:rsid w:val="009116C8"/>
    <w:rsid w:val="0091193D"/>
    <w:rsid w:val="00912408"/>
    <w:rsid w:val="0091277B"/>
    <w:rsid w:val="00912BE9"/>
    <w:rsid w:val="00913439"/>
    <w:rsid w:val="0091463F"/>
    <w:rsid w:val="00921C68"/>
    <w:rsid w:val="00921DF1"/>
    <w:rsid w:val="00924D2D"/>
    <w:rsid w:val="00931C74"/>
    <w:rsid w:val="00941834"/>
    <w:rsid w:val="00941BEC"/>
    <w:rsid w:val="009440F4"/>
    <w:rsid w:val="009456BC"/>
    <w:rsid w:val="00954F46"/>
    <w:rsid w:val="00960225"/>
    <w:rsid w:val="00963F06"/>
    <w:rsid w:val="00967B2C"/>
    <w:rsid w:val="00967E15"/>
    <w:rsid w:val="00972965"/>
    <w:rsid w:val="00973759"/>
    <w:rsid w:val="00973AB7"/>
    <w:rsid w:val="00974057"/>
    <w:rsid w:val="009776B4"/>
    <w:rsid w:val="0098024E"/>
    <w:rsid w:val="00983916"/>
    <w:rsid w:val="00983F26"/>
    <w:rsid w:val="0098643B"/>
    <w:rsid w:val="009873C4"/>
    <w:rsid w:val="0099046A"/>
    <w:rsid w:val="00992162"/>
    <w:rsid w:val="00992BFA"/>
    <w:rsid w:val="00993809"/>
    <w:rsid w:val="009955C4"/>
    <w:rsid w:val="0099622A"/>
    <w:rsid w:val="00996EDA"/>
    <w:rsid w:val="009A29B4"/>
    <w:rsid w:val="009A3D55"/>
    <w:rsid w:val="009A49E0"/>
    <w:rsid w:val="009B044C"/>
    <w:rsid w:val="009B1978"/>
    <w:rsid w:val="009B2436"/>
    <w:rsid w:val="009B622D"/>
    <w:rsid w:val="009C5FA1"/>
    <w:rsid w:val="009C73B8"/>
    <w:rsid w:val="009D0A76"/>
    <w:rsid w:val="009D4654"/>
    <w:rsid w:val="009D4D19"/>
    <w:rsid w:val="009D50B0"/>
    <w:rsid w:val="009D6069"/>
    <w:rsid w:val="009D6624"/>
    <w:rsid w:val="009D6F88"/>
    <w:rsid w:val="009E1674"/>
    <w:rsid w:val="009F1912"/>
    <w:rsid w:val="009F44AA"/>
    <w:rsid w:val="009F6223"/>
    <w:rsid w:val="009F791E"/>
    <w:rsid w:val="00A0243E"/>
    <w:rsid w:val="00A078DD"/>
    <w:rsid w:val="00A1028C"/>
    <w:rsid w:val="00A152D1"/>
    <w:rsid w:val="00A1728D"/>
    <w:rsid w:val="00A20571"/>
    <w:rsid w:val="00A22937"/>
    <w:rsid w:val="00A27D59"/>
    <w:rsid w:val="00A3070E"/>
    <w:rsid w:val="00A41CB0"/>
    <w:rsid w:val="00A55AF3"/>
    <w:rsid w:val="00A55D41"/>
    <w:rsid w:val="00A571A9"/>
    <w:rsid w:val="00A63683"/>
    <w:rsid w:val="00A71951"/>
    <w:rsid w:val="00A74E2C"/>
    <w:rsid w:val="00A7663B"/>
    <w:rsid w:val="00A76B98"/>
    <w:rsid w:val="00A76E37"/>
    <w:rsid w:val="00A77AA9"/>
    <w:rsid w:val="00A861EF"/>
    <w:rsid w:val="00A903F0"/>
    <w:rsid w:val="00A91F30"/>
    <w:rsid w:val="00A92253"/>
    <w:rsid w:val="00A95235"/>
    <w:rsid w:val="00A96589"/>
    <w:rsid w:val="00A97AFE"/>
    <w:rsid w:val="00AA0839"/>
    <w:rsid w:val="00AA200F"/>
    <w:rsid w:val="00AA2628"/>
    <w:rsid w:val="00AA5862"/>
    <w:rsid w:val="00AA608B"/>
    <w:rsid w:val="00AA7912"/>
    <w:rsid w:val="00AB0652"/>
    <w:rsid w:val="00AB5D49"/>
    <w:rsid w:val="00AC37CD"/>
    <w:rsid w:val="00AC3CDC"/>
    <w:rsid w:val="00AC73AB"/>
    <w:rsid w:val="00AD295A"/>
    <w:rsid w:val="00AE19B6"/>
    <w:rsid w:val="00AF11B9"/>
    <w:rsid w:val="00AF6894"/>
    <w:rsid w:val="00AF76F9"/>
    <w:rsid w:val="00B0262B"/>
    <w:rsid w:val="00B075AD"/>
    <w:rsid w:val="00B1097A"/>
    <w:rsid w:val="00B14865"/>
    <w:rsid w:val="00B16346"/>
    <w:rsid w:val="00B176D6"/>
    <w:rsid w:val="00B241C0"/>
    <w:rsid w:val="00B2768D"/>
    <w:rsid w:val="00B33916"/>
    <w:rsid w:val="00B4223F"/>
    <w:rsid w:val="00B4234D"/>
    <w:rsid w:val="00B428ED"/>
    <w:rsid w:val="00B43F36"/>
    <w:rsid w:val="00B5099F"/>
    <w:rsid w:val="00B5206F"/>
    <w:rsid w:val="00B5399E"/>
    <w:rsid w:val="00B61E98"/>
    <w:rsid w:val="00B621D2"/>
    <w:rsid w:val="00B64919"/>
    <w:rsid w:val="00B67804"/>
    <w:rsid w:val="00B7037B"/>
    <w:rsid w:val="00B70454"/>
    <w:rsid w:val="00B736B8"/>
    <w:rsid w:val="00B73CA3"/>
    <w:rsid w:val="00B808D2"/>
    <w:rsid w:val="00B84A8A"/>
    <w:rsid w:val="00B9024D"/>
    <w:rsid w:val="00BA2D1B"/>
    <w:rsid w:val="00BA55C1"/>
    <w:rsid w:val="00BA5C08"/>
    <w:rsid w:val="00BA7B30"/>
    <w:rsid w:val="00BC1986"/>
    <w:rsid w:val="00BC49E0"/>
    <w:rsid w:val="00BC7C39"/>
    <w:rsid w:val="00BD0DD5"/>
    <w:rsid w:val="00BD33F2"/>
    <w:rsid w:val="00BD4FDF"/>
    <w:rsid w:val="00BE007E"/>
    <w:rsid w:val="00BF1578"/>
    <w:rsid w:val="00BF2956"/>
    <w:rsid w:val="00C00064"/>
    <w:rsid w:val="00C04942"/>
    <w:rsid w:val="00C04E18"/>
    <w:rsid w:val="00C04F6F"/>
    <w:rsid w:val="00C1198F"/>
    <w:rsid w:val="00C12931"/>
    <w:rsid w:val="00C158B8"/>
    <w:rsid w:val="00C1737C"/>
    <w:rsid w:val="00C176DA"/>
    <w:rsid w:val="00C263AF"/>
    <w:rsid w:val="00C274D3"/>
    <w:rsid w:val="00C32466"/>
    <w:rsid w:val="00C3396A"/>
    <w:rsid w:val="00C351F8"/>
    <w:rsid w:val="00C36B15"/>
    <w:rsid w:val="00C40EA0"/>
    <w:rsid w:val="00C42036"/>
    <w:rsid w:val="00C44493"/>
    <w:rsid w:val="00C4615F"/>
    <w:rsid w:val="00C469CC"/>
    <w:rsid w:val="00C47EB4"/>
    <w:rsid w:val="00C50959"/>
    <w:rsid w:val="00C51BAE"/>
    <w:rsid w:val="00C5345B"/>
    <w:rsid w:val="00C568E8"/>
    <w:rsid w:val="00C60404"/>
    <w:rsid w:val="00C60E01"/>
    <w:rsid w:val="00C6123C"/>
    <w:rsid w:val="00C6191E"/>
    <w:rsid w:val="00C6455C"/>
    <w:rsid w:val="00C64EE3"/>
    <w:rsid w:val="00C6583E"/>
    <w:rsid w:val="00C65AC9"/>
    <w:rsid w:val="00C66729"/>
    <w:rsid w:val="00C805E5"/>
    <w:rsid w:val="00C85AE0"/>
    <w:rsid w:val="00C8727A"/>
    <w:rsid w:val="00C923EC"/>
    <w:rsid w:val="00CA0010"/>
    <w:rsid w:val="00CA053C"/>
    <w:rsid w:val="00CA11D4"/>
    <w:rsid w:val="00CA2CB5"/>
    <w:rsid w:val="00CA3400"/>
    <w:rsid w:val="00CA455B"/>
    <w:rsid w:val="00CA4B0D"/>
    <w:rsid w:val="00CA4DE4"/>
    <w:rsid w:val="00CA5865"/>
    <w:rsid w:val="00CA6555"/>
    <w:rsid w:val="00CB2F74"/>
    <w:rsid w:val="00CB3869"/>
    <w:rsid w:val="00CC00B2"/>
    <w:rsid w:val="00CC29CE"/>
    <w:rsid w:val="00CC4911"/>
    <w:rsid w:val="00CC4C89"/>
    <w:rsid w:val="00CC7F3C"/>
    <w:rsid w:val="00CD45C5"/>
    <w:rsid w:val="00CD4828"/>
    <w:rsid w:val="00CE6364"/>
    <w:rsid w:val="00CF44F1"/>
    <w:rsid w:val="00CF4E66"/>
    <w:rsid w:val="00D00581"/>
    <w:rsid w:val="00D01388"/>
    <w:rsid w:val="00D10DE1"/>
    <w:rsid w:val="00D13E9B"/>
    <w:rsid w:val="00D146F4"/>
    <w:rsid w:val="00D15DE6"/>
    <w:rsid w:val="00D2221A"/>
    <w:rsid w:val="00D3047B"/>
    <w:rsid w:val="00D3290F"/>
    <w:rsid w:val="00D34419"/>
    <w:rsid w:val="00D4373B"/>
    <w:rsid w:val="00D51663"/>
    <w:rsid w:val="00D52248"/>
    <w:rsid w:val="00D5242F"/>
    <w:rsid w:val="00D526E2"/>
    <w:rsid w:val="00D544B4"/>
    <w:rsid w:val="00D54505"/>
    <w:rsid w:val="00D57282"/>
    <w:rsid w:val="00D61D0C"/>
    <w:rsid w:val="00D6326C"/>
    <w:rsid w:val="00D64906"/>
    <w:rsid w:val="00D64EB7"/>
    <w:rsid w:val="00D65175"/>
    <w:rsid w:val="00D65E40"/>
    <w:rsid w:val="00D67958"/>
    <w:rsid w:val="00D71A61"/>
    <w:rsid w:val="00D85F6C"/>
    <w:rsid w:val="00D8638A"/>
    <w:rsid w:val="00D865CD"/>
    <w:rsid w:val="00D872AE"/>
    <w:rsid w:val="00D91561"/>
    <w:rsid w:val="00D94667"/>
    <w:rsid w:val="00D97004"/>
    <w:rsid w:val="00D97E53"/>
    <w:rsid w:val="00DA40C3"/>
    <w:rsid w:val="00DA5DD3"/>
    <w:rsid w:val="00DB0860"/>
    <w:rsid w:val="00DB08E7"/>
    <w:rsid w:val="00DB0DD5"/>
    <w:rsid w:val="00DB2564"/>
    <w:rsid w:val="00DB2785"/>
    <w:rsid w:val="00DB4A87"/>
    <w:rsid w:val="00DB5F08"/>
    <w:rsid w:val="00DB6544"/>
    <w:rsid w:val="00DC2A44"/>
    <w:rsid w:val="00DC36E5"/>
    <w:rsid w:val="00DD0720"/>
    <w:rsid w:val="00DD5616"/>
    <w:rsid w:val="00DD679E"/>
    <w:rsid w:val="00DD749A"/>
    <w:rsid w:val="00DE1A33"/>
    <w:rsid w:val="00DF06E8"/>
    <w:rsid w:val="00DF3732"/>
    <w:rsid w:val="00DF4F7B"/>
    <w:rsid w:val="00DF61FF"/>
    <w:rsid w:val="00E02410"/>
    <w:rsid w:val="00E0290A"/>
    <w:rsid w:val="00E15142"/>
    <w:rsid w:val="00E20DA6"/>
    <w:rsid w:val="00E25173"/>
    <w:rsid w:val="00E30C2A"/>
    <w:rsid w:val="00E31BD4"/>
    <w:rsid w:val="00E3425B"/>
    <w:rsid w:val="00E356E1"/>
    <w:rsid w:val="00E41202"/>
    <w:rsid w:val="00E4231B"/>
    <w:rsid w:val="00E443A9"/>
    <w:rsid w:val="00E51EEC"/>
    <w:rsid w:val="00E52A40"/>
    <w:rsid w:val="00E57967"/>
    <w:rsid w:val="00E62B5C"/>
    <w:rsid w:val="00E64C16"/>
    <w:rsid w:val="00E65937"/>
    <w:rsid w:val="00E66BBE"/>
    <w:rsid w:val="00E772EB"/>
    <w:rsid w:val="00E863FF"/>
    <w:rsid w:val="00E8676C"/>
    <w:rsid w:val="00E90674"/>
    <w:rsid w:val="00E977BB"/>
    <w:rsid w:val="00EA21BF"/>
    <w:rsid w:val="00EA4021"/>
    <w:rsid w:val="00EB3532"/>
    <w:rsid w:val="00EB3A66"/>
    <w:rsid w:val="00EB7788"/>
    <w:rsid w:val="00EC0069"/>
    <w:rsid w:val="00EC183F"/>
    <w:rsid w:val="00EC530A"/>
    <w:rsid w:val="00EC5D7C"/>
    <w:rsid w:val="00EC5D7D"/>
    <w:rsid w:val="00ED3B60"/>
    <w:rsid w:val="00ED3F41"/>
    <w:rsid w:val="00ED439B"/>
    <w:rsid w:val="00ED68DF"/>
    <w:rsid w:val="00ED7A4F"/>
    <w:rsid w:val="00ED7ED5"/>
    <w:rsid w:val="00EE740D"/>
    <w:rsid w:val="00EF01F0"/>
    <w:rsid w:val="00EF258D"/>
    <w:rsid w:val="00EF2EB8"/>
    <w:rsid w:val="00EF4C39"/>
    <w:rsid w:val="00EF5C36"/>
    <w:rsid w:val="00F029AD"/>
    <w:rsid w:val="00F05577"/>
    <w:rsid w:val="00F1588B"/>
    <w:rsid w:val="00F23BEA"/>
    <w:rsid w:val="00F247DC"/>
    <w:rsid w:val="00F254AD"/>
    <w:rsid w:val="00F25722"/>
    <w:rsid w:val="00F31479"/>
    <w:rsid w:val="00F321D0"/>
    <w:rsid w:val="00F35B2A"/>
    <w:rsid w:val="00F3731E"/>
    <w:rsid w:val="00F3750D"/>
    <w:rsid w:val="00F42C71"/>
    <w:rsid w:val="00F47D21"/>
    <w:rsid w:val="00F5166A"/>
    <w:rsid w:val="00F52EB3"/>
    <w:rsid w:val="00F60ED1"/>
    <w:rsid w:val="00F61D99"/>
    <w:rsid w:val="00F638D6"/>
    <w:rsid w:val="00F7036B"/>
    <w:rsid w:val="00F71442"/>
    <w:rsid w:val="00F72626"/>
    <w:rsid w:val="00F726C6"/>
    <w:rsid w:val="00F77A6E"/>
    <w:rsid w:val="00F77C8B"/>
    <w:rsid w:val="00F81E5A"/>
    <w:rsid w:val="00F9267D"/>
    <w:rsid w:val="00F9373D"/>
    <w:rsid w:val="00F974A9"/>
    <w:rsid w:val="00F97605"/>
    <w:rsid w:val="00FA1345"/>
    <w:rsid w:val="00FA144A"/>
    <w:rsid w:val="00FA1503"/>
    <w:rsid w:val="00FA29D8"/>
    <w:rsid w:val="00FA715B"/>
    <w:rsid w:val="00FA79C2"/>
    <w:rsid w:val="00FB0884"/>
    <w:rsid w:val="00FB2D73"/>
    <w:rsid w:val="00FB50FF"/>
    <w:rsid w:val="00FB529D"/>
    <w:rsid w:val="00FB5963"/>
    <w:rsid w:val="00FC0C34"/>
    <w:rsid w:val="00FC236B"/>
    <w:rsid w:val="00FC73DF"/>
    <w:rsid w:val="00FD1690"/>
    <w:rsid w:val="00FD25DB"/>
    <w:rsid w:val="00FD2C6A"/>
    <w:rsid w:val="00FD437E"/>
    <w:rsid w:val="00FF1BB0"/>
    <w:rsid w:val="00FF4147"/>
    <w:rsid w:val="00FF4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53F86"/>
  <w15:docId w15:val="{018D23E9-FF3A-40EA-AA2B-7D4843AA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83916"/>
    <w:rPr>
      <w:sz w:val="20"/>
      <w:szCs w:val="20"/>
    </w:rPr>
  </w:style>
  <w:style w:type="character" w:styleId="a5">
    <w:name w:val="footnote reference"/>
    <w:basedOn w:val="a0"/>
    <w:semiHidden/>
    <w:rsid w:val="00983916"/>
    <w:rPr>
      <w:vertAlign w:val="superscript"/>
    </w:rPr>
  </w:style>
  <w:style w:type="character" w:styleId="a6">
    <w:name w:val="annotation reference"/>
    <w:basedOn w:val="a0"/>
    <w:semiHidden/>
    <w:rsid w:val="003529E4"/>
    <w:rPr>
      <w:sz w:val="16"/>
      <w:szCs w:val="16"/>
    </w:rPr>
  </w:style>
  <w:style w:type="paragraph" w:styleId="a7">
    <w:name w:val="annotation text"/>
    <w:basedOn w:val="a"/>
    <w:semiHidden/>
    <w:rsid w:val="003529E4"/>
    <w:rPr>
      <w:sz w:val="20"/>
      <w:szCs w:val="20"/>
    </w:rPr>
  </w:style>
  <w:style w:type="paragraph" w:styleId="a8">
    <w:name w:val="annotation subject"/>
    <w:basedOn w:val="a7"/>
    <w:next w:val="a7"/>
    <w:semiHidden/>
    <w:rsid w:val="003529E4"/>
    <w:rPr>
      <w:b/>
      <w:bCs/>
    </w:rPr>
  </w:style>
  <w:style w:type="paragraph" w:styleId="a9">
    <w:name w:val="Balloon Text"/>
    <w:basedOn w:val="a"/>
    <w:semiHidden/>
    <w:rsid w:val="003529E4"/>
    <w:rPr>
      <w:rFonts w:ascii="Tahoma" w:hAnsi="Tahoma"/>
      <w:sz w:val="16"/>
      <w:szCs w:val="16"/>
    </w:rPr>
  </w:style>
  <w:style w:type="paragraph" w:styleId="aa">
    <w:name w:val="List Paragraph"/>
    <w:basedOn w:val="a"/>
    <w:uiPriority w:val="34"/>
    <w:qFormat/>
    <w:rsid w:val="00881F22"/>
    <w:pPr>
      <w:ind w:left="720"/>
      <w:contextualSpacing/>
    </w:pPr>
  </w:style>
  <w:style w:type="character" w:customStyle="1" w:styleId="a4">
    <w:name w:val="טקסט הערת שוליים תו"/>
    <w:basedOn w:val="a0"/>
    <w:link w:val="a3"/>
    <w:rsid w:val="00AE19B6"/>
  </w:style>
  <w:style w:type="character" w:styleId="Hyperlink">
    <w:name w:val="Hyperlink"/>
    <w:rsid w:val="00AE19B6"/>
    <w:rPr>
      <w:color w:val="0000FF"/>
      <w:u w:val="single"/>
    </w:rPr>
  </w:style>
  <w:style w:type="paragraph" w:customStyle="1" w:styleId="regpar">
    <w:name w:val="regpar"/>
    <w:basedOn w:val="a"/>
    <w:rsid w:val="000E2A9D"/>
    <w:pPr>
      <w:bidi w:val="0"/>
      <w:spacing w:line="300" w:lineRule="exact"/>
      <w:ind w:firstLine="240"/>
      <w:jc w:val="both"/>
    </w:pPr>
    <w:rPr>
      <w:rFonts w:ascii="Times" w:hAnsi="Times" w:cs="Times"/>
    </w:rPr>
  </w:style>
  <w:style w:type="table" w:styleId="ab">
    <w:name w:val="Table Grid"/>
    <w:basedOn w:val="a1"/>
    <w:unhideWhenUsed/>
    <w:rsid w:val="00ED7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F01F0"/>
    <w:rPr>
      <w:sz w:val="24"/>
      <w:szCs w:val="24"/>
    </w:rPr>
  </w:style>
  <w:style w:type="character" w:customStyle="1" w:styleId="UnresolvedMention">
    <w:name w:val="Unresolved Mention"/>
    <w:basedOn w:val="a0"/>
    <w:uiPriority w:val="99"/>
    <w:semiHidden/>
    <w:unhideWhenUsed/>
    <w:rsid w:val="00FA79C2"/>
    <w:rPr>
      <w:color w:val="605E5C"/>
      <w:shd w:val="clear" w:color="auto" w:fill="E1DFDD"/>
    </w:rPr>
  </w:style>
  <w:style w:type="character" w:styleId="FollowedHyperlink">
    <w:name w:val="FollowedHyperlink"/>
    <w:basedOn w:val="a0"/>
    <w:semiHidden/>
    <w:unhideWhenUsed/>
    <w:rsid w:val="007A3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2019-03-25T08:53:47+00:00</PublishingExpirationDat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07A082-B2AE-4453-B2C0-06552BCC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BFC94-F83C-4314-B15D-40749A3DE053}">
  <ds:schemaRefs>
    <ds:schemaRef ds:uri="http://schemas.microsoft.com/sharepoint/v3/contenttype/forms"/>
  </ds:schemaRefs>
</ds:datastoreItem>
</file>

<file path=customXml/itemProps3.xml><?xml version="1.0" encoding="utf-8"?>
<ds:datastoreItem xmlns:ds="http://schemas.openxmlformats.org/officeDocument/2006/customXml" ds:itemID="{226A393A-AA8A-4979-9BC1-A31880C4D1C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BC6C0C6-AB19-479B-B33D-E22BE4D9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2749</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Report of the Market Operations Department on Israel's Foreign Exchange Reserves in 2011</vt:lpstr>
      <vt:lpstr>Report of the Market Operations Department on Israel's Foreign Exchange Reserves in 2011</vt:lpstr>
    </vt:vector>
  </TitlesOfParts>
  <Company>BOI</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Market Operations Department on Israel's Foreign Exchange Reserves in 2011</dc:title>
  <dc:creator>u15c</dc:creator>
  <cp:lastModifiedBy>לירון דהן</cp:lastModifiedBy>
  <cp:revision>2</cp:revision>
  <cp:lastPrinted>2017-03-16T10:44:00Z</cp:lastPrinted>
  <dcterms:created xsi:type="dcterms:W3CDTF">2023-01-11T11:42:00Z</dcterms:created>
  <dcterms:modified xsi:type="dcterms:W3CDTF">2023-01-11T11:42:00Z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