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9D" w:rsidRPr="007A5EB1" w:rsidRDefault="00D52248" w:rsidP="007A5EB1">
      <w:pPr>
        <w:bidi w:val="0"/>
        <w:jc w:val="both"/>
        <w:rPr>
          <w:rtl/>
        </w:rPr>
      </w:pPr>
      <w:bookmarkStart w:id="0" w:name="_GoBack"/>
      <w:bookmarkEnd w:id="0"/>
      <w:r w:rsidRPr="007A5EB1">
        <w:rPr>
          <w:noProof/>
        </w:rPr>
        <w:drawing>
          <wp:anchor distT="0" distB="0" distL="114300" distR="114300" simplePos="0" relativeHeight="251658240" behindDoc="0" locked="0" layoutInCell="1" allowOverlap="1" wp14:anchorId="483CA92A" wp14:editId="5A075F4B">
            <wp:simplePos x="0" y="0"/>
            <wp:positionH relativeFrom="column">
              <wp:posOffset>2237740</wp:posOffset>
            </wp:positionH>
            <wp:positionV relativeFrom="paragraph">
              <wp:posOffset>-662940</wp:posOffset>
            </wp:positionV>
            <wp:extent cx="1424940" cy="1424940"/>
            <wp:effectExtent l="0" t="0" r="3810" b="3810"/>
            <wp:wrapNone/>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61C" w:rsidRPr="007A5EB1" w:rsidRDefault="0082061C" w:rsidP="007A5EB1">
      <w:pPr>
        <w:pStyle w:val="regpar"/>
        <w:spacing w:line="300" w:lineRule="atLeast"/>
        <w:ind w:firstLine="0"/>
        <w:rPr>
          <w:rFonts w:ascii="Times New Roman" w:hAnsi="Times New Roman" w:cs="David"/>
          <w:b/>
        </w:rPr>
      </w:pPr>
    </w:p>
    <w:p w:rsidR="001B53D6" w:rsidRPr="007A5EB1" w:rsidRDefault="001B53D6" w:rsidP="007A5EB1">
      <w:pPr>
        <w:pStyle w:val="regpar"/>
        <w:spacing w:line="300" w:lineRule="atLeast"/>
        <w:ind w:firstLine="0"/>
        <w:rPr>
          <w:rFonts w:ascii="Times New Roman" w:hAnsi="Times New Roman" w:cs="David"/>
          <w:b/>
        </w:rPr>
      </w:pPr>
    </w:p>
    <w:p w:rsidR="001B53D6" w:rsidRPr="007A5EB1" w:rsidRDefault="001B53D6" w:rsidP="007A5EB1">
      <w:pPr>
        <w:pStyle w:val="regpar"/>
        <w:spacing w:line="300" w:lineRule="atLeast"/>
        <w:ind w:firstLine="0"/>
        <w:rPr>
          <w:rFonts w:ascii="Times New Roman" w:hAnsi="Times New Roman" w:cs="David"/>
          <w:b/>
        </w:rPr>
      </w:pPr>
    </w:p>
    <w:p w:rsidR="000E2A9D" w:rsidRPr="007A5EB1" w:rsidRDefault="000E2A9D" w:rsidP="007367A5">
      <w:pPr>
        <w:pStyle w:val="regpar"/>
        <w:spacing w:line="300" w:lineRule="atLeast"/>
        <w:ind w:firstLine="0"/>
        <w:jc w:val="center"/>
        <w:rPr>
          <w:rFonts w:ascii="Times New Roman" w:hAnsi="Times New Roman" w:cs="David"/>
          <w:b/>
        </w:rPr>
      </w:pPr>
      <w:r w:rsidRPr="007A5EB1">
        <w:rPr>
          <w:rFonts w:ascii="Times New Roman" w:hAnsi="Times New Roman" w:cs="David"/>
          <w:b/>
        </w:rPr>
        <w:t>BANK OF ISRAEL</w:t>
      </w:r>
    </w:p>
    <w:p w:rsidR="000E2A9D" w:rsidRPr="007A5EB1" w:rsidRDefault="003D76A3" w:rsidP="007367A5">
      <w:pPr>
        <w:pStyle w:val="regpar"/>
        <w:spacing w:line="300" w:lineRule="atLeast"/>
        <w:ind w:firstLine="0"/>
        <w:jc w:val="center"/>
        <w:rPr>
          <w:rFonts w:ascii="Times New Roman" w:hAnsi="Times New Roman" w:cs="Times New Roman"/>
          <w:b/>
        </w:rPr>
      </w:pPr>
      <w:r w:rsidRPr="007A5EB1">
        <w:rPr>
          <w:rFonts w:ascii="Times New Roman" w:hAnsi="Times New Roman" w:cs="Times New Roman" w:hint="cs"/>
        </w:rPr>
        <w:t>O</w:t>
      </w:r>
      <w:r w:rsidRPr="007A5EB1">
        <w:rPr>
          <w:rFonts w:ascii="Times New Roman" w:hAnsi="Times New Roman" w:cs="Times New Roman"/>
        </w:rPr>
        <w:t>ffice of the Spokesperson and Economic Information</w:t>
      </w:r>
    </w:p>
    <w:p w:rsidR="000E2A9D" w:rsidRPr="007A5EB1" w:rsidRDefault="000E2A9D" w:rsidP="007367A5">
      <w:pPr>
        <w:bidi w:val="0"/>
        <w:jc w:val="center"/>
      </w:pPr>
    </w:p>
    <w:p w:rsidR="00016E25" w:rsidRPr="007A5EB1" w:rsidRDefault="00016E25" w:rsidP="007A5EB1">
      <w:pPr>
        <w:bidi w:val="0"/>
        <w:jc w:val="both"/>
      </w:pPr>
    </w:p>
    <w:p w:rsidR="00A0243E" w:rsidRPr="007A5EB1" w:rsidRDefault="000948A3" w:rsidP="007367A5">
      <w:pPr>
        <w:bidi w:val="0"/>
        <w:jc w:val="right"/>
      </w:pPr>
      <w:r w:rsidRPr="007A5EB1">
        <w:t xml:space="preserve">December </w:t>
      </w:r>
      <w:r w:rsidR="000E4E26" w:rsidRPr="007A5EB1">
        <w:t>11</w:t>
      </w:r>
      <w:r w:rsidR="000C5458" w:rsidRPr="007A5EB1">
        <w:t>, 2022</w:t>
      </w:r>
    </w:p>
    <w:p w:rsidR="0000617B" w:rsidRPr="007A5EB1" w:rsidRDefault="0000617B" w:rsidP="007A5EB1">
      <w:pPr>
        <w:tabs>
          <w:tab w:val="center" w:pos="4156"/>
          <w:tab w:val="right" w:pos="8312"/>
        </w:tabs>
        <w:bidi w:val="0"/>
        <w:jc w:val="both"/>
        <w:rPr>
          <w:rFonts w:cs="David"/>
        </w:rPr>
      </w:pPr>
    </w:p>
    <w:p w:rsidR="00ED3F41" w:rsidRPr="007A5EB1" w:rsidRDefault="00ED3F41" w:rsidP="007A5EB1">
      <w:pPr>
        <w:tabs>
          <w:tab w:val="center" w:pos="4156"/>
          <w:tab w:val="right" w:pos="8312"/>
        </w:tabs>
        <w:bidi w:val="0"/>
        <w:jc w:val="both"/>
        <w:rPr>
          <w:rFonts w:cs="David"/>
        </w:rPr>
      </w:pPr>
    </w:p>
    <w:p w:rsidR="000E2A9D" w:rsidRPr="007A5EB1" w:rsidRDefault="000E2A9D" w:rsidP="00946D5B">
      <w:pPr>
        <w:tabs>
          <w:tab w:val="center" w:pos="4156"/>
          <w:tab w:val="right" w:pos="8312"/>
        </w:tabs>
        <w:bidi w:val="0"/>
        <w:jc w:val="center"/>
        <w:rPr>
          <w:rFonts w:cs="David"/>
        </w:rPr>
      </w:pPr>
      <w:r w:rsidRPr="007A5EB1">
        <w:rPr>
          <w:rFonts w:cs="David"/>
        </w:rPr>
        <w:t>Press Release</w:t>
      </w:r>
      <w:r w:rsidR="0082061C" w:rsidRPr="007A5EB1">
        <w:rPr>
          <w:rFonts w:cs="David"/>
        </w:rPr>
        <w:t>:</w:t>
      </w:r>
    </w:p>
    <w:p w:rsidR="00A0243E" w:rsidRPr="007A5EB1" w:rsidRDefault="00A0243E" w:rsidP="007A5EB1">
      <w:pPr>
        <w:bidi w:val="0"/>
        <w:jc w:val="both"/>
        <w:rPr>
          <w:b/>
          <w:bCs/>
        </w:rPr>
      </w:pPr>
    </w:p>
    <w:p w:rsidR="006817AE" w:rsidRPr="007A5EB1" w:rsidRDefault="000E4E26" w:rsidP="007A5EB1">
      <w:pPr>
        <w:bidi w:val="0"/>
        <w:jc w:val="both"/>
        <w:rPr>
          <w:b/>
          <w:bCs/>
          <w:sz w:val="26"/>
          <w:szCs w:val="26"/>
          <w:rtl/>
        </w:rPr>
      </w:pPr>
      <w:r w:rsidRPr="007A5EB1">
        <w:rPr>
          <w:b/>
          <w:bCs/>
          <w:sz w:val="26"/>
          <w:szCs w:val="26"/>
        </w:rPr>
        <w:t>The Bank of Israel is streamlining the connection</w:t>
      </w:r>
      <w:r w:rsidR="004750E7" w:rsidRPr="007A5EB1">
        <w:rPr>
          <w:b/>
          <w:bCs/>
          <w:sz w:val="26"/>
          <w:szCs w:val="26"/>
        </w:rPr>
        <w:t xml:space="preserve"> to the payment systems for</w:t>
      </w:r>
      <w:r w:rsidRPr="007A5EB1">
        <w:rPr>
          <w:b/>
          <w:bCs/>
          <w:sz w:val="26"/>
          <w:szCs w:val="26"/>
        </w:rPr>
        <w:t xml:space="preserve"> fintech firms and other entities</w:t>
      </w:r>
    </w:p>
    <w:p w:rsidR="00B67804" w:rsidRPr="007A5EB1" w:rsidRDefault="00B67804" w:rsidP="007A5EB1">
      <w:pPr>
        <w:bidi w:val="0"/>
        <w:jc w:val="both"/>
        <w:rPr>
          <w:b/>
          <w:bCs/>
        </w:rPr>
      </w:pPr>
    </w:p>
    <w:p w:rsidR="004750E7" w:rsidRPr="007A5EB1" w:rsidRDefault="0032166E" w:rsidP="000E3B2E">
      <w:pPr>
        <w:bidi w:val="0"/>
        <w:jc w:val="both"/>
      </w:pPr>
      <w:r w:rsidRPr="007A5EB1">
        <w:t xml:space="preserve">From the end of the year onward, </w:t>
      </w:r>
      <w:r>
        <w:t>the Bank of Israel</w:t>
      </w:r>
      <w:r w:rsidR="008A1585">
        <w:t>, MASAV and SHVA</w:t>
      </w:r>
      <w:r w:rsidR="00642B68">
        <w:t xml:space="preserve"> </w:t>
      </w:r>
      <w:r w:rsidRPr="007A5EB1">
        <w:t xml:space="preserve">will </w:t>
      </w:r>
      <w:r>
        <w:t>publish</w:t>
      </w:r>
      <w:r w:rsidRPr="007A5EB1">
        <w:t xml:space="preserve"> times at which new entities, including fintech</w:t>
      </w:r>
      <w:r w:rsidR="00A76B98" w:rsidRPr="007A5EB1">
        <w:t xml:space="preserve"> firms, bigtech firms, credit and savings unions</w:t>
      </w:r>
      <w:r w:rsidR="00A76B98" w:rsidRPr="007A5EB1">
        <w:rPr>
          <w:rStyle w:val="a5"/>
        </w:rPr>
        <w:footnoteReference w:id="2"/>
      </w:r>
      <w:r w:rsidR="00A76B98" w:rsidRPr="007A5EB1">
        <w:t>, and other relevant banking entities will be able to connect to the</w:t>
      </w:r>
      <w:r w:rsidR="008A1585">
        <w:t xml:space="preserve">ir </w:t>
      </w:r>
      <w:r w:rsidR="00A76B98" w:rsidRPr="007A5EB1">
        <w:t>infrastructures</w:t>
      </w:r>
      <w:r w:rsidR="003D38D6">
        <w:t>.</w:t>
      </w:r>
      <w:r w:rsidR="00841EA6">
        <w:t xml:space="preserve"> </w:t>
      </w:r>
      <w:r w:rsidR="003D38D6">
        <w:t>U</w:t>
      </w:r>
      <w:r w:rsidR="00841EA6">
        <w:t>ntil</w:t>
      </w:r>
      <w:r w:rsidR="00841EA6" w:rsidRPr="007A5EB1">
        <w:t xml:space="preserve"> now</w:t>
      </w:r>
      <w:r w:rsidR="003D38D6">
        <w:t>, these infrastructures</w:t>
      </w:r>
      <w:r w:rsidR="00841EA6" w:rsidRPr="007A5EB1">
        <w:t xml:space="preserve"> have been the domain of traditional banks only. Access to the payment systems will enable the new entities to offer payment services to the public. Those entities are expected to use the infrastructures to offer additional financial services.</w:t>
      </w:r>
    </w:p>
    <w:p w:rsidR="00841EA6" w:rsidRPr="007A5EB1" w:rsidRDefault="00841EA6" w:rsidP="007A5EB1">
      <w:pPr>
        <w:bidi w:val="0"/>
        <w:jc w:val="both"/>
      </w:pPr>
    </w:p>
    <w:p w:rsidR="00841EA6" w:rsidRPr="007A5EB1" w:rsidRDefault="004373F5" w:rsidP="00D22DBA">
      <w:pPr>
        <w:bidi w:val="0"/>
        <w:jc w:val="both"/>
      </w:pPr>
      <w:r w:rsidRPr="007A5EB1">
        <w:t>Today, t</w:t>
      </w:r>
      <w:r w:rsidR="00841EA6" w:rsidRPr="007A5EB1">
        <w:t xml:space="preserve">he Bank of Israel </w:t>
      </w:r>
      <w:r w:rsidRPr="007A5EB1">
        <w:t xml:space="preserve">instructed the operators of the following controlled payment </w:t>
      </w:r>
      <w:r w:rsidR="00D22DBA">
        <w:t>systems</w:t>
      </w:r>
      <w:r w:rsidR="00D22DBA" w:rsidRPr="007A5EB1">
        <w:t xml:space="preserve"> </w:t>
      </w:r>
      <w:r w:rsidRPr="007A5EB1">
        <w:t>to publish the dates of the entry windows</w:t>
      </w:r>
      <w:r w:rsidRPr="007A5EB1">
        <w:rPr>
          <w:rStyle w:val="a5"/>
        </w:rPr>
        <w:footnoteReference w:id="3"/>
      </w:r>
      <w:r w:rsidRPr="007A5EB1">
        <w:t xml:space="preserve"> for the coming two years:</w:t>
      </w:r>
    </w:p>
    <w:p w:rsidR="004373F5" w:rsidRPr="007A5EB1" w:rsidRDefault="004373F5" w:rsidP="007A5EB1">
      <w:pPr>
        <w:bidi w:val="0"/>
        <w:jc w:val="both"/>
      </w:pPr>
    </w:p>
    <w:tbl>
      <w:tblPr>
        <w:tblStyle w:val="ab"/>
        <w:tblW w:w="0" w:type="auto"/>
        <w:tblLook w:val="04A0" w:firstRow="1" w:lastRow="0" w:firstColumn="1" w:lastColumn="0" w:noHBand="0" w:noVBand="1"/>
      </w:tblPr>
      <w:tblGrid>
        <w:gridCol w:w="2689"/>
        <w:gridCol w:w="6657"/>
      </w:tblGrid>
      <w:tr w:rsidR="007A5EB1" w:rsidRPr="007A5EB1" w:rsidTr="00575B71">
        <w:tc>
          <w:tcPr>
            <w:tcW w:w="2689" w:type="dxa"/>
            <w:shd w:val="clear" w:color="auto" w:fill="D9D9D9" w:themeFill="background1" w:themeFillShade="D9"/>
          </w:tcPr>
          <w:p w:rsidR="004373F5" w:rsidRPr="007A5EB1" w:rsidRDefault="004373F5" w:rsidP="007A5EB1">
            <w:pPr>
              <w:bidi w:val="0"/>
              <w:jc w:val="both"/>
            </w:pPr>
            <w:r w:rsidRPr="007A5EB1">
              <w:t>System Operator</w:t>
            </w:r>
          </w:p>
        </w:tc>
        <w:tc>
          <w:tcPr>
            <w:tcW w:w="6657" w:type="dxa"/>
            <w:shd w:val="clear" w:color="auto" w:fill="D9D9D9" w:themeFill="background1" w:themeFillShade="D9"/>
          </w:tcPr>
          <w:p w:rsidR="004373F5" w:rsidRPr="007A5EB1" w:rsidRDefault="004373F5" w:rsidP="007A5EB1">
            <w:pPr>
              <w:bidi w:val="0"/>
              <w:jc w:val="both"/>
            </w:pPr>
            <w:r w:rsidRPr="007A5EB1">
              <w:t>System</w:t>
            </w:r>
          </w:p>
        </w:tc>
      </w:tr>
      <w:tr w:rsidR="007A5EB1" w:rsidRPr="007A5EB1" w:rsidTr="004373F5">
        <w:tc>
          <w:tcPr>
            <w:tcW w:w="2689" w:type="dxa"/>
          </w:tcPr>
          <w:p w:rsidR="004373F5" w:rsidRPr="007A5EB1" w:rsidRDefault="004373F5" w:rsidP="007A5EB1">
            <w:pPr>
              <w:bidi w:val="0"/>
              <w:jc w:val="both"/>
            </w:pPr>
            <w:r w:rsidRPr="007A5EB1">
              <w:t>Bank of Israel</w:t>
            </w:r>
          </w:p>
        </w:tc>
        <w:tc>
          <w:tcPr>
            <w:tcW w:w="6657" w:type="dxa"/>
          </w:tcPr>
          <w:p w:rsidR="004373F5" w:rsidRPr="007A5EB1" w:rsidRDefault="004373F5" w:rsidP="007A5EB1">
            <w:pPr>
              <w:bidi w:val="0"/>
              <w:jc w:val="both"/>
            </w:pPr>
            <w:r w:rsidRPr="007A5EB1">
              <w:t xml:space="preserve">ZAHAV </w:t>
            </w:r>
            <w:r w:rsidR="00575B71" w:rsidRPr="007A5EB1">
              <w:t>–</w:t>
            </w:r>
            <w:r w:rsidRPr="007A5EB1">
              <w:t xml:space="preserve"> </w:t>
            </w:r>
            <w:r w:rsidR="00575B71" w:rsidRPr="007A5EB1">
              <w:t>Real-time gross settlement</w:t>
            </w:r>
          </w:p>
        </w:tc>
      </w:tr>
      <w:tr w:rsidR="007A5EB1" w:rsidRPr="007A5EB1" w:rsidTr="004373F5">
        <w:tc>
          <w:tcPr>
            <w:tcW w:w="2689" w:type="dxa"/>
            <w:vMerge w:val="restart"/>
          </w:tcPr>
          <w:p w:rsidR="004373F5" w:rsidRPr="007A5EB1" w:rsidRDefault="00575B71" w:rsidP="007A5EB1">
            <w:pPr>
              <w:bidi w:val="0"/>
              <w:jc w:val="both"/>
            </w:pPr>
            <w:r w:rsidRPr="007A5EB1">
              <w:t>MASAV</w:t>
            </w:r>
          </w:p>
        </w:tc>
        <w:tc>
          <w:tcPr>
            <w:tcW w:w="6657" w:type="dxa"/>
          </w:tcPr>
          <w:p w:rsidR="004373F5" w:rsidRPr="007A5EB1" w:rsidRDefault="00A76333" w:rsidP="00642B68">
            <w:pPr>
              <w:bidi w:val="0"/>
              <w:jc w:val="both"/>
            </w:pPr>
            <w:r w:rsidRPr="007A5EB1">
              <w:t xml:space="preserve">Credit, debit and transfer of payments </w:t>
            </w:r>
            <w:r w:rsidR="00642B68">
              <w:t>s</w:t>
            </w:r>
            <w:r w:rsidRPr="007A5EB1">
              <w:t>ystem</w:t>
            </w:r>
          </w:p>
        </w:tc>
      </w:tr>
      <w:tr w:rsidR="007A5EB1" w:rsidRPr="007A5EB1" w:rsidTr="004373F5">
        <w:tc>
          <w:tcPr>
            <w:tcW w:w="2689" w:type="dxa"/>
            <w:vMerge/>
          </w:tcPr>
          <w:p w:rsidR="004373F5" w:rsidRPr="007A5EB1" w:rsidRDefault="004373F5" w:rsidP="007A5EB1">
            <w:pPr>
              <w:bidi w:val="0"/>
              <w:jc w:val="both"/>
            </w:pPr>
          </w:p>
        </w:tc>
        <w:tc>
          <w:tcPr>
            <w:tcW w:w="6657" w:type="dxa"/>
          </w:tcPr>
          <w:p w:rsidR="004373F5" w:rsidRPr="007A5EB1" w:rsidRDefault="00575B71" w:rsidP="007A5EB1">
            <w:pPr>
              <w:bidi w:val="0"/>
              <w:jc w:val="both"/>
            </w:pPr>
            <w:r w:rsidRPr="007A5EB1">
              <w:t>Faster payments</w:t>
            </w:r>
          </w:p>
        </w:tc>
      </w:tr>
      <w:tr w:rsidR="007A5EB1" w:rsidRPr="007A5EB1" w:rsidTr="004373F5">
        <w:tc>
          <w:tcPr>
            <w:tcW w:w="2689" w:type="dxa"/>
            <w:vMerge w:val="restart"/>
          </w:tcPr>
          <w:p w:rsidR="004373F5" w:rsidRPr="007A5EB1" w:rsidRDefault="00575B71" w:rsidP="007A5EB1">
            <w:pPr>
              <w:bidi w:val="0"/>
              <w:jc w:val="both"/>
            </w:pPr>
            <w:r w:rsidRPr="007A5EB1">
              <w:t>SHVA</w:t>
            </w:r>
          </w:p>
        </w:tc>
        <w:tc>
          <w:tcPr>
            <w:tcW w:w="6657" w:type="dxa"/>
          </w:tcPr>
          <w:p w:rsidR="004373F5" w:rsidRPr="007A5EB1" w:rsidRDefault="00575B71" w:rsidP="007A5EB1">
            <w:pPr>
              <w:bidi w:val="0"/>
              <w:jc w:val="both"/>
            </w:pPr>
            <w:r w:rsidRPr="007A5EB1">
              <w:t xml:space="preserve">Ashrait – Payment card </w:t>
            </w:r>
            <w:r w:rsidR="00A76333" w:rsidRPr="007A5EB1">
              <w:t>services</w:t>
            </w:r>
            <w:r w:rsidR="00D22DBA">
              <w:t xml:space="preserve"> (switch)</w:t>
            </w:r>
          </w:p>
        </w:tc>
      </w:tr>
      <w:tr w:rsidR="004373F5" w:rsidRPr="007A5EB1" w:rsidTr="004373F5">
        <w:tc>
          <w:tcPr>
            <w:tcW w:w="2689" w:type="dxa"/>
            <w:vMerge/>
          </w:tcPr>
          <w:p w:rsidR="004373F5" w:rsidRPr="007A5EB1" w:rsidRDefault="004373F5" w:rsidP="007A5EB1">
            <w:pPr>
              <w:bidi w:val="0"/>
              <w:jc w:val="both"/>
            </w:pPr>
          </w:p>
        </w:tc>
        <w:tc>
          <w:tcPr>
            <w:tcW w:w="6657" w:type="dxa"/>
          </w:tcPr>
          <w:p w:rsidR="004373F5" w:rsidRPr="007A5EB1" w:rsidRDefault="00575B71" w:rsidP="00D22DBA">
            <w:pPr>
              <w:bidi w:val="0"/>
              <w:jc w:val="both"/>
            </w:pPr>
            <w:r w:rsidRPr="007A5EB1">
              <w:t>ATM</w:t>
            </w:r>
            <w:r w:rsidR="00A76333" w:rsidRPr="007A5EB1">
              <w:t xml:space="preserve"> - Automated Teller Machine</w:t>
            </w:r>
          </w:p>
        </w:tc>
      </w:tr>
    </w:tbl>
    <w:p w:rsidR="004373F5" w:rsidRPr="007A5EB1" w:rsidRDefault="004373F5" w:rsidP="007A5EB1">
      <w:pPr>
        <w:bidi w:val="0"/>
        <w:jc w:val="both"/>
      </w:pPr>
    </w:p>
    <w:p w:rsidR="00575B71" w:rsidRPr="007A5EB1" w:rsidRDefault="004222BA" w:rsidP="00D22DBA">
      <w:pPr>
        <w:bidi w:val="0"/>
        <w:jc w:val="both"/>
      </w:pPr>
      <w:r w:rsidRPr="007A5EB1">
        <w:t xml:space="preserve">Oded Salomy, Director of the Bank of Israel’s Payment and Settlement Systems Department, said: “Following the Bank of Israel’s </w:t>
      </w:r>
      <w:r w:rsidR="00A76333" w:rsidRPr="007A5EB1">
        <w:t>instruction</w:t>
      </w:r>
      <w:r w:rsidRPr="007A5EB1">
        <w:t>, new participants will be able to arrange in advance</w:t>
      </w:r>
      <w:r w:rsidR="00044766" w:rsidRPr="007A5EB1">
        <w:t xml:space="preserve"> when they will enter the payment systems, from among the potential dates set out. Once such a date is chosen, a launch program will be set that will include all the stages in the process and the schedule for implementation, so that the new participant will be able to prepare in advance for the start of its operations, and streamline its </w:t>
      </w:r>
      <w:r w:rsidR="008A5EED" w:rsidRPr="007A5EB1">
        <w:t>activity with the payments market.”</w:t>
      </w:r>
    </w:p>
    <w:sectPr w:rsidR="00575B71" w:rsidRPr="007A5EB1" w:rsidSect="00801EDB">
      <w:headerReference w:type="default" r:id="rId12"/>
      <w:footerReference w:type="default" r:id="rId13"/>
      <w:pgSz w:w="11906" w:h="16838"/>
      <w:pgMar w:top="1440" w:right="1274"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4B" w:rsidRDefault="009F3F4B">
      <w:r>
        <w:separator/>
      </w:r>
    </w:p>
  </w:endnote>
  <w:endnote w:type="continuationSeparator" w:id="0">
    <w:p w:rsidR="009F3F4B" w:rsidRDefault="009F3F4B">
      <w:r>
        <w:continuationSeparator/>
      </w:r>
    </w:p>
  </w:endnote>
  <w:endnote w:type="continuationNotice" w:id="1">
    <w:p w:rsidR="009F3F4B" w:rsidRDefault="009F3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A5" w:rsidRDefault="007367A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4B" w:rsidRDefault="009F3F4B">
      <w:r>
        <w:separator/>
      </w:r>
    </w:p>
  </w:footnote>
  <w:footnote w:type="continuationSeparator" w:id="0">
    <w:p w:rsidR="009F3F4B" w:rsidRDefault="009F3F4B">
      <w:r>
        <w:continuationSeparator/>
      </w:r>
    </w:p>
  </w:footnote>
  <w:footnote w:type="continuationNotice" w:id="1">
    <w:p w:rsidR="009F3F4B" w:rsidRDefault="009F3F4B"/>
  </w:footnote>
  <w:footnote w:id="2">
    <w:p w:rsidR="00A76B98" w:rsidRDefault="00A76B98" w:rsidP="007A7F00">
      <w:pPr>
        <w:pStyle w:val="a3"/>
        <w:bidi w:val="0"/>
      </w:pPr>
      <w:r>
        <w:rPr>
          <w:rStyle w:val="a5"/>
        </w:rPr>
        <w:footnoteRef/>
      </w:r>
      <w:r w:rsidR="008A5EED">
        <w:t xml:space="preserve"> Referring to “Deposit and Credit Unions”, which are known to the general public as</w:t>
      </w:r>
      <w:r w:rsidR="007A7F00">
        <w:t xml:space="preserve"> “Credit and Savings Unions”.</w:t>
      </w:r>
      <w:r>
        <w:rPr>
          <w:rtl/>
        </w:rPr>
        <w:t xml:space="preserve"> </w:t>
      </w:r>
    </w:p>
  </w:footnote>
  <w:footnote w:id="3">
    <w:p w:rsidR="004373F5" w:rsidRDefault="004373F5" w:rsidP="007A7F00">
      <w:pPr>
        <w:pStyle w:val="a3"/>
        <w:bidi w:val="0"/>
      </w:pPr>
      <w:r>
        <w:rPr>
          <w:rStyle w:val="a5"/>
        </w:rPr>
        <w:footnoteRef/>
      </w:r>
      <w:r>
        <w:rPr>
          <w:rtl/>
        </w:rPr>
        <w:t xml:space="preserve"> </w:t>
      </w:r>
      <w:r w:rsidR="007A7F00">
        <w:t>“Entry windows” are the dates on which new entities can connect to the payment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A5" w:rsidRDefault="007367A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955"/>
    <w:multiLevelType w:val="hybridMultilevel"/>
    <w:tmpl w:val="455A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43C0"/>
    <w:multiLevelType w:val="hybridMultilevel"/>
    <w:tmpl w:val="BA2A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C3B6A"/>
    <w:multiLevelType w:val="hybridMultilevel"/>
    <w:tmpl w:val="9ECA2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50"/>
    <w:multiLevelType w:val="hybridMultilevel"/>
    <w:tmpl w:val="E0D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A3D"/>
    <w:multiLevelType w:val="hybridMultilevel"/>
    <w:tmpl w:val="E416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174E0"/>
    <w:multiLevelType w:val="hybridMultilevel"/>
    <w:tmpl w:val="F37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44D44"/>
    <w:multiLevelType w:val="hybridMultilevel"/>
    <w:tmpl w:val="909EAB30"/>
    <w:lvl w:ilvl="0" w:tplc="0409000F">
      <w:start w:val="1"/>
      <w:numFmt w:val="decimal"/>
      <w:lvlText w:val="%1."/>
      <w:lvlJc w:val="left"/>
      <w:pPr>
        <w:tabs>
          <w:tab w:val="num" w:pos="360"/>
        </w:tabs>
        <w:ind w:left="360" w:hanging="360"/>
      </w:pPr>
      <w:rPr>
        <w:rFont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EA48BE"/>
    <w:multiLevelType w:val="hybridMultilevel"/>
    <w:tmpl w:val="AEC41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B27F2"/>
    <w:multiLevelType w:val="hybridMultilevel"/>
    <w:tmpl w:val="7D86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16"/>
    <w:rsid w:val="00000D99"/>
    <w:rsid w:val="0000617B"/>
    <w:rsid w:val="00012712"/>
    <w:rsid w:val="00014439"/>
    <w:rsid w:val="00016700"/>
    <w:rsid w:val="00016E25"/>
    <w:rsid w:val="00023CFE"/>
    <w:rsid w:val="00026095"/>
    <w:rsid w:val="000315C9"/>
    <w:rsid w:val="00032E67"/>
    <w:rsid w:val="000365A9"/>
    <w:rsid w:val="0004358A"/>
    <w:rsid w:val="00044537"/>
    <w:rsid w:val="00044766"/>
    <w:rsid w:val="0004578E"/>
    <w:rsid w:val="0004625D"/>
    <w:rsid w:val="00046EAD"/>
    <w:rsid w:val="000507E7"/>
    <w:rsid w:val="00050F7D"/>
    <w:rsid w:val="000514A9"/>
    <w:rsid w:val="00056F79"/>
    <w:rsid w:val="000623E5"/>
    <w:rsid w:val="000634E4"/>
    <w:rsid w:val="000665EB"/>
    <w:rsid w:val="000668E9"/>
    <w:rsid w:val="00073923"/>
    <w:rsid w:val="00076282"/>
    <w:rsid w:val="0007673B"/>
    <w:rsid w:val="000826A4"/>
    <w:rsid w:val="000846E6"/>
    <w:rsid w:val="00090B7C"/>
    <w:rsid w:val="000948A3"/>
    <w:rsid w:val="00095E42"/>
    <w:rsid w:val="00096E32"/>
    <w:rsid w:val="000A2403"/>
    <w:rsid w:val="000A289E"/>
    <w:rsid w:val="000A4394"/>
    <w:rsid w:val="000A480B"/>
    <w:rsid w:val="000B3848"/>
    <w:rsid w:val="000B5E78"/>
    <w:rsid w:val="000C0965"/>
    <w:rsid w:val="000C25BD"/>
    <w:rsid w:val="000C4278"/>
    <w:rsid w:val="000C5458"/>
    <w:rsid w:val="000C574D"/>
    <w:rsid w:val="000D13D9"/>
    <w:rsid w:val="000D3306"/>
    <w:rsid w:val="000D7416"/>
    <w:rsid w:val="000E2A9D"/>
    <w:rsid w:val="000E3B2E"/>
    <w:rsid w:val="000E4E26"/>
    <w:rsid w:val="000E7627"/>
    <w:rsid w:val="000F75CD"/>
    <w:rsid w:val="0010074A"/>
    <w:rsid w:val="00106B25"/>
    <w:rsid w:val="0011468F"/>
    <w:rsid w:val="00114CA7"/>
    <w:rsid w:val="001312C4"/>
    <w:rsid w:val="0013680E"/>
    <w:rsid w:val="00136F33"/>
    <w:rsid w:val="00145B6F"/>
    <w:rsid w:val="00157194"/>
    <w:rsid w:val="001572FD"/>
    <w:rsid w:val="0016034A"/>
    <w:rsid w:val="00163140"/>
    <w:rsid w:val="00167E0B"/>
    <w:rsid w:val="00171599"/>
    <w:rsid w:val="00171C7C"/>
    <w:rsid w:val="00171EC4"/>
    <w:rsid w:val="0018475E"/>
    <w:rsid w:val="00186464"/>
    <w:rsid w:val="00187FFB"/>
    <w:rsid w:val="00192FB2"/>
    <w:rsid w:val="00193EC0"/>
    <w:rsid w:val="00195EEE"/>
    <w:rsid w:val="001A03A6"/>
    <w:rsid w:val="001A0514"/>
    <w:rsid w:val="001A3CB4"/>
    <w:rsid w:val="001A6A34"/>
    <w:rsid w:val="001B1BC1"/>
    <w:rsid w:val="001B2D23"/>
    <w:rsid w:val="001B53D6"/>
    <w:rsid w:val="001C156A"/>
    <w:rsid w:val="001C47C6"/>
    <w:rsid w:val="001D1418"/>
    <w:rsid w:val="001D21EB"/>
    <w:rsid w:val="001D27D1"/>
    <w:rsid w:val="001D2C60"/>
    <w:rsid w:val="001D7E9E"/>
    <w:rsid w:val="001E07CE"/>
    <w:rsid w:val="001E5142"/>
    <w:rsid w:val="001E52D3"/>
    <w:rsid w:val="001E6583"/>
    <w:rsid w:val="001F4516"/>
    <w:rsid w:val="00202EB1"/>
    <w:rsid w:val="00210A95"/>
    <w:rsid w:val="00213953"/>
    <w:rsid w:val="00220309"/>
    <w:rsid w:val="00221376"/>
    <w:rsid w:val="00225DA6"/>
    <w:rsid w:val="00226CCC"/>
    <w:rsid w:val="00236F7B"/>
    <w:rsid w:val="00242464"/>
    <w:rsid w:val="002432F0"/>
    <w:rsid w:val="0024599A"/>
    <w:rsid w:val="00247672"/>
    <w:rsid w:val="00252EDC"/>
    <w:rsid w:val="00262B7A"/>
    <w:rsid w:val="00267E7B"/>
    <w:rsid w:val="0027085E"/>
    <w:rsid w:val="0027697B"/>
    <w:rsid w:val="00283445"/>
    <w:rsid w:val="00284538"/>
    <w:rsid w:val="002A18D5"/>
    <w:rsid w:val="002A310A"/>
    <w:rsid w:val="002A3B21"/>
    <w:rsid w:val="002A5FC9"/>
    <w:rsid w:val="002B01ED"/>
    <w:rsid w:val="002B1EB1"/>
    <w:rsid w:val="002B293D"/>
    <w:rsid w:val="002B4547"/>
    <w:rsid w:val="002C3351"/>
    <w:rsid w:val="002C3EE9"/>
    <w:rsid w:val="002C4DAA"/>
    <w:rsid w:val="002D2D09"/>
    <w:rsid w:val="002D3999"/>
    <w:rsid w:val="002E08D2"/>
    <w:rsid w:val="002E090F"/>
    <w:rsid w:val="002E7A29"/>
    <w:rsid w:val="002F2216"/>
    <w:rsid w:val="002F3543"/>
    <w:rsid w:val="003013E3"/>
    <w:rsid w:val="00301CB0"/>
    <w:rsid w:val="00304927"/>
    <w:rsid w:val="0030514B"/>
    <w:rsid w:val="003134E2"/>
    <w:rsid w:val="003163B2"/>
    <w:rsid w:val="0031705F"/>
    <w:rsid w:val="0032166E"/>
    <w:rsid w:val="0033081F"/>
    <w:rsid w:val="00330F04"/>
    <w:rsid w:val="00331094"/>
    <w:rsid w:val="00333CE7"/>
    <w:rsid w:val="0034074B"/>
    <w:rsid w:val="00341077"/>
    <w:rsid w:val="00342373"/>
    <w:rsid w:val="003529E4"/>
    <w:rsid w:val="00353E63"/>
    <w:rsid w:val="00353F97"/>
    <w:rsid w:val="00354178"/>
    <w:rsid w:val="0036413F"/>
    <w:rsid w:val="00365258"/>
    <w:rsid w:val="0037080B"/>
    <w:rsid w:val="00372200"/>
    <w:rsid w:val="003A0DFC"/>
    <w:rsid w:val="003A5DEA"/>
    <w:rsid w:val="003A7D9D"/>
    <w:rsid w:val="003B0C6A"/>
    <w:rsid w:val="003B1B13"/>
    <w:rsid w:val="003B2C94"/>
    <w:rsid w:val="003B5446"/>
    <w:rsid w:val="003C15AF"/>
    <w:rsid w:val="003D38D6"/>
    <w:rsid w:val="003D4A60"/>
    <w:rsid w:val="003D4C68"/>
    <w:rsid w:val="003D76A3"/>
    <w:rsid w:val="003E0231"/>
    <w:rsid w:val="003E1FF4"/>
    <w:rsid w:val="003E2CF3"/>
    <w:rsid w:val="003E3681"/>
    <w:rsid w:val="003E5443"/>
    <w:rsid w:val="003E778C"/>
    <w:rsid w:val="003F3D35"/>
    <w:rsid w:val="003F5DE6"/>
    <w:rsid w:val="003F74BE"/>
    <w:rsid w:val="003F7A32"/>
    <w:rsid w:val="00400986"/>
    <w:rsid w:val="00404A79"/>
    <w:rsid w:val="004051FD"/>
    <w:rsid w:val="00405BCE"/>
    <w:rsid w:val="004105D7"/>
    <w:rsid w:val="004119FE"/>
    <w:rsid w:val="004128EF"/>
    <w:rsid w:val="0041292B"/>
    <w:rsid w:val="0041758F"/>
    <w:rsid w:val="004222BA"/>
    <w:rsid w:val="00426835"/>
    <w:rsid w:val="004300B6"/>
    <w:rsid w:val="0043467A"/>
    <w:rsid w:val="00434A1B"/>
    <w:rsid w:val="004367A1"/>
    <w:rsid w:val="004373F5"/>
    <w:rsid w:val="00437DF1"/>
    <w:rsid w:val="004435AB"/>
    <w:rsid w:val="004446AA"/>
    <w:rsid w:val="0044749B"/>
    <w:rsid w:val="00450EFA"/>
    <w:rsid w:val="0045409A"/>
    <w:rsid w:val="004549F0"/>
    <w:rsid w:val="00470950"/>
    <w:rsid w:val="004728B3"/>
    <w:rsid w:val="00473BB8"/>
    <w:rsid w:val="004750E7"/>
    <w:rsid w:val="004768D4"/>
    <w:rsid w:val="004804CF"/>
    <w:rsid w:val="00482D4C"/>
    <w:rsid w:val="00484EA3"/>
    <w:rsid w:val="004A2945"/>
    <w:rsid w:val="004A4704"/>
    <w:rsid w:val="004A7ADA"/>
    <w:rsid w:val="004B08DC"/>
    <w:rsid w:val="004B104B"/>
    <w:rsid w:val="004B2CBF"/>
    <w:rsid w:val="004B4586"/>
    <w:rsid w:val="004C2A80"/>
    <w:rsid w:val="004C40C5"/>
    <w:rsid w:val="004C66F6"/>
    <w:rsid w:val="004D1180"/>
    <w:rsid w:val="004D4F13"/>
    <w:rsid w:val="004D538A"/>
    <w:rsid w:val="004D5C6A"/>
    <w:rsid w:val="004D5F9D"/>
    <w:rsid w:val="004E094A"/>
    <w:rsid w:val="004E2833"/>
    <w:rsid w:val="004E3AF0"/>
    <w:rsid w:val="004E43F9"/>
    <w:rsid w:val="004E631F"/>
    <w:rsid w:val="004E707D"/>
    <w:rsid w:val="004F3D04"/>
    <w:rsid w:val="004F5395"/>
    <w:rsid w:val="004F625E"/>
    <w:rsid w:val="00514FF8"/>
    <w:rsid w:val="00516147"/>
    <w:rsid w:val="00523591"/>
    <w:rsid w:val="005255FF"/>
    <w:rsid w:val="00526FED"/>
    <w:rsid w:val="00534211"/>
    <w:rsid w:val="00534A0B"/>
    <w:rsid w:val="00534EE8"/>
    <w:rsid w:val="00537517"/>
    <w:rsid w:val="0053771B"/>
    <w:rsid w:val="00537C93"/>
    <w:rsid w:val="005404AB"/>
    <w:rsid w:val="005410C8"/>
    <w:rsid w:val="00541C1D"/>
    <w:rsid w:val="00546CF1"/>
    <w:rsid w:val="00553CCB"/>
    <w:rsid w:val="00556DBC"/>
    <w:rsid w:val="00564AF7"/>
    <w:rsid w:val="00566134"/>
    <w:rsid w:val="00570B5D"/>
    <w:rsid w:val="00574507"/>
    <w:rsid w:val="00575B71"/>
    <w:rsid w:val="00581774"/>
    <w:rsid w:val="00586549"/>
    <w:rsid w:val="005904DC"/>
    <w:rsid w:val="005917DF"/>
    <w:rsid w:val="0059442E"/>
    <w:rsid w:val="00595E7F"/>
    <w:rsid w:val="0059746D"/>
    <w:rsid w:val="00597546"/>
    <w:rsid w:val="00597A57"/>
    <w:rsid w:val="005A1786"/>
    <w:rsid w:val="005A5969"/>
    <w:rsid w:val="005B363E"/>
    <w:rsid w:val="005B3D1C"/>
    <w:rsid w:val="005B4BA6"/>
    <w:rsid w:val="005B62DB"/>
    <w:rsid w:val="005C19E3"/>
    <w:rsid w:val="005C6129"/>
    <w:rsid w:val="005D21FC"/>
    <w:rsid w:val="005D28E6"/>
    <w:rsid w:val="005D3378"/>
    <w:rsid w:val="005D359E"/>
    <w:rsid w:val="005D37D2"/>
    <w:rsid w:val="005D5950"/>
    <w:rsid w:val="005D71D3"/>
    <w:rsid w:val="005E031B"/>
    <w:rsid w:val="005E361B"/>
    <w:rsid w:val="005E3B38"/>
    <w:rsid w:val="005F1F25"/>
    <w:rsid w:val="005F268F"/>
    <w:rsid w:val="005F555C"/>
    <w:rsid w:val="005F6D75"/>
    <w:rsid w:val="00601B64"/>
    <w:rsid w:val="00604C3C"/>
    <w:rsid w:val="00605E01"/>
    <w:rsid w:val="0061557F"/>
    <w:rsid w:val="00615C6F"/>
    <w:rsid w:val="00620249"/>
    <w:rsid w:val="0062072A"/>
    <w:rsid w:val="00620CFA"/>
    <w:rsid w:val="006223F7"/>
    <w:rsid w:val="0063117D"/>
    <w:rsid w:val="00634D28"/>
    <w:rsid w:val="006402E3"/>
    <w:rsid w:val="006414D3"/>
    <w:rsid w:val="00642910"/>
    <w:rsid w:val="00642B68"/>
    <w:rsid w:val="00643B93"/>
    <w:rsid w:val="00655A5F"/>
    <w:rsid w:val="006561B6"/>
    <w:rsid w:val="00660DF0"/>
    <w:rsid w:val="0066382D"/>
    <w:rsid w:val="006649C6"/>
    <w:rsid w:val="00672449"/>
    <w:rsid w:val="00673F0C"/>
    <w:rsid w:val="00675F95"/>
    <w:rsid w:val="00675FBD"/>
    <w:rsid w:val="006817AE"/>
    <w:rsid w:val="00690B9D"/>
    <w:rsid w:val="00697715"/>
    <w:rsid w:val="006A05D6"/>
    <w:rsid w:val="006A06C5"/>
    <w:rsid w:val="006A3144"/>
    <w:rsid w:val="006A3BFA"/>
    <w:rsid w:val="006A3FBF"/>
    <w:rsid w:val="006A5D86"/>
    <w:rsid w:val="006A79BE"/>
    <w:rsid w:val="006B03E6"/>
    <w:rsid w:val="006B55F1"/>
    <w:rsid w:val="006B71F7"/>
    <w:rsid w:val="006B7E4D"/>
    <w:rsid w:val="006B7EBC"/>
    <w:rsid w:val="006C12D8"/>
    <w:rsid w:val="006D3ED0"/>
    <w:rsid w:val="006E0775"/>
    <w:rsid w:val="006E0FF8"/>
    <w:rsid w:val="006E26D9"/>
    <w:rsid w:val="006E513F"/>
    <w:rsid w:val="006F2C4E"/>
    <w:rsid w:val="006F356E"/>
    <w:rsid w:val="00701D97"/>
    <w:rsid w:val="007068BB"/>
    <w:rsid w:val="00707B2D"/>
    <w:rsid w:val="007207FE"/>
    <w:rsid w:val="00722A25"/>
    <w:rsid w:val="007234A6"/>
    <w:rsid w:val="00724B08"/>
    <w:rsid w:val="007306F1"/>
    <w:rsid w:val="00730F74"/>
    <w:rsid w:val="00732793"/>
    <w:rsid w:val="00734474"/>
    <w:rsid w:val="007367A5"/>
    <w:rsid w:val="00736920"/>
    <w:rsid w:val="00737F82"/>
    <w:rsid w:val="00741DC5"/>
    <w:rsid w:val="007423F4"/>
    <w:rsid w:val="0074477D"/>
    <w:rsid w:val="00745C84"/>
    <w:rsid w:val="00746B87"/>
    <w:rsid w:val="00753F90"/>
    <w:rsid w:val="0075490B"/>
    <w:rsid w:val="0076143B"/>
    <w:rsid w:val="00761A51"/>
    <w:rsid w:val="0076741A"/>
    <w:rsid w:val="00767B51"/>
    <w:rsid w:val="00773F3A"/>
    <w:rsid w:val="007747DD"/>
    <w:rsid w:val="00774FAD"/>
    <w:rsid w:val="00776455"/>
    <w:rsid w:val="00786645"/>
    <w:rsid w:val="00790119"/>
    <w:rsid w:val="00792A08"/>
    <w:rsid w:val="007943FE"/>
    <w:rsid w:val="00794F29"/>
    <w:rsid w:val="00795623"/>
    <w:rsid w:val="0079566B"/>
    <w:rsid w:val="007A35B4"/>
    <w:rsid w:val="007A475A"/>
    <w:rsid w:val="007A5EB1"/>
    <w:rsid w:val="007A7F00"/>
    <w:rsid w:val="007B1453"/>
    <w:rsid w:val="007B3B55"/>
    <w:rsid w:val="007B7479"/>
    <w:rsid w:val="007B7AF4"/>
    <w:rsid w:val="007C0D31"/>
    <w:rsid w:val="007C4AA3"/>
    <w:rsid w:val="007C4C2F"/>
    <w:rsid w:val="007C540C"/>
    <w:rsid w:val="007C5B40"/>
    <w:rsid w:val="007C614F"/>
    <w:rsid w:val="007D1D14"/>
    <w:rsid w:val="007D3CC9"/>
    <w:rsid w:val="007D3FE8"/>
    <w:rsid w:val="007D5335"/>
    <w:rsid w:val="007D634B"/>
    <w:rsid w:val="007D7427"/>
    <w:rsid w:val="007E58E1"/>
    <w:rsid w:val="007E72B9"/>
    <w:rsid w:val="007E75FC"/>
    <w:rsid w:val="007F11D7"/>
    <w:rsid w:val="00800181"/>
    <w:rsid w:val="008006F6"/>
    <w:rsid w:val="00800B41"/>
    <w:rsid w:val="00801EDB"/>
    <w:rsid w:val="008035CA"/>
    <w:rsid w:val="0080509D"/>
    <w:rsid w:val="0080552C"/>
    <w:rsid w:val="0081461B"/>
    <w:rsid w:val="0081685B"/>
    <w:rsid w:val="0082061C"/>
    <w:rsid w:val="00820B0C"/>
    <w:rsid w:val="00822B3F"/>
    <w:rsid w:val="00841EA6"/>
    <w:rsid w:val="0085330D"/>
    <w:rsid w:val="008540D3"/>
    <w:rsid w:val="008548F8"/>
    <w:rsid w:val="00857A74"/>
    <w:rsid w:val="00864D21"/>
    <w:rsid w:val="00867508"/>
    <w:rsid w:val="00870B3A"/>
    <w:rsid w:val="00871C00"/>
    <w:rsid w:val="008732F4"/>
    <w:rsid w:val="00881717"/>
    <w:rsid w:val="00881F22"/>
    <w:rsid w:val="00890AE8"/>
    <w:rsid w:val="0089520B"/>
    <w:rsid w:val="00895613"/>
    <w:rsid w:val="00896151"/>
    <w:rsid w:val="008A1585"/>
    <w:rsid w:val="008A1906"/>
    <w:rsid w:val="008A247F"/>
    <w:rsid w:val="008A3255"/>
    <w:rsid w:val="008A410E"/>
    <w:rsid w:val="008A415F"/>
    <w:rsid w:val="008A5EED"/>
    <w:rsid w:val="008B2D6D"/>
    <w:rsid w:val="008B63FA"/>
    <w:rsid w:val="008B731E"/>
    <w:rsid w:val="008C0C38"/>
    <w:rsid w:val="008C5013"/>
    <w:rsid w:val="008D2FEA"/>
    <w:rsid w:val="008E050E"/>
    <w:rsid w:val="008E5517"/>
    <w:rsid w:val="008E6FF8"/>
    <w:rsid w:val="008E7C44"/>
    <w:rsid w:val="008F424E"/>
    <w:rsid w:val="008F6BD8"/>
    <w:rsid w:val="00904427"/>
    <w:rsid w:val="009063FB"/>
    <w:rsid w:val="009116C8"/>
    <w:rsid w:val="0091193D"/>
    <w:rsid w:val="00912408"/>
    <w:rsid w:val="0091277B"/>
    <w:rsid w:val="00912BE9"/>
    <w:rsid w:val="00913439"/>
    <w:rsid w:val="0091463F"/>
    <w:rsid w:val="00921C68"/>
    <w:rsid w:val="00921DF1"/>
    <w:rsid w:val="00924D2D"/>
    <w:rsid w:val="00931C74"/>
    <w:rsid w:val="00941834"/>
    <w:rsid w:val="00941BEC"/>
    <w:rsid w:val="00941F98"/>
    <w:rsid w:val="009440F4"/>
    <w:rsid w:val="009456BC"/>
    <w:rsid w:val="00946D5B"/>
    <w:rsid w:val="00960225"/>
    <w:rsid w:val="00963F06"/>
    <w:rsid w:val="00967B2C"/>
    <w:rsid w:val="00972965"/>
    <w:rsid w:val="00973759"/>
    <w:rsid w:val="00973AB7"/>
    <w:rsid w:val="00974057"/>
    <w:rsid w:val="009776B4"/>
    <w:rsid w:val="0098024E"/>
    <w:rsid w:val="00983916"/>
    <w:rsid w:val="00983F26"/>
    <w:rsid w:val="0098643B"/>
    <w:rsid w:val="009873C4"/>
    <w:rsid w:val="0099046A"/>
    <w:rsid w:val="00992162"/>
    <w:rsid w:val="00992BFA"/>
    <w:rsid w:val="00993809"/>
    <w:rsid w:val="009955C4"/>
    <w:rsid w:val="0099622A"/>
    <w:rsid w:val="00996EDA"/>
    <w:rsid w:val="009A29B4"/>
    <w:rsid w:val="009A3D55"/>
    <w:rsid w:val="009A49E0"/>
    <w:rsid w:val="009B044C"/>
    <w:rsid w:val="009B2436"/>
    <w:rsid w:val="009B622D"/>
    <w:rsid w:val="009C5FA1"/>
    <w:rsid w:val="009C73B8"/>
    <w:rsid w:val="009D0A76"/>
    <w:rsid w:val="009D4654"/>
    <w:rsid w:val="009D4D19"/>
    <w:rsid w:val="009D50B0"/>
    <w:rsid w:val="009D6069"/>
    <w:rsid w:val="009D6624"/>
    <w:rsid w:val="009D6F88"/>
    <w:rsid w:val="009E1674"/>
    <w:rsid w:val="009F0CC9"/>
    <w:rsid w:val="009F1912"/>
    <w:rsid w:val="009F3F4B"/>
    <w:rsid w:val="009F44AA"/>
    <w:rsid w:val="009F6223"/>
    <w:rsid w:val="009F791E"/>
    <w:rsid w:val="00A0243E"/>
    <w:rsid w:val="00A078DD"/>
    <w:rsid w:val="00A152D1"/>
    <w:rsid w:val="00A1728D"/>
    <w:rsid w:val="00A20571"/>
    <w:rsid w:val="00A22937"/>
    <w:rsid w:val="00A27D59"/>
    <w:rsid w:val="00A3070E"/>
    <w:rsid w:val="00A41CB0"/>
    <w:rsid w:val="00A55AF3"/>
    <w:rsid w:val="00A55D41"/>
    <w:rsid w:val="00A571A9"/>
    <w:rsid w:val="00A63683"/>
    <w:rsid w:val="00A71951"/>
    <w:rsid w:val="00A74E2C"/>
    <w:rsid w:val="00A76333"/>
    <w:rsid w:val="00A7663B"/>
    <w:rsid w:val="00A76B98"/>
    <w:rsid w:val="00A76E37"/>
    <w:rsid w:val="00A77AA9"/>
    <w:rsid w:val="00A861EF"/>
    <w:rsid w:val="00A903F0"/>
    <w:rsid w:val="00A91F30"/>
    <w:rsid w:val="00A92253"/>
    <w:rsid w:val="00A95235"/>
    <w:rsid w:val="00A96589"/>
    <w:rsid w:val="00A97AFE"/>
    <w:rsid w:val="00AA0839"/>
    <w:rsid w:val="00AA200F"/>
    <w:rsid w:val="00AA2628"/>
    <w:rsid w:val="00AA5862"/>
    <w:rsid w:val="00AA608B"/>
    <w:rsid w:val="00AA7912"/>
    <w:rsid w:val="00AB0652"/>
    <w:rsid w:val="00AB5D49"/>
    <w:rsid w:val="00AC37CD"/>
    <w:rsid w:val="00AC3CDC"/>
    <w:rsid w:val="00AC73AB"/>
    <w:rsid w:val="00AD295A"/>
    <w:rsid w:val="00AE19B6"/>
    <w:rsid w:val="00AF11B9"/>
    <w:rsid w:val="00AF6894"/>
    <w:rsid w:val="00AF76F9"/>
    <w:rsid w:val="00B0262B"/>
    <w:rsid w:val="00B1097A"/>
    <w:rsid w:val="00B14865"/>
    <w:rsid w:val="00B16346"/>
    <w:rsid w:val="00B176D6"/>
    <w:rsid w:val="00B241C0"/>
    <w:rsid w:val="00B2768D"/>
    <w:rsid w:val="00B33916"/>
    <w:rsid w:val="00B4223F"/>
    <w:rsid w:val="00B4234D"/>
    <w:rsid w:val="00B428ED"/>
    <w:rsid w:val="00B43F36"/>
    <w:rsid w:val="00B5099F"/>
    <w:rsid w:val="00B5206F"/>
    <w:rsid w:val="00B5399E"/>
    <w:rsid w:val="00B61E98"/>
    <w:rsid w:val="00B621D2"/>
    <w:rsid w:val="00B64919"/>
    <w:rsid w:val="00B67804"/>
    <w:rsid w:val="00B7037B"/>
    <w:rsid w:val="00B70454"/>
    <w:rsid w:val="00B736B8"/>
    <w:rsid w:val="00B73CA3"/>
    <w:rsid w:val="00B808D2"/>
    <w:rsid w:val="00B84A8A"/>
    <w:rsid w:val="00B9024D"/>
    <w:rsid w:val="00B93D2A"/>
    <w:rsid w:val="00BA270C"/>
    <w:rsid w:val="00BA2D1B"/>
    <w:rsid w:val="00BA55C1"/>
    <w:rsid w:val="00BA5C08"/>
    <w:rsid w:val="00BA7B30"/>
    <w:rsid w:val="00BC1986"/>
    <w:rsid w:val="00BC49E0"/>
    <w:rsid w:val="00BC7C39"/>
    <w:rsid w:val="00BD0DD5"/>
    <w:rsid w:val="00BD33F2"/>
    <w:rsid w:val="00BD4FDF"/>
    <w:rsid w:val="00BE007E"/>
    <w:rsid w:val="00BF1578"/>
    <w:rsid w:val="00C00064"/>
    <w:rsid w:val="00C04942"/>
    <w:rsid w:val="00C04E18"/>
    <w:rsid w:val="00C04F6F"/>
    <w:rsid w:val="00C1198F"/>
    <w:rsid w:val="00C12931"/>
    <w:rsid w:val="00C158B8"/>
    <w:rsid w:val="00C1737C"/>
    <w:rsid w:val="00C176DA"/>
    <w:rsid w:val="00C263AF"/>
    <w:rsid w:val="00C274D3"/>
    <w:rsid w:val="00C32466"/>
    <w:rsid w:val="00C3396A"/>
    <w:rsid w:val="00C351F8"/>
    <w:rsid w:val="00C36B15"/>
    <w:rsid w:val="00C40EA0"/>
    <w:rsid w:val="00C42036"/>
    <w:rsid w:val="00C44493"/>
    <w:rsid w:val="00C4615F"/>
    <w:rsid w:val="00C469CC"/>
    <w:rsid w:val="00C47EB4"/>
    <w:rsid w:val="00C50959"/>
    <w:rsid w:val="00C51BAE"/>
    <w:rsid w:val="00C5345B"/>
    <w:rsid w:val="00C568E8"/>
    <w:rsid w:val="00C60404"/>
    <w:rsid w:val="00C60E01"/>
    <w:rsid w:val="00C6123C"/>
    <w:rsid w:val="00C6191E"/>
    <w:rsid w:val="00C6455C"/>
    <w:rsid w:val="00C64EE3"/>
    <w:rsid w:val="00C6583E"/>
    <w:rsid w:val="00C65AC9"/>
    <w:rsid w:val="00C66729"/>
    <w:rsid w:val="00C85AE0"/>
    <w:rsid w:val="00C8727A"/>
    <w:rsid w:val="00C923EC"/>
    <w:rsid w:val="00CA0010"/>
    <w:rsid w:val="00CA053C"/>
    <w:rsid w:val="00CA11D4"/>
    <w:rsid w:val="00CA3400"/>
    <w:rsid w:val="00CA455B"/>
    <w:rsid w:val="00CA4B0D"/>
    <w:rsid w:val="00CA4DE4"/>
    <w:rsid w:val="00CA5865"/>
    <w:rsid w:val="00CA6555"/>
    <w:rsid w:val="00CB2F74"/>
    <w:rsid w:val="00CB3869"/>
    <w:rsid w:val="00CC00B2"/>
    <w:rsid w:val="00CC29CE"/>
    <w:rsid w:val="00CC4911"/>
    <w:rsid w:val="00CC4C89"/>
    <w:rsid w:val="00CC7F3C"/>
    <w:rsid w:val="00CD4828"/>
    <w:rsid w:val="00CE0854"/>
    <w:rsid w:val="00CE6364"/>
    <w:rsid w:val="00CF44F1"/>
    <w:rsid w:val="00CF4E66"/>
    <w:rsid w:val="00D00581"/>
    <w:rsid w:val="00D01388"/>
    <w:rsid w:val="00D06854"/>
    <w:rsid w:val="00D10DE1"/>
    <w:rsid w:val="00D13E9B"/>
    <w:rsid w:val="00D146F4"/>
    <w:rsid w:val="00D15DE6"/>
    <w:rsid w:val="00D2221A"/>
    <w:rsid w:val="00D22DBA"/>
    <w:rsid w:val="00D3290F"/>
    <w:rsid w:val="00D34419"/>
    <w:rsid w:val="00D42C4D"/>
    <w:rsid w:val="00D4373B"/>
    <w:rsid w:val="00D51663"/>
    <w:rsid w:val="00D52248"/>
    <w:rsid w:val="00D5242F"/>
    <w:rsid w:val="00D526E2"/>
    <w:rsid w:val="00D54505"/>
    <w:rsid w:val="00D57282"/>
    <w:rsid w:val="00D61D0C"/>
    <w:rsid w:val="00D6326C"/>
    <w:rsid w:val="00D64906"/>
    <w:rsid w:val="00D64EB7"/>
    <w:rsid w:val="00D65175"/>
    <w:rsid w:val="00D65E40"/>
    <w:rsid w:val="00D67958"/>
    <w:rsid w:val="00D71A61"/>
    <w:rsid w:val="00D85F6C"/>
    <w:rsid w:val="00D8638A"/>
    <w:rsid w:val="00D865CD"/>
    <w:rsid w:val="00D872AE"/>
    <w:rsid w:val="00D91561"/>
    <w:rsid w:val="00D94667"/>
    <w:rsid w:val="00D97004"/>
    <w:rsid w:val="00D97E53"/>
    <w:rsid w:val="00DA40C3"/>
    <w:rsid w:val="00DA5DD3"/>
    <w:rsid w:val="00DB0860"/>
    <w:rsid w:val="00DB08E7"/>
    <w:rsid w:val="00DB0DD5"/>
    <w:rsid w:val="00DB2564"/>
    <w:rsid w:val="00DB4A87"/>
    <w:rsid w:val="00DB5F08"/>
    <w:rsid w:val="00DB6544"/>
    <w:rsid w:val="00DC2A44"/>
    <w:rsid w:val="00DC36E5"/>
    <w:rsid w:val="00DD0720"/>
    <w:rsid w:val="00DD5616"/>
    <w:rsid w:val="00DD679E"/>
    <w:rsid w:val="00DD7450"/>
    <w:rsid w:val="00DD749A"/>
    <w:rsid w:val="00DE1A33"/>
    <w:rsid w:val="00DF06E8"/>
    <w:rsid w:val="00DF3732"/>
    <w:rsid w:val="00DF4F7B"/>
    <w:rsid w:val="00E02410"/>
    <w:rsid w:val="00E15142"/>
    <w:rsid w:val="00E20DA6"/>
    <w:rsid w:val="00E25173"/>
    <w:rsid w:val="00E30C2A"/>
    <w:rsid w:val="00E31BD4"/>
    <w:rsid w:val="00E3425B"/>
    <w:rsid w:val="00E356E1"/>
    <w:rsid w:val="00E41202"/>
    <w:rsid w:val="00E4231B"/>
    <w:rsid w:val="00E443A9"/>
    <w:rsid w:val="00E51EEC"/>
    <w:rsid w:val="00E52A40"/>
    <w:rsid w:val="00E57967"/>
    <w:rsid w:val="00E62B5C"/>
    <w:rsid w:val="00E64C16"/>
    <w:rsid w:val="00E66BBE"/>
    <w:rsid w:val="00E772EB"/>
    <w:rsid w:val="00E863FF"/>
    <w:rsid w:val="00E8676C"/>
    <w:rsid w:val="00E90674"/>
    <w:rsid w:val="00E977BB"/>
    <w:rsid w:val="00EA21BF"/>
    <w:rsid w:val="00EA4021"/>
    <w:rsid w:val="00EB3532"/>
    <w:rsid w:val="00EB3A66"/>
    <w:rsid w:val="00EB7788"/>
    <w:rsid w:val="00EC0069"/>
    <w:rsid w:val="00EC183F"/>
    <w:rsid w:val="00EC530A"/>
    <w:rsid w:val="00EC5D7C"/>
    <w:rsid w:val="00EC5D7D"/>
    <w:rsid w:val="00ED3B60"/>
    <w:rsid w:val="00ED3F41"/>
    <w:rsid w:val="00ED439B"/>
    <w:rsid w:val="00ED68DF"/>
    <w:rsid w:val="00ED7A4F"/>
    <w:rsid w:val="00ED7ED5"/>
    <w:rsid w:val="00EE3873"/>
    <w:rsid w:val="00EE740D"/>
    <w:rsid w:val="00EF01F0"/>
    <w:rsid w:val="00EF258D"/>
    <w:rsid w:val="00EF2EB8"/>
    <w:rsid w:val="00EF5C36"/>
    <w:rsid w:val="00F029AD"/>
    <w:rsid w:val="00F05577"/>
    <w:rsid w:val="00F1588B"/>
    <w:rsid w:val="00F23BEA"/>
    <w:rsid w:val="00F247DC"/>
    <w:rsid w:val="00F254AD"/>
    <w:rsid w:val="00F25722"/>
    <w:rsid w:val="00F3020C"/>
    <w:rsid w:val="00F31479"/>
    <w:rsid w:val="00F321D0"/>
    <w:rsid w:val="00F35B2A"/>
    <w:rsid w:val="00F3731E"/>
    <w:rsid w:val="00F3750D"/>
    <w:rsid w:val="00F42C71"/>
    <w:rsid w:val="00F47D21"/>
    <w:rsid w:val="00F5166A"/>
    <w:rsid w:val="00F52EB3"/>
    <w:rsid w:val="00F60ED1"/>
    <w:rsid w:val="00F61D99"/>
    <w:rsid w:val="00F638D6"/>
    <w:rsid w:val="00F7036B"/>
    <w:rsid w:val="00F71442"/>
    <w:rsid w:val="00F72626"/>
    <w:rsid w:val="00F726C6"/>
    <w:rsid w:val="00F77A6E"/>
    <w:rsid w:val="00F77C8B"/>
    <w:rsid w:val="00F81E5A"/>
    <w:rsid w:val="00F9267D"/>
    <w:rsid w:val="00F9373D"/>
    <w:rsid w:val="00F974A9"/>
    <w:rsid w:val="00F97605"/>
    <w:rsid w:val="00FA1345"/>
    <w:rsid w:val="00FA144A"/>
    <w:rsid w:val="00FA1503"/>
    <w:rsid w:val="00FA29D8"/>
    <w:rsid w:val="00FA715B"/>
    <w:rsid w:val="00FA79C2"/>
    <w:rsid w:val="00FB0884"/>
    <w:rsid w:val="00FB2D73"/>
    <w:rsid w:val="00FB50FF"/>
    <w:rsid w:val="00FB529D"/>
    <w:rsid w:val="00FB5963"/>
    <w:rsid w:val="00FC0C34"/>
    <w:rsid w:val="00FC236B"/>
    <w:rsid w:val="00FD1690"/>
    <w:rsid w:val="00FD25DB"/>
    <w:rsid w:val="00FD2C6A"/>
    <w:rsid w:val="00FD437E"/>
    <w:rsid w:val="00FF1BB0"/>
    <w:rsid w:val="00FF4147"/>
    <w:rsid w:val="00FF49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8D23E9-FF3A-40EA-AA2B-7D4843AA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83916"/>
    <w:rPr>
      <w:sz w:val="20"/>
      <w:szCs w:val="20"/>
    </w:rPr>
  </w:style>
  <w:style w:type="character" w:styleId="a5">
    <w:name w:val="footnote reference"/>
    <w:basedOn w:val="a0"/>
    <w:semiHidden/>
    <w:rsid w:val="00983916"/>
    <w:rPr>
      <w:vertAlign w:val="superscript"/>
    </w:rPr>
  </w:style>
  <w:style w:type="character" w:styleId="a6">
    <w:name w:val="annotation reference"/>
    <w:basedOn w:val="a0"/>
    <w:semiHidden/>
    <w:rsid w:val="003529E4"/>
    <w:rPr>
      <w:sz w:val="16"/>
      <w:szCs w:val="16"/>
    </w:rPr>
  </w:style>
  <w:style w:type="paragraph" w:styleId="a7">
    <w:name w:val="annotation text"/>
    <w:basedOn w:val="a"/>
    <w:semiHidden/>
    <w:rsid w:val="003529E4"/>
    <w:rPr>
      <w:sz w:val="20"/>
      <w:szCs w:val="20"/>
    </w:rPr>
  </w:style>
  <w:style w:type="paragraph" w:styleId="a8">
    <w:name w:val="annotation subject"/>
    <w:basedOn w:val="a7"/>
    <w:next w:val="a7"/>
    <w:semiHidden/>
    <w:rsid w:val="003529E4"/>
    <w:rPr>
      <w:b/>
      <w:bCs/>
    </w:rPr>
  </w:style>
  <w:style w:type="paragraph" w:styleId="a9">
    <w:name w:val="Balloon Text"/>
    <w:basedOn w:val="a"/>
    <w:semiHidden/>
    <w:rsid w:val="003529E4"/>
    <w:rPr>
      <w:rFonts w:ascii="Tahoma" w:hAnsi="Tahoma"/>
      <w:sz w:val="16"/>
      <w:szCs w:val="16"/>
    </w:rPr>
  </w:style>
  <w:style w:type="paragraph" w:styleId="aa">
    <w:name w:val="List Paragraph"/>
    <w:basedOn w:val="a"/>
    <w:uiPriority w:val="34"/>
    <w:qFormat/>
    <w:rsid w:val="00881F22"/>
    <w:pPr>
      <w:ind w:left="720"/>
      <w:contextualSpacing/>
    </w:pPr>
  </w:style>
  <w:style w:type="character" w:customStyle="1" w:styleId="a4">
    <w:name w:val="טקסט הערת שוליים תו"/>
    <w:basedOn w:val="a0"/>
    <w:link w:val="a3"/>
    <w:rsid w:val="00AE19B6"/>
  </w:style>
  <w:style w:type="character" w:styleId="Hyperlink">
    <w:name w:val="Hyperlink"/>
    <w:rsid w:val="00AE19B6"/>
    <w:rPr>
      <w:color w:val="0000FF"/>
      <w:u w:val="single"/>
    </w:rPr>
  </w:style>
  <w:style w:type="paragraph" w:customStyle="1" w:styleId="regpar">
    <w:name w:val="regpar"/>
    <w:basedOn w:val="a"/>
    <w:rsid w:val="000E2A9D"/>
    <w:pPr>
      <w:bidi w:val="0"/>
      <w:spacing w:line="300" w:lineRule="exact"/>
      <w:ind w:firstLine="240"/>
      <w:jc w:val="both"/>
    </w:pPr>
    <w:rPr>
      <w:rFonts w:ascii="Times" w:hAnsi="Times" w:cs="Times"/>
    </w:rPr>
  </w:style>
  <w:style w:type="table" w:styleId="ab">
    <w:name w:val="Table Grid"/>
    <w:basedOn w:val="a1"/>
    <w:unhideWhenUsed/>
    <w:rsid w:val="00ED7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F01F0"/>
    <w:rPr>
      <w:sz w:val="24"/>
      <w:szCs w:val="24"/>
    </w:rPr>
  </w:style>
  <w:style w:type="character" w:customStyle="1" w:styleId="UnresolvedMention">
    <w:name w:val="Unresolved Mention"/>
    <w:basedOn w:val="a0"/>
    <w:uiPriority w:val="99"/>
    <w:semiHidden/>
    <w:unhideWhenUsed/>
    <w:rsid w:val="00FA79C2"/>
    <w:rPr>
      <w:color w:val="605E5C"/>
      <w:shd w:val="clear" w:color="auto" w:fill="E1DFDD"/>
    </w:rPr>
  </w:style>
  <w:style w:type="character" w:styleId="FollowedHyperlink">
    <w:name w:val="FollowedHyperlink"/>
    <w:basedOn w:val="a0"/>
    <w:semiHidden/>
    <w:unhideWhenUsed/>
    <w:rsid w:val="007A35B4"/>
    <w:rPr>
      <w:color w:val="800080" w:themeColor="followedHyperlink"/>
      <w:u w:val="single"/>
    </w:rPr>
  </w:style>
  <w:style w:type="paragraph" w:styleId="ad">
    <w:name w:val="header"/>
    <w:basedOn w:val="a"/>
    <w:link w:val="ae"/>
    <w:unhideWhenUsed/>
    <w:rsid w:val="007367A5"/>
    <w:pPr>
      <w:tabs>
        <w:tab w:val="center" w:pos="4153"/>
        <w:tab w:val="right" w:pos="8306"/>
      </w:tabs>
    </w:pPr>
  </w:style>
  <w:style w:type="character" w:customStyle="1" w:styleId="ae">
    <w:name w:val="כותרת עליונה תו"/>
    <w:basedOn w:val="a0"/>
    <w:link w:val="ad"/>
    <w:rsid w:val="007367A5"/>
    <w:rPr>
      <w:sz w:val="24"/>
      <w:szCs w:val="24"/>
    </w:rPr>
  </w:style>
  <w:style w:type="paragraph" w:styleId="af">
    <w:name w:val="footer"/>
    <w:basedOn w:val="a"/>
    <w:link w:val="af0"/>
    <w:unhideWhenUsed/>
    <w:rsid w:val="007367A5"/>
    <w:pPr>
      <w:tabs>
        <w:tab w:val="center" w:pos="4153"/>
        <w:tab w:val="right" w:pos="8306"/>
      </w:tabs>
    </w:pPr>
  </w:style>
  <w:style w:type="character" w:customStyle="1" w:styleId="af0">
    <w:name w:val="כותרת תחתונה תו"/>
    <w:basedOn w:val="a0"/>
    <w:link w:val="af"/>
    <w:rsid w:val="00736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2019-03-25T08:53:47+00:00</PublishingExpirationDat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6A393A-AA8A-4979-9BC1-A31880C4D1C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07A082-B2AE-4453-B2C0-06552BCC0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BFC94-F83C-4314-B15D-40749A3DE053}">
  <ds:schemaRefs>
    <ds:schemaRef ds:uri="http://schemas.microsoft.com/sharepoint/v3/contenttype/forms"/>
  </ds:schemaRefs>
</ds:datastoreItem>
</file>

<file path=customXml/itemProps4.xml><?xml version="1.0" encoding="utf-8"?>
<ds:datastoreItem xmlns:ds="http://schemas.openxmlformats.org/officeDocument/2006/customXml" ds:itemID="{D597D8CA-8898-4DD7-8FE6-F8AF663B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1435</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Report of the Market Operations Department on Israel's Foreign Exchange Reserves in 2011</vt:lpstr>
      <vt:lpstr>Report of the Market Operations Department on Israel's Foreign Exchange Reserves in 2011</vt:lpstr>
    </vt:vector>
  </TitlesOfParts>
  <Company>BOI</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Market Operations Department on Israel's Foreign Exchange Reserves in 2011</dc:title>
  <dc:creator>u15c</dc:creator>
  <cp:lastModifiedBy>לירון דהן</cp:lastModifiedBy>
  <cp:revision>2</cp:revision>
  <cp:lastPrinted>2017-03-16T10:44:00Z</cp:lastPrinted>
  <dcterms:created xsi:type="dcterms:W3CDTF">2022-12-26T12:04:00Z</dcterms:created>
  <dcterms:modified xsi:type="dcterms:W3CDTF">2022-12-26T12:04:00Z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