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4591DB5A" w:rsidR="007617BD" w:rsidRDefault="00DF653E" w:rsidP="00D00CF7">
      <w:pPr>
        <w:pStyle w:val="regpar"/>
        <w:jc w:val="right"/>
      </w:pPr>
      <w:r>
        <w:t>January 30, 2024</w:t>
      </w:r>
    </w:p>
    <w:p w14:paraId="0E461A7B" w14:textId="77777777" w:rsidR="00DF653E" w:rsidRDefault="00DF653E" w:rsidP="00D00CF7">
      <w:pPr>
        <w:pStyle w:val="regpar"/>
        <w:jc w:val="right"/>
      </w:pPr>
    </w:p>
    <w:p w14:paraId="22D7AE78" w14:textId="3BEA9B84" w:rsidR="00F23C43" w:rsidRDefault="00F23C43" w:rsidP="00F23C43">
      <w:pPr>
        <w:pStyle w:val="regpar"/>
      </w:pPr>
    </w:p>
    <w:p w14:paraId="325CE029" w14:textId="4CCC9AB7" w:rsidR="00D00CF7" w:rsidRDefault="00DF653E" w:rsidP="00657FCE">
      <w:pPr>
        <w:pStyle w:val="regpar"/>
        <w:ind w:firstLine="0"/>
        <w:jc w:val="center"/>
        <w:rPr>
          <w:b/>
          <w:bCs/>
          <w:sz w:val="26"/>
          <w:szCs w:val="26"/>
        </w:rPr>
      </w:pPr>
      <w:r>
        <w:rPr>
          <w:b/>
          <w:bCs/>
          <w:sz w:val="26"/>
          <w:szCs w:val="26"/>
        </w:rPr>
        <w:t>The Bank of Israel publishes its work plan and budget for 2024</w:t>
      </w:r>
    </w:p>
    <w:p w14:paraId="33EC5AC0" w14:textId="77777777" w:rsidR="00657FCE" w:rsidRDefault="00657FCE" w:rsidP="00657FCE">
      <w:pPr>
        <w:pStyle w:val="regpar"/>
        <w:ind w:firstLine="0"/>
        <w:rPr>
          <w:sz w:val="26"/>
          <w:szCs w:val="26"/>
        </w:rPr>
      </w:pPr>
      <w:bookmarkStart w:id="0" w:name="_GoBack"/>
    </w:p>
    <w:p w14:paraId="35415EC5" w14:textId="5AE05C24" w:rsidR="00DF653E" w:rsidRDefault="00DF653E" w:rsidP="00657FCE">
      <w:pPr>
        <w:pStyle w:val="regpar"/>
        <w:ind w:firstLine="0"/>
      </w:pPr>
      <w:r>
        <w:t>The Bank of Israel today published the main points of its work plan and the budget for its administrative activity for 2024.  The Bank of Israel’s Supervisory Council</w:t>
      </w:r>
      <w:r w:rsidR="00D7638E">
        <w:rPr>
          <w:rStyle w:val="a6"/>
        </w:rPr>
        <w:footnoteReference w:id="1"/>
      </w:r>
      <w:r>
        <w:t xml:space="preserve"> discussed the annual work plan</w:t>
      </w:r>
      <w:r w:rsidR="008243CF">
        <w:t xml:space="preserve"> and</w:t>
      </w:r>
      <w:r>
        <w:t xml:space="preserve"> approved the annual budget, and</w:t>
      </w:r>
      <w:r w:rsidR="008243CF">
        <w:t xml:space="preserve"> prior to the end of 2023, it submitted the budget to the Knesset Finance Committee as required by the Bank of Israel Law, 5770–2010.</w:t>
      </w:r>
    </w:p>
    <w:p w14:paraId="262F862A" w14:textId="77777777" w:rsidR="008243CF" w:rsidRDefault="008243CF" w:rsidP="00657FCE">
      <w:pPr>
        <w:pStyle w:val="regpar"/>
        <w:ind w:firstLine="0"/>
      </w:pPr>
    </w:p>
    <w:p w14:paraId="4F350C21" w14:textId="351147EE" w:rsidR="008243CF" w:rsidRDefault="008243CF" w:rsidP="00657FCE">
      <w:pPr>
        <w:pStyle w:val="regpar"/>
        <w:ind w:firstLine="0"/>
      </w:pPr>
      <w:r>
        <w:t xml:space="preserve">As part of the submission of the budget, the Knesset Education Committee today held a further discussion.  At the previous discussion on January 22, 2024, Bank of Israel Governor Prof. Amir Yaron presented an economic review to the Committee members, which included </w:t>
      </w:r>
      <w:r w:rsidR="00573EB3">
        <w:t>a presentation of the various economic developments in view of the Swords of Iron war.  Bank of Israel Director General Shulamit Geri submitted a presentation with the main points of the Bank’s budget and its various tasks.  The presentations by the Governor and the Director General (in Hebrew) are attached.</w:t>
      </w:r>
    </w:p>
    <w:p w14:paraId="13159C9D" w14:textId="77777777" w:rsidR="00573EB3" w:rsidRDefault="00573EB3" w:rsidP="00657FCE">
      <w:pPr>
        <w:pStyle w:val="regpar"/>
        <w:ind w:firstLine="0"/>
      </w:pPr>
    </w:p>
    <w:p w14:paraId="2F72D9F3" w14:textId="524143E8" w:rsidR="00573EB3" w:rsidRDefault="00573EB3" w:rsidP="00657FCE">
      <w:pPr>
        <w:pStyle w:val="regpar"/>
        <w:ind w:firstLine="0"/>
      </w:pPr>
      <w:r>
        <w:t>The Bank of Israel’s work plan and budget for 2024 combine measures to achieve the Bank’s strategic objectives alongside measures to respond to the unique challenges facing the Israeli economy, in accordance with the developments, changes, and risks to the global and domestic economies.  This program includes widespread activity in many fields in accordance with the Bank’s statutory functions.</w:t>
      </w:r>
    </w:p>
    <w:p w14:paraId="4C41A68C" w14:textId="77777777" w:rsidR="00573EB3" w:rsidRDefault="00573EB3" w:rsidP="00657FCE">
      <w:pPr>
        <w:pStyle w:val="regpar"/>
        <w:ind w:firstLine="0"/>
      </w:pPr>
    </w:p>
    <w:p w14:paraId="2DBDD64B" w14:textId="011694C3" w:rsidR="00573EB3" w:rsidRDefault="00573EB3" w:rsidP="00657FCE">
      <w:pPr>
        <w:pStyle w:val="regpar"/>
        <w:ind w:firstLine="0"/>
        <w:rPr>
          <w:b/>
          <w:bCs/>
        </w:rPr>
      </w:pPr>
      <w:r>
        <w:rPr>
          <w:b/>
          <w:bCs/>
        </w:rPr>
        <w:t xml:space="preserve">The following are the objectives </w:t>
      </w:r>
      <w:r w:rsidR="00D7638E">
        <w:rPr>
          <w:b/>
          <w:bCs/>
        </w:rPr>
        <w:t>that the Bank’s management set for the coming years:</w:t>
      </w:r>
    </w:p>
    <w:p w14:paraId="24F23E3F" w14:textId="7108DAE1" w:rsidR="00D7638E" w:rsidRDefault="00D7638E" w:rsidP="00D7638E">
      <w:pPr>
        <w:pStyle w:val="regpar"/>
        <w:numPr>
          <w:ilvl w:val="0"/>
          <w:numId w:val="18"/>
        </w:numPr>
      </w:pPr>
      <w:r>
        <w:t>Adapting monetary policy to the changing environment;</w:t>
      </w:r>
    </w:p>
    <w:p w14:paraId="58BCF9C8" w14:textId="0966F812" w:rsidR="00D7638E" w:rsidRDefault="00D7638E" w:rsidP="00D7638E">
      <w:pPr>
        <w:pStyle w:val="regpar"/>
        <w:numPr>
          <w:ilvl w:val="0"/>
          <w:numId w:val="18"/>
        </w:numPr>
      </w:pPr>
      <w:r>
        <w:t>Strengthening the financial system and the Israeli economy’s resilience to crises;</w:t>
      </w:r>
    </w:p>
    <w:p w14:paraId="292460D5" w14:textId="5F073615" w:rsidR="00D7638E" w:rsidRDefault="00263307" w:rsidP="00D7638E">
      <w:pPr>
        <w:pStyle w:val="regpar"/>
        <w:numPr>
          <w:ilvl w:val="0"/>
          <w:numId w:val="18"/>
        </w:numPr>
      </w:pPr>
      <w:r>
        <w:t>Constant advancement of research on the Israeli and international economies;</w:t>
      </w:r>
    </w:p>
    <w:p w14:paraId="0A32EC0D" w14:textId="006F2678" w:rsidR="00263307" w:rsidRDefault="00263307" w:rsidP="00D7638E">
      <w:pPr>
        <w:pStyle w:val="regpar"/>
        <w:numPr>
          <w:ilvl w:val="0"/>
          <w:numId w:val="18"/>
        </w:numPr>
      </w:pPr>
      <w:r>
        <w:t>Managing the country’s foreign currency reserves;</w:t>
      </w:r>
    </w:p>
    <w:p w14:paraId="4270D980" w14:textId="002EDE92" w:rsidR="00263307" w:rsidRDefault="00263307" w:rsidP="00D7638E">
      <w:pPr>
        <w:pStyle w:val="regpar"/>
        <w:numPr>
          <w:ilvl w:val="0"/>
          <w:numId w:val="18"/>
        </w:numPr>
      </w:pPr>
      <w:r>
        <w:t>Diversification of the diversification, maximization, and accessibility of economic information and research to researchers and decision-makers;</w:t>
      </w:r>
    </w:p>
    <w:p w14:paraId="789A144A" w14:textId="5C3FA80F" w:rsidR="00263307" w:rsidRDefault="00263307" w:rsidP="00D7638E">
      <w:pPr>
        <w:pStyle w:val="regpar"/>
        <w:numPr>
          <w:ilvl w:val="0"/>
          <w:numId w:val="18"/>
        </w:numPr>
      </w:pPr>
      <w:r>
        <w:t>Advancing financial infrastructure and digital means of payment in the Israeli economy;</w:t>
      </w:r>
    </w:p>
    <w:p w14:paraId="7263E484" w14:textId="34340FFA" w:rsidR="00263307" w:rsidRDefault="00263307" w:rsidP="00D7638E">
      <w:pPr>
        <w:pStyle w:val="regpar"/>
        <w:numPr>
          <w:ilvl w:val="0"/>
          <w:numId w:val="18"/>
        </w:numPr>
      </w:pPr>
      <w:r>
        <w:t>Encouraging competition and innovation in the financial system;</w:t>
      </w:r>
    </w:p>
    <w:p w14:paraId="0FFB2AAF" w14:textId="6F59FB1C" w:rsidR="00263307" w:rsidRDefault="00A743BF" w:rsidP="00D7638E">
      <w:pPr>
        <w:pStyle w:val="regpar"/>
        <w:numPr>
          <w:ilvl w:val="0"/>
          <w:numId w:val="18"/>
        </w:numPr>
      </w:pPr>
      <w:r>
        <w:t>Continued development and management</w:t>
      </w:r>
      <w:r w:rsidR="00263307">
        <w:t xml:space="preserve"> </w:t>
      </w:r>
      <w:r w:rsidR="000877A6">
        <w:t>the credit data register and regulating the credit data system;</w:t>
      </w:r>
    </w:p>
    <w:p w14:paraId="16B6E24F" w14:textId="4B5DEBD5" w:rsidR="000877A6" w:rsidRDefault="000877A6" w:rsidP="00D7638E">
      <w:pPr>
        <w:pStyle w:val="regpar"/>
        <w:numPr>
          <w:ilvl w:val="0"/>
          <w:numId w:val="18"/>
        </w:numPr>
      </w:pPr>
      <w:r>
        <w:t xml:space="preserve">Protecting customers’ rights, improving their bargaining </w:t>
      </w:r>
      <w:r w:rsidR="00E17157">
        <w:t>ability; and narrowing information gaps;</w:t>
      </w:r>
    </w:p>
    <w:p w14:paraId="7B3762F5" w14:textId="2DC893C3" w:rsidR="00E17157" w:rsidRDefault="00E17157" w:rsidP="00D7638E">
      <w:pPr>
        <w:pStyle w:val="regpar"/>
        <w:numPr>
          <w:ilvl w:val="0"/>
          <w:numId w:val="18"/>
        </w:numPr>
      </w:pPr>
      <w:r>
        <w:lastRenderedPageBreak/>
        <w:t>Tightening the Bank of Israel’s connection with the public, and increasing access to financial services;</w:t>
      </w:r>
    </w:p>
    <w:p w14:paraId="6732D287" w14:textId="2D101C5A" w:rsidR="00E17157" w:rsidRDefault="00E17157" w:rsidP="00D7638E">
      <w:pPr>
        <w:pStyle w:val="regpar"/>
        <w:numPr>
          <w:ilvl w:val="0"/>
          <w:numId w:val="18"/>
        </w:numPr>
      </w:pPr>
      <w:r>
        <w:t>Implementation of the Citizens of Israel Fund Law, 5774–2014;</w:t>
      </w:r>
    </w:p>
    <w:p w14:paraId="065B585C" w14:textId="3AC3A43D" w:rsidR="00E17157" w:rsidRDefault="00E17157" w:rsidP="00D7638E">
      <w:pPr>
        <w:pStyle w:val="regpar"/>
        <w:numPr>
          <w:ilvl w:val="0"/>
          <w:numId w:val="18"/>
        </w:numPr>
      </w:pPr>
      <w:r>
        <w:t>Increasing cooperation with international institutions and with central banks and regulators abroad;</w:t>
      </w:r>
    </w:p>
    <w:p w14:paraId="24656792" w14:textId="3DB71F89" w:rsidR="00E17157" w:rsidRDefault="00E17157" w:rsidP="00D7638E">
      <w:pPr>
        <w:pStyle w:val="regpar"/>
        <w:numPr>
          <w:ilvl w:val="0"/>
          <w:numId w:val="18"/>
        </w:numPr>
      </w:pPr>
      <w:r>
        <w:t>Adapting the Bank of Israel’s resources to the changing environment.</w:t>
      </w:r>
    </w:p>
    <w:p w14:paraId="6FB5CF6A" w14:textId="77777777" w:rsidR="00E17157" w:rsidRDefault="00E17157" w:rsidP="00E17157">
      <w:pPr>
        <w:pStyle w:val="regpar"/>
        <w:ind w:firstLine="0"/>
      </w:pPr>
    </w:p>
    <w:p w14:paraId="1D352AC5" w14:textId="04FF95D9" w:rsidR="00E17157" w:rsidRDefault="00E17157" w:rsidP="00E17157">
      <w:pPr>
        <w:pStyle w:val="regpar"/>
        <w:ind w:firstLine="0"/>
      </w:pPr>
      <w:r>
        <w:rPr>
          <w:b/>
          <w:bCs/>
        </w:rPr>
        <w:t>Bank of Israel budget</w:t>
      </w:r>
    </w:p>
    <w:p w14:paraId="7AA2706F" w14:textId="77777777" w:rsidR="00E17157" w:rsidRDefault="00E17157" w:rsidP="00E17157">
      <w:pPr>
        <w:pStyle w:val="regpar"/>
        <w:ind w:firstLine="0"/>
      </w:pPr>
    </w:p>
    <w:p w14:paraId="2295067F" w14:textId="174E3D4F" w:rsidR="00E17157" w:rsidRDefault="00E17157" w:rsidP="00E17157">
      <w:pPr>
        <w:pStyle w:val="regpar"/>
        <w:ind w:firstLine="0"/>
      </w:pPr>
      <w:r>
        <w:t>The Bank of Israel’s budget relates to the Bank’s administrative activity, which is necessary for the fulfillment of its functions and the attainment of its objectives.</w:t>
      </w:r>
    </w:p>
    <w:p w14:paraId="2D4EF039" w14:textId="77777777" w:rsidR="00E17157" w:rsidRDefault="00E17157" w:rsidP="00E17157">
      <w:pPr>
        <w:pStyle w:val="regpar"/>
        <w:ind w:firstLine="0"/>
      </w:pPr>
    </w:p>
    <w:p w14:paraId="078AE050" w14:textId="4C4A089F" w:rsidR="00E17157" w:rsidRDefault="00E17157" w:rsidP="00E17157">
      <w:pPr>
        <w:pStyle w:val="regpar"/>
        <w:ind w:firstLine="0"/>
      </w:pPr>
      <w:r>
        <w:t xml:space="preserve">In accordance with the Bank of Israel Law, the Bank’s budget is divided into a number of fields of activity: 1) </w:t>
      </w:r>
      <w:r w:rsidR="00D228A7">
        <w:t xml:space="preserve">Managerial and assistance (expense budgets for the entities that deal in managing the bank and in providing services and support); 2) Fulfilling the Bank’s functions (expense budgets for the Bank’s core departments); 3) Pensions; 4) Investments; 5) Revenue; 6) Reserve funds; 7) Printing money; 8) Managing the Citizens of Israel Fund; 9) Credit </w:t>
      </w:r>
      <w:r w:rsidR="00D46F6B">
        <w:t>D</w:t>
      </w:r>
      <w:r w:rsidR="00D228A7">
        <w:t xml:space="preserve">ata </w:t>
      </w:r>
      <w:r w:rsidR="00D46F6B">
        <w:t>Register</w:t>
      </w:r>
      <w:r w:rsidR="00D228A7">
        <w:t>.</w:t>
      </w:r>
    </w:p>
    <w:p w14:paraId="7FC55C96" w14:textId="77777777" w:rsidR="00D228A7" w:rsidRDefault="00D228A7" w:rsidP="00E17157">
      <w:pPr>
        <w:pStyle w:val="regpar"/>
        <w:ind w:firstLine="0"/>
      </w:pPr>
    </w:p>
    <w:p w14:paraId="63EBA4B9" w14:textId="73188D9C" w:rsidR="00D228A7" w:rsidRDefault="00D228A7" w:rsidP="00E17157">
      <w:pPr>
        <w:pStyle w:val="regpar"/>
        <w:ind w:firstLine="0"/>
      </w:pPr>
      <w:r>
        <w:t>The past year w</w:t>
      </w:r>
      <w:r w:rsidR="003F300D">
        <w:t>as filled with challenges, including challenges in the monetary field (inflation faced by Israel and the rest of the world), as well as challenges that accompanied the process of the legislative changes.</w:t>
      </w:r>
    </w:p>
    <w:p w14:paraId="0B4AA310" w14:textId="77777777" w:rsidR="003F300D" w:rsidRDefault="003F300D" w:rsidP="00E17157">
      <w:pPr>
        <w:pStyle w:val="regpar"/>
        <w:ind w:firstLine="0"/>
      </w:pPr>
    </w:p>
    <w:p w14:paraId="4146A38C" w14:textId="7A404679" w:rsidR="003F300D" w:rsidRDefault="003F300D" w:rsidP="00E17157">
      <w:pPr>
        <w:pStyle w:val="regpar"/>
        <w:ind w:firstLine="0"/>
      </w:pPr>
      <w:r>
        <w:t xml:space="preserve">The most significant challenge is the one that began on October 7 with the terrorist attack launched on Israel and the Swords of Iron war that followed it.  The war is creating significant economic uncertainty and broad economic impacts in various segments of the economy.  In view of the war, the Bank of Israel is operating </w:t>
      </w:r>
      <w:r w:rsidR="00B270DB">
        <w:t>in all areas entrusted to it: in the financial markets and in the banking system, by implementing targeted programs immediately at the outbreak of the war; in economic advice to the government; in Banking Supervision Department guidelines; in the payments, credit, and cash fields; and in ensuring functional continuity.</w:t>
      </w:r>
    </w:p>
    <w:p w14:paraId="4A1E9657" w14:textId="77777777" w:rsidR="00A61DF8" w:rsidRDefault="00A61DF8" w:rsidP="00E17157">
      <w:pPr>
        <w:pStyle w:val="regpar"/>
        <w:ind w:firstLine="0"/>
      </w:pPr>
    </w:p>
    <w:p w14:paraId="7703AF20" w14:textId="77777777" w:rsidR="00A61DF8" w:rsidRDefault="00A61DF8" w:rsidP="00E17157">
      <w:pPr>
        <w:pStyle w:val="regpar"/>
        <w:ind w:firstLine="0"/>
      </w:pPr>
      <w:r>
        <w:t>The war situation has led to the broad mobilization of reserves, which has of course led to some slowdown in the performance of the Bank’s work plan and projects, and accordingly to lower performance rates in the fourth quarter of last year and a deferral of payments to 2024.</w:t>
      </w:r>
    </w:p>
    <w:p w14:paraId="50BA12BB" w14:textId="77777777" w:rsidR="00A61DF8" w:rsidRDefault="00A61DF8" w:rsidP="00E17157">
      <w:pPr>
        <w:pStyle w:val="regpar"/>
        <w:ind w:firstLine="0"/>
      </w:pPr>
    </w:p>
    <w:p w14:paraId="7C49A076" w14:textId="43F8838F" w:rsidR="00A61DF8" w:rsidRDefault="0068668B" w:rsidP="0068668B">
      <w:pPr>
        <w:pStyle w:val="regpar"/>
        <w:ind w:firstLine="0"/>
      </w:pPr>
      <w:r>
        <w:t>The work plan for 2024 combine measures to achieve the Bank’s strategic objectives alongside measures to respond to the unique challenges facing the Israeli economy, in accordance with the developments, changes, and risks to the global and domestic economies.  In particular, the plan includes the advancement of immediate measures to support the economy in general and people who have been directly impacted or are serving in the reserves in particular, as part of dealing with the war’s economic impact and performance of resulting targeted programs and adjustments at the bank.</w:t>
      </w:r>
    </w:p>
    <w:p w14:paraId="3340811C" w14:textId="77777777" w:rsidR="005A068C" w:rsidRDefault="005A068C" w:rsidP="0068668B">
      <w:pPr>
        <w:pStyle w:val="regpar"/>
        <w:ind w:firstLine="0"/>
      </w:pPr>
    </w:p>
    <w:p w14:paraId="11AFC35F" w14:textId="3FBFDE2D" w:rsidR="005A068C" w:rsidRDefault="005A068C" w:rsidP="0068668B">
      <w:pPr>
        <w:pStyle w:val="regpar"/>
        <w:ind w:firstLine="0"/>
      </w:pPr>
      <w:r>
        <w:t xml:space="preserve">Due to the war and its significant economic implications, the Bank’s work plans have been formulated and presented this year with the clear knowledge that </w:t>
      </w:r>
      <w:r w:rsidR="00C544DD">
        <w:t>they are the basis for potential changes in accordance with developments in the foreign and domestic spheres.  In this context, the challenge in finding the correct balance between the Bank’s regular activities and advancing its strategy and new initiatives becomes even stronger.</w:t>
      </w:r>
    </w:p>
    <w:p w14:paraId="2E6A9ED6" w14:textId="77777777" w:rsidR="00C544DD" w:rsidRDefault="00C544DD" w:rsidP="0068668B">
      <w:pPr>
        <w:pStyle w:val="regpar"/>
        <w:ind w:firstLine="0"/>
      </w:pPr>
    </w:p>
    <w:p w14:paraId="2FE65079" w14:textId="13A8999F" w:rsidR="00C544DD" w:rsidRDefault="00C544DD" w:rsidP="0068668B">
      <w:pPr>
        <w:pStyle w:val="regpar"/>
        <w:ind w:firstLine="0"/>
      </w:pPr>
      <w:r>
        <w:t>The Bank of Israel’s total budget for 2024 is NIS 1.2493 billion, reflecting a 12.7 percent increase over 2023.  Most of the increase is due to the gr</w:t>
      </w:r>
      <w:r w:rsidR="006367AB">
        <w:t>owth of rigid components such as printing money, managing the Citizens of Israel Fund for natural gas profits, and wage and pension payments due to existing wage agreements, including the agreement signed in 2023.</w:t>
      </w:r>
    </w:p>
    <w:p w14:paraId="7138F329" w14:textId="77777777" w:rsidR="006367AB" w:rsidRDefault="006367AB" w:rsidP="0068668B">
      <w:pPr>
        <w:pStyle w:val="regpar"/>
        <w:ind w:firstLine="0"/>
      </w:pPr>
    </w:p>
    <w:p w14:paraId="031475B3" w14:textId="530C88DB" w:rsidR="006367AB" w:rsidRDefault="006367AB" w:rsidP="0068668B">
      <w:pPr>
        <w:pStyle w:val="regpar"/>
        <w:ind w:firstLine="0"/>
      </w:pPr>
      <w:r>
        <w:t xml:space="preserve">In view of the high level of uncertainty </w:t>
      </w:r>
      <w:r w:rsidR="0038646B">
        <w:t>as described above, and as part of the Bank’s efforts to optimize and minimize its budget, the flexibility and amount of the reserve funds were increased.</w:t>
      </w:r>
    </w:p>
    <w:p w14:paraId="2EE9A683" w14:textId="77777777" w:rsidR="0038646B" w:rsidRDefault="0038646B" w:rsidP="0068668B">
      <w:pPr>
        <w:pStyle w:val="regpar"/>
        <w:ind w:firstLine="0"/>
      </w:pPr>
    </w:p>
    <w:p w14:paraId="76F6B516" w14:textId="7EAEFE90" w:rsidR="0038646B" w:rsidRDefault="0038646B" w:rsidP="0068668B">
      <w:pPr>
        <w:pStyle w:val="regpar"/>
        <w:ind w:firstLine="0"/>
      </w:pPr>
      <w:r>
        <w:t>The following are the items in which the main changes to the Bank of Israel budget for 2024 were made:</w:t>
      </w:r>
      <w:r>
        <w:rPr>
          <w:rStyle w:val="a6"/>
        </w:rPr>
        <w:footnoteReference w:id="2"/>
      </w:r>
    </w:p>
    <w:p w14:paraId="4302F25E" w14:textId="77777777" w:rsidR="0038646B" w:rsidRDefault="0038646B" w:rsidP="0068668B">
      <w:pPr>
        <w:pStyle w:val="regpar"/>
        <w:ind w:firstLine="0"/>
      </w:pPr>
    </w:p>
    <w:p w14:paraId="4AB798DC" w14:textId="6FA31A8C" w:rsidR="0038646B" w:rsidRDefault="0038646B" w:rsidP="0068668B">
      <w:pPr>
        <w:pStyle w:val="regpar"/>
        <w:ind w:firstLine="0"/>
      </w:pPr>
      <w:r>
        <w:rPr>
          <w:b/>
          <w:bCs/>
        </w:rPr>
        <w:t>Printing money</w:t>
      </w:r>
      <w:r>
        <w:t xml:space="preserve"> – This item will total NIS 108.0 million in 2024, an increase of NIS 26.4 million (34.0 percent) </w:t>
      </w:r>
      <w:r w:rsidR="001363FB">
        <w:t xml:space="preserve">relative to 2023.  The increase in 2024 is due to demand for cash in the economy, and is based on the Bank’s inventory model that serves as a main tool to support decision making, and in accordance with the Bank’s policy for the orderly and continuous supply of cash for circulation, in routine and emergency times.  As such, this budget is rigid and requires the allocation of resources in order to answer the demand for cash and to address various scenarios that affect that demand.  The budget is significantly affected by changes in the exchange rate, the cost of raw materials, shipping, and </w:t>
      </w:r>
      <w:r w:rsidR="00316CAD">
        <w:t>the costs and quantities of actual production.</w:t>
      </w:r>
    </w:p>
    <w:p w14:paraId="767B0CB2" w14:textId="77777777" w:rsidR="00316CAD" w:rsidRDefault="00316CAD" w:rsidP="0068668B">
      <w:pPr>
        <w:pStyle w:val="regpar"/>
        <w:ind w:firstLine="0"/>
      </w:pPr>
    </w:p>
    <w:p w14:paraId="2CA6B4D8" w14:textId="19951AEB" w:rsidR="00316CAD" w:rsidRDefault="00316CAD" w:rsidP="0068668B">
      <w:pPr>
        <w:pStyle w:val="regpar"/>
        <w:ind w:firstLine="0"/>
      </w:pPr>
      <w:r>
        <w:rPr>
          <w:b/>
          <w:bCs/>
        </w:rPr>
        <w:t xml:space="preserve">Credit </w:t>
      </w:r>
      <w:r w:rsidR="00D46F6B">
        <w:rPr>
          <w:b/>
          <w:bCs/>
        </w:rPr>
        <w:t>D</w:t>
      </w:r>
      <w:r>
        <w:rPr>
          <w:b/>
          <w:bCs/>
        </w:rPr>
        <w:t xml:space="preserve">ata </w:t>
      </w:r>
      <w:r w:rsidR="00D46F6B">
        <w:rPr>
          <w:b/>
          <w:bCs/>
        </w:rPr>
        <w:t>Register</w:t>
      </w:r>
      <w:r>
        <w:t xml:space="preserve"> – In April 2019, the Credit </w:t>
      </w:r>
      <w:r w:rsidR="00D46F6B">
        <w:t>D</w:t>
      </w:r>
      <w:r>
        <w:t xml:space="preserve">ata </w:t>
      </w:r>
      <w:r w:rsidR="00D46F6B">
        <w:t xml:space="preserve">Register </w:t>
      </w:r>
      <w:r>
        <w:t xml:space="preserve">was launched, in accordance with the Credit Data Law, 5776–2016.  The budget reflects the cost of all activities required by the Law, and will total NIS 95.8 million in 2024, NIS 20.1 million (17.3 percent) lower than in 2023.  This decline is mainly due to the deferral of projects due to the large mobilization of reserves and the reallocation of budgets.  In addition, the budget includes </w:t>
      </w:r>
      <w:r w:rsidR="00ED29BC">
        <w:t>planning of the “Business Credit Register” project, which is expected to be a complex project with particularly high costs, which will contribute significantly to increased access to business credit and to competition in the Israeli economy.</w:t>
      </w:r>
    </w:p>
    <w:p w14:paraId="56CBD327" w14:textId="77777777" w:rsidR="00ED29BC" w:rsidRDefault="00ED29BC" w:rsidP="0068668B">
      <w:pPr>
        <w:pStyle w:val="regpar"/>
        <w:ind w:firstLine="0"/>
      </w:pPr>
    </w:p>
    <w:p w14:paraId="45DCAA58" w14:textId="55088A36" w:rsidR="00ED29BC" w:rsidRDefault="00E03A4C" w:rsidP="0068668B">
      <w:pPr>
        <w:pStyle w:val="regpar"/>
        <w:ind w:firstLine="0"/>
      </w:pPr>
      <w:r>
        <w:rPr>
          <w:b/>
          <w:bCs/>
        </w:rPr>
        <w:t>Managing the Citizens of Israel Fund</w:t>
      </w:r>
      <w:r>
        <w:t xml:space="preserve"> – The budget for the Citizens of Israel Fund Management Division will be NIS 7.4 million in 2024, an increase of NIS 6.5 million (716 percent) from 2023.  In accordance with the Citizens of Israel Fund Law, 5774–2014, a fund was established to manage the State’s revenue from imposts on the profits of natural gas and oil, to be called the “Citizens of Israel Fund” (hereinafter: the Fund).</w:t>
      </w:r>
      <w:r w:rsidR="00C57830">
        <w:t xml:space="preserve">  The fund’s objective is to manage the state’s revenue from the impost with a long-term economic view in order to increase its yield, and with the aim of enabling future generations to benefit from the income from this natural resource.  The Fund’s assets will be managed by a dedicated division within the Bank of Israel.  In June 2022, after accumulating NIS 1 billion, actual investment of the fund’s assets began, pursuant to the provisions of the Law and according to the policy principles of the fund’s institutions.  The increase in the </w:t>
      </w:r>
      <w:r w:rsidR="00D46F6B">
        <w:t>division’s budget, other than wages, is intended for the purchase of technological tools, outside consulting, and databases that are in line with the variety of the Fund’s investments.</w:t>
      </w:r>
    </w:p>
    <w:p w14:paraId="147B082A" w14:textId="77777777" w:rsidR="00D46F6B" w:rsidRDefault="00D46F6B" w:rsidP="0068668B">
      <w:pPr>
        <w:pStyle w:val="regpar"/>
        <w:ind w:firstLine="0"/>
      </w:pPr>
    </w:p>
    <w:p w14:paraId="230E19F0" w14:textId="1F645CB2" w:rsidR="00D46F6B" w:rsidRDefault="00D46F6B" w:rsidP="0068668B">
      <w:pPr>
        <w:pStyle w:val="regpar"/>
        <w:ind w:firstLine="0"/>
      </w:pPr>
      <w:r>
        <w:rPr>
          <w:b/>
          <w:bCs/>
        </w:rPr>
        <w:t>Budget for the coming years</w:t>
      </w:r>
      <w:r>
        <w:t xml:space="preserve"> – The budget for authorized debits for the coming years stands at NIS 781.5 million, of which 37 percent is intended for future obligations in respect of the printing of money, and 24 percent is in respect of the </w:t>
      </w:r>
      <w:r w:rsidR="00D02099">
        <w:t>C</w:t>
      </w:r>
      <w:r>
        <w:t xml:space="preserve">redit </w:t>
      </w:r>
      <w:r w:rsidR="00D02099">
        <w:t>D</w:t>
      </w:r>
      <w:r>
        <w:t xml:space="preserve">ata </w:t>
      </w:r>
      <w:r w:rsidR="00D02099">
        <w:t>R</w:t>
      </w:r>
      <w:r>
        <w:t>egister.</w:t>
      </w:r>
    </w:p>
    <w:p w14:paraId="324153C9" w14:textId="77777777" w:rsidR="00D02099" w:rsidRDefault="00D02099" w:rsidP="0068668B">
      <w:pPr>
        <w:pStyle w:val="regpar"/>
        <w:ind w:firstLine="0"/>
      </w:pPr>
    </w:p>
    <w:p w14:paraId="764AD6AE" w14:textId="06286809" w:rsidR="00D02099" w:rsidRDefault="00D02099" w:rsidP="0068668B">
      <w:pPr>
        <w:pStyle w:val="regpar"/>
        <w:ind w:firstLine="0"/>
      </w:pPr>
      <w:r>
        <w:t>The budget for administrative activity does not include revenue or expenses derived from the implementation of monetary tools, the provision of credit to banking corporations and other financial entities, management of liquidity in the economy, investments of the foreign exchange reserves, etc.  These revenues and expenses are reflect in the Bank of Israel’s financial statements and in its report on the management of the foreign exchange reserves.</w:t>
      </w:r>
    </w:p>
    <w:p w14:paraId="452370DD" w14:textId="77777777" w:rsidR="00D02099" w:rsidRDefault="00D02099" w:rsidP="0068668B">
      <w:pPr>
        <w:pStyle w:val="regpar"/>
        <w:ind w:firstLine="0"/>
      </w:pPr>
    </w:p>
    <w:p w14:paraId="50933FBC" w14:textId="271B53DA" w:rsidR="00D02099" w:rsidRDefault="00D02099" w:rsidP="0068668B">
      <w:pPr>
        <w:pStyle w:val="regpar"/>
        <w:ind w:firstLine="0"/>
        <w:rPr>
          <w:b/>
          <w:bCs/>
        </w:rPr>
      </w:pPr>
      <w:r>
        <w:rPr>
          <w:b/>
          <w:bCs/>
          <w:u w:val="single"/>
        </w:rPr>
        <w:t>Table 1 – Bank of Israel budget for 2024</w:t>
      </w:r>
    </w:p>
    <w:p w14:paraId="05F77626" w14:textId="0D7BBFEA" w:rsidR="00D02099" w:rsidRDefault="00D02099" w:rsidP="0068668B">
      <w:pPr>
        <w:pStyle w:val="regpar"/>
        <w:ind w:firstLine="0"/>
      </w:pPr>
      <w:r>
        <w:rPr>
          <w:i/>
          <w:iCs/>
        </w:rPr>
        <w:t>(Financial data are presented in thousands of shekels)</w:t>
      </w:r>
    </w:p>
    <w:p w14:paraId="06C8E5B2" w14:textId="77777777" w:rsidR="00D02099" w:rsidRDefault="00D02099" w:rsidP="0068668B">
      <w:pPr>
        <w:pStyle w:val="regpar"/>
        <w:ind w:firstLine="0"/>
      </w:pPr>
    </w:p>
    <w:tbl>
      <w:tblPr>
        <w:tblStyle w:val="ac"/>
        <w:tblW w:w="0" w:type="auto"/>
        <w:tblLook w:val="04A0" w:firstRow="1" w:lastRow="0" w:firstColumn="1" w:lastColumn="0" w:noHBand="0" w:noVBand="1"/>
      </w:tblPr>
      <w:tblGrid>
        <w:gridCol w:w="1838"/>
        <w:gridCol w:w="1418"/>
        <w:gridCol w:w="1417"/>
        <w:gridCol w:w="1347"/>
        <w:gridCol w:w="1506"/>
        <w:gridCol w:w="1536"/>
      </w:tblGrid>
      <w:tr w:rsidR="0074598B" w:rsidRPr="00CA19AE" w14:paraId="33865AB7" w14:textId="77777777" w:rsidTr="00DB715A">
        <w:tc>
          <w:tcPr>
            <w:tcW w:w="1838" w:type="dxa"/>
            <w:vMerge w:val="restart"/>
          </w:tcPr>
          <w:p w14:paraId="655FFB9B" w14:textId="77777777" w:rsidR="0074598B" w:rsidRPr="00CA19AE" w:rsidRDefault="0074598B" w:rsidP="0074598B">
            <w:pPr>
              <w:pStyle w:val="regpar"/>
              <w:ind w:firstLine="0"/>
              <w:jc w:val="center"/>
              <w:rPr>
                <w:sz w:val="20"/>
                <w:szCs w:val="20"/>
              </w:rPr>
            </w:pPr>
          </w:p>
        </w:tc>
        <w:tc>
          <w:tcPr>
            <w:tcW w:w="4182" w:type="dxa"/>
            <w:gridSpan w:val="3"/>
          </w:tcPr>
          <w:p w14:paraId="16FE9F46" w14:textId="13646E09" w:rsidR="0074598B" w:rsidRPr="00CA19AE" w:rsidRDefault="0074598B" w:rsidP="0074598B">
            <w:pPr>
              <w:pStyle w:val="regpar"/>
              <w:ind w:firstLine="0"/>
              <w:jc w:val="center"/>
              <w:rPr>
                <w:b/>
                <w:bCs/>
                <w:sz w:val="20"/>
                <w:szCs w:val="20"/>
              </w:rPr>
            </w:pPr>
            <w:r w:rsidRPr="00CA19AE">
              <w:rPr>
                <w:b/>
                <w:bCs/>
                <w:sz w:val="20"/>
                <w:szCs w:val="20"/>
              </w:rPr>
              <w:t>2024</w:t>
            </w:r>
          </w:p>
        </w:tc>
        <w:tc>
          <w:tcPr>
            <w:tcW w:w="1506" w:type="dxa"/>
            <w:vMerge w:val="restart"/>
          </w:tcPr>
          <w:p w14:paraId="4130EB37" w14:textId="5375B932" w:rsidR="0074598B" w:rsidRPr="00CA19AE" w:rsidRDefault="007B6F66" w:rsidP="0074598B">
            <w:pPr>
              <w:pStyle w:val="regpar"/>
              <w:ind w:firstLine="0"/>
              <w:jc w:val="center"/>
              <w:rPr>
                <w:b/>
                <w:bCs/>
                <w:sz w:val="20"/>
                <w:szCs w:val="20"/>
              </w:rPr>
            </w:pPr>
            <w:r w:rsidRPr="00CA19AE">
              <w:rPr>
                <w:b/>
                <w:bCs/>
                <w:sz w:val="20"/>
                <w:szCs w:val="20"/>
              </w:rPr>
              <w:t>2023 budget</w:t>
            </w:r>
          </w:p>
        </w:tc>
        <w:tc>
          <w:tcPr>
            <w:tcW w:w="1536" w:type="dxa"/>
            <w:vMerge w:val="restart"/>
          </w:tcPr>
          <w:p w14:paraId="0CBC6BF5" w14:textId="11637393" w:rsidR="0074598B" w:rsidRPr="00CA19AE" w:rsidRDefault="007B6F66" w:rsidP="0074598B">
            <w:pPr>
              <w:pStyle w:val="regpar"/>
              <w:ind w:firstLine="0"/>
              <w:jc w:val="center"/>
              <w:rPr>
                <w:b/>
                <w:bCs/>
                <w:sz w:val="20"/>
                <w:szCs w:val="20"/>
              </w:rPr>
            </w:pPr>
            <w:r w:rsidRPr="00CA19AE">
              <w:rPr>
                <w:b/>
                <w:bCs/>
                <w:sz w:val="20"/>
                <w:szCs w:val="20"/>
              </w:rPr>
              <w:t xml:space="preserve">Budget performance in </w:t>
            </w:r>
            <w:r w:rsidRPr="00A743BF">
              <w:rPr>
                <w:b/>
                <w:bCs/>
                <w:sz w:val="20"/>
                <w:szCs w:val="20"/>
              </w:rPr>
              <w:t>2023</w:t>
            </w:r>
          </w:p>
        </w:tc>
      </w:tr>
      <w:tr w:rsidR="0074598B" w:rsidRPr="00CA19AE" w14:paraId="653685CF" w14:textId="77777777" w:rsidTr="00DB715A">
        <w:tc>
          <w:tcPr>
            <w:tcW w:w="1838" w:type="dxa"/>
            <w:vMerge/>
          </w:tcPr>
          <w:p w14:paraId="4452E79C" w14:textId="77777777" w:rsidR="0074598B" w:rsidRPr="00CA19AE" w:rsidRDefault="0074598B" w:rsidP="0074598B">
            <w:pPr>
              <w:pStyle w:val="regpar"/>
              <w:ind w:firstLine="0"/>
              <w:jc w:val="center"/>
              <w:rPr>
                <w:sz w:val="20"/>
                <w:szCs w:val="20"/>
              </w:rPr>
            </w:pPr>
          </w:p>
        </w:tc>
        <w:tc>
          <w:tcPr>
            <w:tcW w:w="1418" w:type="dxa"/>
          </w:tcPr>
          <w:p w14:paraId="3B8C304D" w14:textId="569BCA00" w:rsidR="0074598B" w:rsidRPr="00CA19AE" w:rsidRDefault="0074598B" w:rsidP="0074598B">
            <w:pPr>
              <w:pStyle w:val="regpar"/>
              <w:ind w:firstLine="0"/>
              <w:jc w:val="center"/>
              <w:rPr>
                <w:b/>
                <w:bCs/>
                <w:sz w:val="20"/>
                <w:szCs w:val="20"/>
              </w:rPr>
            </w:pPr>
            <w:r w:rsidRPr="00CA19AE">
              <w:rPr>
                <w:b/>
                <w:bCs/>
                <w:sz w:val="20"/>
                <w:szCs w:val="20"/>
              </w:rPr>
              <w:t>Budget</w:t>
            </w:r>
          </w:p>
        </w:tc>
        <w:tc>
          <w:tcPr>
            <w:tcW w:w="1417" w:type="dxa"/>
          </w:tcPr>
          <w:p w14:paraId="0C25D1A4" w14:textId="7D6DEF4E" w:rsidR="0074598B" w:rsidRPr="00CA19AE" w:rsidRDefault="007B6F66" w:rsidP="0074598B">
            <w:pPr>
              <w:pStyle w:val="regpar"/>
              <w:ind w:firstLine="0"/>
              <w:jc w:val="center"/>
              <w:rPr>
                <w:b/>
                <w:bCs/>
                <w:sz w:val="20"/>
                <w:szCs w:val="20"/>
              </w:rPr>
            </w:pPr>
            <w:r w:rsidRPr="00CA19AE">
              <w:rPr>
                <w:b/>
                <w:bCs/>
                <w:sz w:val="20"/>
                <w:szCs w:val="20"/>
              </w:rPr>
              <w:t>Authorized debit</w:t>
            </w:r>
          </w:p>
        </w:tc>
        <w:tc>
          <w:tcPr>
            <w:tcW w:w="1347" w:type="dxa"/>
          </w:tcPr>
          <w:p w14:paraId="21E847FD" w14:textId="2984E05B" w:rsidR="0074598B" w:rsidRPr="00CA19AE" w:rsidRDefault="00A743BF" w:rsidP="0074598B">
            <w:pPr>
              <w:pStyle w:val="regpar"/>
              <w:ind w:firstLine="0"/>
              <w:jc w:val="center"/>
              <w:rPr>
                <w:b/>
                <w:bCs/>
                <w:sz w:val="20"/>
                <w:szCs w:val="20"/>
              </w:rPr>
            </w:pPr>
            <w:r>
              <w:rPr>
                <w:b/>
                <w:bCs/>
                <w:sz w:val="20"/>
                <w:szCs w:val="20"/>
              </w:rPr>
              <w:t>Personnel ceiling</w:t>
            </w:r>
          </w:p>
        </w:tc>
        <w:tc>
          <w:tcPr>
            <w:tcW w:w="1506" w:type="dxa"/>
            <w:vMerge/>
          </w:tcPr>
          <w:p w14:paraId="671E6C5B" w14:textId="77777777" w:rsidR="0074598B" w:rsidRPr="00CA19AE" w:rsidRDefault="0074598B" w:rsidP="0068668B">
            <w:pPr>
              <w:pStyle w:val="regpar"/>
              <w:ind w:firstLine="0"/>
              <w:rPr>
                <w:sz w:val="20"/>
                <w:szCs w:val="20"/>
              </w:rPr>
            </w:pPr>
          </w:p>
        </w:tc>
        <w:tc>
          <w:tcPr>
            <w:tcW w:w="1536" w:type="dxa"/>
            <w:vMerge/>
          </w:tcPr>
          <w:p w14:paraId="152FC8C9" w14:textId="77777777" w:rsidR="0074598B" w:rsidRPr="00CA19AE" w:rsidRDefault="0074598B" w:rsidP="0068668B">
            <w:pPr>
              <w:pStyle w:val="regpar"/>
              <w:ind w:firstLine="0"/>
              <w:rPr>
                <w:sz w:val="20"/>
                <w:szCs w:val="20"/>
              </w:rPr>
            </w:pPr>
          </w:p>
        </w:tc>
      </w:tr>
      <w:tr w:rsidR="0074598B" w:rsidRPr="00A743BF" w14:paraId="5740BA6A" w14:textId="77777777" w:rsidTr="00DB715A">
        <w:tc>
          <w:tcPr>
            <w:tcW w:w="1838" w:type="dxa"/>
          </w:tcPr>
          <w:p w14:paraId="77B83847" w14:textId="03B394CE" w:rsidR="0074598B" w:rsidRPr="00A743BF" w:rsidRDefault="00DB715A" w:rsidP="00A743BF">
            <w:pPr>
              <w:pStyle w:val="regpar"/>
              <w:ind w:firstLine="0"/>
              <w:rPr>
                <w:b/>
                <w:bCs/>
                <w:sz w:val="20"/>
                <w:szCs w:val="20"/>
              </w:rPr>
            </w:pPr>
            <w:r w:rsidRPr="00A743BF">
              <w:rPr>
                <w:b/>
                <w:bCs/>
                <w:sz w:val="20"/>
                <w:szCs w:val="20"/>
              </w:rPr>
              <w:t>Bank of Israel</w:t>
            </w:r>
          </w:p>
        </w:tc>
        <w:tc>
          <w:tcPr>
            <w:tcW w:w="1418" w:type="dxa"/>
          </w:tcPr>
          <w:p w14:paraId="7153F313" w14:textId="4C536E4E" w:rsidR="0074598B" w:rsidRPr="00A743BF" w:rsidRDefault="00DB715A" w:rsidP="00A743BF">
            <w:pPr>
              <w:pStyle w:val="regpar"/>
              <w:ind w:firstLine="0"/>
              <w:jc w:val="right"/>
              <w:rPr>
                <w:b/>
                <w:bCs/>
                <w:sz w:val="20"/>
                <w:szCs w:val="20"/>
              </w:rPr>
            </w:pPr>
            <w:r w:rsidRPr="00A743BF">
              <w:rPr>
                <w:b/>
                <w:bCs/>
                <w:sz w:val="20"/>
                <w:szCs w:val="20"/>
              </w:rPr>
              <w:t>1,249,273</w:t>
            </w:r>
          </w:p>
        </w:tc>
        <w:tc>
          <w:tcPr>
            <w:tcW w:w="1417" w:type="dxa"/>
          </w:tcPr>
          <w:p w14:paraId="3CA126B3" w14:textId="3137B1D3" w:rsidR="0074598B" w:rsidRPr="00A743BF" w:rsidRDefault="00DB715A" w:rsidP="00A743BF">
            <w:pPr>
              <w:pStyle w:val="regpar"/>
              <w:ind w:firstLine="0"/>
              <w:jc w:val="right"/>
              <w:rPr>
                <w:b/>
                <w:bCs/>
                <w:sz w:val="20"/>
                <w:szCs w:val="20"/>
              </w:rPr>
            </w:pPr>
            <w:r w:rsidRPr="00A743BF">
              <w:rPr>
                <w:b/>
                <w:bCs/>
                <w:sz w:val="20"/>
                <w:szCs w:val="20"/>
              </w:rPr>
              <w:t>781,523</w:t>
            </w:r>
          </w:p>
        </w:tc>
        <w:tc>
          <w:tcPr>
            <w:tcW w:w="1347" w:type="dxa"/>
          </w:tcPr>
          <w:p w14:paraId="0D56722E" w14:textId="1A35E257" w:rsidR="0074598B" w:rsidRPr="00A743BF" w:rsidRDefault="00DB715A" w:rsidP="00A743BF">
            <w:pPr>
              <w:pStyle w:val="regpar"/>
              <w:ind w:firstLine="0"/>
              <w:jc w:val="right"/>
              <w:rPr>
                <w:b/>
                <w:bCs/>
                <w:sz w:val="20"/>
                <w:szCs w:val="20"/>
              </w:rPr>
            </w:pPr>
            <w:r w:rsidRPr="00A743BF">
              <w:rPr>
                <w:b/>
                <w:bCs/>
                <w:sz w:val="20"/>
                <w:szCs w:val="20"/>
              </w:rPr>
              <w:t>971.3</w:t>
            </w:r>
          </w:p>
        </w:tc>
        <w:tc>
          <w:tcPr>
            <w:tcW w:w="1506" w:type="dxa"/>
          </w:tcPr>
          <w:p w14:paraId="4866F752" w14:textId="2525DEAE" w:rsidR="0074598B" w:rsidRPr="00A743BF" w:rsidRDefault="00DB715A" w:rsidP="00A743BF">
            <w:pPr>
              <w:pStyle w:val="regpar"/>
              <w:ind w:firstLine="0"/>
              <w:jc w:val="right"/>
              <w:rPr>
                <w:b/>
                <w:bCs/>
                <w:sz w:val="20"/>
                <w:szCs w:val="20"/>
              </w:rPr>
            </w:pPr>
            <w:r w:rsidRPr="00A743BF">
              <w:rPr>
                <w:b/>
                <w:bCs/>
                <w:sz w:val="20"/>
                <w:szCs w:val="20"/>
              </w:rPr>
              <w:t>1,108,835</w:t>
            </w:r>
          </w:p>
        </w:tc>
        <w:tc>
          <w:tcPr>
            <w:tcW w:w="1536" w:type="dxa"/>
          </w:tcPr>
          <w:p w14:paraId="312AEFDD" w14:textId="5B347741" w:rsidR="0074598B" w:rsidRPr="00A743BF" w:rsidRDefault="00DB715A" w:rsidP="00A743BF">
            <w:pPr>
              <w:pStyle w:val="regpar"/>
              <w:ind w:firstLine="0"/>
              <w:jc w:val="right"/>
              <w:rPr>
                <w:b/>
                <w:bCs/>
                <w:sz w:val="20"/>
                <w:szCs w:val="20"/>
              </w:rPr>
            </w:pPr>
            <w:r w:rsidRPr="00A743BF">
              <w:rPr>
                <w:b/>
                <w:bCs/>
                <w:sz w:val="20"/>
                <w:szCs w:val="20"/>
              </w:rPr>
              <w:t>990,315</w:t>
            </w:r>
          </w:p>
        </w:tc>
      </w:tr>
      <w:tr w:rsidR="0074598B" w:rsidRPr="00A743BF" w14:paraId="4E48152E" w14:textId="77777777" w:rsidTr="00DB715A">
        <w:tc>
          <w:tcPr>
            <w:tcW w:w="1838" w:type="dxa"/>
          </w:tcPr>
          <w:p w14:paraId="693C5922" w14:textId="68247F23" w:rsidR="0074598B" w:rsidRPr="00A743BF" w:rsidRDefault="00D4045A" w:rsidP="00A743BF">
            <w:pPr>
              <w:pStyle w:val="regpar"/>
              <w:ind w:firstLine="0"/>
              <w:rPr>
                <w:sz w:val="20"/>
                <w:szCs w:val="20"/>
              </w:rPr>
            </w:pPr>
            <w:r w:rsidRPr="00A743BF">
              <w:rPr>
                <w:sz w:val="20"/>
                <w:szCs w:val="20"/>
              </w:rPr>
              <w:t>Managerial and assistance</w:t>
            </w:r>
          </w:p>
        </w:tc>
        <w:tc>
          <w:tcPr>
            <w:tcW w:w="1418" w:type="dxa"/>
          </w:tcPr>
          <w:p w14:paraId="4B346B61" w14:textId="4769E0F6" w:rsidR="0074598B" w:rsidRPr="00A743BF" w:rsidRDefault="00D4045A" w:rsidP="00A743BF">
            <w:pPr>
              <w:pStyle w:val="regpar"/>
              <w:ind w:firstLine="0"/>
              <w:jc w:val="right"/>
              <w:rPr>
                <w:sz w:val="20"/>
                <w:szCs w:val="20"/>
              </w:rPr>
            </w:pPr>
            <w:r w:rsidRPr="00A743BF">
              <w:rPr>
                <w:sz w:val="20"/>
                <w:szCs w:val="20"/>
              </w:rPr>
              <w:t>308,283</w:t>
            </w:r>
          </w:p>
        </w:tc>
        <w:tc>
          <w:tcPr>
            <w:tcW w:w="1417" w:type="dxa"/>
          </w:tcPr>
          <w:p w14:paraId="35085602" w14:textId="3189C54D" w:rsidR="0074598B" w:rsidRPr="00A743BF" w:rsidRDefault="00D4045A" w:rsidP="00A743BF">
            <w:pPr>
              <w:pStyle w:val="regpar"/>
              <w:ind w:firstLine="0"/>
              <w:jc w:val="right"/>
              <w:rPr>
                <w:sz w:val="20"/>
                <w:szCs w:val="20"/>
              </w:rPr>
            </w:pPr>
            <w:r w:rsidRPr="00A743BF">
              <w:rPr>
                <w:sz w:val="20"/>
                <w:szCs w:val="20"/>
              </w:rPr>
              <w:t>41,756</w:t>
            </w:r>
          </w:p>
        </w:tc>
        <w:tc>
          <w:tcPr>
            <w:tcW w:w="1347" w:type="dxa"/>
          </w:tcPr>
          <w:p w14:paraId="1BD8688A" w14:textId="38440FF3" w:rsidR="0074598B" w:rsidRPr="00A743BF" w:rsidRDefault="00D4045A" w:rsidP="00A743BF">
            <w:pPr>
              <w:pStyle w:val="regpar"/>
              <w:ind w:firstLine="0"/>
              <w:jc w:val="right"/>
              <w:rPr>
                <w:sz w:val="20"/>
                <w:szCs w:val="20"/>
              </w:rPr>
            </w:pPr>
            <w:r w:rsidRPr="00A743BF">
              <w:rPr>
                <w:sz w:val="20"/>
                <w:szCs w:val="20"/>
              </w:rPr>
              <w:t>377.4</w:t>
            </w:r>
          </w:p>
        </w:tc>
        <w:tc>
          <w:tcPr>
            <w:tcW w:w="1506" w:type="dxa"/>
          </w:tcPr>
          <w:p w14:paraId="582F397E" w14:textId="05762968" w:rsidR="0074598B" w:rsidRPr="00A743BF" w:rsidRDefault="00D4045A" w:rsidP="00A743BF">
            <w:pPr>
              <w:pStyle w:val="regpar"/>
              <w:ind w:firstLine="0"/>
              <w:jc w:val="right"/>
              <w:rPr>
                <w:sz w:val="20"/>
                <w:szCs w:val="20"/>
              </w:rPr>
            </w:pPr>
            <w:r w:rsidRPr="00A743BF">
              <w:rPr>
                <w:sz w:val="20"/>
                <w:szCs w:val="20"/>
              </w:rPr>
              <w:t>278,825</w:t>
            </w:r>
          </w:p>
        </w:tc>
        <w:tc>
          <w:tcPr>
            <w:tcW w:w="1536" w:type="dxa"/>
          </w:tcPr>
          <w:p w14:paraId="26BD7BEE" w14:textId="3EE2CA9F" w:rsidR="0074598B" w:rsidRPr="00A743BF" w:rsidRDefault="00D4045A" w:rsidP="00A743BF">
            <w:pPr>
              <w:pStyle w:val="regpar"/>
              <w:ind w:firstLine="0"/>
              <w:jc w:val="right"/>
              <w:rPr>
                <w:sz w:val="20"/>
                <w:szCs w:val="20"/>
              </w:rPr>
            </w:pPr>
            <w:r w:rsidRPr="00A743BF">
              <w:rPr>
                <w:sz w:val="20"/>
                <w:szCs w:val="20"/>
              </w:rPr>
              <w:t>257,194</w:t>
            </w:r>
          </w:p>
        </w:tc>
      </w:tr>
      <w:tr w:rsidR="0074598B" w:rsidRPr="00A743BF" w14:paraId="18DCE466" w14:textId="77777777" w:rsidTr="00DB715A">
        <w:tc>
          <w:tcPr>
            <w:tcW w:w="1838" w:type="dxa"/>
          </w:tcPr>
          <w:p w14:paraId="3E6156A2" w14:textId="6740FCEE" w:rsidR="0074598B" w:rsidRPr="00A743BF" w:rsidRDefault="00D4045A" w:rsidP="00A743BF">
            <w:pPr>
              <w:pStyle w:val="regpar"/>
              <w:ind w:firstLine="0"/>
              <w:rPr>
                <w:sz w:val="20"/>
                <w:szCs w:val="20"/>
              </w:rPr>
            </w:pPr>
            <w:r w:rsidRPr="00A743BF">
              <w:rPr>
                <w:sz w:val="20"/>
                <w:szCs w:val="20"/>
              </w:rPr>
              <w:t>Performance of the Bank’s functions</w:t>
            </w:r>
          </w:p>
        </w:tc>
        <w:tc>
          <w:tcPr>
            <w:tcW w:w="1418" w:type="dxa"/>
          </w:tcPr>
          <w:p w14:paraId="37456549" w14:textId="19425613" w:rsidR="0074598B" w:rsidRPr="00A743BF" w:rsidRDefault="00D4045A" w:rsidP="00A743BF">
            <w:pPr>
              <w:pStyle w:val="regpar"/>
              <w:ind w:firstLine="0"/>
              <w:jc w:val="right"/>
              <w:rPr>
                <w:sz w:val="20"/>
                <w:szCs w:val="20"/>
              </w:rPr>
            </w:pPr>
            <w:r w:rsidRPr="00A743BF">
              <w:rPr>
                <w:sz w:val="20"/>
                <w:szCs w:val="20"/>
              </w:rPr>
              <w:t>309,567</w:t>
            </w:r>
          </w:p>
        </w:tc>
        <w:tc>
          <w:tcPr>
            <w:tcW w:w="1417" w:type="dxa"/>
          </w:tcPr>
          <w:p w14:paraId="7C4B7297" w14:textId="3AEAFE37" w:rsidR="0074598B" w:rsidRPr="00A743BF" w:rsidRDefault="00D4045A" w:rsidP="00A743BF">
            <w:pPr>
              <w:pStyle w:val="regpar"/>
              <w:ind w:firstLine="0"/>
              <w:jc w:val="right"/>
              <w:rPr>
                <w:sz w:val="20"/>
                <w:szCs w:val="20"/>
              </w:rPr>
            </w:pPr>
            <w:r w:rsidRPr="00A743BF">
              <w:rPr>
                <w:sz w:val="20"/>
                <w:szCs w:val="20"/>
              </w:rPr>
              <w:t>31,532</w:t>
            </w:r>
          </w:p>
        </w:tc>
        <w:tc>
          <w:tcPr>
            <w:tcW w:w="1347" w:type="dxa"/>
          </w:tcPr>
          <w:p w14:paraId="7577F939" w14:textId="3CDD48BA" w:rsidR="0074598B" w:rsidRPr="00A743BF" w:rsidRDefault="00D4045A" w:rsidP="00A743BF">
            <w:pPr>
              <w:pStyle w:val="regpar"/>
              <w:ind w:firstLine="0"/>
              <w:jc w:val="right"/>
              <w:rPr>
                <w:sz w:val="20"/>
                <w:szCs w:val="20"/>
              </w:rPr>
            </w:pPr>
            <w:r w:rsidRPr="00A743BF">
              <w:rPr>
                <w:sz w:val="20"/>
                <w:szCs w:val="20"/>
              </w:rPr>
              <w:t>508.4</w:t>
            </w:r>
          </w:p>
        </w:tc>
        <w:tc>
          <w:tcPr>
            <w:tcW w:w="1506" w:type="dxa"/>
          </w:tcPr>
          <w:p w14:paraId="16A0EEFA" w14:textId="6157D1EC" w:rsidR="0074598B" w:rsidRPr="00A743BF" w:rsidRDefault="00D4045A" w:rsidP="00A743BF">
            <w:pPr>
              <w:pStyle w:val="regpar"/>
              <w:ind w:firstLine="0"/>
              <w:jc w:val="right"/>
              <w:rPr>
                <w:sz w:val="20"/>
                <w:szCs w:val="20"/>
              </w:rPr>
            </w:pPr>
            <w:r w:rsidRPr="00A743BF">
              <w:rPr>
                <w:sz w:val="20"/>
                <w:szCs w:val="20"/>
              </w:rPr>
              <w:t>276,451</w:t>
            </w:r>
          </w:p>
        </w:tc>
        <w:tc>
          <w:tcPr>
            <w:tcW w:w="1536" w:type="dxa"/>
          </w:tcPr>
          <w:p w14:paraId="36FCBC9F" w14:textId="709452CC" w:rsidR="0074598B" w:rsidRPr="00A743BF" w:rsidRDefault="00D4045A" w:rsidP="00A743BF">
            <w:pPr>
              <w:pStyle w:val="regpar"/>
              <w:ind w:firstLine="0"/>
              <w:jc w:val="right"/>
              <w:rPr>
                <w:sz w:val="20"/>
                <w:szCs w:val="20"/>
              </w:rPr>
            </w:pPr>
            <w:r w:rsidRPr="00A743BF">
              <w:rPr>
                <w:sz w:val="20"/>
                <w:szCs w:val="20"/>
              </w:rPr>
              <w:t>254,618</w:t>
            </w:r>
          </w:p>
        </w:tc>
      </w:tr>
      <w:tr w:rsidR="0074598B" w:rsidRPr="00A743BF" w14:paraId="1F079269" w14:textId="77777777" w:rsidTr="00DB715A">
        <w:tc>
          <w:tcPr>
            <w:tcW w:w="1838" w:type="dxa"/>
          </w:tcPr>
          <w:p w14:paraId="6D32DF37" w14:textId="4A797FD0" w:rsidR="0074598B" w:rsidRPr="00A743BF" w:rsidRDefault="00CA19AE" w:rsidP="00A743BF">
            <w:pPr>
              <w:pStyle w:val="regpar"/>
              <w:ind w:firstLine="0"/>
              <w:rPr>
                <w:sz w:val="20"/>
                <w:szCs w:val="20"/>
              </w:rPr>
            </w:pPr>
            <w:r w:rsidRPr="00A743BF">
              <w:rPr>
                <w:sz w:val="20"/>
                <w:szCs w:val="20"/>
              </w:rPr>
              <w:t>Pensions</w:t>
            </w:r>
          </w:p>
        </w:tc>
        <w:tc>
          <w:tcPr>
            <w:tcW w:w="1418" w:type="dxa"/>
          </w:tcPr>
          <w:p w14:paraId="53AA29BB" w14:textId="0DF706DE" w:rsidR="0074598B" w:rsidRPr="00A743BF" w:rsidRDefault="00CA19AE" w:rsidP="00A743BF">
            <w:pPr>
              <w:pStyle w:val="regpar"/>
              <w:ind w:firstLine="0"/>
              <w:jc w:val="right"/>
              <w:rPr>
                <w:sz w:val="20"/>
                <w:szCs w:val="20"/>
              </w:rPr>
            </w:pPr>
            <w:r w:rsidRPr="00A743BF">
              <w:rPr>
                <w:sz w:val="20"/>
                <w:szCs w:val="20"/>
              </w:rPr>
              <w:t>330,244</w:t>
            </w:r>
          </w:p>
        </w:tc>
        <w:tc>
          <w:tcPr>
            <w:tcW w:w="1417" w:type="dxa"/>
          </w:tcPr>
          <w:p w14:paraId="420FC260" w14:textId="44A5DD28" w:rsidR="0074598B" w:rsidRPr="00A743BF" w:rsidRDefault="00CA19AE" w:rsidP="00A743BF">
            <w:pPr>
              <w:pStyle w:val="regpar"/>
              <w:ind w:firstLine="0"/>
              <w:jc w:val="right"/>
              <w:rPr>
                <w:sz w:val="20"/>
                <w:szCs w:val="20"/>
              </w:rPr>
            </w:pPr>
            <w:r w:rsidRPr="00A743BF">
              <w:rPr>
                <w:sz w:val="20"/>
                <w:szCs w:val="20"/>
              </w:rPr>
              <w:t>135</w:t>
            </w:r>
          </w:p>
        </w:tc>
        <w:tc>
          <w:tcPr>
            <w:tcW w:w="1347" w:type="dxa"/>
          </w:tcPr>
          <w:p w14:paraId="71A0B5BD" w14:textId="77777777" w:rsidR="0074598B" w:rsidRPr="00A743BF" w:rsidRDefault="0074598B" w:rsidP="00A743BF">
            <w:pPr>
              <w:pStyle w:val="regpar"/>
              <w:ind w:firstLine="0"/>
              <w:jc w:val="right"/>
              <w:rPr>
                <w:sz w:val="20"/>
                <w:szCs w:val="20"/>
              </w:rPr>
            </w:pPr>
          </w:p>
        </w:tc>
        <w:tc>
          <w:tcPr>
            <w:tcW w:w="1506" w:type="dxa"/>
          </w:tcPr>
          <w:p w14:paraId="3D68FDD6" w14:textId="099F7668" w:rsidR="0074598B" w:rsidRPr="00A743BF" w:rsidRDefault="00CA19AE" w:rsidP="00A743BF">
            <w:pPr>
              <w:pStyle w:val="regpar"/>
              <w:ind w:firstLine="0"/>
              <w:jc w:val="right"/>
              <w:rPr>
                <w:sz w:val="20"/>
                <w:szCs w:val="20"/>
              </w:rPr>
            </w:pPr>
            <w:r w:rsidRPr="00A743BF">
              <w:rPr>
                <w:sz w:val="20"/>
                <w:szCs w:val="20"/>
              </w:rPr>
              <w:t>300,508</w:t>
            </w:r>
          </w:p>
        </w:tc>
        <w:tc>
          <w:tcPr>
            <w:tcW w:w="1536" w:type="dxa"/>
          </w:tcPr>
          <w:p w14:paraId="7FDEBD0D" w14:textId="46376315" w:rsidR="0074598B" w:rsidRPr="00A743BF" w:rsidRDefault="00CA19AE" w:rsidP="00A743BF">
            <w:pPr>
              <w:pStyle w:val="regpar"/>
              <w:ind w:firstLine="0"/>
              <w:jc w:val="right"/>
              <w:rPr>
                <w:sz w:val="20"/>
                <w:szCs w:val="20"/>
              </w:rPr>
            </w:pPr>
            <w:r w:rsidRPr="00A743BF">
              <w:rPr>
                <w:sz w:val="20"/>
                <w:szCs w:val="20"/>
              </w:rPr>
              <w:t>279,543</w:t>
            </w:r>
          </w:p>
        </w:tc>
      </w:tr>
      <w:tr w:rsidR="0074598B" w:rsidRPr="00A743BF" w14:paraId="708633DD" w14:textId="77777777" w:rsidTr="00DB715A">
        <w:tc>
          <w:tcPr>
            <w:tcW w:w="1838" w:type="dxa"/>
          </w:tcPr>
          <w:p w14:paraId="00889533" w14:textId="4652CC6A" w:rsidR="0074598B" w:rsidRPr="00A743BF" w:rsidRDefault="00CA19AE" w:rsidP="00A743BF">
            <w:pPr>
              <w:pStyle w:val="regpar"/>
              <w:ind w:firstLine="0"/>
              <w:rPr>
                <w:sz w:val="20"/>
                <w:szCs w:val="20"/>
              </w:rPr>
            </w:pPr>
            <w:r w:rsidRPr="00A743BF">
              <w:rPr>
                <w:sz w:val="20"/>
                <w:szCs w:val="20"/>
              </w:rPr>
              <w:t>Investments</w:t>
            </w:r>
          </w:p>
        </w:tc>
        <w:tc>
          <w:tcPr>
            <w:tcW w:w="1418" w:type="dxa"/>
          </w:tcPr>
          <w:p w14:paraId="12D06AD8" w14:textId="683F65C9" w:rsidR="0074598B" w:rsidRPr="00A743BF" w:rsidRDefault="00CA19AE" w:rsidP="00A743BF">
            <w:pPr>
              <w:pStyle w:val="regpar"/>
              <w:ind w:firstLine="0"/>
              <w:jc w:val="right"/>
              <w:rPr>
                <w:sz w:val="20"/>
                <w:szCs w:val="20"/>
              </w:rPr>
            </w:pPr>
            <w:r w:rsidRPr="00A743BF">
              <w:rPr>
                <w:sz w:val="20"/>
                <w:szCs w:val="20"/>
              </w:rPr>
              <w:t>68,134</w:t>
            </w:r>
          </w:p>
        </w:tc>
        <w:tc>
          <w:tcPr>
            <w:tcW w:w="1417" w:type="dxa"/>
          </w:tcPr>
          <w:p w14:paraId="609FA57A" w14:textId="54B31C21" w:rsidR="0074598B" w:rsidRPr="00A743BF" w:rsidRDefault="00CA19AE" w:rsidP="00A743BF">
            <w:pPr>
              <w:pStyle w:val="regpar"/>
              <w:ind w:firstLine="0"/>
              <w:jc w:val="right"/>
              <w:rPr>
                <w:sz w:val="20"/>
                <w:szCs w:val="20"/>
              </w:rPr>
            </w:pPr>
            <w:r w:rsidRPr="00A743BF">
              <w:rPr>
                <w:sz w:val="20"/>
                <w:szCs w:val="20"/>
              </w:rPr>
              <w:t>93,486</w:t>
            </w:r>
          </w:p>
        </w:tc>
        <w:tc>
          <w:tcPr>
            <w:tcW w:w="1347" w:type="dxa"/>
          </w:tcPr>
          <w:p w14:paraId="679C29D3" w14:textId="77777777" w:rsidR="0074598B" w:rsidRPr="00A743BF" w:rsidRDefault="0074598B" w:rsidP="00A743BF">
            <w:pPr>
              <w:pStyle w:val="regpar"/>
              <w:ind w:firstLine="0"/>
              <w:jc w:val="right"/>
              <w:rPr>
                <w:sz w:val="20"/>
                <w:szCs w:val="20"/>
              </w:rPr>
            </w:pPr>
          </w:p>
        </w:tc>
        <w:tc>
          <w:tcPr>
            <w:tcW w:w="1506" w:type="dxa"/>
          </w:tcPr>
          <w:p w14:paraId="6CFD6668" w14:textId="4563E1BE" w:rsidR="0074598B" w:rsidRPr="00A743BF" w:rsidRDefault="00CA19AE" w:rsidP="00A743BF">
            <w:pPr>
              <w:pStyle w:val="regpar"/>
              <w:ind w:firstLine="0"/>
              <w:jc w:val="right"/>
              <w:rPr>
                <w:sz w:val="20"/>
                <w:szCs w:val="20"/>
              </w:rPr>
            </w:pPr>
            <w:r w:rsidRPr="00A743BF">
              <w:rPr>
                <w:sz w:val="20"/>
                <w:szCs w:val="20"/>
              </w:rPr>
              <w:t>45,371</w:t>
            </w:r>
          </w:p>
        </w:tc>
        <w:tc>
          <w:tcPr>
            <w:tcW w:w="1536" w:type="dxa"/>
          </w:tcPr>
          <w:p w14:paraId="504E8D0E" w14:textId="187EE536" w:rsidR="0074598B" w:rsidRPr="00A743BF" w:rsidRDefault="00CA19AE" w:rsidP="00A743BF">
            <w:pPr>
              <w:pStyle w:val="regpar"/>
              <w:ind w:firstLine="0"/>
              <w:jc w:val="right"/>
              <w:rPr>
                <w:sz w:val="20"/>
                <w:szCs w:val="20"/>
              </w:rPr>
            </w:pPr>
            <w:r w:rsidRPr="00A743BF">
              <w:rPr>
                <w:sz w:val="20"/>
                <w:szCs w:val="20"/>
              </w:rPr>
              <w:t>44,515</w:t>
            </w:r>
          </w:p>
        </w:tc>
      </w:tr>
      <w:tr w:rsidR="0074598B" w:rsidRPr="00A743BF" w14:paraId="7C7D84B1" w14:textId="77777777" w:rsidTr="00DB715A">
        <w:tc>
          <w:tcPr>
            <w:tcW w:w="1838" w:type="dxa"/>
          </w:tcPr>
          <w:p w14:paraId="6780A70F" w14:textId="4304623A" w:rsidR="0074598B" w:rsidRPr="00A743BF" w:rsidRDefault="00CA19AE" w:rsidP="00A743BF">
            <w:pPr>
              <w:pStyle w:val="regpar"/>
              <w:ind w:firstLine="0"/>
              <w:rPr>
                <w:sz w:val="20"/>
                <w:szCs w:val="20"/>
              </w:rPr>
            </w:pPr>
            <w:r w:rsidRPr="00A743BF">
              <w:rPr>
                <w:sz w:val="20"/>
                <w:szCs w:val="20"/>
              </w:rPr>
              <w:t>Revenues</w:t>
            </w:r>
          </w:p>
        </w:tc>
        <w:tc>
          <w:tcPr>
            <w:tcW w:w="1418" w:type="dxa"/>
          </w:tcPr>
          <w:p w14:paraId="4D95DB5E" w14:textId="1DD9BBA1" w:rsidR="0074598B" w:rsidRPr="00A743BF" w:rsidRDefault="00CA19AE" w:rsidP="00A743BF">
            <w:pPr>
              <w:pStyle w:val="regpar"/>
              <w:ind w:firstLine="0"/>
              <w:jc w:val="right"/>
              <w:rPr>
                <w:sz w:val="20"/>
                <w:szCs w:val="20"/>
              </w:rPr>
            </w:pPr>
            <w:r w:rsidRPr="00A743BF">
              <w:rPr>
                <w:sz w:val="20"/>
                <w:szCs w:val="20"/>
              </w:rPr>
              <w:t>(9,531)</w:t>
            </w:r>
          </w:p>
        </w:tc>
        <w:tc>
          <w:tcPr>
            <w:tcW w:w="1417" w:type="dxa"/>
          </w:tcPr>
          <w:p w14:paraId="090D74BA" w14:textId="77777777" w:rsidR="0074598B" w:rsidRPr="00A743BF" w:rsidRDefault="0074598B" w:rsidP="00A743BF">
            <w:pPr>
              <w:pStyle w:val="regpar"/>
              <w:ind w:firstLine="0"/>
              <w:jc w:val="right"/>
              <w:rPr>
                <w:sz w:val="20"/>
                <w:szCs w:val="20"/>
              </w:rPr>
            </w:pPr>
          </w:p>
        </w:tc>
        <w:tc>
          <w:tcPr>
            <w:tcW w:w="1347" w:type="dxa"/>
          </w:tcPr>
          <w:p w14:paraId="6443B34C" w14:textId="77777777" w:rsidR="0074598B" w:rsidRPr="00A743BF" w:rsidRDefault="0074598B" w:rsidP="00A743BF">
            <w:pPr>
              <w:pStyle w:val="regpar"/>
              <w:ind w:firstLine="0"/>
              <w:jc w:val="right"/>
              <w:rPr>
                <w:sz w:val="20"/>
                <w:szCs w:val="20"/>
              </w:rPr>
            </w:pPr>
          </w:p>
        </w:tc>
        <w:tc>
          <w:tcPr>
            <w:tcW w:w="1506" w:type="dxa"/>
          </w:tcPr>
          <w:p w14:paraId="14425F80" w14:textId="16A9AC9C" w:rsidR="0074598B" w:rsidRPr="00A743BF" w:rsidRDefault="00CA19AE" w:rsidP="00A743BF">
            <w:pPr>
              <w:pStyle w:val="regpar"/>
              <w:ind w:firstLine="0"/>
              <w:jc w:val="right"/>
              <w:rPr>
                <w:sz w:val="20"/>
                <w:szCs w:val="20"/>
              </w:rPr>
            </w:pPr>
            <w:r w:rsidRPr="00A743BF">
              <w:rPr>
                <w:sz w:val="20"/>
                <w:szCs w:val="20"/>
              </w:rPr>
              <w:t>(8,281)</w:t>
            </w:r>
          </w:p>
        </w:tc>
        <w:tc>
          <w:tcPr>
            <w:tcW w:w="1536" w:type="dxa"/>
          </w:tcPr>
          <w:p w14:paraId="515672C3" w14:textId="61D63A8D" w:rsidR="0074598B" w:rsidRPr="00A743BF" w:rsidRDefault="007D7A0A" w:rsidP="00A743BF">
            <w:pPr>
              <w:pStyle w:val="regpar"/>
              <w:ind w:firstLine="0"/>
              <w:jc w:val="right"/>
              <w:rPr>
                <w:sz w:val="20"/>
                <w:szCs w:val="20"/>
              </w:rPr>
            </w:pPr>
            <w:r w:rsidRPr="00A743BF">
              <w:rPr>
                <w:sz w:val="20"/>
                <w:szCs w:val="20"/>
              </w:rPr>
              <w:t>(7,693)</w:t>
            </w:r>
          </w:p>
        </w:tc>
      </w:tr>
      <w:tr w:rsidR="0074598B" w:rsidRPr="00A743BF" w14:paraId="2D497ABA" w14:textId="77777777" w:rsidTr="00DB715A">
        <w:tc>
          <w:tcPr>
            <w:tcW w:w="1838" w:type="dxa"/>
          </w:tcPr>
          <w:p w14:paraId="7658830B" w14:textId="6BB0C8D2" w:rsidR="0074598B" w:rsidRPr="00A743BF" w:rsidRDefault="007D7A0A" w:rsidP="00A743BF">
            <w:pPr>
              <w:pStyle w:val="regpar"/>
              <w:ind w:firstLine="0"/>
              <w:rPr>
                <w:sz w:val="20"/>
                <w:szCs w:val="20"/>
              </w:rPr>
            </w:pPr>
            <w:r w:rsidRPr="00A743BF">
              <w:rPr>
                <w:sz w:val="20"/>
                <w:szCs w:val="20"/>
              </w:rPr>
              <w:t>Reserve funds</w:t>
            </w:r>
          </w:p>
        </w:tc>
        <w:tc>
          <w:tcPr>
            <w:tcW w:w="1418" w:type="dxa"/>
          </w:tcPr>
          <w:p w14:paraId="3CA829DE" w14:textId="40C2717F" w:rsidR="0074598B" w:rsidRPr="00A743BF" w:rsidRDefault="007D7A0A" w:rsidP="00A743BF">
            <w:pPr>
              <w:pStyle w:val="regpar"/>
              <w:ind w:firstLine="0"/>
              <w:jc w:val="right"/>
              <w:rPr>
                <w:sz w:val="20"/>
                <w:szCs w:val="20"/>
              </w:rPr>
            </w:pPr>
            <w:r w:rsidRPr="00A743BF">
              <w:rPr>
                <w:sz w:val="20"/>
                <w:szCs w:val="20"/>
              </w:rPr>
              <w:t>31,297</w:t>
            </w:r>
          </w:p>
        </w:tc>
        <w:tc>
          <w:tcPr>
            <w:tcW w:w="1417" w:type="dxa"/>
          </w:tcPr>
          <w:p w14:paraId="1A5B00A5" w14:textId="4E59F0B0" w:rsidR="0074598B" w:rsidRPr="00A743BF" w:rsidRDefault="007D7A0A" w:rsidP="00A743BF">
            <w:pPr>
              <w:pStyle w:val="regpar"/>
              <w:ind w:firstLine="0"/>
              <w:jc w:val="right"/>
              <w:rPr>
                <w:sz w:val="20"/>
                <w:szCs w:val="20"/>
              </w:rPr>
            </w:pPr>
            <w:r w:rsidRPr="00A743BF">
              <w:rPr>
                <w:sz w:val="20"/>
                <w:szCs w:val="20"/>
              </w:rPr>
              <w:t>135,680</w:t>
            </w:r>
          </w:p>
        </w:tc>
        <w:tc>
          <w:tcPr>
            <w:tcW w:w="1347" w:type="dxa"/>
          </w:tcPr>
          <w:p w14:paraId="303468FF" w14:textId="48AD466F" w:rsidR="0074598B" w:rsidRPr="00A743BF" w:rsidRDefault="007D7A0A" w:rsidP="00A743BF">
            <w:pPr>
              <w:pStyle w:val="regpar"/>
              <w:ind w:firstLine="0"/>
              <w:jc w:val="right"/>
              <w:rPr>
                <w:sz w:val="20"/>
                <w:szCs w:val="20"/>
              </w:rPr>
            </w:pPr>
            <w:r w:rsidRPr="00A743BF">
              <w:rPr>
                <w:sz w:val="20"/>
                <w:szCs w:val="20"/>
              </w:rPr>
              <w:t>12</w:t>
            </w:r>
          </w:p>
        </w:tc>
        <w:tc>
          <w:tcPr>
            <w:tcW w:w="1506" w:type="dxa"/>
          </w:tcPr>
          <w:p w14:paraId="65ACDB2C" w14:textId="1C4BE11C" w:rsidR="0074598B" w:rsidRPr="00A743BF" w:rsidRDefault="007D7A0A" w:rsidP="00A743BF">
            <w:pPr>
              <w:pStyle w:val="regpar"/>
              <w:ind w:firstLine="0"/>
              <w:jc w:val="right"/>
              <w:rPr>
                <w:sz w:val="20"/>
                <w:szCs w:val="20"/>
              </w:rPr>
            </w:pPr>
            <w:r w:rsidRPr="00A743BF">
              <w:rPr>
                <w:sz w:val="20"/>
                <w:szCs w:val="20"/>
              </w:rPr>
              <w:t>18,506</w:t>
            </w:r>
          </w:p>
        </w:tc>
        <w:tc>
          <w:tcPr>
            <w:tcW w:w="1536" w:type="dxa"/>
          </w:tcPr>
          <w:p w14:paraId="33610D56" w14:textId="77777777" w:rsidR="0074598B" w:rsidRPr="00A743BF" w:rsidRDefault="0074598B" w:rsidP="00A743BF">
            <w:pPr>
              <w:pStyle w:val="regpar"/>
              <w:ind w:firstLine="0"/>
              <w:jc w:val="right"/>
              <w:rPr>
                <w:sz w:val="20"/>
                <w:szCs w:val="20"/>
              </w:rPr>
            </w:pPr>
          </w:p>
        </w:tc>
      </w:tr>
      <w:tr w:rsidR="0074598B" w:rsidRPr="00A743BF" w14:paraId="585410BB" w14:textId="77777777" w:rsidTr="00DB715A">
        <w:tc>
          <w:tcPr>
            <w:tcW w:w="1838" w:type="dxa"/>
          </w:tcPr>
          <w:p w14:paraId="76F60D48" w14:textId="03F2B00D" w:rsidR="0074598B" w:rsidRPr="00A743BF" w:rsidRDefault="007D7A0A" w:rsidP="00A743BF">
            <w:pPr>
              <w:pStyle w:val="regpar"/>
              <w:ind w:firstLine="0"/>
              <w:rPr>
                <w:sz w:val="20"/>
                <w:szCs w:val="20"/>
              </w:rPr>
            </w:pPr>
            <w:r w:rsidRPr="00A743BF">
              <w:rPr>
                <w:sz w:val="20"/>
                <w:szCs w:val="20"/>
              </w:rPr>
              <w:t>Printing money</w:t>
            </w:r>
          </w:p>
        </w:tc>
        <w:tc>
          <w:tcPr>
            <w:tcW w:w="1418" w:type="dxa"/>
          </w:tcPr>
          <w:p w14:paraId="58686995" w14:textId="6ECD71C1" w:rsidR="0074598B" w:rsidRPr="00A743BF" w:rsidRDefault="007D7A0A" w:rsidP="00A743BF">
            <w:pPr>
              <w:pStyle w:val="regpar"/>
              <w:ind w:firstLine="0"/>
              <w:jc w:val="right"/>
              <w:rPr>
                <w:sz w:val="20"/>
                <w:szCs w:val="20"/>
              </w:rPr>
            </w:pPr>
            <w:r w:rsidRPr="00A743BF">
              <w:rPr>
                <w:sz w:val="20"/>
                <w:szCs w:val="20"/>
              </w:rPr>
              <w:t>108,097</w:t>
            </w:r>
          </w:p>
        </w:tc>
        <w:tc>
          <w:tcPr>
            <w:tcW w:w="1417" w:type="dxa"/>
          </w:tcPr>
          <w:p w14:paraId="38A75EA8" w14:textId="712E156E" w:rsidR="0074598B" w:rsidRPr="00A743BF" w:rsidRDefault="007D7A0A" w:rsidP="00A743BF">
            <w:pPr>
              <w:pStyle w:val="regpar"/>
              <w:ind w:firstLine="0"/>
              <w:jc w:val="right"/>
              <w:rPr>
                <w:sz w:val="20"/>
                <w:szCs w:val="20"/>
              </w:rPr>
            </w:pPr>
            <w:r w:rsidRPr="00A743BF">
              <w:rPr>
                <w:sz w:val="20"/>
                <w:szCs w:val="20"/>
              </w:rPr>
              <w:t>288,589</w:t>
            </w:r>
          </w:p>
        </w:tc>
        <w:tc>
          <w:tcPr>
            <w:tcW w:w="1347" w:type="dxa"/>
          </w:tcPr>
          <w:p w14:paraId="07E73198" w14:textId="77777777" w:rsidR="0074598B" w:rsidRPr="00A743BF" w:rsidRDefault="0074598B" w:rsidP="00A743BF">
            <w:pPr>
              <w:pStyle w:val="regpar"/>
              <w:ind w:firstLine="0"/>
              <w:jc w:val="right"/>
              <w:rPr>
                <w:sz w:val="20"/>
                <w:szCs w:val="20"/>
              </w:rPr>
            </w:pPr>
          </w:p>
        </w:tc>
        <w:tc>
          <w:tcPr>
            <w:tcW w:w="1506" w:type="dxa"/>
          </w:tcPr>
          <w:p w14:paraId="4B665089" w14:textId="4069DCA5" w:rsidR="0074598B" w:rsidRPr="00A743BF" w:rsidRDefault="007D7A0A" w:rsidP="00A743BF">
            <w:pPr>
              <w:pStyle w:val="regpar"/>
              <w:ind w:firstLine="0"/>
              <w:jc w:val="right"/>
              <w:rPr>
                <w:sz w:val="20"/>
                <w:szCs w:val="20"/>
              </w:rPr>
            </w:pPr>
            <w:r w:rsidRPr="00A743BF">
              <w:rPr>
                <w:sz w:val="20"/>
                <w:szCs w:val="20"/>
              </w:rPr>
              <w:t>80,650</w:t>
            </w:r>
          </w:p>
        </w:tc>
        <w:tc>
          <w:tcPr>
            <w:tcW w:w="1536" w:type="dxa"/>
          </w:tcPr>
          <w:p w14:paraId="2F2C7A14" w14:textId="6236AF48" w:rsidR="0074598B" w:rsidRPr="00A743BF" w:rsidRDefault="007D7A0A" w:rsidP="00A743BF">
            <w:pPr>
              <w:pStyle w:val="regpar"/>
              <w:ind w:firstLine="0"/>
              <w:jc w:val="right"/>
              <w:rPr>
                <w:sz w:val="20"/>
                <w:szCs w:val="20"/>
              </w:rPr>
            </w:pPr>
            <w:r w:rsidRPr="00A743BF">
              <w:rPr>
                <w:sz w:val="20"/>
                <w:szCs w:val="20"/>
              </w:rPr>
              <w:t>75,530</w:t>
            </w:r>
          </w:p>
        </w:tc>
      </w:tr>
      <w:tr w:rsidR="0074598B" w:rsidRPr="00A743BF" w14:paraId="3D1D066E" w14:textId="77777777" w:rsidTr="00DB715A">
        <w:tc>
          <w:tcPr>
            <w:tcW w:w="1838" w:type="dxa"/>
          </w:tcPr>
          <w:p w14:paraId="2C12AA01" w14:textId="38576EF3" w:rsidR="0074598B" w:rsidRPr="00A743BF" w:rsidRDefault="007D7A0A" w:rsidP="00A743BF">
            <w:pPr>
              <w:pStyle w:val="regpar"/>
              <w:ind w:firstLine="0"/>
              <w:rPr>
                <w:sz w:val="20"/>
                <w:szCs w:val="20"/>
              </w:rPr>
            </w:pPr>
            <w:r w:rsidRPr="00A743BF">
              <w:rPr>
                <w:sz w:val="20"/>
                <w:szCs w:val="20"/>
              </w:rPr>
              <w:t>Managing the Citizens of Israel Fund</w:t>
            </w:r>
          </w:p>
        </w:tc>
        <w:tc>
          <w:tcPr>
            <w:tcW w:w="1418" w:type="dxa"/>
          </w:tcPr>
          <w:p w14:paraId="6310BA8F" w14:textId="7CC59163" w:rsidR="0074598B" w:rsidRPr="00A743BF" w:rsidRDefault="007D7A0A" w:rsidP="00A743BF">
            <w:pPr>
              <w:pStyle w:val="regpar"/>
              <w:ind w:firstLine="0"/>
              <w:jc w:val="right"/>
              <w:rPr>
                <w:sz w:val="20"/>
                <w:szCs w:val="20"/>
              </w:rPr>
            </w:pPr>
            <w:r w:rsidRPr="00A743BF">
              <w:rPr>
                <w:sz w:val="20"/>
                <w:szCs w:val="20"/>
              </w:rPr>
              <w:t>7,384</w:t>
            </w:r>
          </w:p>
        </w:tc>
        <w:tc>
          <w:tcPr>
            <w:tcW w:w="1417" w:type="dxa"/>
          </w:tcPr>
          <w:p w14:paraId="13D1E3C2" w14:textId="7392DAFC" w:rsidR="0074598B" w:rsidRPr="00A743BF" w:rsidRDefault="007D7A0A" w:rsidP="00A743BF">
            <w:pPr>
              <w:pStyle w:val="regpar"/>
              <w:ind w:firstLine="0"/>
              <w:jc w:val="right"/>
              <w:rPr>
                <w:sz w:val="20"/>
                <w:szCs w:val="20"/>
              </w:rPr>
            </w:pPr>
            <w:r w:rsidRPr="00A743BF">
              <w:rPr>
                <w:sz w:val="20"/>
                <w:szCs w:val="20"/>
              </w:rPr>
              <w:t>768</w:t>
            </w:r>
          </w:p>
        </w:tc>
        <w:tc>
          <w:tcPr>
            <w:tcW w:w="1347" w:type="dxa"/>
          </w:tcPr>
          <w:p w14:paraId="761B3ADA" w14:textId="538F66B9" w:rsidR="0074598B" w:rsidRPr="00A743BF" w:rsidRDefault="007D7A0A" w:rsidP="00A743BF">
            <w:pPr>
              <w:pStyle w:val="regpar"/>
              <w:ind w:firstLine="0"/>
              <w:jc w:val="right"/>
              <w:rPr>
                <w:sz w:val="20"/>
                <w:szCs w:val="20"/>
              </w:rPr>
            </w:pPr>
            <w:r w:rsidRPr="00A743BF">
              <w:rPr>
                <w:sz w:val="20"/>
                <w:szCs w:val="20"/>
              </w:rPr>
              <w:t>13</w:t>
            </w:r>
          </w:p>
        </w:tc>
        <w:tc>
          <w:tcPr>
            <w:tcW w:w="1506" w:type="dxa"/>
          </w:tcPr>
          <w:p w14:paraId="0DADB1F0" w14:textId="46C3F610" w:rsidR="0074598B" w:rsidRPr="00A743BF" w:rsidRDefault="007D7A0A" w:rsidP="00A743BF">
            <w:pPr>
              <w:pStyle w:val="regpar"/>
              <w:ind w:firstLine="0"/>
              <w:jc w:val="right"/>
              <w:rPr>
                <w:sz w:val="20"/>
                <w:szCs w:val="20"/>
              </w:rPr>
            </w:pPr>
            <w:r w:rsidRPr="00A743BF">
              <w:rPr>
                <w:sz w:val="20"/>
                <w:szCs w:val="20"/>
              </w:rPr>
              <w:t>905</w:t>
            </w:r>
          </w:p>
        </w:tc>
        <w:tc>
          <w:tcPr>
            <w:tcW w:w="1536" w:type="dxa"/>
          </w:tcPr>
          <w:p w14:paraId="5B8FF7A9" w14:textId="7B2608C4" w:rsidR="0074598B" w:rsidRPr="00A743BF" w:rsidRDefault="007D7A0A" w:rsidP="00A743BF">
            <w:pPr>
              <w:pStyle w:val="regpar"/>
              <w:ind w:firstLine="0"/>
              <w:jc w:val="right"/>
              <w:rPr>
                <w:sz w:val="20"/>
                <w:szCs w:val="20"/>
              </w:rPr>
            </w:pPr>
            <w:r w:rsidRPr="00A743BF">
              <w:rPr>
                <w:sz w:val="20"/>
                <w:szCs w:val="20"/>
              </w:rPr>
              <w:t>244</w:t>
            </w:r>
          </w:p>
        </w:tc>
      </w:tr>
      <w:tr w:rsidR="0074598B" w:rsidRPr="00CA19AE" w14:paraId="2CA6F657" w14:textId="77777777" w:rsidTr="00DB715A">
        <w:tc>
          <w:tcPr>
            <w:tcW w:w="1838" w:type="dxa"/>
          </w:tcPr>
          <w:p w14:paraId="1D8C835A" w14:textId="18A7968D" w:rsidR="0074598B" w:rsidRPr="00A743BF" w:rsidRDefault="007D7A0A" w:rsidP="00A743BF">
            <w:pPr>
              <w:pStyle w:val="regpar"/>
              <w:ind w:firstLine="0"/>
              <w:rPr>
                <w:sz w:val="20"/>
                <w:szCs w:val="20"/>
              </w:rPr>
            </w:pPr>
            <w:r w:rsidRPr="00A743BF">
              <w:rPr>
                <w:sz w:val="20"/>
                <w:szCs w:val="20"/>
              </w:rPr>
              <w:t>Credit Data Register</w:t>
            </w:r>
          </w:p>
        </w:tc>
        <w:tc>
          <w:tcPr>
            <w:tcW w:w="1418" w:type="dxa"/>
          </w:tcPr>
          <w:p w14:paraId="3297E1EC" w14:textId="4F4C2620" w:rsidR="0074598B" w:rsidRPr="00A743BF" w:rsidRDefault="007D7A0A" w:rsidP="00A743BF">
            <w:pPr>
              <w:pStyle w:val="regpar"/>
              <w:ind w:firstLine="0"/>
              <w:jc w:val="right"/>
              <w:rPr>
                <w:sz w:val="20"/>
                <w:szCs w:val="20"/>
              </w:rPr>
            </w:pPr>
            <w:r w:rsidRPr="00A743BF">
              <w:rPr>
                <w:sz w:val="20"/>
                <w:szCs w:val="20"/>
              </w:rPr>
              <w:t>95,797</w:t>
            </w:r>
          </w:p>
        </w:tc>
        <w:tc>
          <w:tcPr>
            <w:tcW w:w="1417" w:type="dxa"/>
          </w:tcPr>
          <w:p w14:paraId="07C2E67E" w14:textId="5BF59CA0" w:rsidR="0074598B" w:rsidRPr="00A743BF" w:rsidRDefault="00731559" w:rsidP="00A743BF">
            <w:pPr>
              <w:pStyle w:val="regpar"/>
              <w:ind w:firstLine="0"/>
              <w:jc w:val="right"/>
              <w:rPr>
                <w:sz w:val="20"/>
                <w:szCs w:val="20"/>
              </w:rPr>
            </w:pPr>
            <w:r w:rsidRPr="00A743BF">
              <w:rPr>
                <w:sz w:val="20"/>
                <w:szCs w:val="20"/>
              </w:rPr>
              <w:t>189,577</w:t>
            </w:r>
          </w:p>
        </w:tc>
        <w:tc>
          <w:tcPr>
            <w:tcW w:w="1347" w:type="dxa"/>
          </w:tcPr>
          <w:p w14:paraId="5B111563" w14:textId="016B9DDD" w:rsidR="0074598B" w:rsidRPr="00A743BF" w:rsidRDefault="00731559" w:rsidP="00A743BF">
            <w:pPr>
              <w:pStyle w:val="regpar"/>
              <w:ind w:firstLine="0"/>
              <w:jc w:val="right"/>
              <w:rPr>
                <w:sz w:val="20"/>
                <w:szCs w:val="20"/>
              </w:rPr>
            </w:pPr>
            <w:r w:rsidRPr="00A743BF">
              <w:rPr>
                <w:sz w:val="20"/>
                <w:szCs w:val="20"/>
              </w:rPr>
              <w:t>60.5</w:t>
            </w:r>
          </w:p>
        </w:tc>
        <w:tc>
          <w:tcPr>
            <w:tcW w:w="1506" w:type="dxa"/>
          </w:tcPr>
          <w:p w14:paraId="396E57D9" w14:textId="68F44931" w:rsidR="0074598B" w:rsidRPr="00A743BF" w:rsidRDefault="00731559" w:rsidP="00A743BF">
            <w:pPr>
              <w:pStyle w:val="regpar"/>
              <w:ind w:firstLine="0"/>
              <w:jc w:val="right"/>
              <w:rPr>
                <w:sz w:val="20"/>
                <w:szCs w:val="20"/>
              </w:rPr>
            </w:pPr>
            <w:r w:rsidRPr="00A743BF">
              <w:rPr>
                <w:sz w:val="20"/>
                <w:szCs w:val="20"/>
              </w:rPr>
              <w:t>115,900</w:t>
            </w:r>
          </w:p>
        </w:tc>
        <w:tc>
          <w:tcPr>
            <w:tcW w:w="1536" w:type="dxa"/>
          </w:tcPr>
          <w:p w14:paraId="592CF45A" w14:textId="75E45749" w:rsidR="0074598B" w:rsidRPr="00CA19AE" w:rsidRDefault="00731559" w:rsidP="00A743BF">
            <w:pPr>
              <w:pStyle w:val="regpar"/>
              <w:ind w:firstLine="0"/>
              <w:jc w:val="right"/>
              <w:rPr>
                <w:sz w:val="20"/>
                <w:szCs w:val="20"/>
              </w:rPr>
            </w:pPr>
            <w:r w:rsidRPr="00A743BF">
              <w:rPr>
                <w:sz w:val="20"/>
                <w:szCs w:val="20"/>
              </w:rPr>
              <w:t>68,384</w:t>
            </w:r>
          </w:p>
        </w:tc>
      </w:tr>
      <w:bookmarkEnd w:id="0"/>
    </w:tbl>
    <w:p w14:paraId="506A03E1" w14:textId="77777777" w:rsidR="00D02099" w:rsidRPr="00D02099" w:rsidRDefault="00D02099" w:rsidP="00A743BF">
      <w:pPr>
        <w:pStyle w:val="regpar"/>
        <w:ind w:firstLine="0"/>
      </w:pPr>
    </w:p>
    <w:sectPr w:rsidR="00D02099" w:rsidRPr="00D02099"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10BCD" w14:textId="77777777" w:rsidR="00D33D49" w:rsidRDefault="00D33D49">
      <w:pPr>
        <w:spacing w:line="240" w:lineRule="auto"/>
      </w:pPr>
      <w:r>
        <w:separator/>
      </w:r>
    </w:p>
  </w:endnote>
  <w:endnote w:type="continuationSeparator" w:id="0">
    <w:p w14:paraId="493421AB" w14:textId="77777777" w:rsidR="00D33D49" w:rsidRDefault="00D3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549A" w14:textId="77777777" w:rsidR="00D33D49" w:rsidRDefault="00D33D49">
      <w:pPr>
        <w:spacing w:line="160" w:lineRule="exact"/>
      </w:pPr>
    </w:p>
  </w:footnote>
  <w:footnote w:type="continuationSeparator" w:id="0">
    <w:p w14:paraId="169F9831" w14:textId="77777777" w:rsidR="00D33D49" w:rsidRDefault="00D33D49">
      <w:pPr>
        <w:pStyle w:val="rule"/>
      </w:pPr>
      <w:r>
        <w:t>–––––––––––––––––––––––––––</w:t>
      </w:r>
    </w:p>
    <w:p w14:paraId="039E3CFD" w14:textId="77777777" w:rsidR="00D33D49" w:rsidRDefault="00D33D49">
      <w:pPr>
        <w:pStyle w:val="noteseparator"/>
      </w:pPr>
    </w:p>
  </w:footnote>
  <w:footnote w:id="1">
    <w:p w14:paraId="6C3BB7CD" w14:textId="5FEE4C13" w:rsidR="00D7638E" w:rsidRDefault="00D7638E">
      <w:pPr>
        <w:pStyle w:val="a7"/>
      </w:pPr>
      <w:r>
        <w:rPr>
          <w:rStyle w:val="a6"/>
        </w:rPr>
        <w:footnoteRef/>
      </w:r>
      <w:r>
        <w:t xml:space="preserve"> The Supervisory Council is a body that supervises the Bank of Israel’s administrative activity, based on the Bank of Israel Law, 5770–2010.  The Council is comprised mostly of representatives of the public.</w:t>
      </w:r>
    </w:p>
  </w:footnote>
  <w:footnote w:id="2">
    <w:p w14:paraId="1A68D499" w14:textId="4CAD6995" w:rsidR="0038646B" w:rsidRDefault="0038646B">
      <w:pPr>
        <w:pStyle w:val="a7"/>
      </w:pPr>
      <w:r>
        <w:rPr>
          <w:rStyle w:val="a6"/>
        </w:rPr>
        <w:footnoteRef/>
      </w:r>
      <w:r>
        <w:t xml:space="preserve"> In addition to the wage and pensions item.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FD92966"/>
    <w:multiLevelType w:val="hybridMultilevel"/>
    <w:tmpl w:val="F338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B484F"/>
    <w:multiLevelType w:val="hybridMultilevel"/>
    <w:tmpl w:val="5B94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467C3"/>
    <w:multiLevelType w:val="hybridMultilevel"/>
    <w:tmpl w:val="CED4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06E36"/>
    <w:multiLevelType w:val="hybridMultilevel"/>
    <w:tmpl w:val="6AFA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F363E"/>
    <w:multiLevelType w:val="hybridMultilevel"/>
    <w:tmpl w:val="45B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4"/>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16"/>
  </w:num>
  <w:num w:numId="11">
    <w:abstractNumId w:val="9"/>
  </w:num>
  <w:num w:numId="12">
    <w:abstractNumId w:val="7"/>
  </w:num>
  <w:num w:numId="13">
    <w:abstractNumId w:val="2"/>
  </w:num>
  <w:num w:numId="14">
    <w:abstractNumId w:val="11"/>
  </w:num>
  <w:num w:numId="15">
    <w:abstractNumId w:val="12"/>
  </w:num>
  <w:num w:numId="16">
    <w:abstractNumId w:val="8"/>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BD"/>
    <w:rsid w:val="000502D1"/>
    <w:rsid w:val="00052610"/>
    <w:rsid w:val="000614E5"/>
    <w:rsid w:val="00066C5D"/>
    <w:rsid w:val="00067EAC"/>
    <w:rsid w:val="0007485B"/>
    <w:rsid w:val="00074B11"/>
    <w:rsid w:val="00076856"/>
    <w:rsid w:val="00077915"/>
    <w:rsid w:val="00085E93"/>
    <w:rsid w:val="000877A6"/>
    <w:rsid w:val="0009048D"/>
    <w:rsid w:val="00093619"/>
    <w:rsid w:val="00093A61"/>
    <w:rsid w:val="00094FFA"/>
    <w:rsid w:val="000A0AE8"/>
    <w:rsid w:val="000B2451"/>
    <w:rsid w:val="000B5143"/>
    <w:rsid w:val="000C1242"/>
    <w:rsid w:val="000D3201"/>
    <w:rsid w:val="000D3F79"/>
    <w:rsid w:val="000E08B9"/>
    <w:rsid w:val="000E2EB0"/>
    <w:rsid w:val="000F3304"/>
    <w:rsid w:val="00104F58"/>
    <w:rsid w:val="0010545F"/>
    <w:rsid w:val="001116D7"/>
    <w:rsid w:val="00114F59"/>
    <w:rsid w:val="001172A8"/>
    <w:rsid w:val="00121BED"/>
    <w:rsid w:val="001239DD"/>
    <w:rsid w:val="00124970"/>
    <w:rsid w:val="00124AB5"/>
    <w:rsid w:val="00124ED8"/>
    <w:rsid w:val="00126370"/>
    <w:rsid w:val="00127549"/>
    <w:rsid w:val="00130460"/>
    <w:rsid w:val="001363FB"/>
    <w:rsid w:val="00143F0D"/>
    <w:rsid w:val="0014603A"/>
    <w:rsid w:val="001550A7"/>
    <w:rsid w:val="00160123"/>
    <w:rsid w:val="00160B4F"/>
    <w:rsid w:val="00161743"/>
    <w:rsid w:val="001640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318E"/>
    <w:rsid w:val="001E6D0C"/>
    <w:rsid w:val="001F28E6"/>
    <w:rsid w:val="001F51F4"/>
    <w:rsid w:val="00203B3D"/>
    <w:rsid w:val="00210F11"/>
    <w:rsid w:val="00212EBE"/>
    <w:rsid w:val="00236391"/>
    <w:rsid w:val="00243044"/>
    <w:rsid w:val="00246FA7"/>
    <w:rsid w:val="00250C32"/>
    <w:rsid w:val="0025222B"/>
    <w:rsid w:val="002563B0"/>
    <w:rsid w:val="00263307"/>
    <w:rsid w:val="00263AC9"/>
    <w:rsid w:val="00265702"/>
    <w:rsid w:val="00275B82"/>
    <w:rsid w:val="00276225"/>
    <w:rsid w:val="002803D5"/>
    <w:rsid w:val="00283C91"/>
    <w:rsid w:val="002848EA"/>
    <w:rsid w:val="002878D8"/>
    <w:rsid w:val="00295684"/>
    <w:rsid w:val="002A325D"/>
    <w:rsid w:val="002A5EE7"/>
    <w:rsid w:val="002B6143"/>
    <w:rsid w:val="002C31A2"/>
    <w:rsid w:val="002D0B04"/>
    <w:rsid w:val="002D460E"/>
    <w:rsid w:val="002D6616"/>
    <w:rsid w:val="002D6644"/>
    <w:rsid w:val="002E2978"/>
    <w:rsid w:val="002E5259"/>
    <w:rsid w:val="002E77B6"/>
    <w:rsid w:val="002F02D1"/>
    <w:rsid w:val="002F761B"/>
    <w:rsid w:val="00302325"/>
    <w:rsid w:val="00311A0E"/>
    <w:rsid w:val="003121C6"/>
    <w:rsid w:val="0031394B"/>
    <w:rsid w:val="003140DF"/>
    <w:rsid w:val="0031619B"/>
    <w:rsid w:val="00316CAD"/>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2CB6"/>
    <w:rsid w:val="00376023"/>
    <w:rsid w:val="00376976"/>
    <w:rsid w:val="003814C4"/>
    <w:rsid w:val="0038232A"/>
    <w:rsid w:val="0038646B"/>
    <w:rsid w:val="003938F8"/>
    <w:rsid w:val="00395D70"/>
    <w:rsid w:val="003A1107"/>
    <w:rsid w:val="003A3B39"/>
    <w:rsid w:val="003B0942"/>
    <w:rsid w:val="003B0FC0"/>
    <w:rsid w:val="003B2C70"/>
    <w:rsid w:val="003B4074"/>
    <w:rsid w:val="003B4DF1"/>
    <w:rsid w:val="003C3B6F"/>
    <w:rsid w:val="003C6E15"/>
    <w:rsid w:val="003D0E36"/>
    <w:rsid w:val="003D71F7"/>
    <w:rsid w:val="003E0432"/>
    <w:rsid w:val="003E107B"/>
    <w:rsid w:val="003F300D"/>
    <w:rsid w:val="003F360E"/>
    <w:rsid w:val="00403AF2"/>
    <w:rsid w:val="00406562"/>
    <w:rsid w:val="00406709"/>
    <w:rsid w:val="00406809"/>
    <w:rsid w:val="00407252"/>
    <w:rsid w:val="00414CA3"/>
    <w:rsid w:val="00421E16"/>
    <w:rsid w:val="00423781"/>
    <w:rsid w:val="00423A3E"/>
    <w:rsid w:val="0042406A"/>
    <w:rsid w:val="00425894"/>
    <w:rsid w:val="004266FD"/>
    <w:rsid w:val="004307F0"/>
    <w:rsid w:val="004356C6"/>
    <w:rsid w:val="004361EA"/>
    <w:rsid w:val="00437FD7"/>
    <w:rsid w:val="00441DC9"/>
    <w:rsid w:val="004421CE"/>
    <w:rsid w:val="00452814"/>
    <w:rsid w:val="00454C06"/>
    <w:rsid w:val="00457687"/>
    <w:rsid w:val="004576AA"/>
    <w:rsid w:val="00461050"/>
    <w:rsid w:val="004655E8"/>
    <w:rsid w:val="00466D1C"/>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020C"/>
    <w:rsid w:val="005317F2"/>
    <w:rsid w:val="00531AD1"/>
    <w:rsid w:val="00535B91"/>
    <w:rsid w:val="00536575"/>
    <w:rsid w:val="0054053A"/>
    <w:rsid w:val="0054075A"/>
    <w:rsid w:val="005417D3"/>
    <w:rsid w:val="00543038"/>
    <w:rsid w:val="005502A8"/>
    <w:rsid w:val="005504CF"/>
    <w:rsid w:val="0055658B"/>
    <w:rsid w:val="0056099E"/>
    <w:rsid w:val="00562B0B"/>
    <w:rsid w:val="005676E1"/>
    <w:rsid w:val="00572E97"/>
    <w:rsid w:val="00573EB3"/>
    <w:rsid w:val="00581AE6"/>
    <w:rsid w:val="00590949"/>
    <w:rsid w:val="00591171"/>
    <w:rsid w:val="00594895"/>
    <w:rsid w:val="005A068C"/>
    <w:rsid w:val="005A5253"/>
    <w:rsid w:val="005B0C33"/>
    <w:rsid w:val="005B5BFC"/>
    <w:rsid w:val="005B6B00"/>
    <w:rsid w:val="005C1FAF"/>
    <w:rsid w:val="005C274D"/>
    <w:rsid w:val="005C4744"/>
    <w:rsid w:val="005C5CA6"/>
    <w:rsid w:val="005C635F"/>
    <w:rsid w:val="005C76FF"/>
    <w:rsid w:val="005C77F1"/>
    <w:rsid w:val="005D01EF"/>
    <w:rsid w:val="005D175A"/>
    <w:rsid w:val="005D225E"/>
    <w:rsid w:val="005E1AD6"/>
    <w:rsid w:val="005E23D5"/>
    <w:rsid w:val="005F6696"/>
    <w:rsid w:val="006031D8"/>
    <w:rsid w:val="0061268B"/>
    <w:rsid w:val="00612A07"/>
    <w:rsid w:val="00613B3E"/>
    <w:rsid w:val="00617A39"/>
    <w:rsid w:val="00621D95"/>
    <w:rsid w:val="00621DB2"/>
    <w:rsid w:val="00624732"/>
    <w:rsid w:val="00632487"/>
    <w:rsid w:val="0063248B"/>
    <w:rsid w:val="00632812"/>
    <w:rsid w:val="00634A22"/>
    <w:rsid w:val="00636566"/>
    <w:rsid w:val="006367AB"/>
    <w:rsid w:val="00641FBE"/>
    <w:rsid w:val="00644EC6"/>
    <w:rsid w:val="0064598C"/>
    <w:rsid w:val="00650B9A"/>
    <w:rsid w:val="00653813"/>
    <w:rsid w:val="006540CC"/>
    <w:rsid w:val="0065491B"/>
    <w:rsid w:val="00655D2E"/>
    <w:rsid w:val="00657FCE"/>
    <w:rsid w:val="00660075"/>
    <w:rsid w:val="00663562"/>
    <w:rsid w:val="006711B9"/>
    <w:rsid w:val="0067456C"/>
    <w:rsid w:val="00677C0C"/>
    <w:rsid w:val="00681BC1"/>
    <w:rsid w:val="00683C36"/>
    <w:rsid w:val="00684279"/>
    <w:rsid w:val="0068668B"/>
    <w:rsid w:val="006918C1"/>
    <w:rsid w:val="00694066"/>
    <w:rsid w:val="00696506"/>
    <w:rsid w:val="006A1F13"/>
    <w:rsid w:val="006A29C7"/>
    <w:rsid w:val="006A2E45"/>
    <w:rsid w:val="006A36A4"/>
    <w:rsid w:val="006A51F8"/>
    <w:rsid w:val="006B03B7"/>
    <w:rsid w:val="006B39E9"/>
    <w:rsid w:val="006C17E0"/>
    <w:rsid w:val="006D10C5"/>
    <w:rsid w:val="006D738F"/>
    <w:rsid w:val="006E30C1"/>
    <w:rsid w:val="006E33B5"/>
    <w:rsid w:val="006E35F9"/>
    <w:rsid w:val="006E4E37"/>
    <w:rsid w:val="006F331D"/>
    <w:rsid w:val="007012E2"/>
    <w:rsid w:val="00701620"/>
    <w:rsid w:val="00706A01"/>
    <w:rsid w:val="0070772C"/>
    <w:rsid w:val="0071317E"/>
    <w:rsid w:val="00730C23"/>
    <w:rsid w:val="00730F15"/>
    <w:rsid w:val="00731559"/>
    <w:rsid w:val="007342CE"/>
    <w:rsid w:val="00740582"/>
    <w:rsid w:val="007414E1"/>
    <w:rsid w:val="00741B11"/>
    <w:rsid w:val="0074580C"/>
    <w:rsid w:val="0074598B"/>
    <w:rsid w:val="00760F71"/>
    <w:rsid w:val="007617BD"/>
    <w:rsid w:val="00762A7B"/>
    <w:rsid w:val="00770D80"/>
    <w:rsid w:val="00772339"/>
    <w:rsid w:val="0078710E"/>
    <w:rsid w:val="00787F4C"/>
    <w:rsid w:val="007917B0"/>
    <w:rsid w:val="007A1A5F"/>
    <w:rsid w:val="007A34C9"/>
    <w:rsid w:val="007A6C5D"/>
    <w:rsid w:val="007A7425"/>
    <w:rsid w:val="007A7980"/>
    <w:rsid w:val="007B04FD"/>
    <w:rsid w:val="007B6F66"/>
    <w:rsid w:val="007B71B6"/>
    <w:rsid w:val="007C085F"/>
    <w:rsid w:val="007C1B58"/>
    <w:rsid w:val="007D41E1"/>
    <w:rsid w:val="007D7A0A"/>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43CF"/>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8F6009"/>
    <w:rsid w:val="008F6B69"/>
    <w:rsid w:val="009055ED"/>
    <w:rsid w:val="00907867"/>
    <w:rsid w:val="00912CE3"/>
    <w:rsid w:val="00922D11"/>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357F"/>
    <w:rsid w:val="00A2557F"/>
    <w:rsid w:val="00A27711"/>
    <w:rsid w:val="00A30E4A"/>
    <w:rsid w:val="00A339CF"/>
    <w:rsid w:val="00A362B4"/>
    <w:rsid w:val="00A41ECF"/>
    <w:rsid w:val="00A433AC"/>
    <w:rsid w:val="00A43D36"/>
    <w:rsid w:val="00A546B7"/>
    <w:rsid w:val="00A60E0E"/>
    <w:rsid w:val="00A61B62"/>
    <w:rsid w:val="00A61DF8"/>
    <w:rsid w:val="00A72CBB"/>
    <w:rsid w:val="00A743BF"/>
    <w:rsid w:val="00A85159"/>
    <w:rsid w:val="00A87E8E"/>
    <w:rsid w:val="00A91D66"/>
    <w:rsid w:val="00AA125A"/>
    <w:rsid w:val="00AA4754"/>
    <w:rsid w:val="00AA4992"/>
    <w:rsid w:val="00AA4ED8"/>
    <w:rsid w:val="00AA561C"/>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270DB"/>
    <w:rsid w:val="00B3068E"/>
    <w:rsid w:val="00B3103B"/>
    <w:rsid w:val="00B37BBE"/>
    <w:rsid w:val="00B46F7B"/>
    <w:rsid w:val="00B476CC"/>
    <w:rsid w:val="00B52957"/>
    <w:rsid w:val="00B552D1"/>
    <w:rsid w:val="00B5736D"/>
    <w:rsid w:val="00B57F69"/>
    <w:rsid w:val="00B64804"/>
    <w:rsid w:val="00B6764F"/>
    <w:rsid w:val="00B76579"/>
    <w:rsid w:val="00B81305"/>
    <w:rsid w:val="00B9723D"/>
    <w:rsid w:val="00BA3A63"/>
    <w:rsid w:val="00BA589A"/>
    <w:rsid w:val="00BA78B9"/>
    <w:rsid w:val="00BC46DE"/>
    <w:rsid w:val="00BC6BBA"/>
    <w:rsid w:val="00BD570C"/>
    <w:rsid w:val="00BE50DA"/>
    <w:rsid w:val="00BE6D1D"/>
    <w:rsid w:val="00BF0276"/>
    <w:rsid w:val="00BF78A3"/>
    <w:rsid w:val="00C00CE9"/>
    <w:rsid w:val="00C01AB1"/>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544DD"/>
    <w:rsid w:val="00C57830"/>
    <w:rsid w:val="00C62AC4"/>
    <w:rsid w:val="00C63A99"/>
    <w:rsid w:val="00C64770"/>
    <w:rsid w:val="00C67CCF"/>
    <w:rsid w:val="00C701EA"/>
    <w:rsid w:val="00C76EFC"/>
    <w:rsid w:val="00C773B3"/>
    <w:rsid w:val="00C80C62"/>
    <w:rsid w:val="00C81F0F"/>
    <w:rsid w:val="00C82902"/>
    <w:rsid w:val="00C839A9"/>
    <w:rsid w:val="00C870AA"/>
    <w:rsid w:val="00C92677"/>
    <w:rsid w:val="00C96635"/>
    <w:rsid w:val="00C97616"/>
    <w:rsid w:val="00CA19AE"/>
    <w:rsid w:val="00CA4BB8"/>
    <w:rsid w:val="00CA68B3"/>
    <w:rsid w:val="00CB474B"/>
    <w:rsid w:val="00CC493C"/>
    <w:rsid w:val="00CC598E"/>
    <w:rsid w:val="00CC59FC"/>
    <w:rsid w:val="00CC65CD"/>
    <w:rsid w:val="00CD51D2"/>
    <w:rsid w:val="00CD732C"/>
    <w:rsid w:val="00CE1CDD"/>
    <w:rsid w:val="00CE46B4"/>
    <w:rsid w:val="00CE65D4"/>
    <w:rsid w:val="00CE7A79"/>
    <w:rsid w:val="00CF4492"/>
    <w:rsid w:val="00D00CF7"/>
    <w:rsid w:val="00D02099"/>
    <w:rsid w:val="00D038A8"/>
    <w:rsid w:val="00D0407A"/>
    <w:rsid w:val="00D043CC"/>
    <w:rsid w:val="00D14E29"/>
    <w:rsid w:val="00D228A7"/>
    <w:rsid w:val="00D25B51"/>
    <w:rsid w:val="00D33D49"/>
    <w:rsid w:val="00D33F84"/>
    <w:rsid w:val="00D3751C"/>
    <w:rsid w:val="00D4045A"/>
    <w:rsid w:val="00D424D1"/>
    <w:rsid w:val="00D44CFE"/>
    <w:rsid w:val="00D463F8"/>
    <w:rsid w:val="00D46F6B"/>
    <w:rsid w:val="00D54F0D"/>
    <w:rsid w:val="00D56394"/>
    <w:rsid w:val="00D56CA9"/>
    <w:rsid w:val="00D56FEA"/>
    <w:rsid w:val="00D61443"/>
    <w:rsid w:val="00D621C1"/>
    <w:rsid w:val="00D6747A"/>
    <w:rsid w:val="00D7638E"/>
    <w:rsid w:val="00D776C6"/>
    <w:rsid w:val="00D77FC6"/>
    <w:rsid w:val="00D85592"/>
    <w:rsid w:val="00D866ED"/>
    <w:rsid w:val="00D907F6"/>
    <w:rsid w:val="00D93E87"/>
    <w:rsid w:val="00D94C50"/>
    <w:rsid w:val="00DA4139"/>
    <w:rsid w:val="00DA5C83"/>
    <w:rsid w:val="00DA6F1C"/>
    <w:rsid w:val="00DB715A"/>
    <w:rsid w:val="00DC192C"/>
    <w:rsid w:val="00DD0AB5"/>
    <w:rsid w:val="00DD1273"/>
    <w:rsid w:val="00DD20B4"/>
    <w:rsid w:val="00DD51C1"/>
    <w:rsid w:val="00DE121E"/>
    <w:rsid w:val="00DE76BB"/>
    <w:rsid w:val="00DF653E"/>
    <w:rsid w:val="00E03A4C"/>
    <w:rsid w:val="00E03DAD"/>
    <w:rsid w:val="00E042D4"/>
    <w:rsid w:val="00E1087D"/>
    <w:rsid w:val="00E17157"/>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971ED"/>
    <w:rsid w:val="00E97518"/>
    <w:rsid w:val="00EA1D70"/>
    <w:rsid w:val="00EA2EEA"/>
    <w:rsid w:val="00EA2FB0"/>
    <w:rsid w:val="00EA3CE9"/>
    <w:rsid w:val="00EA3FD3"/>
    <w:rsid w:val="00EB1022"/>
    <w:rsid w:val="00EB2AB7"/>
    <w:rsid w:val="00EC00A7"/>
    <w:rsid w:val="00EC6A3B"/>
    <w:rsid w:val="00ED1987"/>
    <w:rsid w:val="00ED1A90"/>
    <w:rsid w:val="00ED29BC"/>
    <w:rsid w:val="00ED576F"/>
    <w:rsid w:val="00ED6F4E"/>
    <w:rsid w:val="00EE100A"/>
    <w:rsid w:val="00EE4F43"/>
    <w:rsid w:val="00EF5815"/>
    <w:rsid w:val="00F020EC"/>
    <w:rsid w:val="00F02E51"/>
    <w:rsid w:val="00F0557B"/>
    <w:rsid w:val="00F14FC5"/>
    <w:rsid w:val="00F17BE5"/>
    <w:rsid w:val="00F217C5"/>
    <w:rsid w:val="00F23C43"/>
    <w:rsid w:val="00F2605B"/>
    <w:rsid w:val="00F26C5D"/>
    <w:rsid w:val="00F32332"/>
    <w:rsid w:val="00F35D37"/>
    <w:rsid w:val="00F407DD"/>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character" w:customStyle="1" w:styleId="UnresolvedMention">
    <w:name w:val="Unresolved Mention"/>
    <w:basedOn w:val="a0"/>
    <w:uiPriority w:val="99"/>
    <w:semiHidden/>
    <w:unhideWhenUsed/>
    <w:rsid w:val="005F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7A817310-26A2-4689-B605-D795224C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8620</Characters>
  <Application>Microsoft Office Word</Application>
  <DocSecurity>4</DocSecurity>
  <Lines>71</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2024-02-01T11:46:00Z</dcterms:created>
  <dcterms:modified xsi:type="dcterms:W3CDTF">2024-02-01T11:46:00Z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