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60B49174" w:rsidR="007617BD" w:rsidRPr="00821CB5" w:rsidRDefault="008503B3" w:rsidP="00CC2D8C">
      <w:pPr>
        <w:pStyle w:val="regpar"/>
        <w:jc w:val="right"/>
        <w:rPr>
          <w:rFonts w:ascii="Segoe UI" w:hAnsi="Segoe UI" w:cs="Segoe UI"/>
          <w:sz w:val="22"/>
          <w:szCs w:val="22"/>
        </w:rPr>
      </w:pPr>
      <w:r>
        <w:rPr>
          <w:rFonts w:ascii="Segoe UI" w:hAnsi="Segoe UI" w:cs="Segoe UI"/>
          <w:sz w:val="22"/>
          <w:szCs w:val="22"/>
        </w:rPr>
        <w:t xml:space="preserve">February </w:t>
      </w:r>
      <w:r w:rsidR="00CC2D8C">
        <w:rPr>
          <w:rFonts w:ascii="Segoe UI" w:hAnsi="Segoe UI" w:cs="Segoe UI"/>
          <w:sz w:val="22"/>
          <w:szCs w:val="22"/>
        </w:rPr>
        <w:t>8</w:t>
      </w:r>
      <w:r w:rsidR="00821CB5" w:rsidRPr="00821CB5">
        <w:rPr>
          <w:rFonts w:ascii="Segoe UI" w:hAnsi="Segoe UI" w:cs="Segoe UI"/>
          <w:sz w:val="22"/>
          <w:szCs w:val="22"/>
        </w:rPr>
        <w:t>, 2026</w:t>
      </w:r>
    </w:p>
    <w:p w14:paraId="22D7AE78" w14:textId="3BEA9B84" w:rsidR="00F23C43" w:rsidRDefault="00F23C43" w:rsidP="00F23C43">
      <w:pPr>
        <w:pStyle w:val="regpar"/>
      </w:pPr>
    </w:p>
    <w:p w14:paraId="59C9AF88" w14:textId="2C312A94" w:rsidR="00CC2D8C" w:rsidRPr="00CC2D8C" w:rsidRDefault="00CC2D8C" w:rsidP="00CC2D8C">
      <w:pPr>
        <w:pStyle w:val="3"/>
        <w:jc w:val="center"/>
        <w:rPr>
          <w:rFonts w:ascii="Segoe UI" w:hAnsi="Segoe UI" w:cs="Segoe UI"/>
          <w:b w:val="0"/>
          <w:bCs w:val="0"/>
          <w:sz w:val="22"/>
          <w:szCs w:val="22"/>
        </w:rPr>
      </w:pPr>
      <w:r w:rsidRPr="00CC2D8C">
        <w:rPr>
          <w:rFonts w:ascii="Segoe UI" w:hAnsi="Segoe UI" w:cs="Segoe UI"/>
          <w:sz w:val="22"/>
          <w:szCs w:val="22"/>
        </w:rPr>
        <w:t xml:space="preserve">Another Step </w:t>
      </w:r>
      <w:proofErr w:type="gramStart"/>
      <w:r w:rsidRPr="00CC2D8C">
        <w:rPr>
          <w:rFonts w:ascii="Segoe UI" w:hAnsi="Segoe UI" w:cs="Segoe UI"/>
          <w:sz w:val="22"/>
          <w:szCs w:val="22"/>
        </w:rPr>
        <w:t>Toward</w:t>
      </w:r>
      <w:proofErr w:type="gramEnd"/>
      <w:r w:rsidRPr="00CC2D8C">
        <w:rPr>
          <w:rFonts w:ascii="Segoe UI" w:hAnsi="Segoe UI" w:cs="Segoe UI"/>
          <w:sz w:val="22"/>
          <w:szCs w:val="22"/>
        </w:rPr>
        <w:t xml:space="preserve"> Opening the Banking System to New Entrants:</w:t>
      </w:r>
      <w:r>
        <w:rPr>
          <w:rFonts w:ascii="Segoe UI" w:hAnsi="Segoe UI" w:cs="Segoe UI"/>
          <w:sz w:val="22"/>
          <w:szCs w:val="22"/>
        </w:rPr>
        <w:t xml:space="preserve"> </w:t>
      </w:r>
      <w:r w:rsidRPr="00CC2D8C">
        <w:rPr>
          <w:rStyle w:val="af8"/>
          <w:rFonts w:ascii="Segoe UI" w:hAnsi="Segoe UI" w:cs="Segoe UI"/>
          <w:b/>
          <w:bCs/>
          <w:sz w:val="22"/>
          <w:szCs w:val="22"/>
        </w:rPr>
        <w:t>The Bank of Israel Publishes for Public Comment a Draft Directive on Regulatory Adjustments for Small and New Banks</w:t>
      </w:r>
    </w:p>
    <w:p w14:paraId="295FE3C0" w14:textId="6C0889A1" w:rsidR="00CC2D8C" w:rsidRPr="007B69D9" w:rsidRDefault="00CC2D8C" w:rsidP="00CC2D8C">
      <w:pPr>
        <w:pStyle w:val="NormalWeb"/>
        <w:jc w:val="both"/>
        <w:rPr>
          <w:rFonts w:ascii="Segoe UI" w:hAnsi="Segoe UI" w:cs="Segoe UI"/>
          <w:sz w:val="22"/>
          <w:szCs w:val="22"/>
        </w:rPr>
      </w:pPr>
      <w:r w:rsidRPr="007B69D9">
        <w:rPr>
          <w:rFonts w:ascii="Segoe UI" w:hAnsi="Segoe UI" w:cs="Segoe UI"/>
          <w:sz w:val="22"/>
          <w:szCs w:val="22"/>
        </w:rPr>
        <w:t xml:space="preserve">The Bank of Israel’s Banking Supervision Department today published for public comment a draft of a new Proper Conduct of Banking Business Directive titled </w:t>
      </w:r>
      <w:r w:rsidRPr="007B69D9">
        <w:rPr>
          <w:rStyle w:val="af9"/>
          <w:rFonts w:ascii="Segoe UI" w:hAnsi="Segoe UI" w:cs="Segoe UI"/>
          <w:sz w:val="22"/>
          <w:szCs w:val="22"/>
        </w:rPr>
        <w:t>“Supervisory Framework for Small and New Banks.”</w:t>
      </w:r>
    </w:p>
    <w:p w14:paraId="5EB11371" w14:textId="6D9B8B9B" w:rsidR="00CC2D8C" w:rsidRPr="007B69D9" w:rsidRDefault="00CC2D8C" w:rsidP="00CC2D8C">
      <w:pPr>
        <w:pStyle w:val="NormalWeb"/>
        <w:jc w:val="both"/>
        <w:rPr>
          <w:rFonts w:ascii="Segoe UI" w:hAnsi="Segoe UI" w:cs="Segoe UI"/>
          <w:sz w:val="22"/>
          <w:szCs w:val="22"/>
        </w:rPr>
      </w:pPr>
      <w:r w:rsidRPr="007B69D9">
        <w:rPr>
          <w:rFonts w:ascii="Segoe UI" w:hAnsi="Segoe UI" w:cs="Segoe UI"/>
          <w:sz w:val="22"/>
          <w:szCs w:val="22"/>
        </w:rPr>
        <w:t xml:space="preserve">The directive was developed following the recommendations of the interministerial team for promoting competition in the </w:t>
      </w:r>
      <w:proofErr w:type="gramStart"/>
      <w:r w:rsidRPr="007B69D9">
        <w:rPr>
          <w:rFonts w:ascii="Segoe UI" w:hAnsi="Segoe UI" w:cs="Segoe UI"/>
          <w:sz w:val="22"/>
          <w:szCs w:val="22"/>
        </w:rPr>
        <w:t>retail banking</w:t>
      </w:r>
      <w:proofErr w:type="gramEnd"/>
      <w:r w:rsidRPr="007B69D9">
        <w:rPr>
          <w:rFonts w:ascii="Segoe UI" w:hAnsi="Segoe UI" w:cs="Segoe UI"/>
          <w:sz w:val="22"/>
          <w:szCs w:val="22"/>
        </w:rPr>
        <w:t xml:space="preserve"> sector, published in August 2025. The </w:t>
      </w:r>
      <w:proofErr w:type="gramStart"/>
      <w:r w:rsidRPr="007B69D9">
        <w:rPr>
          <w:rFonts w:ascii="Segoe UI" w:hAnsi="Segoe UI" w:cs="Segoe UI"/>
          <w:sz w:val="22"/>
          <w:szCs w:val="22"/>
        </w:rPr>
        <w:t xml:space="preserve">team was </w:t>
      </w:r>
      <w:proofErr w:type="spellStart"/>
      <w:r w:rsidRPr="007B69D9">
        <w:rPr>
          <w:rFonts w:ascii="Segoe UI" w:hAnsi="Segoe UI" w:cs="Segoe UI"/>
          <w:sz w:val="22"/>
          <w:szCs w:val="22"/>
        </w:rPr>
        <w:t>cochaired</w:t>
      </w:r>
      <w:proofErr w:type="spellEnd"/>
      <w:r w:rsidRPr="007B69D9">
        <w:rPr>
          <w:rFonts w:ascii="Segoe UI" w:hAnsi="Segoe UI" w:cs="Segoe UI"/>
          <w:sz w:val="22"/>
          <w:szCs w:val="22"/>
        </w:rPr>
        <w:t xml:space="preserve"> by the Supervisor of Banks and the Director of the Budget Department at the Ministry of Finance</w:t>
      </w:r>
      <w:proofErr w:type="gramEnd"/>
      <w:r w:rsidRPr="007B69D9">
        <w:rPr>
          <w:rFonts w:ascii="Segoe UI" w:hAnsi="Segoe UI" w:cs="Segoe UI"/>
          <w:sz w:val="22"/>
          <w:szCs w:val="22"/>
        </w:rPr>
        <w:t>. Its objective was to enhance competition in the banking system and remove barriers to entry for new participants, including nonbank financial institutions.</w:t>
      </w:r>
    </w:p>
    <w:p w14:paraId="4A43B5F5" w14:textId="77777777" w:rsidR="00CC2D8C" w:rsidRPr="007B69D9" w:rsidRDefault="00CC2D8C" w:rsidP="00CC2D8C">
      <w:pPr>
        <w:pStyle w:val="NormalWeb"/>
        <w:jc w:val="both"/>
        <w:rPr>
          <w:rFonts w:ascii="Segoe UI" w:hAnsi="Segoe UI" w:cs="Segoe UI"/>
          <w:sz w:val="22"/>
          <w:szCs w:val="22"/>
        </w:rPr>
      </w:pPr>
      <w:r w:rsidRPr="007B69D9">
        <w:rPr>
          <w:rFonts w:ascii="Segoe UI" w:hAnsi="Segoe UI" w:cs="Segoe UI"/>
          <w:sz w:val="22"/>
          <w:szCs w:val="22"/>
        </w:rPr>
        <w:t>The draft directive aims to tailor regulatory and supervisory requirements to the size and complexity of a banking corporation’s operations, without compromising financial stability and in accordance with its systemic importance. The directive is consistent with the Basel Committee on Banking Supervision’s principle of proportionality.</w:t>
      </w:r>
    </w:p>
    <w:p w14:paraId="53244F83" w14:textId="77777777" w:rsidR="00CC2D8C" w:rsidRPr="007B69D9" w:rsidRDefault="00CC2D8C" w:rsidP="00CC2D8C">
      <w:pPr>
        <w:pStyle w:val="NormalWeb"/>
        <w:spacing w:after="0" w:afterAutospacing="0"/>
        <w:jc w:val="both"/>
        <w:rPr>
          <w:rStyle w:val="af8"/>
          <w:rFonts w:ascii="Segoe UI" w:hAnsi="Segoe UI" w:cs="Segoe UI"/>
          <w:sz w:val="22"/>
          <w:szCs w:val="22"/>
        </w:rPr>
      </w:pPr>
      <w:r w:rsidRPr="007B69D9">
        <w:rPr>
          <w:rStyle w:val="af8"/>
          <w:rFonts w:ascii="Segoe UI" w:hAnsi="Segoe UI" w:cs="Segoe UI"/>
          <w:sz w:val="22"/>
          <w:szCs w:val="22"/>
        </w:rPr>
        <w:t>Bank of Israel Governor Prof. Amir Yaron:</w:t>
      </w:r>
    </w:p>
    <w:p w14:paraId="22A86507" w14:textId="33AC163F" w:rsidR="00CC2D8C" w:rsidRPr="007B69D9" w:rsidRDefault="00CC2D8C" w:rsidP="00EB2C6E">
      <w:pPr>
        <w:pStyle w:val="NormalWeb"/>
        <w:spacing w:before="0" w:beforeAutospacing="0"/>
        <w:jc w:val="both"/>
        <w:rPr>
          <w:rFonts w:ascii="Segoe UI" w:hAnsi="Segoe UI" w:cs="Segoe UI"/>
          <w:i/>
          <w:iCs/>
          <w:sz w:val="22"/>
          <w:szCs w:val="22"/>
        </w:rPr>
      </w:pPr>
      <w:bookmarkStart w:id="0" w:name="_GoBack"/>
      <w:r w:rsidRPr="007B69D9">
        <w:rPr>
          <w:rStyle w:val="af9"/>
          <w:rFonts w:ascii="Segoe UI" w:hAnsi="Segoe UI" w:cs="Segoe UI"/>
          <w:i w:val="0"/>
          <w:iCs w:val="0"/>
          <w:sz w:val="22"/>
          <w:szCs w:val="22"/>
        </w:rPr>
        <w:t>“The Bank of Israel has made promoting competition in the banking system a central strategic goal, with the aim of improving banking services for the public at large. We have been advancing this goal in recent years through a variety of tools available to us as a central bank, and we will continue to do so with full determination. The supervisory framework for small and new banks</w:t>
      </w:r>
      <w:r w:rsidR="00EB2C6E">
        <w:rPr>
          <w:rStyle w:val="af9"/>
          <w:rFonts w:ascii="Segoe UI" w:hAnsi="Segoe UI" w:cs="Segoe UI"/>
          <w:i w:val="0"/>
          <w:iCs w:val="0"/>
          <w:sz w:val="22"/>
          <w:szCs w:val="22"/>
        </w:rPr>
        <w:t xml:space="preserve">, along with advancing legislation together with the Ministry of Finance regarding graduated licensing, </w:t>
      </w:r>
      <w:r w:rsidRPr="007B69D9">
        <w:rPr>
          <w:rStyle w:val="af9"/>
          <w:rFonts w:ascii="Segoe UI" w:hAnsi="Segoe UI" w:cs="Segoe UI"/>
          <w:i w:val="0"/>
          <w:iCs w:val="0"/>
          <w:sz w:val="22"/>
          <w:szCs w:val="22"/>
        </w:rPr>
        <w:t>offers a gradual and proportionate approach that lowers entry barriers to the banking system for innovative and competitive institutions, while safeguarding depositors’ funds and the stability of the financial system as a whole.”</w:t>
      </w:r>
    </w:p>
    <w:bookmarkEnd w:id="0"/>
    <w:p w14:paraId="3272F51B" w14:textId="2B3B4239" w:rsidR="00CC2D8C" w:rsidRPr="007B69D9" w:rsidRDefault="00CC2D8C" w:rsidP="007B69D9">
      <w:pPr>
        <w:pStyle w:val="NormalWeb"/>
        <w:spacing w:after="0" w:afterAutospacing="0"/>
        <w:jc w:val="both"/>
        <w:rPr>
          <w:rStyle w:val="af8"/>
          <w:rFonts w:ascii="Segoe UI" w:hAnsi="Segoe UI" w:cs="Segoe UI"/>
          <w:sz w:val="22"/>
          <w:szCs w:val="22"/>
        </w:rPr>
      </w:pPr>
      <w:r w:rsidRPr="007B69D9">
        <w:rPr>
          <w:rStyle w:val="af8"/>
          <w:rFonts w:ascii="Segoe UI" w:hAnsi="Segoe UI" w:cs="Segoe UI"/>
          <w:sz w:val="22"/>
          <w:szCs w:val="22"/>
        </w:rPr>
        <w:t>Dan</w:t>
      </w:r>
      <w:r w:rsidR="007B69D9">
        <w:rPr>
          <w:rStyle w:val="af8"/>
          <w:rFonts w:ascii="Segoe UI" w:hAnsi="Segoe UI" w:cs="Segoe UI"/>
          <w:sz w:val="22"/>
          <w:szCs w:val="22"/>
        </w:rPr>
        <w:t>i</w:t>
      </w:r>
      <w:r w:rsidRPr="007B69D9">
        <w:rPr>
          <w:rStyle w:val="af8"/>
          <w:rFonts w:ascii="Segoe UI" w:hAnsi="Segoe UI" w:cs="Segoe UI"/>
          <w:sz w:val="22"/>
          <w:szCs w:val="22"/>
        </w:rPr>
        <w:t xml:space="preserve"> </w:t>
      </w:r>
      <w:proofErr w:type="spellStart"/>
      <w:r w:rsidRPr="007B69D9">
        <w:rPr>
          <w:rStyle w:val="af8"/>
          <w:rFonts w:ascii="Segoe UI" w:hAnsi="Segoe UI" w:cs="Segoe UI"/>
          <w:sz w:val="22"/>
          <w:szCs w:val="22"/>
        </w:rPr>
        <w:t>Hahiashvili</w:t>
      </w:r>
      <w:proofErr w:type="spellEnd"/>
      <w:r w:rsidRPr="007B69D9">
        <w:rPr>
          <w:rStyle w:val="af8"/>
          <w:rFonts w:ascii="Segoe UI" w:hAnsi="Segoe UI" w:cs="Segoe UI"/>
          <w:sz w:val="22"/>
          <w:szCs w:val="22"/>
        </w:rPr>
        <w:t>, Supervisor of Banks:</w:t>
      </w:r>
    </w:p>
    <w:p w14:paraId="31387C09" w14:textId="7F31D8DB" w:rsidR="00CC2D8C" w:rsidRPr="007B69D9" w:rsidRDefault="00CC2D8C" w:rsidP="00CC2D8C">
      <w:pPr>
        <w:pStyle w:val="NormalWeb"/>
        <w:spacing w:before="0" w:beforeAutospacing="0"/>
        <w:jc w:val="both"/>
        <w:rPr>
          <w:rFonts w:ascii="Segoe UI" w:hAnsi="Segoe UI" w:cs="Segoe UI"/>
          <w:i/>
          <w:iCs/>
          <w:sz w:val="22"/>
          <w:szCs w:val="22"/>
        </w:rPr>
      </w:pPr>
      <w:r w:rsidRPr="007B69D9">
        <w:rPr>
          <w:rStyle w:val="af9"/>
          <w:rFonts w:ascii="Segoe UI" w:hAnsi="Segoe UI" w:cs="Segoe UI"/>
          <w:i w:val="0"/>
          <w:iCs w:val="0"/>
          <w:sz w:val="22"/>
          <w:szCs w:val="22"/>
        </w:rPr>
        <w:t xml:space="preserve">“Today we are publishing for public comment a new draft directive that introduces adjustments and leniencies to the supervisory requirements applicable to small and new banks. This directive complements the many steps taken in recent years and, together with the legislative initiatives </w:t>
      </w:r>
      <w:proofErr w:type="gramStart"/>
      <w:r w:rsidRPr="007B69D9">
        <w:rPr>
          <w:rStyle w:val="af9"/>
          <w:rFonts w:ascii="Segoe UI" w:hAnsi="Segoe UI" w:cs="Segoe UI"/>
          <w:i w:val="0"/>
          <w:iCs w:val="0"/>
          <w:sz w:val="22"/>
          <w:szCs w:val="22"/>
        </w:rPr>
        <w:t>being advanced</w:t>
      </w:r>
      <w:proofErr w:type="gramEnd"/>
      <w:r w:rsidRPr="007B69D9">
        <w:rPr>
          <w:rStyle w:val="af9"/>
          <w:rFonts w:ascii="Segoe UI" w:hAnsi="Segoe UI" w:cs="Segoe UI"/>
          <w:i w:val="0"/>
          <w:iCs w:val="0"/>
          <w:sz w:val="22"/>
          <w:szCs w:val="22"/>
        </w:rPr>
        <w:t xml:space="preserve"> by the Ministry of Finance in cooperation with us, forms the foundation for the entry of new banks and the strengthening of competition in the financial system. We are working to create a regulatory environment that supports the establishment of new banks, recognizing the significant challenges and resources required to set up a bank and comply with regulatory standards. At the same time, the directive implements the Basel </w:t>
      </w:r>
      <w:r w:rsidRPr="007B69D9">
        <w:rPr>
          <w:rStyle w:val="af9"/>
          <w:rFonts w:ascii="Segoe UI" w:hAnsi="Segoe UI" w:cs="Segoe UI"/>
          <w:i w:val="0"/>
          <w:iCs w:val="0"/>
          <w:sz w:val="22"/>
          <w:szCs w:val="22"/>
        </w:rPr>
        <w:lastRenderedPageBreak/>
        <w:t>Committee’s proportionality approach in a manner that does not compromise the stability of the banking system.”</w:t>
      </w:r>
    </w:p>
    <w:p w14:paraId="5EFB2B7A" w14:textId="77777777" w:rsidR="00CC2D8C" w:rsidRPr="007B69D9" w:rsidRDefault="00CC2D8C" w:rsidP="00CC2D8C">
      <w:pPr>
        <w:pStyle w:val="3"/>
        <w:rPr>
          <w:rFonts w:ascii="Segoe UI" w:hAnsi="Segoe UI" w:cs="Segoe UI"/>
          <w:sz w:val="22"/>
          <w:szCs w:val="22"/>
        </w:rPr>
      </w:pPr>
      <w:r w:rsidRPr="007B69D9">
        <w:rPr>
          <w:rFonts w:ascii="Segoe UI" w:hAnsi="Segoe UI" w:cs="Segoe UI"/>
          <w:sz w:val="22"/>
          <w:szCs w:val="22"/>
        </w:rPr>
        <w:t>Purpose of the Directive</w:t>
      </w:r>
    </w:p>
    <w:p w14:paraId="64BFC8BA" w14:textId="77777777" w:rsidR="00CC2D8C" w:rsidRPr="007B69D9" w:rsidRDefault="00CC2D8C" w:rsidP="00025640">
      <w:pPr>
        <w:pStyle w:val="NormalWeb"/>
        <w:jc w:val="both"/>
        <w:rPr>
          <w:rFonts w:ascii="Segoe UI" w:hAnsi="Segoe UI" w:cs="Segoe UI"/>
          <w:sz w:val="22"/>
          <w:szCs w:val="22"/>
        </w:rPr>
      </w:pPr>
      <w:r w:rsidRPr="007B69D9">
        <w:rPr>
          <w:rFonts w:ascii="Segoe UI" w:hAnsi="Segoe UI" w:cs="Segoe UI"/>
          <w:sz w:val="22"/>
          <w:szCs w:val="22"/>
        </w:rPr>
        <w:t xml:space="preserve">The new directive establishes supervisory tiers based on the size of the banking corporation. For each tier, it defines regulatory requirements that correspond to the bank’s scale and systemic importance. Given the significant challenges and resources involved in establishing a bank and meeting regulatory obligations, the directive also introduces a preparatory phase for newly licensed banks, allowing them </w:t>
      </w:r>
      <w:proofErr w:type="gramStart"/>
      <w:r w:rsidRPr="007B69D9">
        <w:rPr>
          <w:rFonts w:ascii="Segoe UI" w:hAnsi="Segoe UI" w:cs="Segoe UI"/>
          <w:sz w:val="22"/>
          <w:szCs w:val="22"/>
        </w:rPr>
        <w:t>to gradually implement</w:t>
      </w:r>
      <w:proofErr w:type="gramEnd"/>
      <w:r w:rsidRPr="007B69D9">
        <w:rPr>
          <w:rFonts w:ascii="Segoe UI" w:hAnsi="Segoe UI" w:cs="Segoe UI"/>
          <w:sz w:val="22"/>
          <w:szCs w:val="22"/>
        </w:rPr>
        <w:t xml:space="preserve"> the requirements applicable to their supervisory tier.</w:t>
      </w:r>
    </w:p>
    <w:p w14:paraId="2C846682" w14:textId="77777777" w:rsidR="00CC2D8C" w:rsidRPr="007B69D9" w:rsidRDefault="00CC2D8C" w:rsidP="00025640">
      <w:pPr>
        <w:pStyle w:val="NormalWeb"/>
        <w:jc w:val="both"/>
        <w:rPr>
          <w:rFonts w:ascii="Segoe UI" w:hAnsi="Segoe UI" w:cs="Segoe UI"/>
          <w:sz w:val="22"/>
          <w:szCs w:val="22"/>
        </w:rPr>
      </w:pPr>
      <w:r w:rsidRPr="007B69D9">
        <w:rPr>
          <w:rFonts w:ascii="Segoe UI" w:hAnsi="Segoe UI" w:cs="Segoe UI"/>
          <w:sz w:val="22"/>
          <w:szCs w:val="22"/>
        </w:rPr>
        <w:t xml:space="preserve">The adjustments </w:t>
      </w:r>
      <w:proofErr w:type="gramStart"/>
      <w:r w:rsidRPr="007B69D9">
        <w:rPr>
          <w:rFonts w:ascii="Segoe UI" w:hAnsi="Segoe UI" w:cs="Segoe UI"/>
          <w:sz w:val="22"/>
          <w:szCs w:val="22"/>
        </w:rPr>
        <w:t>are designed</w:t>
      </w:r>
      <w:proofErr w:type="gramEnd"/>
      <w:r w:rsidRPr="007B69D9">
        <w:rPr>
          <w:rFonts w:ascii="Segoe UI" w:hAnsi="Segoe UI" w:cs="Segoe UI"/>
          <w:sz w:val="22"/>
          <w:szCs w:val="22"/>
        </w:rPr>
        <w:t xml:space="preserve"> to balance the need to ease the regulatory burden on small and new banks and to allow for gradual implementation, with the need to maintain institutional stability, fairness toward customers, and the provision of proper banking services.</w:t>
      </w:r>
    </w:p>
    <w:p w14:paraId="6E5D4205" w14:textId="77777777" w:rsidR="00CC2D8C" w:rsidRPr="007B69D9" w:rsidRDefault="00CC2D8C" w:rsidP="00025640">
      <w:pPr>
        <w:pStyle w:val="NormalWeb"/>
        <w:jc w:val="both"/>
        <w:rPr>
          <w:rFonts w:ascii="Segoe UI" w:hAnsi="Segoe UI" w:cs="Segoe UI"/>
          <w:sz w:val="22"/>
          <w:szCs w:val="22"/>
        </w:rPr>
      </w:pPr>
      <w:r w:rsidRPr="007B69D9">
        <w:rPr>
          <w:rFonts w:ascii="Segoe UI" w:hAnsi="Segoe UI" w:cs="Segoe UI"/>
          <w:sz w:val="22"/>
          <w:szCs w:val="22"/>
        </w:rPr>
        <w:t xml:space="preserve">In developing the directive, dozens of existing Proper Conduct of Banking Business Directives </w:t>
      </w:r>
      <w:proofErr w:type="gramStart"/>
      <w:r w:rsidRPr="007B69D9">
        <w:rPr>
          <w:rFonts w:ascii="Segoe UI" w:hAnsi="Segoe UI" w:cs="Segoe UI"/>
          <w:sz w:val="22"/>
          <w:szCs w:val="22"/>
        </w:rPr>
        <w:t>were reviewed</w:t>
      </w:r>
      <w:proofErr w:type="gramEnd"/>
      <w:r w:rsidRPr="007B69D9">
        <w:rPr>
          <w:rFonts w:ascii="Segoe UI" w:hAnsi="Segoe UI" w:cs="Segoe UI"/>
          <w:sz w:val="22"/>
          <w:szCs w:val="22"/>
        </w:rPr>
        <w:t>, and for each, adjustments were considered based on the bank’s size and complexity, the feasibility of gradual implementation, and insights from consultations with the public and relevant stakeholders.</w:t>
      </w:r>
    </w:p>
    <w:p w14:paraId="0ABAADE2" w14:textId="56D409A3" w:rsidR="00CC2D8C" w:rsidRPr="007B69D9" w:rsidRDefault="00CC2D8C" w:rsidP="00025640">
      <w:pPr>
        <w:pStyle w:val="NormalWeb"/>
        <w:jc w:val="both"/>
        <w:rPr>
          <w:rFonts w:ascii="Segoe UI" w:hAnsi="Segoe UI" w:cs="Segoe UI"/>
          <w:sz w:val="22"/>
          <w:szCs w:val="22"/>
        </w:rPr>
      </w:pPr>
      <w:proofErr w:type="gramStart"/>
      <w:r w:rsidRPr="007B69D9">
        <w:rPr>
          <w:rFonts w:ascii="Segoe UI" w:hAnsi="Segoe UI" w:cs="Segoe UI"/>
          <w:sz w:val="22"/>
          <w:szCs w:val="22"/>
        </w:rPr>
        <w:t xml:space="preserve">The adjustments provide significant relief for small and new banks, including in the following areas: capital and leverage requirements; liquidity requirements and their calculation; limits on </w:t>
      </w:r>
      <w:r w:rsidR="00025640" w:rsidRPr="007B69D9">
        <w:rPr>
          <w:rFonts w:ascii="Segoe UI" w:hAnsi="Segoe UI" w:cs="Segoe UI"/>
          <w:sz w:val="22"/>
          <w:szCs w:val="22"/>
        </w:rPr>
        <w:t>industry</w:t>
      </w:r>
      <w:r w:rsidRPr="007B69D9">
        <w:rPr>
          <w:rFonts w:ascii="Segoe UI" w:hAnsi="Segoe UI" w:cs="Segoe UI"/>
          <w:sz w:val="22"/>
          <w:szCs w:val="22"/>
        </w:rPr>
        <w:t xml:space="preserve"> and borrower concentration; the size and composition of the board of directors; the ability to consolidate functions within the bank’s organizational structure and outsource certain functions; risk management tools; and the flexibility to adopt business models suited to small and digital banks.</w:t>
      </w:r>
      <w:proofErr w:type="gramEnd"/>
      <w:r w:rsidRPr="007B69D9">
        <w:rPr>
          <w:rFonts w:ascii="Segoe UI" w:hAnsi="Segoe UI" w:cs="Segoe UI"/>
          <w:sz w:val="22"/>
          <w:szCs w:val="22"/>
        </w:rPr>
        <w:t xml:space="preserve"> These adjustments </w:t>
      </w:r>
      <w:proofErr w:type="gramStart"/>
      <w:r w:rsidRPr="007B69D9">
        <w:rPr>
          <w:rFonts w:ascii="Segoe UI" w:hAnsi="Segoe UI" w:cs="Segoe UI"/>
          <w:sz w:val="22"/>
          <w:szCs w:val="22"/>
        </w:rPr>
        <w:t>are designed</w:t>
      </w:r>
      <w:proofErr w:type="gramEnd"/>
      <w:r w:rsidRPr="007B69D9">
        <w:rPr>
          <w:rFonts w:ascii="Segoe UI" w:hAnsi="Segoe UI" w:cs="Segoe UI"/>
          <w:sz w:val="22"/>
          <w:szCs w:val="22"/>
        </w:rPr>
        <w:t xml:space="preserve"> to maintain financial stability and uphold principles of fair customer service.</w:t>
      </w:r>
    </w:p>
    <w:p w14:paraId="36AD7884" w14:textId="77777777" w:rsidR="00CC2D8C" w:rsidRPr="007B69D9" w:rsidRDefault="00CC2D8C" w:rsidP="00025640">
      <w:pPr>
        <w:pStyle w:val="NormalWeb"/>
        <w:jc w:val="both"/>
        <w:rPr>
          <w:rFonts w:ascii="Segoe UI" w:hAnsi="Segoe UI" w:cs="Segoe UI"/>
          <w:sz w:val="22"/>
          <w:szCs w:val="22"/>
        </w:rPr>
      </w:pPr>
      <w:r w:rsidRPr="007B69D9">
        <w:rPr>
          <w:rFonts w:ascii="Segoe UI" w:hAnsi="Segoe UI" w:cs="Segoe UI"/>
          <w:sz w:val="22"/>
          <w:szCs w:val="22"/>
        </w:rPr>
        <w:t xml:space="preserve">In addition to the adjustments included in this directive, legislative amendments </w:t>
      </w:r>
      <w:proofErr w:type="gramStart"/>
      <w:r w:rsidRPr="007B69D9">
        <w:rPr>
          <w:rFonts w:ascii="Segoe UI" w:hAnsi="Segoe UI" w:cs="Segoe UI"/>
          <w:sz w:val="22"/>
          <w:szCs w:val="22"/>
        </w:rPr>
        <w:t>are also being advanced</w:t>
      </w:r>
      <w:proofErr w:type="gramEnd"/>
      <w:r w:rsidRPr="007B69D9">
        <w:rPr>
          <w:rFonts w:ascii="Segoe UI" w:hAnsi="Segoe UI" w:cs="Segoe UI"/>
          <w:sz w:val="22"/>
          <w:szCs w:val="22"/>
        </w:rPr>
        <w:t xml:space="preserve"> to further remove barriers to the entry of small and new banks.</w:t>
      </w:r>
    </w:p>
    <w:p w14:paraId="37F52962" w14:textId="520D41E8" w:rsidR="00CC2D8C" w:rsidRPr="007B69D9" w:rsidRDefault="00CC2D8C" w:rsidP="00025640">
      <w:pPr>
        <w:pStyle w:val="NormalWeb"/>
        <w:jc w:val="both"/>
        <w:rPr>
          <w:rFonts w:ascii="Segoe UI" w:hAnsi="Segoe UI" w:cs="Segoe UI"/>
          <w:sz w:val="22"/>
          <w:szCs w:val="22"/>
        </w:rPr>
      </w:pPr>
      <w:r w:rsidRPr="007B69D9">
        <w:rPr>
          <w:rFonts w:ascii="Segoe UI" w:hAnsi="Segoe UI" w:cs="Segoe UI"/>
          <w:sz w:val="22"/>
          <w:szCs w:val="22"/>
        </w:rPr>
        <w:t xml:space="preserve">The new directive replaces Proper Conduct of Banking Business Directive No. 480, </w:t>
      </w:r>
      <w:r w:rsidRPr="007B69D9">
        <w:rPr>
          <w:rStyle w:val="af9"/>
          <w:rFonts w:ascii="Segoe UI" w:hAnsi="Segoe UI" w:cs="Segoe UI"/>
          <w:sz w:val="22"/>
          <w:szCs w:val="22"/>
        </w:rPr>
        <w:t>“Adjustments to the Proper Conduct of Banking Business Directives Applicable to a New Banking Corporation and a Banking Corporation in Formation,”</w:t>
      </w:r>
      <w:r w:rsidRPr="007B69D9">
        <w:rPr>
          <w:rFonts w:ascii="Segoe UI" w:hAnsi="Segoe UI" w:cs="Segoe UI"/>
          <w:sz w:val="22"/>
          <w:szCs w:val="22"/>
        </w:rPr>
        <w:t xml:space="preserve"> published in March 2020. The new draft expands the scope and </w:t>
      </w:r>
      <w:proofErr w:type="gramStart"/>
      <w:r w:rsidRPr="007B69D9">
        <w:rPr>
          <w:rFonts w:ascii="Segoe UI" w:hAnsi="Segoe UI" w:cs="Segoe UI"/>
          <w:sz w:val="22"/>
          <w:szCs w:val="22"/>
        </w:rPr>
        <w:t xml:space="preserve">content of the adjustments previously </w:t>
      </w:r>
      <w:r w:rsidR="00025640" w:rsidRPr="007B69D9">
        <w:rPr>
          <w:rFonts w:ascii="Segoe UI" w:hAnsi="Segoe UI" w:cs="Segoe UI"/>
          <w:sz w:val="22"/>
          <w:szCs w:val="22"/>
        </w:rPr>
        <w:t>made</w:t>
      </w:r>
      <w:r w:rsidRPr="007B69D9">
        <w:rPr>
          <w:rFonts w:ascii="Segoe UI" w:hAnsi="Segoe UI" w:cs="Segoe UI"/>
          <w:sz w:val="22"/>
          <w:szCs w:val="22"/>
        </w:rPr>
        <w:t xml:space="preserve"> under Directive 480 and will apply to both new and existing banks</w:t>
      </w:r>
      <w:proofErr w:type="gramEnd"/>
      <w:r w:rsidRPr="007B69D9">
        <w:rPr>
          <w:rFonts w:ascii="Segoe UI" w:hAnsi="Segoe UI" w:cs="Segoe UI"/>
          <w:sz w:val="22"/>
          <w:szCs w:val="22"/>
        </w:rPr>
        <w:t>.</w:t>
      </w:r>
    </w:p>
    <w:p w14:paraId="53416EBD" w14:textId="42EEB8BA" w:rsidR="00CC2D8C" w:rsidRPr="007B69D9" w:rsidRDefault="00CC2D8C" w:rsidP="00025640">
      <w:pPr>
        <w:pStyle w:val="NormalWeb"/>
        <w:jc w:val="both"/>
        <w:rPr>
          <w:rFonts w:ascii="Segoe UI" w:hAnsi="Segoe UI" w:cs="Segoe UI"/>
          <w:sz w:val="22"/>
          <w:szCs w:val="22"/>
        </w:rPr>
      </w:pPr>
      <w:proofErr w:type="gramStart"/>
      <w:r w:rsidRPr="007B69D9">
        <w:rPr>
          <w:rFonts w:ascii="Segoe UI" w:hAnsi="Segoe UI" w:cs="Segoe UI"/>
          <w:sz w:val="22"/>
          <w:szCs w:val="22"/>
        </w:rPr>
        <w:t>This step adds to a series of measures led by the Bank of Israel in recent years to promote competition and remove</w:t>
      </w:r>
      <w:r w:rsidR="00025640" w:rsidRPr="007B69D9">
        <w:rPr>
          <w:rFonts w:ascii="Segoe UI" w:hAnsi="Segoe UI" w:cs="Segoe UI"/>
          <w:sz w:val="22"/>
          <w:szCs w:val="22"/>
        </w:rPr>
        <w:t xml:space="preserve"> entry</w:t>
      </w:r>
      <w:r w:rsidRPr="007B69D9">
        <w:rPr>
          <w:rFonts w:ascii="Segoe UI" w:hAnsi="Segoe UI" w:cs="Segoe UI"/>
          <w:sz w:val="22"/>
          <w:szCs w:val="22"/>
        </w:rPr>
        <w:t xml:space="preserve"> barriers in the banking system, including: the “</w:t>
      </w:r>
      <w:r w:rsidR="00025640" w:rsidRPr="007B69D9">
        <w:rPr>
          <w:rFonts w:ascii="Segoe UI" w:hAnsi="Segoe UI" w:cs="Segoe UI"/>
          <w:sz w:val="22"/>
          <w:szCs w:val="22"/>
        </w:rPr>
        <w:t>One-Click Mobility</w:t>
      </w:r>
      <w:r w:rsidRPr="007B69D9">
        <w:rPr>
          <w:rFonts w:ascii="Segoe UI" w:hAnsi="Segoe UI" w:cs="Segoe UI"/>
          <w:sz w:val="22"/>
          <w:szCs w:val="22"/>
        </w:rPr>
        <w:t>” system, the implementation and advancement of open banking, support for the establishment of new banks, the creation of the credit data registry, and the publication of comparative information on deposit and loan interest rates through the “</w:t>
      </w:r>
      <w:r w:rsidR="00025640" w:rsidRPr="007B69D9">
        <w:rPr>
          <w:rFonts w:ascii="Segoe UI" w:hAnsi="Segoe UI" w:cs="Segoe UI"/>
          <w:sz w:val="22"/>
          <w:szCs w:val="22"/>
        </w:rPr>
        <w:t>Equalizer</w:t>
      </w:r>
      <w:r w:rsidRPr="007B69D9">
        <w:rPr>
          <w:rFonts w:ascii="Segoe UI" w:hAnsi="Segoe UI" w:cs="Segoe UI"/>
          <w:sz w:val="22"/>
          <w:szCs w:val="22"/>
        </w:rPr>
        <w:t>” website.</w:t>
      </w:r>
      <w:proofErr w:type="gramEnd"/>
      <w:r w:rsidRPr="007B69D9">
        <w:rPr>
          <w:rFonts w:ascii="Segoe UI" w:hAnsi="Segoe UI" w:cs="Segoe UI"/>
          <w:sz w:val="22"/>
          <w:szCs w:val="22"/>
        </w:rPr>
        <w:t xml:space="preserve"> These initiatives have already facilitated the establishment of two new banks in Israel—after more than 40 years in which no new banking license </w:t>
      </w:r>
      <w:proofErr w:type="gramStart"/>
      <w:r w:rsidRPr="007B69D9">
        <w:rPr>
          <w:rFonts w:ascii="Segoe UI" w:hAnsi="Segoe UI" w:cs="Segoe UI"/>
          <w:sz w:val="22"/>
          <w:szCs w:val="22"/>
        </w:rPr>
        <w:t>had been granted</w:t>
      </w:r>
      <w:proofErr w:type="gramEnd"/>
      <w:r w:rsidRPr="007B69D9">
        <w:rPr>
          <w:rFonts w:ascii="Segoe UI" w:hAnsi="Segoe UI" w:cs="Segoe UI"/>
          <w:sz w:val="22"/>
          <w:szCs w:val="22"/>
        </w:rPr>
        <w:t>.</w:t>
      </w:r>
    </w:p>
    <w:p w14:paraId="10423635" w14:textId="558D0CD3" w:rsidR="00CC2D8C" w:rsidRPr="007B69D9" w:rsidRDefault="00CC2D8C" w:rsidP="00025640">
      <w:pPr>
        <w:pStyle w:val="NormalWeb"/>
        <w:jc w:val="both"/>
        <w:rPr>
          <w:rFonts w:ascii="Segoe UI" w:hAnsi="Segoe UI" w:cs="Segoe UI"/>
          <w:sz w:val="22"/>
          <w:szCs w:val="22"/>
        </w:rPr>
      </w:pPr>
      <w:r w:rsidRPr="007B69D9">
        <w:rPr>
          <w:rFonts w:ascii="Segoe UI" w:hAnsi="Segoe UI" w:cs="Segoe UI"/>
          <w:sz w:val="22"/>
          <w:szCs w:val="22"/>
        </w:rPr>
        <w:t xml:space="preserve">The entry of new </w:t>
      </w:r>
      <w:r w:rsidR="00025640" w:rsidRPr="007B69D9">
        <w:rPr>
          <w:rFonts w:ascii="Segoe UI" w:hAnsi="Segoe UI" w:cs="Segoe UI"/>
          <w:sz w:val="22"/>
          <w:szCs w:val="22"/>
        </w:rPr>
        <w:t>participants</w:t>
      </w:r>
      <w:r w:rsidRPr="007B69D9">
        <w:rPr>
          <w:rFonts w:ascii="Segoe UI" w:hAnsi="Segoe UI" w:cs="Segoe UI"/>
          <w:sz w:val="22"/>
          <w:szCs w:val="22"/>
        </w:rPr>
        <w:t xml:space="preserve"> into the banking system is both an economic and public interest. The Banking Supervision Department intends to ensure that the business relationships between new licensed banks and existing banking corporations continue to operate smoothly.</w:t>
      </w:r>
    </w:p>
    <w:p w14:paraId="70E9C35A" w14:textId="77777777" w:rsidR="007B69D9" w:rsidRDefault="007B69D9" w:rsidP="00025640">
      <w:pPr>
        <w:spacing w:before="100" w:beforeAutospacing="1" w:after="100" w:afterAutospacing="1" w:line="240" w:lineRule="auto"/>
        <w:jc w:val="left"/>
        <w:outlineLvl w:val="2"/>
        <w:rPr>
          <w:rFonts w:ascii="Segoe UI" w:hAnsi="Segoe UI" w:cs="Segoe UI"/>
          <w:b/>
          <w:bCs/>
          <w:sz w:val="22"/>
          <w:szCs w:val="22"/>
        </w:rPr>
      </w:pPr>
    </w:p>
    <w:p w14:paraId="1C192BE8" w14:textId="77777777" w:rsidR="007B69D9" w:rsidRDefault="007B69D9" w:rsidP="00025640">
      <w:pPr>
        <w:spacing w:before="100" w:beforeAutospacing="1" w:after="100" w:afterAutospacing="1" w:line="240" w:lineRule="auto"/>
        <w:jc w:val="left"/>
        <w:outlineLvl w:val="2"/>
        <w:rPr>
          <w:rFonts w:ascii="Segoe UI" w:hAnsi="Segoe UI" w:cs="Segoe UI"/>
          <w:b/>
          <w:bCs/>
          <w:sz w:val="22"/>
          <w:szCs w:val="22"/>
        </w:rPr>
      </w:pPr>
    </w:p>
    <w:p w14:paraId="47ACD929" w14:textId="52F85672" w:rsidR="00025640" w:rsidRPr="00025640" w:rsidRDefault="00025640" w:rsidP="00025640">
      <w:pPr>
        <w:spacing w:before="100" w:beforeAutospacing="1" w:after="100" w:afterAutospacing="1" w:line="240" w:lineRule="auto"/>
        <w:jc w:val="left"/>
        <w:outlineLvl w:val="2"/>
        <w:rPr>
          <w:rFonts w:ascii="Segoe UI" w:hAnsi="Segoe UI" w:cs="Segoe UI"/>
          <w:b/>
          <w:bCs/>
          <w:sz w:val="22"/>
          <w:szCs w:val="22"/>
        </w:rPr>
      </w:pPr>
      <w:r w:rsidRPr="00025640">
        <w:rPr>
          <w:rFonts w:ascii="Segoe UI" w:hAnsi="Segoe UI" w:cs="Segoe UI"/>
          <w:b/>
          <w:bCs/>
          <w:sz w:val="22"/>
          <w:szCs w:val="22"/>
        </w:rPr>
        <w:lastRenderedPageBreak/>
        <w:t>What Are the Supervisory Tiers?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6"/>
        <w:gridCol w:w="2764"/>
        <w:gridCol w:w="4832"/>
      </w:tblGrid>
      <w:tr w:rsidR="00025640" w:rsidRPr="00025640" w14:paraId="70127A40" w14:textId="77777777" w:rsidTr="00025640">
        <w:trPr>
          <w:tblHeader/>
          <w:tblCellSpacing w:w="15" w:type="dxa"/>
        </w:trPr>
        <w:tc>
          <w:tcPr>
            <w:tcW w:w="0" w:type="auto"/>
            <w:vAlign w:val="center"/>
            <w:hideMark/>
          </w:tcPr>
          <w:p w14:paraId="4D13DE13" w14:textId="77777777" w:rsidR="00025640" w:rsidRPr="00025640" w:rsidRDefault="00025640" w:rsidP="00025640">
            <w:pPr>
              <w:spacing w:line="240" w:lineRule="auto"/>
              <w:jc w:val="center"/>
              <w:rPr>
                <w:rFonts w:ascii="Segoe UI" w:hAnsi="Segoe UI" w:cs="Segoe UI"/>
                <w:b/>
                <w:bCs/>
                <w:sz w:val="22"/>
                <w:szCs w:val="22"/>
              </w:rPr>
            </w:pPr>
            <w:r w:rsidRPr="0081064D">
              <w:rPr>
                <w:rFonts w:ascii="Segoe UI" w:hAnsi="Segoe UI" w:cs="Segoe UI"/>
                <w:b/>
                <w:bCs/>
                <w:sz w:val="22"/>
                <w:szCs w:val="22"/>
              </w:rPr>
              <w:t>Tier</w:t>
            </w:r>
          </w:p>
        </w:tc>
        <w:tc>
          <w:tcPr>
            <w:tcW w:w="0" w:type="auto"/>
            <w:vAlign w:val="center"/>
            <w:hideMark/>
          </w:tcPr>
          <w:p w14:paraId="0E3B5320" w14:textId="77777777" w:rsidR="00025640" w:rsidRPr="00025640" w:rsidRDefault="00025640" w:rsidP="00025640">
            <w:pPr>
              <w:spacing w:line="240" w:lineRule="auto"/>
              <w:jc w:val="center"/>
              <w:rPr>
                <w:rFonts w:ascii="Segoe UI" w:hAnsi="Segoe UI" w:cs="Segoe UI"/>
                <w:b/>
                <w:bCs/>
                <w:sz w:val="22"/>
                <w:szCs w:val="22"/>
              </w:rPr>
            </w:pPr>
            <w:r w:rsidRPr="0081064D">
              <w:rPr>
                <w:rFonts w:ascii="Segoe UI" w:hAnsi="Segoe UI" w:cs="Segoe UI"/>
                <w:b/>
                <w:bCs/>
                <w:sz w:val="22"/>
                <w:szCs w:val="22"/>
              </w:rPr>
              <w:t>Asset</w:t>
            </w:r>
            <w:r w:rsidRPr="0081064D">
              <w:rPr>
                <w:rFonts w:ascii="Segoe UI" w:hAnsi="Segoe UI" w:cs="Segoe UI"/>
                <w:b/>
                <w:bCs/>
                <w:sz w:val="22"/>
                <w:szCs w:val="22"/>
              </w:rPr>
              <w:noBreakHyphen/>
              <w:t>Based Limitation</w:t>
            </w:r>
          </w:p>
        </w:tc>
        <w:tc>
          <w:tcPr>
            <w:tcW w:w="0" w:type="auto"/>
            <w:vAlign w:val="center"/>
            <w:hideMark/>
          </w:tcPr>
          <w:p w14:paraId="14F0AC66" w14:textId="77777777" w:rsidR="00025640" w:rsidRPr="00025640" w:rsidRDefault="00025640" w:rsidP="00025640">
            <w:pPr>
              <w:spacing w:line="240" w:lineRule="auto"/>
              <w:jc w:val="center"/>
              <w:rPr>
                <w:rFonts w:ascii="Segoe UI" w:hAnsi="Segoe UI" w:cs="Segoe UI"/>
                <w:b/>
                <w:bCs/>
                <w:sz w:val="22"/>
                <w:szCs w:val="22"/>
              </w:rPr>
            </w:pPr>
            <w:r w:rsidRPr="0081064D">
              <w:rPr>
                <w:rFonts w:ascii="Segoe UI" w:hAnsi="Segoe UI" w:cs="Segoe UI"/>
                <w:b/>
                <w:bCs/>
                <w:sz w:val="22"/>
                <w:szCs w:val="22"/>
              </w:rPr>
              <w:t>Transition to the Next Tier</w:t>
            </w:r>
          </w:p>
        </w:tc>
      </w:tr>
      <w:tr w:rsidR="00025640" w:rsidRPr="00025640" w14:paraId="29A1311C" w14:textId="77777777" w:rsidTr="00025640">
        <w:trPr>
          <w:tblCellSpacing w:w="15" w:type="dxa"/>
        </w:trPr>
        <w:tc>
          <w:tcPr>
            <w:tcW w:w="0" w:type="auto"/>
            <w:vAlign w:val="center"/>
            <w:hideMark/>
          </w:tcPr>
          <w:p w14:paraId="0FE8E81B" w14:textId="77777777" w:rsidR="00025640" w:rsidRPr="00025640" w:rsidRDefault="00025640" w:rsidP="00025640">
            <w:pPr>
              <w:spacing w:line="240" w:lineRule="auto"/>
              <w:jc w:val="left"/>
              <w:rPr>
                <w:rFonts w:ascii="Segoe UI" w:hAnsi="Segoe UI" w:cs="Segoe UI"/>
                <w:sz w:val="22"/>
                <w:szCs w:val="22"/>
              </w:rPr>
            </w:pPr>
            <w:r w:rsidRPr="0081064D">
              <w:rPr>
                <w:rFonts w:ascii="Segoe UI" w:hAnsi="Segoe UI" w:cs="Segoe UI"/>
                <w:b/>
                <w:bCs/>
                <w:sz w:val="22"/>
                <w:szCs w:val="22"/>
              </w:rPr>
              <w:t>Supervisory Tier 1</w:t>
            </w:r>
          </w:p>
        </w:tc>
        <w:tc>
          <w:tcPr>
            <w:tcW w:w="0" w:type="auto"/>
            <w:vAlign w:val="center"/>
            <w:hideMark/>
          </w:tcPr>
          <w:p w14:paraId="751D1B36" w14:textId="029DACB7" w:rsidR="00025640" w:rsidRPr="00025640" w:rsidRDefault="00025640" w:rsidP="00025640">
            <w:pPr>
              <w:spacing w:line="240" w:lineRule="auto"/>
              <w:jc w:val="left"/>
              <w:rPr>
                <w:rFonts w:ascii="Segoe UI" w:hAnsi="Segoe UI" w:cs="Segoe UI"/>
                <w:sz w:val="22"/>
                <w:szCs w:val="22"/>
              </w:rPr>
            </w:pPr>
            <w:r w:rsidRPr="00025640">
              <w:rPr>
                <w:rFonts w:ascii="Segoe UI" w:hAnsi="Segoe UI" w:cs="Segoe UI"/>
                <w:sz w:val="22"/>
                <w:szCs w:val="22"/>
              </w:rPr>
              <w:t xml:space="preserve">The bank’s total assets </w:t>
            </w:r>
            <w:r w:rsidRPr="0081064D">
              <w:rPr>
                <w:rFonts w:ascii="Segoe UI" w:hAnsi="Segoe UI" w:cs="Segoe UI"/>
                <w:sz w:val="22"/>
                <w:szCs w:val="22"/>
              </w:rPr>
              <w:t>total</w:t>
            </w:r>
            <w:r w:rsidRPr="00025640">
              <w:rPr>
                <w:rFonts w:ascii="Segoe UI" w:hAnsi="Segoe UI" w:cs="Segoe UI"/>
                <w:sz w:val="22"/>
                <w:szCs w:val="22"/>
              </w:rPr>
              <w:t xml:space="preserve"> up to NIS 15 billion.</w:t>
            </w:r>
          </w:p>
        </w:tc>
        <w:tc>
          <w:tcPr>
            <w:tcW w:w="0" w:type="auto"/>
            <w:vAlign w:val="center"/>
            <w:hideMark/>
          </w:tcPr>
          <w:p w14:paraId="78A9EACA" w14:textId="77777777" w:rsidR="00025640" w:rsidRPr="00025640" w:rsidRDefault="00025640" w:rsidP="00025640">
            <w:pPr>
              <w:spacing w:line="240" w:lineRule="auto"/>
              <w:jc w:val="left"/>
              <w:rPr>
                <w:rFonts w:ascii="Segoe UI" w:hAnsi="Segoe UI" w:cs="Segoe UI"/>
                <w:sz w:val="22"/>
                <w:szCs w:val="22"/>
              </w:rPr>
            </w:pPr>
            <w:r w:rsidRPr="00025640">
              <w:rPr>
                <w:rFonts w:ascii="Segoe UI" w:hAnsi="Segoe UI" w:cs="Segoe UI"/>
                <w:sz w:val="22"/>
                <w:szCs w:val="22"/>
              </w:rPr>
              <w:t xml:space="preserve">When the </w:t>
            </w:r>
            <w:proofErr w:type="gramStart"/>
            <w:r w:rsidRPr="00025640">
              <w:rPr>
                <w:rFonts w:ascii="Segoe UI" w:hAnsi="Segoe UI" w:cs="Segoe UI"/>
                <w:sz w:val="22"/>
                <w:szCs w:val="22"/>
              </w:rPr>
              <w:t>bank’s</w:t>
            </w:r>
            <w:proofErr w:type="gramEnd"/>
            <w:r w:rsidRPr="00025640">
              <w:rPr>
                <w:rFonts w:ascii="Segoe UI" w:hAnsi="Segoe UI" w:cs="Segoe UI"/>
                <w:sz w:val="22"/>
                <w:szCs w:val="22"/>
              </w:rPr>
              <w:t xml:space="preserve"> total assets reach NIS 15 billion, the Supervisor of Banks may consider granting the bank a transition period to Supervisory Tier 2 for up to two years.</w:t>
            </w:r>
          </w:p>
        </w:tc>
      </w:tr>
      <w:tr w:rsidR="00025640" w:rsidRPr="00025640" w14:paraId="0D5D07AB" w14:textId="77777777" w:rsidTr="00025640">
        <w:trPr>
          <w:tblCellSpacing w:w="15" w:type="dxa"/>
        </w:trPr>
        <w:tc>
          <w:tcPr>
            <w:tcW w:w="0" w:type="auto"/>
            <w:vAlign w:val="center"/>
            <w:hideMark/>
          </w:tcPr>
          <w:p w14:paraId="27E5BE0A" w14:textId="77777777" w:rsidR="00025640" w:rsidRPr="00025640" w:rsidRDefault="00025640" w:rsidP="00025640">
            <w:pPr>
              <w:spacing w:line="240" w:lineRule="auto"/>
              <w:jc w:val="left"/>
              <w:rPr>
                <w:rFonts w:ascii="Segoe UI" w:hAnsi="Segoe UI" w:cs="Segoe UI"/>
                <w:sz w:val="22"/>
                <w:szCs w:val="22"/>
              </w:rPr>
            </w:pPr>
            <w:r w:rsidRPr="0081064D">
              <w:rPr>
                <w:rFonts w:ascii="Segoe UI" w:hAnsi="Segoe UI" w:cs="Segoe UI"/>
                <w:b/>
                <w:bCs/>
                <w:sz w:val="22"/>
                <w:szCs w:val="22"/>
              </w:rPr>
              <w:t>Supervisory Tier 2</w:t>
            </w:r>
          </w:p>
        </w:tc>
        <w:tc>
          <w:tcPr>
            <w:tcW w:w="0" w:type="auto"/>
            <w:vAlign w:val="center"/>
            <w:hideMark/>
          </w:tcPr>
          <w:p w14:paraId="33B84852" w14:textId="77777777" w:rsidR="00025640" w:rsidRPr="00025640" w:rsidRDefault="00025640" w:rsidP="00025640">
            <w:pPr>
              <w:spacing w:line="240" w:lineRule="auto"/>
              <w:jc w:val="left"/>
              <w:rPr>
                <w:rFonts w:ascii="Segoe UI" w:hAnsi="Segoe UI" w:cs="Segoe UI"/>
                <w:sz w:val="22"/>
                <w:szCs w:val="22"/>
              </w:rPr>
            </w:pPr>
            <w:r w:rsidRPr="00025640">
              <w:rPr>
                <w:rFonts w:ascii="Segoe UI" w:hAnsi="Segoe UI" w:cs="Segoe UI"/>
                <w:sz w:val="22"/>
                <w:szCs w:val="22"/>
              </w:rPr>
              <w:t>The bank’s total assets exceed NIS 15 billion and are less than NIS 50 billion.</w:t>
            </w:r>
          </w:p>
        </w:tc>
        <w:tc>
          <w:tcPr>
            <w:tcW w:w="0" w:type="auto"/>
            <w:vAlign w:val="center"/>
            <w:hideMark/>
          </w:tcPr>
          <w:p w14:paraId="3FBB3E97" w14:textId="77777777" w:rsidR="00025640" w:rsidRPr="00025640" w:rsidRDefault="00025640" w:rsidP="00025640">
            <w:pPr>
              <w:spacing w:line="240" w:lineRule="auto"/>
              <w:jc w:val="left"/>
              <w:rPr>
                <w:rFonts w:ascii="Segoe UI" w:hAnsi="Segoe UI" w:cs="Segoe UI"/>
                <w:sz w:val="22"/>
                <w:szCs w:val="22"/>
              </w:rPr>
            </w:pPr>
            <w:r w:rsidRPr="00025640">
              <w:rPr>
                <w:rFonts w:ascii="Segoe UI" w:hAnsi="Segoe UI" w:cs="Segoe UI"/>
                <w:sz w:val="22"/>
                <w:szCs w:val="22"/>
              </w:rPr>
              <w:t xml:space="preserve">When the </w:t>
            </w:r>
            <w:proofErr w:type="gramStart"/>
            <w:r w:rsidRPr="00025640">
              <w:rPr>
                <w:rFonts w:ascii="Segoe UI" w:hAnsi="Segoe UI" w:cs="Segoe UI"/>
                <w:sz w:val="22"/>
                <w:szCs w:val="22"/>
              </w:rPr>
              <w:t>bank’s</w:t>
            </w:r>
            <w:proofErr w:type="gramEnd"/>
            <w:r w:rsidRPr="00025640">
              <w:rPr>
                <w:rFonts w:ascii="Segoe UI" w:hAnsi="Segoe UI" w:cs="Segoe UI"/>
                <w:sz w:val="22"/>
                <w:szCs w:val="22"/>
              </w:rPr>
              <w:t xml:space="preserve"> total assets reach NIS 50 billion, the Supervisor of Banks may consider granting the bank a transition period to Supervisory Tier 3 for up to two years.</w:t>
            </w:r>
          </w:p>
        </w:tc>
      </w:tr>
      <w:tr w:rsidR="00025640" w:rsidRPr="00025640" w14:paraId="7C37BB55" w14:textId="77777777" w:rsidTr="00025640">
        <w:trPr>
          <w:tblCellSpacing w:w="15" w:type="dxa"/>
        </w:trPr>
        <w:tc>
          <w:tcPr>
            <w:tcW w:w="0" w:type="auto"/>
            <w:vAlign w:val="center"/>
            <w:hideMark/>
          </w:tcPr>
          <w:p w14:paraId="44FBD24F" w14:textId="77777777" w:rsidR="00025640" w:rsidRPr="00025640" w:rsidRDefault="00025640" w:rsidP="00025640">
            <w:pPr>
              <w:spacing w:line="240" w:lineRule="auto"/>
              <w:jc w:val="left"/>
              <w:rPr>
                <w:rFonts w:ascii="Segoe UI" w:hAnsi="Segoe UI" w:cs="Segoe UI"/>
                <w:sz w:val="22"/>
                <w:szCs w:val="22"/>
              </w:rPr>
            </w:pPr>
            <w:r w:rsidRPr="0081064D">
              <w:rPr>
                <w:rFonts w:ascii="Segoe UI" w:hAnsi="Segoe UI" w:cs="Segoe UI"/>
                <w:b/>
                <w:bCs/>
                <w:sz w:val="22"/>
                <w:szCs w:val="22"/>
              </w:rPr>
              <w:t>Supervisory Tier 3</w:t>
            </w:r>
          </w:p>
        </w:tc>
        <w:tc>
          <w:tcPr>
            <w:tcW w:w="0" w:type="auto"/>
            <w:vAlign w:val="center"/>
            <w:hideMark/>
          </w:tcPr>
          <w:p w14:paraId="0BBFFA78" w14:textId="77777777" w:rsidR="00025640" w:rsidRPr="00025640" w:rsidRDefault="00025640" w:rsidP="00025640">
            <w:pPr>
              <w:spacing w:line="240" w:lineRule="auto"/>
              <w:jc w:val="left"/>
              <w:rPr>
                <w:rFonts w:ascii="Segoe UI" w:hAnsi="Segoe UI" w:cs="Segoe UI"/>
                <w:sz w:val="22"/>
                <w:szCs w:val="22"/>
              </w:rPr>
            </w:pPr>
            <w:r w:rsidRPr="00025640">
              <w:rPr>
                <w:rFonts w:ascii="Segoe UI" w:hAnsi="Segoe UI" w:cs="Segoe UI"/>
                <w:sz w:val="22"/>
                <w:szCs w:val="22"/>
              </w:rPr>
              <w:t>The bank’s total assets exceed NIS 50 billion.</w:t>
            </w:r>
          </w:p>
        </w:tc>
        <w:tc>
          <w:tcPr>
            <w:tcW w:w="0" w:type="auto"/>
            <w:vAlign w:val="center"/>
            <w:hideMark/>
          </w:tcPr>
          <w:p w14:paraId="5EF871EF" w14:textId="77777777" w:rsidR="00025640" w:rsidRPr="00025640" w:rsidRDefault="00025640" w:rsidP="00025640">
            <w:pPr>
              <w:spacing w:line="240" w:lineRule="auto"/>
              <w:jc w:val="left"/>
              <w:rPr>
                <w:rFonts w:ascii="Segoe UI" w:hAnsi="Segoe UI" w:cs="Segoe UI"/>
                <w:sz w:val="22"/>
                <w:szCs w:val="22"/>
              </w:rPr>
            </w:pPr>
            <w:r w:rsidRPr="00025640">
              <w:rPr>
                <w:rFonts w:ascii="Segoe UI" w:hAnsi="Segoe UI" w:cs="Segoe UI"/>
                <w:sz w:val="22"/>
                <w:szCs w:val="22"/>
              </w:rPr>
              <w:t>—</w:t>
            </w:r>
          </w:p>
        </w:tc>
      </w:tr>
    </w:tbl>
    <w:p w14:paraId="011AA019" w14:textId="75F7A40C" w:rsidR="00025640" w:rsidRPr="00025640" w:rsidRDefault="00025640" w:rsidP="00025640">
      <w:pPr>
        <w:spacing w:line="240" w:lineRule="auto"/>
        <w:jc w:val="left"/>
        <w:rPr>
          <w:rFonts w:ascii="Segoe UI" w:hAnsi="Segoe UI" w:cs="Segoe UI"/>
        </w:rPr>
      </w:pPr>
    </w:p>
    <w:p w14:paraId="757C8811" w14:textId="13BFE375" w:rsidR="00025640" w:rsidRPr="00025640" w:rsidRDefault="00025640" w:rsidP="00025640">
      <w:pPr>
        <w:spacing w:before="100" w:beforeAutospacing="1" w:after="100" w:afterAutospacing="1" w:line="240" w:lineRule="auto"/>
        <w:jc w:val="left"/>
        <w:outlineLvl w:val="2"/>
        <w:rPr>
          <w:rFonts w:ascii="Segoe UI" w:hAnsi="Segoe UI" w:cs="Segoe UI"/>
          <w:b/>
          <w:bCs/>
          <w:sz w:val="22"/>
          <w:szCs w:val="22"/>
        </w:rPr>
      </w:pPr>
      <w:r w:rsidRPr="00025640">
        <w:rPr>
          <w:rFonts w:ascii="Segoe UI" w:hAnsi="Segoe UI" w:cs="Segoe UI"/>
          <w:b/>
          <w:bCs/>
          <w:sz w:val="22"/>
          <w:szCs w:val="22"/>
        </w:rPr>
        <w:t>What Are the Preparatory Stages for a New Bank</w:t>
      </w:r>
      <w:r w:rsidRPr="0081064D">
        <w:rPr>
          <w:rFonts w:ascii="Segoe UI" w:hAnsi="Segoe UI" w:cs="Segoe UI"/>
          <w:b/>
          <w:bCs/>
          <w:sz w:val="22"/>
          <w:szCs w:val="22"/>
        </w:rPr>
        <w:t xml:space="preserve"> to Receive a License</w:t>
      </w:r>
      <w:r w:rsidRPr="00025640">
        <w:rPr>
          <w:rFonts w:ascii="Segoe UI" w:hAnsi="Segoe UI" w:cs="Segoe UI"/>
          <w:b/>
          <w:bCs/>
          <w:sz w:val="22"/>
          <w:szCs w:val="22"/>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6"/>
        <w:gridCol w:w="2084"/>
        <w:gridCol w:w="2222"/>
        <w:gridCol w:w="3110"/>
      </w:tblGrid>
      <w:tr w:rsidR="00025640" w:rsidRPr="0081064D" w14:paraId="6D7E4FB7" w14:textId="77777777" w:rsidTr="00025640">
        <w:trPr>
          <w:tblHeader/>
          <w:tblCellSpacing w:w="15" w:type="dxa"/>
        </w:trPr>
        <w:tc>
          <w:tcPr>
            <w:tcW w:w="0" w:type="auto"/>
            <w:vAlign w:val="center"/>
            <w:hideMark/>
          </w:tcPr>
          <w:p w14:paraId="457CDBBA" w14:textId="77777777" w:rsidR="00025640" w:rsidRPr="00025640" w:rsidRDefault="00025640" w:rsidP="00025640">
            <w:pPr>
              <w:spacing w:line="240" w:lineRule="auto"/>
              <w:jc w:val="center"/>
              <w:rPr>
                <w:rFonts w:ascii="Segoe UI" w:hAnsi="Segoe UI" w:cs="Segoe UI"/>
                <w:b/>
                <w:bCs/>
                <w:sz w:val="22"/>
                <w:szCs w:val="22"/>
              </w:rPr>
            </w:pPr>
            <w:r w:rsidRPr="0081064D">
              <w:rPr>
                <w:rFonts w:ascii="Segoe UI" w:hAnsi="Segoe UI" w:cs="Segoe UI"/>
                <w:b/>
                <w:bCs/>
                <w:sz w:val="22"/>
                <w:szCs w:val="22"/>
              </w:rPr>
              <w:t>Stage</w:t>
            </w:r>
          </w:p>
        </w:tc>
        <w:tc>
          <w:tcPr>
            <w:tcW w:w="0" w:type="auto"/>
            <w:vAlign w:val="center"/>
            <w:hideMark/>
          </w:tcPr>
          <w:p w14:paraId="620654FF" w14:textId="77777777" w:rsidR="00025640" w:rsidRPr="00025640" w:rsidRDefault="00025640" w:rsidP="00025640">
            <w:pPr>
              <w:spacing w:line="240" w:lineRule="auto"/>
              <w:jc w:val="center"/>
              <w:rPr>
                <w:rFonts w:ascii="Segoe UI" w:hAnsi="Segoe UI" w:cs="Segoe UI"/>
                <w:b/>
                <w:bCs/>
                <w:sz w:val="22"/>
                <w:szCs w:val="22"/>
              </w:rPr>
            </w:pPr>
            <w:r w:rsidRPr="0081064D">
              <w:rPr>
                <w:rFonts w:ascii="Segoe UI" w:hAnsi="Segoe UI" w:cs="Segoe UI"/>
                <w:b/>
                <w:bCs/>
                <w:sz w:val="22"/>
                <w:szCs w:val="22"/>
              </w:rPr>
              <w:t>Applies To</w:t>
            </w:r>
          </w:p>
        </w:tc>
        <w:tc>
          <w:tcPr>
            <w:tcW w:w="0" w:type="auto"/>
            <w:vAlign w:val="center"/>
            <w:hideMark/>
          </w:tcPr>
          <w:p w14:paraId="27F7A017" w14:textId="77777777" w:rsidR="00025640" w:rsidRPr="00025640" w:rsidRDefault="00025640" w:rsidP="00025640">
            <w:pPr>
              <w:spacing w:line="240" w:lineRule="auto"/>
              <w:jc w:val="center"/>
              <w:rPr>
                <w:rFonts w:ascii="Segoe UI" w:hAnsi="Segoe UI" w:cs="Segoe UI"/>
                <w:b/>
                <w:bCs/>
                <w:sz w:val="22"/>
                <w:szCs w:val="22"/>
              </w:rPr>
            </w:pPr>
            <w:r w:rsidRPr="0081064D">
              <w:rPr>
                <w:rFonts w:ascii="Segoe UI" w:hAnsi="Segoe UI" w:cs="Segoe UI"/>
                <w:b/>
                <w:bCs/>
                <w:sz w:val="22"/>
                <w:szCs w:val="22"/>
              </w:rPr>
              <w:t>Activity Limitations</w:t>
            </w:r>
          </w:p>
        </w:tc>
        <w:tc>
          <w:tcPr>
            <w:tcW w:w="0" w:type="auto"/>
            <w:vAlign w:val="center"/>
            <w:hideMark/>
          </w:tcPr>
          <w:p w14:paraId="61C569F2" w14:textId="77777777" w:rsidR="00025640" w:rsidRPr="00025640" w:rsidRDefault="00025640" w:rsidP="00025640">
            <w:pPr>
              <w:spacing w:line="240" w:lineRule="auto"/>
              <w:jc w:val="center"/>
              <w:rPr>
                <w:rFonts w:ascii="Segoe UI" w:hAnsi="Segoe UI" w:cs="Segoe UI"/>
                <w:b/>
                <w:bCs/>
                <w:sz w:val="22"/>
                <w:szCs w:val="22"/>
              </w:rPr>
            </w:pPr>
            <w:r w:rsidRPr="0081064D">
              <w:rPr>
                <w:rFonts w:ascii="Segoe UI" w:hAnsi="Segoe UI" w:cs="Segoe UI"/>
                <w:b/>
                <w:bCs/>
                <w:sz w:val="22"/>
                <w:szCs w:val="22"/>
              </w:rPr>
              <w:t>Time Limitation</w:t>
            </w:r>
          </w:p>
        </w:tc>
      </w:tr>
      <w:tr w:rsidR="00025640" w:rsidRPr="0081064D" w14:paraId="44DB04B3" w14:textId="77777777" w:rsidTr="00025640">
        <w:trPr>
          <w:tblCellSpacing w:w="15" w:type="dxa"/>
        </w:trPr>
        <w:tc>
          <w:tcPr>
            <w:tcW w:w="0" w:type="auto"/>
            <w:vAlign w:val="center"/>
            <w:hideMark/>
          </w:tcPr>
          <w:p w14:paraId="21C5016A" w14:textId="77777777" w:rsidR="00025640" w:rsidRPr="00025640" w:rsidRDefault="00025640" w:rsidP="00025640">
            <w:pPr>
              <w:spacing w:line="240" w:lineRule="auto"/>
              <w:jc w:val="left"/>
              <w:rPr>
                <w:rFonts w:ascii="Segoe UI" w:hAnsi="Segoe UI" w:cs="Segoe UI"/>
                <w:sz w:val="22"/>
                <w:szCs w:val="22"/>
              </w:rPr>
            </w:pPr>
            <w:r w:rsidRPr="0081064D">
              <w:rPr>
                <w:rFonts w:ascii="Segoe UI" w:hAnsi="Segoe UI" w:cs="Segoe UI"/>
                <w:b/>
                <w:bCs/>
                <w:sz w:val="22"/>
                <w:szCs w:val="22"/>
              </w:rPr>
              <w:t>Preparatory Stage for Supervisory Tier 1</w:t>
            </w:r>
          </w:p>
        </w:tc>
        <w:tc>
          <w:tcPr>
            <w:tcW w:w="0" w:type="auto"/>
            <w:vAlign w:val="center"/>
            <w:hideMark/>
          </w:tcPr>
          <w:p w14:paraId="1DD40292" w14:textId="77777777" w:rsidR="00025640" w:rsidRPr="00025640" w:rsidRDefault="00025640" w:rsidP="00025640">
            <w:pPr>
              <w:spacing w:line="240" w:lineRule="auto"/>
              <w:jc w:val="left"/>
              <w:rPr>
                <w:rFonts w:ascii="Segoe UI" w:hAnsi="Segoe UI" w:cs="Segoe UI"/>
                <w:sz w:val="22"/>
                <w:szCs w:val="22"/>
              </w:rPr>
            </w:pPr>
            <w:r w:rsidRPr="00025640">
              <w:rPr>
                <w:rFonts w:ascii="Segoe UI" w:hAnsi="Segoe UI" w:cs="Segoe UI"/>
                <w:sz w:val="22"/>
                <w:szCs w:val="22"/>
              </w:rPr>
              <w:t xml:space="preserve">A corporation </w:t>
            </w:r>
            <w:proofErr w:type="gramStart"/>
            <w:r w:rsidRPr="00025640">
              <w:rPr>
                <w:rFonts w:ascii="Segoe UI" w:hAnsi="Segoe UI" w:cs="Segoe UI"/>
                <w:sz w:val="22"/>
                <w:szCs w:val="22"/>
              </w:rPr>
              <w:t>that has received a banking license and is</w:t>
            </w:r>
            <w:proofErr w:type="gramEnd"/>
            <w:r w:rsidRPr="00025640">
              <w:rPr>
                <w:rFonts w:ascii="Segoe UI" w:hAnsi="Segoe UI" w:cs="Segoe UI"/>
                <w:sz w:val="22"/>
                <w:szCs w:val="22"/>
              </w:rPr>
              <w:t xml:space="preserve"> expected to enter Supervisory Tier 1.</w:t>
            </w:r>
          </w:p>
        </w:tc>
        <w:tc>
          <w:tcPr>
            <w:tcW w:w="0" w:type="auto"/>
            <w:vAlign w:val="center"/>
            <w:hideMark/>
          </w:tcPr>
          <w:p w14:paraId="69736451" w14:textId="3B93C9DF" w:rsidR="00025640" w:rsidRPr="00025640" w:rsidRDefault="00025640" w:rsidP="00025640">
            <w:pPr>
              <w:spacing w:line="240" w:lineRule="auto"/>
              <w:jc w:val="left"/>
              <w:rPr>
                <w:rFonts w:ascii="Segoe UI" w:hAnsi="Segoe UI" w:cs="Segoe UI"/>
                <w:sz w:val="22"/>
                <w:szCs w:val="22"/>
              </w:rPr>
            </w:pPr>
            <w:r w:rsidRPr="00025640">
              <w:rPr>
                <w:rFonts w:ascii="Segoe UI" w:hAnsi="Segoe UI" w:cs="Segoe UI"/>
                <w:sz w:val="22"/>
                <w:szCs w:val="22"/>
              </w:rPr>
              <w:t xml:space="preserve">The bank’s total assets </w:t>
            </w:r>
            <w:r w:rsidRPr="0081064D">
              <w:rPr>
                <w:rFonts w:ascii="Segoe UI" w:hAnsi="Segoe UI" w:cs="Segoe UI"/>
                <w:sz w:val="22"/>
                <w:szCs w:val="22"/>
              </w:rPr>
              <w:t>total</w:t>
            </w:r>
            <w:r w:rsidRPr="00025640">
              <w:rPr>
                <w:rFonts w:ascii="Segoe UI" w:hAnsi="Segoe UI" w:cs="Segoe UI"/>
                <w:sz w:val="22"/>
                <w:szCs w:val="22"/>
              </w:rPr>
              <w:t xml:space="preserve"> up to</w:t>
            </w:r>
            <w:r w:rsidRPr="0081064D">
              <w:rPr>
                <w:rFonts w:ascii="Segoe UI" w:hAnsi="Segoe UI" w:cs="Segoe UI"/>
                <w:sz w:val="22"/>
                <w:szCs w:val="22"/>
              </w:rPr>
              <w:t xml:space="preserve"> NIS 15 billion</w:t>
            </w:r>
            <w:r w:rsidRPr="00025640">
              <w:rPr>
                <w:rFonts w:ascii="Segoe UI" w:hAnsi="Segoe UI" w:cs="Segoe UI"/>
                <w:sz w:val="22"/>
                <w:szCs w:val="22"/>
              </w:rPr>
              <w:t xml:space="preserve">, and its total deposits </w:t>
            </w:r>
            <w:r w:rsidRPr="0081064D">
              <w:rPr>
                <w:rFonts w:ascii="Segoe UI" w:hAnsi="Segoe UI" w:cs="Segoe UI"/>
                <w:sz w:val="22"/>
                <w:szCs w:val="22"/>
              </w:rPr>
              <w:t>total up</w:t>
            </w:r>
            <w:r w:rsidRPr="00025640">
              <w:rPr>
                <w:rFonts w:ascii="Segoe UI" w:hAnsi="Segoe UI" w:cs="Segoe UI"/>
                <w:sz w:val="22"/>
                <w:szCs w:val="22"/>
              </w:rPr>
              <w:t xml:space="preserve"> to NIS 2 billion.</w:t>
            </w:r>
          </w:p>
        </w:tc>
        <w:tc>
          <w:tcPr>
            <w:tcW w:w="0" w:type="auto"/>
            <w:vAlign w:val="center"/>
            <w:hideMark/>
          </w:tcPr>
          <w:p w14:paraId="0ADC69FF" w14:textId="77777777" w:rsidR="00025640" w:rsidRPr="00025640" w:rsidRDefault="00025640" w:rsidP="00025640">
            <w:pPr>
              <w:spacing w:line="240" w:lineRule="auto"/>
              <w:jc w:val="left"/>
              <w:rPr>
                <w:rFonts w:ascii="Segoe UI" w:hAnsi="Segoe UI" w:cs="Segoe UI"/>
                <w:sz w:val="22"/>
                <w:szCs w:val="22"/>
              </w:rPr>
            </w:pPr>
            <w:r w:rsidRPr="00025640">
              <w:rPr>
                <w:rFonts w:ascii="Segoe UI" w:hAnsi="Segoe UI" w:cs="Segoe UI"/>
                <w:sz w:val="22"/>
                <w:szCs w:val="22"/>
              </w:rPr>
              <w:t xml:space="preserve">The stage will last up to three years. The Supervisor of Banks may consider extending the stage for up to an additional two years, </w:t>
            </w:r>
            <w:proofErr w:type="gramStart"/>
            <w:r w:rsidRPr="00025640">
              <w:rPr>
                <w:rFonts w:ascii="Segoe UI" w:hAnsi="Segoe UI" w:cs="Segoe UI"/>
                <w:sz w:val="22"/>
                <w:szCs w:val="22"/>
              </w:rPr>
              <w:t>provided that</w:t>
            </w:r>
            <w:proofErr w:type="gramEnd"/>
            <w:r w:rsidRPr="00025640">
              <w:rPr>
                <w:rFonts w:ascii="Segoe UI" w:hAnsi="Segoe UI" w:cs="Segoe UI"/>
                <w:sz w:val="22"/>
                <w:szCs w:val="22"/>
              </w:rPr>
              <w:t xml:space="preserve"> total deposits do not exceed NIS 5 billion.</w:t>
            </w:r>
          </w:p>
        </w:tc>
      </w:tr>
      <w:tr w:rsidR="00025640" w:rsidRPr="0081064D" w14:paraId="4E71EADB" w14:textId="77777777" w:rsidTr="00025640">
        <w:trPr>
          <w:tblCellSpacing w:w="15" w:type="dxa"/>
        </w:trPr>
        <w:tc>
          <w:tcPr>
            <w:tcW w:w="0" w:type="auto"/>
            <w:vAlign w:val="center"/>
            <w:hideMark/>
          </w:tcPr>
          <w:p w14:paraId="21500F2F" w14:textId="77777777" w:rsidR="00025640" w:rsidRPr="00025640" w:rsidRDefault="00025640" w:rsidP="00025640">
            <w:pPr>
              <w:spacing w:line="240" w:lineRule="auto"/>
              <w:jc w:val="left"/>
              <w:rPr>
                <w:rFonts w:ascii="Segoe UI" w:hAnsi="Segoe UI" w:cs="Segoe UI"/>
                <w:sz w:val="22"/>
                <w:szCs w:val="22"/>
              </w:rPr>
            </w:pPr>
            <w:r w:rsidRPr="0081064D">
              <w:rPr>
                <w:rFonts w:ascii="Segoe UI" w:hAnsi="Segoe UI" w:cs="Segoe UI"/>
                <w:b/>
                <w:bCs/>
                <w:sz w:val="22"/>
                <w:szCs w:val="22"/>
              </w:rPr>
              <w:t>Preparatory Stage for Supervisory Tier 2</w:t>
            </w:r>
          </w:p>
        </w:tc>
        <w:tc>
          <w:tcPr>
            <w:tcW w:w="0" w:type="auto"/>
            <w:vAlign w:val="center"/>
            <w:hideMark/>
          </w:tcPr>
          <w:p w14:paraId="176354D8" w14:textId="77777777" w:rsidR="00025640" w:rsidRPr="00025640" w:rsidRDefault="00025640" w:rsidP="00025640">
            <w:pPr>
              <w:spacing w:line="240" w:lineRule="auto"/>
              <w:jc w:val="left"/>
              <w:rPr>
                <w:rFonts w:ascii="Segoe UI" w:hAnsi="Segoe UI" w:cs="Segoe UI"/>
                <w:sz w:val="22"/>
                <w:szCs w:val="22"/>
              </w:rPr>
            </w:pPr>
            <w:r w:rsidRPr="00025640">
              <w:rPr>
                <w:rFonts w:ascii="Segoe UI" w:hAnsi="Segoe UI" w:cs="Segoe UI"/>
                <w:sz w:val="22"/>
                <w:szCs w:val="22"/>
              </w:rPr>
              <w:t xml:space="preserve">A corporation </w:t>
            </w:r>
            <w:proofErr w:type="gramStart"/>
            <w:r w:rsidRPr="00025640">
              <w:rPr>
                <w:rFonts w:ascii="Segoe UI" w:hAnsi="Segoe UI" w:cs="Segoe UI"/>
                <w:sz w:val="22"/>
                <w:szCs w:val="22"/>
              </w:rPr>
              <w:t>that has received a banking license and is</w:t>
            </w:r>
            <w:proofErr w:type="gramEnd"/>
            <w:r w:rsidRPr="00025640">
              <w:rPr>
                <w:rFonts w:ascii="Segoe UI" w:hAnsi="Segoe UI" w:cs="Segoe UI"/>
                <w:sz w:val="22"/>
                <w:szCs w:val="22"/>
              </w:rPr>
              <w:t xml:space="preserve"> expected to enter Supervisory Tier 2.</w:t>
            </w:r>
          </w:p>
        </w:tc>
        <w:tc>
          <w:tcPr>
            <w:tcW w:w="0" w:type="auto"/>
            <w:vAlign w:val="center"/>
            <w:hideMark/>
          </w:tcPr>
          <w:p w14:paraId="58BAA2FB" w14:textId="77777777" w:rsidR="00025640" w:rsidRPr="00025640" w:rsidRDefault="00025640" w:rsidP="00025640">
            <w:pPr>
              <w:spacing w:line="240" w:lineRule="auto"/>
              <w:jc w:val="left"/>
              <w:rPr>
                <w:rFonts w:ascii="Segoe UI" w:hAnsi="Segoe UI" w:cs="Segoe UI"/>
                <w:sz w:val="22"/>
                <w:szCs w:val="22"/>
              </w:rPr>
            </w:pPr>
            <w:r w:rsidRPr="00025640">
              <w:rPr>
                <w:rFonts w:ascii="Segoe UI" w:hAnsi="Segoe UI" w:cs="Segoe UI"/>
                <w:sz w:val="22"/>
                <w:szCs w:val="22"/>
              </w:rPr>
              <w:t>The bank’s total assets exceed NIS 15 billion and are less than NIS 50 billion.</w:t>
            </w:r>
          </w:p>
        </w:tc>
        <w:tc>
          <w:tcPr>
            <w:tcW w:w="0" w:type="auto"/>
            <w:vAlign w:val="center"/>
            <w:hideMark/>
          </w:tcPr>
          <w:p w14:paraId="0B0B6016" w14:textId="77777777" w:rsidR="00025640" w:rsidRPr="00025640" w:rsidRDefault="00025640" w:rsidP="00025640">
            <w:pPr>
              <w:spacing w:line="240" w:lineRule="auto"/>
              <w:jc w:val="left"/>
              <w:rPr>
                <w:rFonts w:ascii="Segoe UI" w:hAnsi="Segoe UI" w:cs="Segoe UI"/>
                <w:sz w:val="22"/>
                <w:szCs w:val="22"/>
              </w:rPr>
            </w:pPr>
            <w:r w:rsidRPr="00025640">
              <w:rPr>
                <w:rFonts w:ascii="Segoe UI" w:hAnsi="Segoe UI" w:cs="Segoe UI"/>
                <w:sz w:val="22"/>
                <w:szCs w:val="22"/>
              </w:rPr>
              <w:t>The stage will last up to three years. The Supervisor of Banks may consider extending the stage for up to an additional two years.</w:t>
            </w:r>
          </w:p>
        </w:tc>
      </w:tr>
    </w:tbl>
    <w:p w14:paraId="034BBC9D" w14:textId="34120B0B" w:rsidR="00025640" w:rsidRPr="00025640" w:rsidRDefault="00025640" w:rsidP="00025640">
      <w:pPr>
        <w:spacing w:line="240" w:lineRule="auto"/>
        <w:jc w:val="left"/>
        <w:rPr>
          <w:rFonts w:ascii="Times New Roman" w:hAnsi="Times New Roman" w:cs="Times New Roman"/>
        </w:rPr>
      </w:pPr>
    </w:p>
    <w:p w14:paraId="1F24E301" w14:textId="77777777" w:rsidR="00445F3E" w:rsidRPr="008503B3" w:rsidRDefault="00445F3E" w:rsidP="00445F3E">
      <w:pPr>
        <w:pStyle w:val="regpar"/>
        <w:ind w:firstLine="0"/>
        <w:rPr>
          <w:rFonts w:ascii="Segoe UI" w:hAnsi="Segoe UI" w:cs="Segoe UI"/>
          <w:sz w:val="22"/>
          <w:szCs w:val="22"/>
        </w:rPr>
      </w:pPr>
    </w:p>
    <w:sectPr w:rsidR="00445F3E" w:rsidRPr="008503B3"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E5F76" w14:textId="77777777" w:rsidR="001F2F5E" w:rsidRDefault="001F2F5E">
      <w:pPr>
        <w:spacing w:line="240" w:lineRule="auto"/>
      </w:pPr>
      <w:r>
        <w:separator/>
      </w:r>
    </w:p>
  </w:endnote>
  <w:endnote w:type="continuationSeparator" w:id="0">
    <w:p w14:paraId="4844EE8B" w14:textId="77777777" w:rsidR="001F2F5E" w:rsidRDefault="001F2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74B62" w14:textId="77777777" w:rsidR="001F2F5E" w:rsidRDefault="001F2F5E">
      <w:pPr>
        <w:spacing w:line="160" w:lineRule="exact"/>
      </w:pPr>
    </w:p>
  </w:footnote>
  <w:footnote w:type="continuationSeparator" w:id="0">
    <w:p w14:paraId="384FD077" w14:textId="77777777" w:rsidR="001F2F5E" w:rsidRDefault="001F2F5E">
      <w:pPr>
        <w:pStyle w:val="rule"/>
      </w:pPr>
      <w:r>
        <w:t>–––––––––––––––––––––––––––</w:t>
      </w:r>
    </w:p>
    <w:p w14:paraId="68FD4908" w14:textId="77777777" w:rsidR="001F2F5E" w:rsidRDefault="001F2F5E">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25640"/>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2F5E"/>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6F4E23"/>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69D9"/>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64D"/>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62BAA"/>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2D8C"/>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B2C6E"/>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568423162">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 w:id="189191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C211DD50-BABC-4C10-85F5-75CFEB41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6483</Characters>
  <Application>Microsoft Office Word</Application>
  <DocSecurity>4</DocSecurity>
  <Lines>54</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2026-02-08T12:38:00Z</dcterms:created>
  <dcterms:modified xsi:type="dcterms:W3CDTF">2026-02-08T12:38:00Z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