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40B3" w14:textId="0105E584" w:rsidR="00650B9A" w:rsidRDefault="00125AB8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>
        <w:rPr>
          <w:noProof/>
        </w:rPr>
        <w:drawing>
          <wp:inline distT="0" distB="0" distL="0" distR="0" wp14:anchorId="48CFD75F" wp14:editId="68863E03">
            <wp:extent cx="2924175" cy="9715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2A60F" w14:textId="77777777" w:rsidR="00125AB8" w:rsidRDefault="00125AB8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14:paraId="5FEC0092" w14:textId="77777777" w:rsidR="00650B9A" w:rsidRPr="0012431B" w:rsidRDefault="00650B9A" w:rsidP="00A60E0E">
      <w:pPr>
        <w:pStyle w:val="regpar"/>
        <w:spacing w:line="300" w:lineRule="atLeast"/>
        <w:ind w:firstLine="0"/>
        <w:jc w:val="center"/>
        <w:rPr>
          <w:rFonts w:ascii="Segoe UI" w:hAnsi="Segoe UI" w:cs="Segoe UI"/>
          <w:bCs/>
          <w:sz w:val="22"/>
          <w:szCs w:val="22"/>
        </w:rPr>
      </w:pPr>
      <w:r w:rsidRPr="0012431B">
        <w:rPr>
          <w:rFonts w:ascii="Segoe UI" w:hAnsi="Segoe UI" w:cs="Segoe UI"/>
          <w:bCs/>
          <w:sz w:val="22"/>
          <w:szCs w:val="22"/>
        </w:rPr>
        <w:t>BANK OF ISRAEL</w:t>
      </w:r>
    </w:p>
    <w:p w14:paraId="7BDED074" w14:textId="1F140308" w:rsidR="00650B9A" w:rsidRPr="0012431B" w:rsidRDefault="00650B9A" w:rsidP="0009048D">
      <w:pPr>
        <w:pStyle w:val="regpar"/>
        <w:spacing w:line="300" w:lineRule="atLeast"/>
        <w:ind w:firstLine="0"/>
        <w:jc w:val="center"/>
        <w:rPr>
          <w:rFonts w:ascii="Segoe UI" w:hAnsi="Segoe UI" w:cs="Segoe UI"/>
          <w:sz w:val="22"/>
          <w:szCs w:val="22"/>
        </w:rPr>
      </w:pPr>
      <w:r w:rsidRPr="0012431B">
        <w:rPr>
          <w:rFonts w:ascii="Segoe UI" w:hAnsi="Segoe UI" w:cs="Segoe UI"/>
          <w:sz w:val="22"/>
          <w:szCs w:val="22"/>
        </w:rPr>
        <w:t xml:space="preserve">Office of the </w:t>
      </w:r>
      <w:r w:rsidR="0009048D" w:rsidRPr="0012431B">
        <w:rPr>
          <w:rFonts w:ascii="Segoe UI" w:hAnsi="Segoe UI" w:cs="Segoe UI"/>
          <w:sz w:val="22"/>
          <w:szCs w:val="22"/>
        </w:rPr>
        <w:t>Spokesperson and Economic Information</w:t>
      </w:r>
    </w:p>
    <w:p w14:paraId="5DC516B5" w14:textId="6D04FE8F" w:rsidR="0009048D" w:rsidRPr="0012431B" w:rsidRDefault="0009048D" w:rsidP="0009048D">
      <w:pPr>
        <w:pStyle w:val="regpar"/>
        <w:spacing w:line="300" w:lineRule="atLeast"/>
        <w:ind w:firstLine="0"/>
        <w:jc w:val="center"/>
        <w:rPr>
          <w:rFonts w:ascii="Segoe UI" w:hAnsi="Segoe UI" w:cs="Segoe UI"/>
          <w:sz w:val="22"/>
          <w:szCs w:val="22"/>
        </w:rPr>
      </w:pPr>
    </w:p>
    <w:p w14:paraId="73A6A7DC" w14:textId="3569AD15" w:rsidR="0009048D" w:rsidRPr="0012431B" w:rsidRDefault="0009048D" w:rsidP="0009048D">
      <w:pPr>
        <w:pStyle w:val="regpar"/>
        <w:spacing w:line="300" w:lineRule="atLeast"/>
        <w:ind w:firstLine="0"/>
        <w:jc w:val="center"/>
        <w:rPr>
          <w:rFonts w:ascii="Segoe UI" w:hAnsi="Segoe UI" w:cs="Segoe UI"/>
          <w:sz w:val="22"/>
          <w:szCs w:val="22"/>
        </w:rPr>
      </w:pPr>
      <w:r w:rsidRPr="0012431B">
        <w:rPr>
          <w:rFonts w:ascii="Segoe UI" w:hAnsi="Segoe UI" w:cs="Segoe UI"/>
          <w:sz w:val="22"/>
          <w:szCs w:val="22"/>
        </w:rPr>
        <w:t>Press release</w:t>
      </w:r>
    </w:p>
    <w:p w14:paraId="2DEFF62A" w14:textId="77777777" w:rsidR="00DD0AB5" w:rsidRPr="0012431B" w:rsidRDefault="00DD0AB5" w:rsidP="00A60E0E">
      <w:pPr>
        <w:pStyle w:val="regpar"/>
        <w:spacing w:line="300" w:lineRule="atLeast"/>
        <w:ind w:firstLine="0"/>
        <w:jc w:val="center"/>
        <w:rPr>
          <w:rFonts w:ascii="Segoe UI" w:hAnsi="Segoe UI" w:cs="Segoe UI"/>
          <w:b/>
          <w:sz w:val="22"/>
          <w:szCs w:val="22"/>
        </w:rPr>
      </w:pPr>
    </w:p>
    <w:p w14:paraId="0CD9A423" w14:textId="5BB105C0" w:rsidR="007617BD" w:rsidRPr="0012431B" w:rsidRDefault="007E016C" w:rsidP="00651EE8">
      <w:pPr>
        <w:pStyle w:val="regpar"/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February 11</w:t>
      </w:r>
      <w:r w:rsidR="00443EB3">
        <w:rPr>
          <w:rFonts w:ascii="Segoe UI" w:hAnsi="Segoe UI" w:cs="Segoe UI"/>
          <w:sz w:val="22"/>
          <w:szCs w:val="22"/>
        </w:rPr>
        <w:t>, 2025</w:t>
      </w:r>
    </w:p>
    <w:p w14:paraId="22D7AE78" w14:textId="3BEA9B84" w:rsidR="00F23C43" w:rsidRPr="0012431B" w:rsidRDefault="00F23C43" w:rsidP="00F23C43">
      <w:pPr>
        <w:pStyle w:val="regpar"/>
        <w:rPr>
          <w:rFonts w:ascii="Segoe UI" w:hAnsi="Segoe UI" w:cs="Segoe UI"/>
          <w:sz w:val="22"/>
          <w:szCs w:val="22"/>
        </w:rPr>
      </w:pPr>
    </w:p>
    <w:p w14:paraId="325CE029" w14:textId="30104A21" w:rsidR="00D00CF7" w:rsidRPr="0012431B" w:rsidRDefault="00D00CF7" w:rsidP="00D00CF7">
      <w:pPr>
        <w:pStyle w:val="regpar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7BF8A788" w14:textId="193EC6D7" w:rsidR="00D00CF7" w:rsidRPr="00443EB3" w:rsidRDefault="007E016C" w:rsidP="0087598A">
      <w:pPr>
        <w:pStyle w:val="regpar"/>
        <w:ind w:firstLine="0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Financial Stability Report for the second half of 2024</w:t>
      </w:r>
    </w:p>
    <w:p w14:paraId="57364676" w14:textId="31A5CF0C" w:rsidR="00477DE2" w:rsidRPr="00443EB3" w:rsidRDefault="00477DE2" w:rsidP="00477DE2">
      <w:pPr>
        <w:pStyle w:val="regpar"/>
        <w:ind w:firstLine="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FCC1CB2" w14:textId="47D7D65D" w:rsidR="007E016C" w:rsidRPr="007E016C" w:rsidRDefault="007E016C" w:rsidP="007E016C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bookmarkStart w:id="0" w:name="_GoBack"/>
      <w:r w:rsidRPr="007E016C">
        <w:rPr>
          <w:rFonts w:ascii="Segoe UI" w:hAnsi="Segoe UI" w:cs="Segoe UI"/>
          <w:sz w:val="22"/>
          <w:szCs w:val="22"/>
        </w:rPr>
        <w:t xml:space="preserve">The Financial Stability Report for the second half of 2024 reviews the financial developments during this period and assesses the stability of the system in light of the ongoing </w:t>
      </w:r>
      <w:r>
        <w:rPr>
          <w:rFonts w:ascii="Segoe UI" w:hAnsi="Segoe UI" w:cs="Segoe UI"/>
          <w:sz w:val="22"/>
          <w:szCs w:val="22"/>
        </w:rPr>
        <w:t xml:space="preserve">Swords of </w:t>
      </w:r>
      <w:r w:rsidRPr="007E016C">
        <w:rPr>
          <w:rFonts w:ascii="Segoe UI" w:hAnsi="Segoe UI" w:cs="Segoe UI"/>
          <w:sz w:val="22"/>
          <w:szCs w:val="22"/>
        </w:rPr>
        <w:t xml:space="preserve">Iron </w:t>
      </w:r>
      <w:r>
        <w:rPr>
          <w:rFonts w:ascii="Segoe UI" w:hAnsi="Segoe UI" w:cs="Segoe UI"/>
          <w:sz w:val="22"/>
          <w:szCs w:val="22"/>
        </w:rPr>
        <w:t>War</w:t>
      </w:r>
      <w:r w:rsidRPr="007E016C">
        <w:rPr>
          <w:rFonts w:ascii="Segoe UI" w:hAnsi="Segoe UI" w:cs="Segoe UI"/>
          <w:sz w:val="22"/>
          <w:szCs w:val="22"/>
        </w:rPr>
        <w:t xml:space="preserve"> in Gaza, southern Lebanon, and its expansion to other areas. The report examines the impact of the war on risk exposure channels, given the resilience of </w:t>
      </w:r>
      <w:r>
        <w:rPr>
          <w:rFonts w:ascii="Segoe UI" w:hAnsi="Segoe UI" w:cs="Segoe UI"/>
          <w:sz w:val="22"/>
          <w:szCs w:val="22"/>
        </w:rPr>
        <w:t xml:space="preserve">the </w:t>
      </w:r>
      <w:r w:rsidRPr="007E016C">
        <w:rPr>
          <w:rFonts w:ascii="Segoe UI" w:hAnsi="Segoe UI" w:cs="Segoe UI"/>
          <w:sz w:val="22"/>
          <w:szCs w:val="22"/>
        </w:rPr>
        <w:t>financial institutions. The level of financial stability is evaluated based on these analyses.</w:t>
      </w:r>
    </w:p>
    <w:p w14:paraId="6475A8FC" w14:textId="77777777" w:rsidR="007E016C" w:rsidRPr="007E016C" w:rsidRDefault="007E016C" w:rsidP="007E016C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>Key Points:</w:t>
      </w:r>
    </w:p>
    <w:p w14:paraId="50A32936" w14:textId="77777777" w:rsidR="00763647" w:rsidRDefault="007E016C" w:rsidP="0076364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 xml:space="preserve">The financial system in Israel </w:t>
      </w:r>
      <w:r w:rsidR="00763647">
        <w:rPr>
          <w:rFonts w:ascii="Segoe UI" w:hAnsi="Segoe UI" w:cs="Segoe UI"/>
          <w:sz w:val="22"/>
          <w:szCs w:val="22"/>
        </w:rPr>
        <w:t>is showing</w:t>
      </w:r>
      <w:r w:rsidRPr="007E016C">
        <w:rPr>
          <w:rFonts w:ascii="Segoe UI" w:hAnsi="Segoe UI" w:cs="Segoe UI"/>
          <w:sz w:val="22"/>
          <w:szCs w:val="22"/>
        </w:rPr>
        <w:t xml:space="preserve"> high resilience against the security challenges and ongoing geopolitical uncertainty that have persisted for over a year. </w:t>
      </w:r>
    </w:p>
    <w:p w14:paraId="6C07FF58" w14:textId="77777777" w:rsidR="00763647" w:rsidRDefault="007E016C" w:rsidP="0076364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 xml:space="preserve">During the reviewed period, macroeconomic risk remained high due to the security situation and its impact on economic activity, which stayed below the long-term trend. Government financing needs and costs increased, Israel's risk premium in financial markets rose, and credit rating agencies downgraded Israel's rating, maintaining a negative outlook for future ratings. </w:t>
      </w:r>
    </w:p>
    <w:p w14:paraId="10E0C0F6" w14:textId="1E70E4D8" w:rsidR="007E016C" w:rsidRPr="007E016C" w:rsidRDefault="007E016C" w:rsidP="0076364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>However, towards the end of the reviewed period, the risk premium and debt financing costs decreased somewhat, reflecting a moderation in geopolitical risk assessments and improved sentiment towards local markets.</w:t>
      </w:r>
    </w:p>
    <w:p w14:paraId="1957690C" w14:textId="62349800" w:rsidR="007E016C" w:rsidRPr="007E016C" w:rsidRDefault="007E016C" w:rsidP="0076364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 xml:space="preserve">Local stock indices rose in the last quarter, partially offsetting the </w:t>
      </w:r>
      <w:r w:rsidR="00763647">
        <w:rPr>
          <w:rFonts w:ascii="Segoe UI" w:hAnsi="Segoe UI" w:cs="Segoe UI"/>
          <w:sz w:val="22"/>
          <w:szCs w:val="22"/>
        </w:rPr>
        <w:t xml:space="preserve">cumulative </w:t>
      </w:r>
      <w:r w:rsidRPr="007E016C">
        <w:rPr>
          <w:rFonts w:ascii="Segoe UI" w:hAnsi="Segoe UI" w:cs="Segoe UI"/>
          <w:sz w:val="22"/>
          <w:szCs w:val="22"/>
        </w:rPr>
        <w:t>underperformance</w:t>
      </w:r>
      <w:r w:rsidR="00763647">
        <w:rPr>
          <w:rFonts w:ascii="Segoe UI" w:hAnsi="Segoe UI" w:cs="Segoe UI"/>
          <w:sz w:val="22"/>
          <w:szCs w:val="22"/>
        </w:rPr>
        <w:t xml:space="preserve"> in dollar terms</w:t>
      </w:r>
      <w:r w:rsidRPr="007E016C">
        <w:rPr>
          <w:rFonts w:ascii="Segoe UI" w:hAnsi="Segoe UI" w:cs="Segoe UI"/>
          <w:sz w:val="22"/>
          <w:szCs w:val="22"/>
        </w:rPr>
        <w:t xml:space="preserve"> since the beginning of 2023. Despite the increases, stock prices in Israel remain low </w:t>
      </w:r>
      <w:r w:rsidR="00763647">
        <w:rPr>
          <w:rFonts w:ascii="Segoe UI" w:hAnsi="Segoe UI" w:cs="Segoe UI"/>
          <w:sz w:val="22"/>
          <w:szCs w:val="22"/>
        </w:rPr>
        <w:t xml:space="preserve">in dollar terms </w:t>
      </w:r>
      <w:r w:rsidRPr="007E016C">
        <w:rPr>
          <w:rFonts w:ascii="Segoe UI" w:hAnsi="Segoe UI" w:cs="Segoe UI"/>
          <w:sz w:val="22"/>
          <w:szCs w:val="22"/>
        </w:rPr>
        <w:t>c</w:t>
      </w:r>
      <w:r w:rsidR="00763647">
        <w:rPr>
          <w:rFonts w:ascii="Segoe UI" w:hAnsi="Segoe UI" w:cs="Segoe UI"/>
          <w:sz w:val="22"/>
          <w:szCs w:val="22"/>
        </w:rPr>
        <w:t>ompared to global stock indices</w:t>
      </w:r>
      <w:r w:rsidRPr="007E016C">
        <w:rPr>
          <w:rFonts w:ascii="Segoe UI" w:hAnsi="Segoe UI" w:cs="Segoe UI"/>
          <w:sz w:val="22"/>
          <w:szCs w:val="22"/>
        </w:rPr>
        <w:t>, indicating a relatively high risk assessment for Israel.</w:t>
      </w:r>
    </w:p>
    <w:p w14:paraId="3398FCD7" w14:textId="77777777" w:rsidR="00763647" w:rsidRDefault="007E016C" w:rsidP="007E016C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 xml:space="preserve">Housing prices continued to rise during the reviewed period, following a renewed increase in the first half of the year, alongside a recovery in transaction volumes. Rent prices also continued to rise, leading to stabilization and even a slight decrease in the price-to-rent ratio. </w:t>
      </w:r>
    </w:p>
    <w:p w14:paraId="4965B65E" w14:textId="79248DBA" w:rsidR="007E016C" w:rsidRPr="007E016C" w:rsidRDefault="007E016C" w:rsidP="0076364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>Consequently, along with the reduced potential</w:t>
      </w:r>
      <w:r w:rsidR="00763647">
        <w:rPr>
          <w:rFonts w:ascii="Segoe UI" w:hAnsi="Segoe UI" w:cs="Segoe UI"/>
          <w:sz w:val="22"/>
          <w:szCs w:val="22"/>
        </w:rPr>
        <w:t xml:space="preserve"> of a</w:t>
      </w:r>
      <w:r w:rsidRPr="007E016C">
        <w:rPr>
          <w:rFonts w:ascii="Segoe UI" w:hAnsi="Segoe UI" w:cs="Segoe UI"/>
          <w:sz w:val="22"/>
          <w:szCs w:val="22"/>
        </w:rPr>
        <w:t xml:space="preserve"> negative impact on stock prices due to risk absorption, the financial system's vulnerability from asset price channels dec</w:t>
      </w:r>
      <w:r w:rsidR="00763647">
        <w:rPr>
          <w:rFonts w:ascii="Segoe UI" w:hAnsi="Segoe UI" w:cs="Segoe UI"/>
          <w:sz w:val="22"/>
          <w:szCs w:val="22"/>
        </w:rPr>
        <w:t>lined</w:t>
      </w:r>
      <w:r w:rsidRPr="007E016C">
        <w:rPr>
          <w:rFonts w:ascii="Segoe UI" w:hAnsi="Segoe UI" w:cs="Segoe UI"/>
          <w:sz w:val="22"/>
          <w:szCs w:val="22"/>
        </w:rPr>
        <w:t xml:space="preserve"> to a medium-high level compared to the first half of the year.</w:t>
      </w:r>
    </w:p>
    <w:p w14:paraId="5E121926" w14:textId="19098709" w:rsidR="007E016C" w:rsidRPr="007E016C" w:rsidRDefault="007E016C" w:rsidP="0076364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 xml:space="preserve">Credit repayment delinquency rates remained stable and historically low. During the reviewed period, banks' </w:t>
      </w:r>
      <w:r w:rsidR="00763647">
        <w:rPr>
          <w:rFonts w:ascii="Segoe UI" w:hAnsi="Segoe UI" w:cs="Segoe UI"/>
          <w:sz w:val="22"/>
          <w:szCs w:val="22"/>
        </w:rPr>
        <w:t>loan loss provisions</w:t>
      </w:r>
      <w:r w:rsidRPr="007E016C">
        <w:rPr>
          <w:rFonts w:ascii="Segoe UI" w:hAnsi="Segoe UI" w:cs="Segoe UI"/>
          <w:sz w:val="22"/>
          <w:szCs w:val="22"/>
        </w:rPr>
        <w:t xml:space="preserve"> also decreased. As a result, the credit risk level moderated to a medium-high level in the second half of 2024.</w:t>
      </w:r>
    </w:p>
    <w:p w14:paraId="775BC14F" w14:textId="77777777" w:rsidR="007E016C" w:rsidRPr="007E016C" w:rsidRDefault="007E016C" w:rsidP="007E016C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>The resilience of major financial institutions remained high, with improvements in capital ratios for both banks and insurance companies, which were already high.</w:t>
      </w:r>
    </w:p>
    <w:p w14:paraId="1613F33B" w14:textId="3E127656" w:rsidR="007E016C" w:rsidRPr="007E016C" w:rsidRDefault="007E016C" w:rsidP="00A52CC6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 xml:space="preserve">Two risk scenarios for the economy relate to potential further impacts on the macroeconomic channel. The first scenario involves the continuation of the security risk </w:t>
      </w:r>
      <w:r w:rsidRPr="007E016C">
        <w:rPr>
          <w:rFonts w:ascii="Segoe UI" w:hAnsi="Segoe UI" w:cs="Segoe UI"/>
          <w:sz w:val="22"/>
          <w:szCs w:val="22"/>
        </w:rPr>
        <w:lastRenderedPageBreak/>
        <w:t>realized with the outbreak of the Swords</w:t>
      </w:r>
      <w:r w:rsidR="00763647">
        <w:rPr>
          <w:rFonts w:ascii="Segoe UI" w:hAnsi="Segoe UI" w:cs="Segoe UI"/>
          <w:sz w:val="22"/>
          <w:szCs w:val="22"/>
        </w:rPr>
        <w:t xml:space="preserve"> of Iron</w:t>
      </w:r>
      <w:r w:rsidRPr="007E016C">
        <w:rPr>
          <w:rFonts w:ascii="Segoe UI" w:hAnsi="Segoe UI" w:cs="Segoe UI"/>
          <w:sz w:val="22"/>
          <w:szCs w:val="22"/>
        </w:rPr>
        <w:t xml:space="preserve"> </w:t>
      </w:r>
      <w:r w:rsidR="00763647">
        <w:rPr>
          <w:rFonts w:ascii="Segoe UI" w:hAnsi="Segoe UI" w:cs="Segoe UI"/>
          <w:sz w:val="22"/>
          <w:szCs w:val="22"/>
        </w:rPr>
        <w:t>W</w:t>
      </w:r>
      <w:r w:rsidRPr="007E016C">
        <w:rPr>
          <w:rFonts w:ascii="Segoe UI" w:hAnsi="Segoe UI" w:cs="Segoe UI"/>
          <w:sz w:val="22"/>
          <w:szCs w:val="22"/>
        </w:rPr>
        <w:t xml:space="preserve">ar, </w:t>
      </w:r>
      <w:r w:rsidR="00A52CC6">
        <w:rPr>
          <w:rFonts w:ascii="Segoe UI" w:hAnsi="Segoe UI" w:cs="Segoe UI"/>
          <w:sz w:val="22"/>
          <w:szCs w:val="22"/>
        </w:rPr>
        <w:t>and relates</w:t>
      </w:r>
      <w:r w:rsidRPr="007E016C">
        <w:rPr>
          <w:rFonts w:ascii="Segoe UI" w:hAnsi="Segoe UI" w:cs="Segoe UI"/>
          <w:sz w:val="22"/>
          <w:szCs w:val="22"/>
        </w:rPr>
        <w:t xml:space="preserve"> to a worsening local geopolitical situation. The second scenario addresses high global economic uncertainty, alongside </w:t>
      </w:r>
      <w:proofErr w:type="spellStart"/>
      <w:r w:rsidRPr="007E016C">
        <w:rPr>
          <w:rFonts w:ascii="Segoe UI" w:hAnsi="Segoe UI" w:cs="Segoe UI"/>
          <w:sz w:val="22"/>
          <w:szCs w:val="22"/>
        </w:rPr>
        <w:t>deglobalization</w:t>
      </w:r>
      <w:proofErr w:type="spellEnd"/>
      <w:r w:rsidRPr="007E016C">
        <w:rPr>
          <w:rFonts w:ascii="Segoe UI" w:hAnsi="Segoe UI" w:cs="Segoe UI"/>
          <w:sz w:val="22"/>
          <w:szCs w:val="22"/>
        </w:rPr>
        <w:t xml:space="preserve"> processes and a decline in global growth.</w:t>
      </w:r>
    </w:p>
    <w:p w14:paraId="2C50CF19" w14:textId="77777777" w:rsidR="00A52CC6" w:rsidRDefault="007E016C" w:rsidP="007E016C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 xml:space="preserve">Background on the Report: </w:t>
      </w:r>
    </w:p>
    <w:p w14:paraId="1666D7E8" w14:textId="69AC7108" w:rsidR="007E016C" w:rsidRPr="007E016C" w:rsidRDefault="007E016C" w:rsidP="00A52CC6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 xml:space="preserve">In this report, </w:t>
      </w:r>
      <w:r w:rsidR="00A52CC6">
        <w:rPr>
          <w:rFonts w:ascii="Segoe UI" w:hAnsi="Segoe UI" w:cs="Segoe UI"/>
          <w:sz w:val="22"/>
          <w:szCs w:val="22"/>
        </w:rPr>
        <w:t>B</w:t>
      </w:r>
      <w:r w:rsidRPr="007E016C">
        <w:rPr>
          <w:rFonts w:ascii="Segoe UI" w:hAnsi="Segoe UI" w:cs="Segoe UI"/>
          <w:sz w:val="22"/>
          <w:szCs w:val="22"/>
        </w:rPr>
        <w:t>ank</w:t>
      </w:r>
      <w:r w:rsidR="00A52CC6">
        <w:rPr>
          <w:rFonts w:ascii="Segoe UI" w:hAnsi="Segoe UI" w:cs="Segoe UI"/>
          <w:sz w:val="22"/>
          <w:szCs w:val="22"/>
        </w:rPr>
        <w:t xml:space="preserve"> of Israel</w:t>
      </w:r>
      <w:r w:rsidRPr="007E016C">
        <w:rPr>
          <w:rFonts w:ascii="Segoe UI" w:hAnsi="Segoe UI" w:cs="Segoe UI"/>
          <w:sz w:val="22"/>
          <w:szCs w:val="22"/>
        </w:rPr>
        <w:t xml:space="preserve"> economists express their assessment of the main risk exposures facing the financial system, analyze the primary exposures, and evaluate potential risk scenarios. The assessments and analyses are based on a review of developments during the reviewed period, </w:t>
      </w:r>
      <w:r w:rsidR="00A52CC6">
        <w:rPr>
          <w:rFonts w:ascii="Segoe UI" w:hAnsi="Segoe UI" w:cs="Segoe UI"/>
          <w:sz w:val="22"/>
          <w:szCs w:val="22"/>
        </w:rPr>
        <w:t xml:space="preserve">an </w:t>
      </w:r>
      <w:r w:rsidRPr="007E016C">
        <w:rPr>
          <w:rFonts w:ascii="Segoe UI" w:hAnsi="Segoe UI" w:cs="Segoe UI"/>
          <w:sz w:val="22"/>
          <w:szCs w:val="22"/>
        </w:rPr>
        <w:t xml:space="preserve">examination of structural changes, </w:t>
      </w:r>
      <w:r w:rsidR="00A52CC6">
        <w:rPr>
          <w:rFonts w:ascii="Segoe UI" w:hAnsi="Segoe UI" w:cs="Segoe UI"/>
          <w:sz w:val="22"/>
          <w:szCs w:val="22"/>
        </w:rPr>
        <w:t xml:space="preserve">the </w:t>
      </w:r>
      <w:r w:rsidRPr="007E016C">
        <w:rPr>
          <w:rFonts w:ascii="Segoe UI" w:hAnsi="Segoe UI" w:cs="Segoe UI"/>
          <w:sz w:val="22"/>
          <w:szCs w:val="22"/>
        </w:rPr>
        <w:t xml:space="preserve">use of analytical models, and </w:t>
      </w:r>
      <w:r w:rsidR="00A52CC6">
        <w:rPr>
          <w:rFonts w:ascii="Segoe UI" w:hAnsi="Segoe UI" w:cs="Segoe UI"/>
          <w:sz w:val="22"/>
          <w:szCs w:val="22"/>
        </w:rPr>
        <w:t>assessments</w:t>
      </w:r>
      <w:r w:rsidRPr="007E016C">
        <w:rPr>
          <w:rFonts w:ascii="Segoe UI" w:hAnsi="Segoe UI" w:cs="Segoe UI"/>
          <w:sz w:val="22"/>
          <w:szCs w:val="22"/>
        </w:rPr>
        <w:t xml:space="preserve"> of background conditions in global and local economies. The report </w:t>
      </w:r>
      <w:r w:rsidR="00A52CC6">
        <w:rPr>
          <w:rFonts w:ascii="Segoe UI" w:hAnsi="Segoe UI" w:cs="Segoe UI"/>
          <w:sz w:val="22"/>
          <w:szCs w:val="22"/>
        </w:rPr>
        <w:t>outlines how the</w:t>
      </w:r>
      <w:r w:rsidRPr="007E016C">
        <w:rPr>
          <w:rFonts w:ascii="Segoe UI" w:hAnsi="Segoe UI" w:cs="Segoe UI"/>
          <w:sz w:val="22"/>
          <w:szCs w:val="22"/>
        </w:rPr>
        <w:t xml:space="preserve"> realiz</w:t>
      </w:r>
      <w:r w:rsidR="00A52CC6">
        <w:rPr>
          <w:rFonts w:ascii="Segoe UI" w:hAnsi="Segoe UI" w:cs="Segoe UI"/>
          <w:sz w:val="22"/>
          <w:szCs w:val="22"/>
        </w:rPr>
        <w:t>ation of</w:t>
      </w:r>
      <w:r w:rsidRPr="007E016C">
        <w:rPr>
          <w:rFonts w:ascii="Segoe UI" w:hAnsi="Segoe UI" w:cs="Segoe UI"/>
          <w:sz w:val="22"/>
          <w:szCs w:val="22"/>
        </w:rPr>
        <w:t xml:space="preserve"> risk scenarios </w:t>
      </w:r>
      <w:r w:rsidR="00A52CC6">
        <w:rPr>
          <w:rFonts w:ascii="Segoe UI" w:hAnsi="Segoe UI" w:cs="Segoe UI"/>
          <w:sz w:val="22"/>
          <w:szCs w:val="22"/>
        </w:rPr>
        <w:t>may affect</w:t>
      </w:r>
      <w:r w:rsidRPr="007E016C">
        <w:rPr>
          <w:rFonts w:ascii="Segoe UI" w:hAnsi="Segoe UI" w:cs="Segoe UI"/>
          <w:sz w:val="22"/>
          <w:szCs w:val="22"/>
        </w:rPr>
        <w:t xml:space="preserve"> the financial system in the short and medium term</w:t>
      </w:r>
      <w:r w:rsidR="00A52CC6">
        <w:rPr>
          <w:rFonts w:ascii="Segoe UI" w:hAnsi="Segoe UI" w:cs="Segoe UI"/>
          <w:sz w:val="22"/>
          <w:szCs w:val="22"/>
        </w:rPr>
        <w:t>s</w:t>
      </w:r>
      <w:r w:rsidRPr="007E016C">
        <w:rPr>
          <w:rFonts w:ascii="Segoe UI" w:hAnsi="Segoe UI" w:cs="Segoe UI"/>
          <w:sz w:val="22"/>
          <w:szCs w:val="22"/>
        </w:rPr>
        <w:t>, aiming to raise awareness among policymakers and the general public an</w:t>
      </w:r>
      <w:r w:rsidR="00A52CC6">
        <w:rPr>
          <w:rFonts w:ascii="Segoe UI" w:hAnsi="Segoe UI" w:cs="Segoe UI"/>
          <w:sz w:val="22"/>
          <w:szCs w:val="22"/>
        </w:rPr>
        <w:t>d enable appropriate preparedness</w:t>
      </w:r>
      <w:r w:rsidRPr="007E016C">
        <w:rPr>
          <w:rFonts w:ascii="Segoe UI" w:hAnsi="Segoe UI" w:cs="Segoe UI"/>
          <w:sz w:val="22"/>
          <w:szCs w:val="22"/>
        </w:rPr>
        <w:t>.</w:t>
      </w:r>
    </w:p>
    <w:p w14:paraId="02759EF9" w14:textId="17791E78" w:rsidR="007E016C" w:rsidRPr="007E016C" w:rsidRDefault="007E016C" w:rsidP="00A52CC6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7E016C">
        <w:rPr>
          <w:rFonts w:ascii="Segoe UI" w:hAnsi="Segoe UI" w:cs="Segoe UI"/>
          <w:sz w:val="22"/>
          <w:szCs w:val="22"/>
        </w:rPr>
        <w:t>Starting in 2025, the report will be published annually instead of semiannually.</w:t>
      </w:r>
    </w:p>
    <w:bookmarkEnd w:id="0"/>
    <w:p w14:paraId="56CB040C" w14:textId="77777777" w:rsidR="00443EB3" w:rsidRPr="007E016C" w:rsidRDefault="00443EB3" w:rsidP="007E016C">
      <w:pPr>
        <w:pStyle w:val="regpar"/>
        <w:ind w:firstLine="0"/>
        <w:rPr>
          <w:rFonts w:ascii="Segoe UI" w:hAnsi="Segoe UI" w:cs="Segoe UI"/>
          <w:sz w:val="22"/>
          <w:szCs w:val="22"/>
        </w:rPr>
      </w:pPr>
    </w:p>
    <w:sectPr w:rsidR="00443EB3" w:rsidRPr="007E016C" w:rsidSect="004F5A85">
      <w:headerReference w:type="default" r:id="rId12"/>
      <w:endnotePr>
        <w:numFmt w:val="hebrew2"/>
      </w:endnotePr>
      <w:pgSz w:w="11880" w:h="16820"/>
      <w:pgMar w:top="624" w:right="1390" w:bottom="567" w:left="1418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4FA47" w14:textId="77777777" w:rsidR="005C39E7" w:rsidRDefault="005C39E7">
      <w:r>
        <w:separator/>
      </w:r>
    </w:p>
  </w:endnote>
  <w:endnote w:type="continuationSeparator" w:id="0">
    <w:p w14:paraId="5845B4D1" w14:textId="77777777" w:rsidR="005C39E7" w:rsidRDefault="005C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CC93B" w14:textId="77777777" w:rsidR="005C39E7" w:rsidRDefault="005C39E7">
      <w:pPr>
        <w:spacing w:line="160" w:lineRule="exact"/>
      </w:pPr>
    </w:p>
  </w:footnote>
  <w:footnote w:type="continuationSeparator" w:id="0">
    <w:p w14:paraId="5015A0E3" w14:textId="77777777" w:rsidR="005C39E7" w:rsidRDefault="005C39E7">
      <w:pPr>
        <w:pStyle w:val="rule"/>
      </w:pPr>
      <w:r>
        <w:t>–––––––––––––––––––––––––––</w:t>
      </w:r>
    </w:p>
    <w:p w14:paraId="68CA0EA3" w14:textId="77777777" w:rsidR="005C39E7" w:rsidRDefault="005C39E7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A7D6" w14:textId="77777777"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049565AB"/>
    <w:multiLevelType w:val="hybridMultilevel"/>
    <w:tmpl w:val="3AEE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07B"/>
    <w:multiLevelType w:val="hybridMultilevel"/>
    <w:tmpl w:val="CED8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1E76"/>
    <w:multiLevelType w:val="hybridMultilevel"/>
    <w:tmpl w:val="9B8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69E9"/>
    <w:multiLevelType w:val="hybridMultilevel"/>
    <w:tmpl w:val="A67A3D8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F003117"/>
    <w:multiLevelType w:val="hybridMultilevel"/>
    <w:tmpl w:val="FA1A5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E5350"/>
    <w:multiLevelType w:val="hybridMultilevel"/>
    <w:tmpl w:val="9AE2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544E1"/>
    <w:multiLevelType w:val="hybridMultilevel"/>
    <w:tmpl w:val="5966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5324FFB"/>
    <w:multiLevelType w:val="hybridMultilevel"/>
    <w:tmpl w:val="15D25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E08E8"/>
    <w:multiLevelType w:val="multilevel"/>
    <w:tmpl w:val="C76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41E8D"/>
    <w:multiLevelType w:val="hybridMultilevel"/>
    <w:tmpl w:val="84D0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727CA"/>
    <w:multiLevelType w:val="hybridMultilevel"/>
    <w:tmpl w:val="D5F6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718D7B23"/>
    <w:multiLevelType w:val="hybridMultilevel"/>
    <w:tmpl w:val="A56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16CB"/>
    <w:multiLevelType w:val="hybridMultilevel"/>
    <w:tmpl w:val="11728488"/>
    <w:lvl w:ilvl="0" w:tplc="5802D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A0365C"/>
    <w:multiLevelType w:val="hybridMultilevel"/>
    <w:tmpl w:val="03D09186"/>
    <w:lvl w:ilvl="0" w:tplc="AC34D7F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2F8"/>
    <w:multiLevelType w:val="hybridMultilevel"/>
    <w:tmpl w:val="3C26F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4"/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4"/>
  </w:num>
  <w:num w:numId="10">
    <w:abstractNumId w:val="16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1"/>
  </w:num>
  <w:num w:numId="16">
    <w:abstractNumId w:val="1"/>
  </w:num>
  <w:num w:numId="17">
    <w:abstractNumId w:val="17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2A48"/>
    <w:rsid w:val="00005737"/>
    <w:rsid w:val="00014291"/>
    <w:rsid w:val="00016929"/>
    <w:rsid w:val="00016E30"/>
    <w:rsid w:val="00017E04"/>
    <w:rsid w:val="000305B1"/>
    <w:rsid w:val="0004575D"/>
    <w:rsid w:val="000466C2"/>
    <w:rsid w:val="000502D1"/>
    <w:rsid w:val="00052610"/>
    <w:rsid w:val="000614E5"/>
    <w:rsid w:val="00066C5D"/>
    <w:rsid w:val="00067EAC"/>
    <w:rsid w:val="0007485B"/>
    <w:rsid w:val="00076856"/>
    <w:rsid w:val="00077915"/>
    <w:rsid w:val="00085E93"/>
    <w:rsid w:val="0009048D"/>
    <w:rsid w:val="00093619"/>
    <w:rsid w:val="00093A61"/>
    <w:rsid w:val="00094FFA"/>
    <w:rsid w:val="000A0AE8"/>
    <w:rsid w:val="000B13FB"/>
    <w:rsid w:val="000B2451"/>
    <w:rsid w:val="000B5143"/>
    <w:rsid w:val="000B6617"/>
    <w:rsid w:val="000C1242"/>
    <w:rsid w:val="000C4140"/>
    <w:rsid w:val="000C46E3"/>
    <w:rsid w:val="000D3201"/>
    <w:rsid w:val="000D3F79"/>
    <w:rsid w:val="000E08B9"/>
    <w:rsid w:val="000E2EB0"/>
    <w:rsid w:val="000F4D42"/>
    <w:rsid w:val="00104F58"/>
    <w:rsid w:val="0010545F"/>
    <w:rsid w:val="001116D7"/>
    <w:rsid w:val="00114F59"/>
    <w:rsid w:val="001172A8"/>
    <w:rsid w:val="00121BED"/>
    <w:rsid w:val="001239DD"/>
    <w:rsid w:val="0012431B"/>
    <w:rsid w:val="00124970"/>
    <w:rsid w:val="00124AB5"/>
    <w:rsid w:val="00124ED8"/>
    <w:rsid w:val="00125AB8"/>
    <w:rsid w:val="00126370"/>
    <w:rsid w:val="00127549"/>
    <w:rsid w:val="00130460"/>
    <w:rsid w:val="00143F0D"/>
    <w:rsid w:val="0014603A"/>
    <w:rsid w:val="001550A7"/>
    <w:rsid w:val="00160123"/>
    <w:rsid w:val="00161743"/>
    <w:rsid w:val="00162F9E"/>
    <w:rsid w:val="0016621D"/>
    <w:rsid w:val="00166ECD"/>
    <w:rsid w:val="00181A09"/>
    <w:rsid w:val="0018444C"/>
    <w:rsid w:val="00187D68"/>
    <w:rsid w:val="00190909"/>
    <w:rsid w:val="00194F7F"/>
    <w:rsid w:val="001A2237"/>
    <w:rsid w:val="001A6127"/>
    <w:rsid w:val="001B0294"/>
    <w:rsid w:val="001C1743"/>
    <w:rsid w:val="001C209A"/>
    <w:rsid w:val="001C502E"/>
    <w:rsid w:val="001C5614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36391"/>
    <w:rsid w:val="00243044"/>
    <w:rsid w:val="00246FA7"/>
    <w:rsid w:val="00250C32"/>
    <w:rsid w:val="0025222B"/>
    <w:rsid w:val="00263AC9"/>
    <w:rsid w:val="00275B82"/>
    <w:rsid w:val="00276225"/>
    <w:rsid w:val="002803D5"/>
    <w:rsid w:val="00283C91"/>
    <w:rsid w:val="002878D8"/>
    <w:rsid w:val="00295684"/>
    <w:rsid w:val="002A325D"/>
    <w:rsid w:val="002A5EE7"/>
    <w:rsid w:val="002B172C"/>
    <w:rsid w:val="002C31A2"/>
    <w:rsid w:val="002D0B04"/>
    <w:rsid w:val="002D460E"/>
    <w:rsid w:val="002D6616"/>
    <w:rsid w:val="002D6644"/>
    <w:rsid w:val="002E2978"/>
    <w:rsid w:val="002E5259"/>
    <w:rsid w:val="002E77B6"/>
    <w:rsid w:val="002F02D1"/>
    <w:rsid w:val="002F761B"/>
    <w:rsid w:val="00302325"/>
    <w:rsid w:val="003121C6"/>
    <w:rsid w:val="0031394B"/>
    <w:rsid w:val="003140DF"/>
    <w:rsid w:val="00323D8C"/>
    <w:rsid w:val="00327BCD"/>
    <w:rsid w:val="00333620"/>
    <w:rsid w:val="00333F56"/>
    <w:rsid w:val="003370E3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6023"/>
    <w:rsid w:val="00376976"/>
    <w:rsid w:val="00380012"/>
    <w:rsid w:val="003814C4"/>
    <w:rsid w:val="0038232A"/>
    <w:rsid w:val="003938F8"/>
    <w:rsid w:val="00395D70"/>
    <w:rsid w:val="003A1107"/>
    <w:rsid w:val="003A3B39"/>
    <w:rsid w:val="003A6723"/>
    <w:rsid w:val="003B0942"/>
    <w:rsid w:val="003B2C70"/>
    <w:rsid w:val="003B4074"/>
    <w:rsid w:val="003B4DF1"/>
    <w:rsid w:val="003C3B6F"/>
    <w:rsid w:val="003C6E15"/>
    <w:rsid w:val="003D0E36"/>
    <w:rsid w:val="003D71F7"/>
    <w:rsid w:val="003E0432"/>
    <w:rsid w:val="003E107B"/>
    <w:rsid w:val="003F360E"/>
    <w:rsid w:val="00403AF2"/>
    <w:rsid w:val="00406562"/>
    <w:rsid w:val="00406709"/>
    <w:rsid w:val="00406809"/>
    <w:rsid w:val="00407252"/>
    <w:rsid w:val="00421E16"/>
    <w:rsid w:val="00423781"/>
    <w:rsid w:val="0042406A"/>
    <w:rsid w:val="00425894"/>
    <w:rsid w:val="004266FD"/>
    <w:rsid w:val="004307F0"/>
    <w:rsid w:val="004356C6"/>
    <w:rsid w:val="004361EA"/>
    <w:rsid w:val="00437FD7"/>
    <w:rsid w:val="00441DC9"/>
    <w:rsid w:val="004421CE"/>
    <w:rsid w:val="00443EB3"/>
    <w:rsid w:val="00452814"/>
    <w:rsid w:val="00454C06"/>
    <w:rsid w:val="00457687"/>
    <w:rsid w:val="004576AA"/>
    <w:rsid w:val="004655E8"/>
    <w:rsid w:val="004735EC"/>
    <w:rsid w:val="00477DE2"/>
    <w:rsid w:val="00482B8E"/>
    <w:rsid w:val="004839AA"/>
    <w:rsid w:val="00484A86"/>
    <w:rsid w:val="00492029"/>
    <w:rsid w:val="004A0A80"/>
    <w:rsid w:val="004A179B"/>
    <w:rsid w:val="004A2970"/>
    <w:rsid w:val="004C5B3B"/>
    <w:rsid w:val="004C7155"/>
    <w:rsid w:val="004D0449"/>
    <w:rsid w:val="004D55DA"/>
    <w:rsid w:val="004E7032"/>
    <w:rsid w:val="004F5A85"/>
    <w:rsid w:val="00500F8B"/>
    <w:rsid w:val="00503622"/>
    <w:rsid w:val="00515681"/>
    <w:rsid w:val="00517461"/>
    <w:rsid w:val="005273A2"/>
    <w:rsid w:val="005317F2"/>
    <w:rsid w:val="00531AD1"/>
    <w:rsid w:val="00536575"/>
    <w:rsid w:val="0054053A"/>
    <w:rsid w:val="0054075A"/>
    <w:rsid w:val="005417D3"/>
    <w:rsid w:val="00543038"/>
    <w:rsid w:val="005504CF"/>
    <w:rsid w:val="00554AC0"/>
    <w:rsid w:val="0055658B"/>
    <w:rsid w:val="0056099E"/>
    <w:rsid w:val="00562B0B"/>
    <w:rsid w:val="005676E1"/>
    <w:rsid w:val="00572E97"/>
    <w:rsid w:val="00581AE6"/>
    <w:rsid w:val="00590949"/>
    <w:rsid w:val="00591171"/>
    <w:rsid w:val="00592585"/>
    <w:rsid w:val="00594895"/>
    <w:rsid w:val="005A5253"/>
    <w:rsid w:val="005B0C33"/>
    <w:rsid w:val="005B5BFC"/>
    <w:rsid w:val="005B6B00"/>
    <w:rsid w:val="005C1FAF"/>
    <w:rsid w:val="005C274D"/>
    <w:rsid w:val="005C39E7"/>
    <w:rsid w:val="005C5CA6"/>
    <w:rsid w:val="005C635F"/>
    <w:rsid w:val="005C76FF"/>
    <w:rsid w:val="005D175A"/>
    <w:rsid w:val="005D225E"/>
    <w:rsid w:val="005E1AD6"/>
    <w:rsid w:val="005E23D5"/>
    <w:rsid w:val="006031D8"/>
    <w:rsid w:val="00605EBE"/>
    <w:rsid w:val="0061268B"/>
    <w:rsid w:val="00612A07"/>
    <w:rsid w:val="00613B3E"/>
    <w:rsid w:val="00617A39"/>
    <w:rsid w:val="00621D95"/>
    <w:rsid w:val="00621DB2"/>
    <w:rsid w:val="00624732"/>
    <w:rsid w:val="00632487"/>
    <w:rsid w:val="0063248B"/>
    <w:rsid w:val="00632812"/>
    <w:rsid w:val="00634A22"/>
    <w:rsid w:val="00636566"/>
    <w:rsid w:val="00641FBE"/>
    <w:rsid w:val="00644EC6"/>
    <w:rsid w:val="0064598C"/>
    <w:rsid w:val="00650B9A"/>
    <w:rsid w:val="00651EE8"/>
    <w:rsid w:val="00653813"/>
    <w:rsid w:val="006540CC"/>
    <w:rsid w:val="0065491B"/>
    <w:rsid w:val="00655D2E"/>
    <w:rsid w:val="00660075"/>
    <w:rsid w:val="00663562"/>
    <w:rsid w:val="0067374A"/>
    <w:rsid w:val="0067456C"/>
    <w:rsid w:val="00677C0C"/>
    <w:rsid w:val="00681BC1"/>
    <w:rsid w:val="00683C36"/>
    <w:rsid w:val="00684279"/>
    <w:rsid w:val="006918C1"/>
    <w:rsid w:val="00694066"/>
    <w:rsid w:val="00696506"/>
    <w:rsid w:val="006A29C7"/>
    <w:rsid w:val="006A2E45"/>
    <w:rsid w:val="006A36A4"/>
    <w:rsid w:val="006B03B7"/>
    <w:rsid w:val="006B39E9"/>
    <w:rsid w:val="006C17E0"/>
    <w:rsid w:val="006D10C5"/>
    <w:rsid w:val="006D738F"/>
    <w:rsid w:val="006E30C1"/>
    <w:rsid w:val="006E33B5"/>
    <w:rsid w:val="006E35F9"/>
    <w:rsid w:val="006E4E37"/>
    <w:rsid w:val="006F331D"/>
    <w:rsid w:val="007012E2"/>
    <w:rsid w:val="00701620"/>
    <w:rsid w:val="00706A01"/>
    <w:rsid w:val="0071317E"/>
    <w:rsid w:val="00730C23"/>
    <w:rsid w:val="00730F15"/>
    <w:rsid w:val="007342CE"/>
    <w:rsid w:val="007369BA"/>
    <w:rsid w:val="00740582"/>
    <w:rsid w:val="007414E1"/>
    <w:rsid w:val="00741B11"/>
    <w:rsid w:val="0074580C"/>
    <w:rsid w:val="00760F71"/>
    <w:rsid w:val="007617BD"/>
    <w:rsid w:val="00763647"/>
    <w:rsid w:val="00770D80"/>
    <w:rsid w:val="00772339"/>
    <w:rsid w:val="0078710E"/>
    <w:rsid w:val="00787F4C"/>
    <w:rsid w:val="007917B0"/>
    <w:rsid w:val="007A1A5F"/>
    <w:rsid w:val="007A34C9"/>
    <w:rsid w:val="007A6C5D"/>
    <w:rsid w:val="007A7425"/>
    <w:rsid w:val="007A7980"/>
    <w:rsid w:val="007B04FD"/>
    <w:rsid w:val="007B59CC"/>
    <w:rsid w:val="007B71B6"/>
    <w:rsid w:val="007C085F"/>
    <w:rsid w:val="007C1B58"/>
    <w:rsid w:val="007D41E1"/>
    <w:rsid w:val="007E016C"/>
    <w:rsid w:val="007E1A57"/>
    <w:rsid w:val="007E616F"/>
    <w:rsid w:val="007E6D32"/>
    <w:rsid w:val="007F0611"/>
    <w:rsid w:val="007F2CA6"/>
    <w:rsid w:val="007F423C"/>
    <w:rsid w:val="007F71A7"/>
    <w:rsid w:val="0080149A"/>
    <w:rsid w:val="00801CA2"/>
    <w:rsid w:val="00802BFE"/>
    <w:rsid w:val="008052DA"/>
    <w:rsid w:val="00807431"/>
    <w:rsid w:val="00810763"/>
    <w:rsid w:val="00814968"/>
    <w:rsid w:val="008157BA"/>
    <w:rsid w:val="00817D8A"/>
    <w:rsid w:val="00820704"/>
    <w:rsid w:val="00826845"/>
    <w:rsid w:val="00836D7A"/>
    <w:rsid w:val="00841E41"/>
    <w:rsid w:val="0084331E"/>
    <w:rsid w:val="00843E13"/>
    <w:rsid w:val="00843F4B"/>
    <w:rsid w:val="0084597D"/>
    <w:rsid w:val="00850D4E"/>
    <w:rsid w:val="00857394"/>
    <w:rsid w:val="008600E4"/>
    <w:rsid w:val="0086296B"/>
    <w:rsid w:val="008676DF"/>
    <w:rsid w:val="00867ECF"/>
    <w:rsid w:val="0087075D"/>
    <w:rsid w:val="00872CF4"/>
    <w:rsid w:val="00873E53"/>
    <w:rsid w:val="0087598A"/>
    <w:rsid w:val="00877C88"/>
    <w:rsid w:val="0088365D"/>
    <w:rsid w:val="008907C3"/>
    <w:rsid w:val="008920C9"/>
    <w:rsid w:val="008924D8"/>
    <w:rsid w:val="00892705"/>
    <w:rsid w:val="008965FF"/>
    <w:rsid w:val="00897D7D"/>
    <w:rsid w:val="008A0D61"/>
    <w:rsid w:val="008A117A"/>
    <w:rsid w:val="008A4E71"/>
    <w:rsid w:val="008B3910"/>
    <w:rsid w:val="008B564A"/>
    <w:rsid w:val="008C0767"/>
    <w:rsid w:val="008C2D26"/>
    <w:rsid w:val="008C671A"/>
    <w:rsid w:val="008D0CD2"/>
    <w:rsid w:val="008D2340"/>
    <w:rsid w:val="008E2532"/>
    <w:rsid w:val="008E34E9"/>
    <w:rsid w:val="008F0C79"/>
    <w:rsid w:val="008F3DE8"/>
    <w:rsid w:val="008F4908"/>
    <w:rsid w:val="009055ED"/>
    <w:rsid w:val="00912CE3"/>
    <w:rsid w:val="009249B9"/>
    <w:rsid w:val="009269B2"/>
    <w:rsid w:val="00930D0F"/>
    <w:rsid w:val="00932779"/>
    <w:rsid w:val="009342BD"/>
    <w:rsid w:val="009345ED"/>
    <w:rsid w:val="00934ED3"/>
    <w:rsid w:val="00940505"/>
    <w:rsid w:val="00941183"/>
    <w:rsid w:val="00943EFE"/>
    <w:rsid w:val="00946CAD"/>
    <w:rsid w:val="00951190"/>
    <w:rsid w:val="00970925"/>
    <w:rsid w:val="00987141"/>
    <w:rsid w:val="00991A2A"/>
    <w:rsid w:val="009937AE"/>
    <w:rsid w:val="009A2328"/>
    <w:rsid w:val="009A374A"/>
    <w:rsid w:val="009B0072"/>
    <w:rsid w:val="009B01E1"/>
    <w:rsid w:val="009B5ABC"/>
    <w:rsid w:val="009C2CE3"/>
    <w:rsid w:val="009D5B6B"/>
    <w:rsid w:val="009D6B3B"/>
    <w:rsid w:val="009D71A3"/>
    <w:rsid w:val="009E5610"/>
    <w:rsid w:val="009F3027"/>
    <w:rsid w:val="009F4C02"/>
    <w:rsid w:val="009F5C01"/>
    <w:rsid w:val="00A06CAC"/>
    <w:rsid w:val="00A10C60"/>
    <w:rsid w:val="00A176D5"/>
    <w:rsid w:val="00A2357F"/>
    <w:rsid w:val="00A2557F"/>
    <w:rsid w:val="00A27711"/>
    <w:rsid w:val="00A30E4A"/>
    <w:rsid w:val="00A326F3"/>
    <w:rsid w:val="00A339CF"/>
    <w:rsid w:val="00A362B4"/>
    <w:rsid w:val="00A41ECF"/>
    <w:rsid w:val="00A43D36"/>
    <w:rsid w:val="00A52CC6"/>
    <w:rsid w:val="00A60D93"/>
    <w:rsid w:val="00A60E0E"/>
    <w:rsid w:val="00A61B62"/>
    <w:rsid w:val="00A72CBB"/>
    <w:rsid w:val="00A85159"/>
    <w:rsid w:val="00A87E8E"/>
    <w:rsid w:val="00A91D66"/>
    <w:rsid w:val="00AA4754"/>
    <w:rsid w:val="00AA4992"/>
    <w:rsid w:val="00AA4ED8"/>
    <w:rsid w:val="00AA71D5"/>
    <w:rsid w:val="00AB0EB8"/>
    <w:rsid w:val="00AB478D"/>
    <w:rsid w:val="00AC5B03"/>
    <w:rsid w:val="00AC5D5C"/>
    <w:rsid w:val="00AF535D"/>
    <w:rsid w:val="00B02AD8"/>
    <w:rsid w:val="00B02B42"/>
    <w:rsid w:val="00B03A12"/>
    <w:rsid w:val="00B06509"/>
    <w:rsid w:val="00B06C58"/>
    <w:rsid w:val="00B14655"/>
    <w:rsid w:val="00B158CF"/>
    <w:rsid w:val="00B23E71"/>
    <w:rsid w:val="00B269CD"/>
    <w:rsid w:val="00B3068E"/>
    <w:rsid w:val="00B3103B"/>
    <w:rsid w:val="00B37BBE"/>
    <w:rsid w:val="00B46F7B"/>
    <w:rsid w:val="00B476CC"/>
    <w:rsid w:val="00B52957"/>
    <w:rsid w:val="00B552D1"/>
    <w:rsid w:val="00B5736D"/>
    <w:rsid w:val="00B57F69"/>
    <w:rsid w:val="00B6764F"/>
    <w:rsid w:val="00B76579"/>
    <w:rsid w:val="00B81305"/>
    <w:rsid w:val="00B9723D"/>
    <w:rsid w:val="00BA3A63"/>
    <w:rsid w:val="00BA589A"/>
    <w:rsid w:val="00BA78B9"/>
    <w:rsid w:val="00BC05E1"/>
    <w:rsid w:val="00BC46DE"/>
    <w:rsid w:val="00BC6BBA"/>
    <w:rsid w:val="00BD570C"/>
    <w:rsid w:val="00BE50DA"/>
    <w:rsid w:val="00BF0276"/>
    <w:rsid w:val="00BF78A3"/>
    <w:rsid w:val="00C00CE9"/>
    <w:rsid w:val="00C042B1"/>
    <w:rsid w:val="00C17405"/>
    <w:rsid w:val="00C178D0"/>
    <w:rsid w:val="00C2256F"/>
    <w:rsid w:val="00C23F8F"/>
    <w:rsid w:val="00C24EB5"/>
    <w:rsid w:val="00C25A28"/>
    <w:rsid w:val="00C26787"/>
    <w:rsid w:val="00C3065F"/>
    <w:rsid w:val="00C34862"/>
    <w:rsid w:val="00C34F28"/>
    <w:rsid w:val="00C3506B"/>
    <w:rsid w:val="00C36FE1"/>
    <w:rsid w:val="00C40F50"/>
    <w:rsid w:val="00C4244A"/>
    <w:rsid w:val="00C5022D"/>
    <w:rsid w:val="00C52A97"/>
    <w:rsid w:val="00C62AC4"/>
    <w:rsid w:val="00C63A99"/>
    <w:rsid w:val="00C64770"/>
    <w:rsid w:val="00C67CCF"/>
    <w:rsid w:val="00C701EA"/>
    <w:rsid w:val="00C76EFC"/>
    <w:rsid w:val="00C773B3"/>
    <w:rsid w:val="00C80C62"/>
    <w:rsid w:val="00C81F0F"/>
    <w:rsid w:val="00C82902"/>
    <w:rsid w:val="00C839A9"/>
    <w:rsid w:val="00C870AA"/>
    <w:rsid w:val="00C87D96"/>
    <w:rsid w:val="00C96635"/>
    <w:rsid w:val="00C97616"/>
    <w:rsid w:val="00CA4BB8"/>
    <w:rsid w:val="00CA68B3"/>
    <w:rsid w:val="00CB474B"/>
    <w:rsid w:val="00CC0F35"/>
    <w:rsid w:val="00CC493C"/>
    <w:rsid w:val="00CC598E"/>
    <w:rsid w:val="00CC59FC"/>
    <w:rsid w:val="00CC65CD"/>
    <w:rsid w:val="00CD51D2"/>
    <w:rsid w:val="00CE1CDD"/>
    <w:rsid w:val="00CE65D4"/>
    <w:rsid w:val="00CE7A79"/>
    <w:rsid w:val="00CF4492"/>
    <w:rsid w:val="00D00CF7"/>
    <w:rsid w:val="00D038A8"/>
    <w:rsid w:val="00D0407A"/>
    <w:rsid w:val="00D043CC"/>
    <w:rsid w:val="00D14E29"/>
    <w:rsid w:val="00D25B51"/>
    <w:rsid w:val="00D33F84"/>
    <w:rsid w:val="00D3751C"/>
    <w:rsid w:val="00D424D1"/>
    <w:rsid w:val="00D44CFE"/>
    <w:rsid w:val="00D463F8"/>
    <w:rsid w:val="00D54F0D"/>
    <w:rsid w:val="00D56394"/>
    <w:rsid w:val="00D56CA9"/>
    <w:rsid w:val="00D56FEA"/>
    <w:rsid w:val="00D61443"/>
    <w:rsid w:val="00D621C1"/>
    <w:rsid w:val="00D6747A"/>
    <w:rsid w:val="00D776C6"/>
    <w:rsid w:val="00D77FC6"/>
    <w:rsid w:val="00D85592"/>
    <w:rsid w:val="00D866ED"/>
    <w:rsid w:val="00D907F6"/>
    <w:rsid w:val="00D93E87"/>
    <w:rsid w:val="00D94C50"/>
    <w:rsid w:val="00DA4139"/>
    <w:rsid w:val="00DA5C83"/>
    <w:rsid w:val="00DA6F1C"/>
    <w:rsid w:val="00DC192C"/>
    <w:rsid w:val="00DD0AB5"/>
    <w:rsid w:val="00DD1273"/>
    <w:rsid w:val="00DD20B4"/>
    <w:rsid w:val="00DE121E"/>
    <w:rsid w:val="00DE76BB"/>
    <w:rsid w:val="00E03DAD"/>
    <w:rsid w:val="00E042D4"/>
    <w:rsid w:val="00E1087D"/>
    <w:rsid w:val="00E305A3"/>
    <w:rsid w:val="00E3258A"/>
    <w:rsid w:val="00E33F37"/>
    <w:rsid w:val="00E37EA3"/>
    <w:rsid w:val="00E40792"/>
    <w:rsid w:val="00E448BF"/>
    <w:rsid w:val="00E50A6B"/>
    <w:rsid w:val="00E52DD0"/>
    <w:rsid w:val="00E645EE"/>
    <w:rsid w:val="00E6497E"/>
    <w:rsid w:val="00E65CA7"/>
    <w:rsid w:val="00E67A70"/>
    <w:rsid w:val="00E701BC"/>
    <w:rsid w:val="00E74B20"/>
    <w:rsid w:val="00E878FC"/>
    <w:rsid w:val="00E9221F"/>
    <w:rsid w:val="00E927A6"/>
    <w:rsid w:val="00EA1D70"/>
    <w:rsid w:val="00EA2EEA"/>
    <w:rsid w:val="00EA2FB0"/>
    <w:rsid w:val="00EA3CE9"/>
    <w:rsid w:val="00EB1022"/>
    <w:rsid w:val="00EB2AB7"/>
    <w:rsid w:val="00EC6A3B"/>
    <w:rsid w:val="00ED1987"/>
    <w:rsid w:val="00ED1A90"/>
    <w:rsid w:val="00ED576F"/>
    <w:rsid w:val="00ED6F4E"/>
    <w:rsid w:val="00EE4F43"/>
    <w:rsid w:val="00EF5815"/>
    <w:rsid w:val="00F0557B"/>
    <w:rsid w:val="00F110FE"/>
    <w:rsid w:val="00F13C80"/>
    <w:rsid w:val="00F14FC5"/>
    <w:rsid w:val="00F17BE5"/>
    <w:rsid w:val="00F217C5"/>
    <w:rsid w:val="00F23C43"/>
    <w:rsid w:val="00F2605B"/>
    <w:rsid w:val="00F26C5D"/>
    <w:rsid w:val="00F32332"/>
    <w:rsid w:val="00F35D37"/>
    <w:rsid w:val="00F41E74"/>
    <w:rsid w:val="00F433E4"/>
    <w:rsid w:val="00F454A2"/>
    <w:rsid w:val="00F5404C"/>
    <w:rsid w:val="00F56652"/>
    <w:rsid w:val="00F573B0"/>
    <w:rsid w:val="00F6266E"/>
    <w:rsid w:val="00F74B4E"/>
    <w:rsid w:val="00F74CC8"/>
    <w:rsid w:val="00F863B6"/>
    <w:rsid w:val="00F9199C"/>
    <w:rsid w:val="00F92BBC"/>
    <w:rsid w:val="00F95623"/>
    <w:rsid w:val="00F96CE5"/>
    <w:rsid w:val="00FA0F55"/>
    <w:rsid w:val="00FA1547"/>
    <w:rsid w:val="00FA16BE"/>
    <w:rsid w:val="00FA18C6"/>
    <w:rsid w:val="00FA427D"/>
    <w:rsid w:val="00FA46BE"/>
    <w:rsid w:val="00FA4BC3"/>
    <w:rsid w:val="00FA5FFA"/>
    <w:rsid w:val="00FA67CD"/>
    <w:rsid w:val="00FC1161"/>
    <w:rsid w:val="00FC7294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FD3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regpar"/>
    <w:qFormat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par">
    <w:name w:val="regpar"/>
    <w:basedOn w:val="Normal"/>
    <w:pPr>
      <w:ind w:firstLin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00"/>
        <w:tab w:val="right" w:pos="8400"/>
      </w:tabs>
    </w:pPr>
  </w:style>
  <w:style w:type="character" w:styleId="FootnoteReference">
    <w:name w:val="footnote reference"/>
    <w:rPr>
      <w:position w:val="6"/>
      <w:sz w:val="14"/>
      <w:szCs w:val="14"/>
    </w:rPr>
  </w:style>
  <w:style w:type="paragraph" w:styleId="FootnoteText">
    <w:name w:val="footnote text"/>
    <w:basedOn w:val="regpar"/>
    <w:link w:val="FootnoteTextChar"/>
    <w:pPr>
      <w:spacing w:line="240" w:lineRule="exac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ER-text86">
    <w:name w:val="*ER-text 86%"/>
    <w:basedOn w:val="Normal"/>
  </w:style>
  <w:style w:type="paragraph" w:customStyle="1" w:styleId="abstract">
    <w:name w:val="abstract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Normal"/>
    <w:next w:val="abstract"/>
    <w:pPr>
      <w:jc w:val="center"/>
    </w:pPr>
    <w:rPr>
      <w:smallCaps/>
    </w:rPr>
  </w:style>
  <w:style w:type="paragraph" w:customStyle="1" w:styleId="1">
    <w:name w:val="כותרת טקסט1"/>
    <w:basedOn w:val="Normal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Normal"/>
    <w:next w:val="Normal"/>
    <w:rPr>
      <w:caps/>
      <w:sz w:val="22"/>
      <w:szCs w:val="22"/>
    </w:rPr>
  </w:style>
  <w:style w:type="paragraph" w:customStyle="1" w:styleId="Bhead">
    <w:name w:val="B head"/>
    <w:basedOn w:val="Normal"/>
    <w:next w:val="Normal"/>
    <w:rPr>
      <w:b/>
      <w:bCs/>
    </w:rPr>
  </w:style>
  <w:style w:type="paragraph" w:customStyle="1" w:styleId="rule">
    <w:name w:val="rule"/>
    <w:basedOn w:val="Normal"/>
    <w:pPr>
      <w:spacing w:line="120" w:lineRule="exact"/>
    </w:pPr>
    <w:rPr>
      <w:spacing w:val="-20"/>
      <w:sz w:val="12"/>
      <w:szCs w:val="12"/>
    </w:rPr>
  </w:style>
  <w:style w:type="paragraph" w:customStyle="1" w:styleId="noteseparator">
    <w:name w:val="note separator"/>
    <w:basedOn w:val="Normal"/>
    <w:next w:val="FootnoteText"/>
    <w:pPr>
      <w:spacing w:line="160" w:lineRule="exact"/>
    </w:pPr>
  </w:style>
  <w:style w:type="paragraph" w:customStyle="1" w:styleId="runninghead">
    <w:name w:val="running head"/>
    <w:basedOn w:val="Header"/>
    <w:rPr>
      <w:smallCaps/>
    </w:rPr>
  </w:style>
  <w:style w:type="paragraph" w:customStyle="1" w:styleId="eq">
    <w:name w:val="eq"/>
    <w:basedOn w:val="Normal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Normal"/>
    <w:next w:val="Normal"/>
    <w:rPr>
      <w:i/>
      <w:iCs/>
    </w:rPr>
  </w:style>
  <w:style w:type="paragraph" w:customStyle="1" w:styleId="ARtext">
    <w:name w:val="*AR text"/>
    <w:basedOn w:val="Normal"/>
  </w:style>
  <w:style w:type="paragraph" w:customStyle="1" w:styleId="quotes">
    <w:name w:val="quotes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Normal"/>
    <w:next w:val="1"/>
    <w:pPr>
      <w:spacing w:line="560" w:lineRule="atLeast"/>
    </w:pPr>
    <w:rPr>
      <w:i/>
      <w:iCs/>
      <w:sz w:val="36"/>
      <w:szCs w:val="36"/>
    </w:rPr>
  </w:style>
  <w:style w:type="paragraph" w:styleId="BodyTextIndent">
    <w:name w:val="Body Text Indent"/>
    <w:basedOn w:val="Normal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E03DAD"/>
  </w:style>
  <w:style w:type="table" w:styleId="TableGrid">
    <w:name w:val="Table Grid"/>
    <w:basedOn w:val="TableNormal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DD0"/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6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F0C79"/>
    <w:rPr>
      <w:rFonts w:ascii="Times" w:hAnsi="Times" w:cs="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A27711"/>
    <w:rPr>
      <w:rFonts w:ascii="Times" w:hAnsi="Times" w:cs="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8D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40"/>
    <w:rPr>
      <w:rFonts w:ascii="Times" w:hAnsi="Times" w:cs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40"/>
    <w:rPr>
      <w:rFonts w:ascii="Times" w:hAnsi="Times" w:cs="Times"/>
      <w:b/>
      <w:bCs/>
    </w:rPr>
  </w:style>
  <w:style w:type="paragraph" w:styleId="NormalWeb">
    <w:name w:val="Normal (Web)"/>
    <w:basedOn w:val="Normal"/>
    <w:uiPriority w:val="99"/>
    <w:unhideWhenUsed/>
    <w:rsid w:val="000C46E3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3AD7-C05B-4FB1-A8D2-B75B3DAE7E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E8F6A-B3AE-40A9-BEA3-53F872BA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3220</Characters>
  <Application>Microsoft Office Word</Application>
  <DocSecurity>4</DocSecurity>
  <Lines>70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2025-02-11T10:49:00Z</dcterms:created>
  <dcterms:modified xsi:type="dcterms:W3CDTF">2025-02-11T10:49:00Z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