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428A9" w:rsidRPr="006E5603" w14:paraId="7CB46E3C" w14:textId="77777777" w:rsidTr="009C06E6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70B2" w14:textId="77777777" w:rsidR="007428A9" w:rsidRPr="00DF27A4" w:rsidRDefault="007428A9" w:rsidP="009C06E6">
            <w:pPr>
              <w:spacing w:line="36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DF27A4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DF27A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DF27A4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DF27A4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14:paraId="5712160F" w14:textId="77777777" w:rsidR="007428A9" w:rsidRPr="00DF27A4" w:rsidRDefault="007428A9" w:rsidP="009C06E6">
            <w:pPr>
              <w:spacing w:line="360" w:lineRule="auto"/>
              <w:ind w:right="-101"/>
              <w:rPr>
                <w:rFonts w:cs="David"/>
              </w:rPr>
            </w:pPr>
            <w:r w:rsidRPr="00DF27A4">
              <w:rPr>
                <w:rFonts w:cs="David"/>
                <w:sz w:val="24"/>
                <w:szCs w:val="24"/>
                <w:rtl/>
              </w:rPr>
              <w:t>דו</w:t>
            </w:r>
            <w:r w:rsidRPr="00DF27A4">
              <w:rPr>
                <w:rFonts w:cs="David" w:hint="cs"/>
                <w:sz w:val="24"/>
                <w:szCs w:val="24"/>
                <w:rtl/>
              </w:rPr>
              <w:t>בר</w:t>
            </w:r>
            <w:r w:rsidRPr="00DF27A4">
              <w:rPr>
                <w:rFonts w:cs="David"/>
                <w:sz w:val="24"/>
                <w:szCs w:val="24"/>
                <w:rtl/>
              </w:rPr>
              <w:t>ות</w:t>
            </w:r>
            <w:r w:rsidRPr="00DF27A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E51C88" w14:textId="77777777" w:rsidR="007428A9" w:rsidRPr="00DF27A4" w:rsidRDefault="007428A9" w:rsidP="009C06E6">
            <w:pPr>
              <w:spacing w:line="360" w:lineRule="auto"/>
              <w:jc w:val="center"/>
              <w:rPr>
                <w:rFonts w:cs="David"/>
              </w:rPr>
            </w:pPr>
            <w:r w:rsidRPr="00DF27A4">
              <w:rPr>
                <w:rFonts w:cs="David"/>
                <w:noProof/>
              </w:rPr>
              <w:drawing>
                <wp:inline distT="0" distB="0" distL="0" distR="0" wp14:anchorId="6D57C460" wp14:editId="5B1587B7">
                  <wp:extent cx="1120346" cy="1120346"/>
                  <wp:effectExtent l="0" t="0" r="3810" b="3810"/>
                  <wp:docPr id="5" name="תמונה 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105" cy="113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7A80" w14:textId="36B9117B" w:rsidR="007428A9" w:rsidRPr="006E5603" w:rsidRDefault="007428A9" w:rsidP="006E5603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6E5603">
              <w:rPr>
                <w:rFonts w:cs="David"/>
                <w:sz w:val="24"/>
                <w:szCs w:val="24"/>
                <w:rtl/>
              </w:rPr>
              <w:t xml:space="preserve">‏‏ירושלים, </w:t>
            </w:r>
            <w:r w:rsidRPr="006E5603">
              <w:rPr>
                <w:rFonts w:cs="David" w:hint="cs"/>
                <w:sz w:val="24"/>
                <w:szCs w:val="24"/>
                <w:rtl/>
              </w:rPr>
              <w:t>כ"</w:t>
            </w:r>
            <w:r w:rsidR="006E5603" w:rsidRPr="006E5603">
              <w:rPr>
                <w:rFonts w:cs="David" w:hint="cs"/>
                <w:sz w:val="24"/>
                <w:szCs w:val="24"/>
                <w:rtl/>
              </w:rPr>
              <w:t>ט</w:t>
            </w:r>
            <w:r w:rsidRPr="006E5603">
              <w:rPr>
                <w:rFonts w:cs="David" w:hint="cs"/>
                <w:sz w:val="24"/>
                <w:szCs w:val="24"/>
                <w:rtl/>
              </w:rPr>
              <w:t xml:space="preserve"> כסלו, תשפ"ד</w:t>
            </w:r>
            <w:r w:rsidRPr="006E5603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14:paraId="285C6C53" w14:textId="7AB8EC42" w:rsidR="007428A9" w:rsidRPr="006E5603" w:rsidRDefault="006E5603" w:rsidP="007428A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E5603">
              <w:rPr>
                <w:rFonts w:cs="David" w:hint="cs"/>
                <w:sz w:val="24"/>
                <w:szCs w:val="24"/>
                <w:rtl/>
              </w:rPr>
              <w:t>12</w:t>
            </w:r>
            <w:r w:rsidR="007428A9" w:rsidRPr="006E5603">
              <w:rPr>
                <w:rFonts w:cs="David" w:hint="cs"/>
                <w:sz w:val="24"/>
                <w:szCs w:val="24"/>
                <w:rtl/>
              </w:rPr>
              <w:t xml:space="preserve"> בדצמבר 2023</w:t>
            </w:r>
          </w:p>
        </w:tc>
      </w:tr>
    </w:tbl>
    <w:p w14:paraId="30F5FBF1" w14:textId="77777777" w:rsidR="007428A9" w:rsidRPr="00836063" w:rsidRDefault="007428A9" w:rsidP="007428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7CF2809" w14:textId="77777777" w:rsidR="007428A9" w:rsidRPr="00622105" w:rsidRDefault="007428A9" w:rsidP="007428A9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r w:rsidRPr="00622105">
        <w:rPr>
          <w:rFonts w:ascii="David" w:hAnsi="David" w:cs="David"/>
          <w:sz w:val="24"/>
          <w:szCs w:val="24"/>
          <w:rtl/>
        </w:rPr>
        <w:t>הודעה לעיתונות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113FD928" w14:textId="77777777" w:rsidR="007428A9" w:rsidRDefault="007428A9" w:rsidP="007428A9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מחקר חדש: תרומת פירמות להסבר פערי השכר המגדריים</w:t>
      </w:r>
      <w:bookmarkEnd w:id="0"/>
    </w:p>
    <w:p w14:paraId="597A9EFC" w14:textId="05E39AF2" w:rsidR="00AA3D69" w:rsidRPr="00AF57CA" w:rsidRDefault="007428A9" w:rsidP="00314C0D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פער השכר בין נשים וגברים בישראל עמד על </w:t>
      </w:r>
      <w:r w:rsidR="00314C0D">
        <w:rPr>
          <w:rFonts w:ascii="David" w:hAnsi="David" w:cs="David" w:hint="cs"/>
          <w:b/>
          <w:bCs/>
          <w:sz w:val="24"/>
          <w:szCs w:val="24"/>
          <w:rtl/>
        </w:rPr>
        <w:t xml:space="preserve">30% </w:t>
      </w:r>
      <w:r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בשנת 2019.  המחקר מציע הסתכלות 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ברמת הפירמה על פערי השכר המגדריים </w:t>
      </w:r>
      <w:r w:rsidR="002E707B">
        <w:rPr>
          <w:rFonts w:ascii="David" w:hAnsi="David" w:cs="David" w:hint="cs"/>
          <w:b/>
          <w:bCs/>
          <w:sz w:val="24"/>
          <w:szCs w:val="24"/>
          <w:rtl/>
        </w:rPr>
        <w:t xml:space="preserve">בישראל 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ואומד באמצעות נתוני </w:t>
      </w:r>
      <w:r w:rsidR="00DD65F8">
        <w:rPr>
          <w:rFonts w:ascii="David" w:hAnsi="David" w:cs="David" w:hint="cs"/>
          <w:b/>
          <w:bCs/>
          <w:sz w:val="24"/>
          <w:szCs w:val="24"/>
          <w:rtl/>
        </w:rPr>
        <w:t>שכר</w:t>
      </w:r>
      <w:r w:rsidR="00314C0D">
        <w:rPr>
          <w:rFonts w:ascii="David" w:hAnsi="David" w:cs="David" w:hint="cs"/>
          <w:b/>
          <w:bCs/>
          <w:sz w:val="24"/>
          <w:szCs w:val="24"/>
          <w:rtl/>
        </w:rPr>
        <w:t xml:space="preserve"> של עובדות ועובדים </w:t>
      </w:r>
      <w:r w:rsidR="002E707B">
        <w:rPr>
          <w:rFonts w:ascii="David" w:hAnsi="David" w:cs="David" w:hint="cs"/>
          <w:b/>
          <w:bCs/>
          <w:sz w:val="24"/>
          <w:szCs w:val="24"/>
          <w:rtl/>
        </w:rPr>
        <w:t>מה</w:t>
      </w:r>
      <w:r w:rsidR="002E707B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שנים 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>2008-2019</w:t>
      </w:r>
      <w:r w:rsidR="002E707B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 את פרמיית השכר המיוחסת לפירמה בה הם מועסקים. </w:t>
      </w:r>
      <w:r w:rsidRPr="00AF57CA">
        <w:rPr>
          <w:rFonts w:ascii="David" w:hAnsi="David" w:cs="David"/>
          <w:b/>
          <w:bCs/>
          <w:sz w:val="24"/>
          <w:szCs w:val="24"/>
          <w:rtl/>
        </w:rPr>
        <w:t xml:space="preserve">נמצא כי </w:t>
      </w:r>
      <w:r w:rsidR="00AF57CA" w:rsidRPr="00AF57CA">
        <w:rPr>
          <w:rFonts w:ascii="David" w:hAnsi="David" w:cs="David" w:hint="cs"/>
          <w:b/>
          <w:bCs/>
          <w:sz w:val="24"/>
          <w:szCs w:val="24"/>
          <w:rtl/>
        </w:rPr>
        <w:t>פערים בפרמיה זו</w:t>
      </w:r>
      <w:r w:rsidR="00F737CA">
        <w:rPr>
          <w:rFonts w:ascii="David" w:hAnsi="David" w:cs="David"/>
          <w:b/>
          <w:bCs/>
          <w:sz w:val="24"/>
          <w:szCs w:val="24"/>
          <w:rtl/>
        </w:rPr>
        <w:t xml:space="preserve"> מסביר</w:t>
      </w:r>
      <w:r w:rsidR="00F737CA">
        <w:rPr>
          <w:rFonts w:ascii="David" w:hAnsi="David" w:cs="David" w:hint="cs"/>
          <w:b/>
          <w:bCs/>
          <w:sz w:val="24"/>
          <w:szCs w:val="24"/>
          <w:rtl/>
        </w:rPr>
        <w:t>ים</w:t>
      </w:r>
      <w:r w:rsidRPr="00AF57CA">
        <w:rPr>
          <w:rFonts w:ascii="David" w:hAnsi="David" w:cs="David"/>
          <w:b/>
          <w:bCs/>
          <w:sz w:val="24"/>
          <w:szCs w:val="24"/>
          <w:rtl/>
        </w:rPr>
        <w:t xml:space="preserve"> כ-30% מפערי השכר בין </w:t>
      </w:r>
      <w:r w:rsidR="00AF57CA">
        <w:rPr>
          <w:rFonts w:ascii="David" w:hAnsi="David" w:cs="David" w:hint="cs"/>
          <w:b/>
          <w:bCs/>
          <w:sz w:val="24"/>
          <w:szCs w:val="24"/>
          <w:rtl/>
        </w:rPr>
        <w:t>נשים וגברים</w:t>
      </w:r>
      <w:r w:rsidRPr="00AF57CA">
        <w:rPr>
          <w:rFonts w:ascii="David" w:hAnsi="David" w:cs="David"/>
          <w:b/>
          <w:bCs/>
          <w:sz w:val="24"/>
          <w:szCs w:val="24"/>
          <w:rtl/>
        </w:rPr>
        <w:t xml:space="preserve"> בישראל</w:t>
      </w:r>
      <w:r w:rsidR="00314C0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50320003" w14:textId="1BFCD717" w:rsidR="007428A9" w:rsidRPr="00AF57CA" w:rsidRDefault="002E707B" w:rsidP="00816C01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המחקר 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 xml:space="preserve">מעלה כי </w:t>
      </w:r>
      <w:r>
        <w:rPr>
          <w:rFonts w:ascii="David" w:hAnsi="David" w:cs="David" w:hint="cs"/>
          <w:b/>
          <w:bCs/>
          <w:sz w:val="24"/>
          <w:szCs w:val="24"/>
          <w:rtl/>
        </w:rPr>
        <w:t>נטייה</w:t>
      </w:r>
      <w:r w:rsidRPr="00AF57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>של נשים ל</w:t>
      </w:r>
      <w:r>
        <w:rPr>
          <w:rFonts w:ascii="David" w:hAnsi="David" w:cs="David" w:hint="cs"/>
          <w:b/>
          <w:bCs/>
          <w:sz w:val="24"/>
          <w:szCs w:val="24"/>
          <w:rtl/>
        </w:rPr>
        <w:t>התרכז ב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>פירמות</w:t>
      </w:r>
      <w:r w:rsidR="007428A9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 xml:space="preserve">המשלמות פרמיית שכר נמוכה מסבירה חלק ניכר </w:t>
      </w:r>
      <w:r w:rsidR="007428A9" w:rsidRPr="00AF57CA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>ההבדלים בפרמיות השכר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("ערוץ ההתמיינות"),</w:t>
      </w:r>
      <w:r w:rsidR="007428A9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 xml:space="preserve">ואילו חלק זניח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מפערי השכר </w:t>
      </w:r>
      <w:r w:rsidR="007428A9" w:rsidRPr="00AF57CA">
        <w:rPr>
          <w:rFonts w:ascii="David" w:hAnsi="David" w:cs="David"/>
          <w:b/>
          <w:bCs/>
          <w:sz w:val="24"/>
          <w:szCs w:val="24"/>
          <w:rtl/>
        </w:rPr>
        <w:t>מיוחס למתן פרמיות שכר שונות לעובדות ועובדים מאותה הפירמה</w:t>
      </w:r>
      <w:r w:rsidR="00816C0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9376475" w14:textId="02D79385" w:rsidR="007428A9" w:rsidRDefault="007428A9" w:rsidP="00E712C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עם לידת הילד הראשון, פערי 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פרמיות </w:t>
      </w:r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 xml:space="preserve">בין נשים וגברים מתרחבים דרך ערוץ ההתמיינות ונותרים גבוהים גם שנים לאחר מכן. ממצא זה עולה בקנה אחד עם עדויות בספרות לקיומו של "קנס </w:t>
      </w:r>
      <w:proofErr w:type="spellStart"/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>אמהות</w:t>
      </w:r>
      <w:proofErr w:type="spellEnd"/>
      <w:r w:rsidR="00E712C6" w:rsidRPr="00AF57CA">
        <w:rPr>
          <w:rFonts w:ascii="David" w:hAnsi="David" w:cs="David" w:hint="cs"/>
          <w:b/>
          <w:bCs/>
          <w:sz w:val="24"/>
          <w:szCs w:val="24"/>
          <w:rtl/>
        </w:rPr>
        <w:t>".</w:t>
      </w:r>
    </w:p>
    <w:p w14:paraId="2342FAB5" w14:textId="64F2C3CF" w:rsidR="00816C01" w:rsidRPr="00844693" w:rsidRDefault="00816C01" w:rsidP="00314C0D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44693">
        <w:rPr>
          <w:rFonts w:ascii="David" w:hAnsi="David" w:cs="David" w:hint="cs"/>
          <w:b/>
          <w:bCs/>
          <w:sz w:val="24"/>
          <w:szCs w:val="24"/>
          <w:rtl/>
        </w:rPr>
        <w:t>לפיכך, ממצאי המחקר תומכים ב</w:t>
      </w:r>
      <w:r w:rsidR="00844693" w:rsidRPr="00844693">
        <w:rPr>
          <w:rFonts w:ascii="David" w:hAnsi="David" w:cs="David" w:hint="cs"/>
          <w:b/>
          <w:bCs/>
          <w:sz w:val="24"/>
          <w:szCs w:val="24"/>
          <w:rtl/>
        </w:rPr>
        <w:t>כך ש</w:t>
      </w:r>
      <w:r w:rsidRPr="00844693">
        <w:rPr>
          <w:rFonts w:ascii="David" w:hAnsi="David" w:cs="David" w:hint="cs"/>
          <w:b/>
          <w:bCs/>
          <w:sz w:val="24"/>
          <w:szCs w:val="24"/>
          <w:rtl/>
        </w:rPr>
        <w:t xml:space="preserve">מדיניות </w:t>
      </w:r>
      <w:r w:rsidR="00314C0D" w:rsidRPr="00844693">
        <w:rPr>
          <w:rFonts w:ascii="David" w:hAnsi="David" w:cs="David" w:hint="cs"/>
          <w:b/>
          <w:bCs/>
          <w:sz w:val="24"/>
          <w:szCs w:val="24"/>
          <w:rtl/>
        </w:rPr>
        <w:t xml:space="preserve">הממוקדת בהבטחת הזדמנויות תעסוקה שוות, תוך שימת דגש על </w:t>
      </w:r>
      <w:r w:rsidR="00844693" w:rsidRPr="00844693">
        <w:rPr>
          <w:rFonts w:ascii="David" w:hAnsi="David" w:cs="David" w:hint="cs"/>
          <w:b/>
          <w:bCs/>
          <w:sz w:val="24"/>
          <w:szCs w:val="24"/>
          <w:rtl/>
        </w:rPr>
        <w:t>מאפייני העבודה של הורים, תהיה אפקטיבית יותר מרגולציה על פערי שכר בין עובדות ועובדים באותה הפירמה.</w:t>
      </w:r>
    </w:p>
    <w:p w14:paraId="4D15AF86" w14:textId="3173BAD2" w:rsidR="00AF57CA" w:rsidRDefault="00F737CA" w:rsidP="003A087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פערי השכר בין נשים וגברים בישראל הם מהגבוהים במדינות ה-</w:t>
      </w:r>
      <w:r>
        <w:rPr>
          <w:rFonts w:ascii="David" w:hAnsi="David" w:cs="David" w:hint="cs"/>
          <w:sz w:val="24"/>
          <w:szCs w:val="24"/>
        </w:rPr>
        <w:t>OECD</w:t>
      </w:r>
      <w:r w:rsidR="00215B34">
        <w:rPr>
          <w:rFonts w:ascii="David" w:hAnsi="David" w:cs="David" w:hint="cs"/>
          <w:sz w:val="24"/>
          <w:szCs w:val="24"/>
          <w:rtl/>
        </w:rPr>
        <w:t xml:space="preserve">. ממצאים בספרות מצביעים על כך שנשים מיוצגות ביתר </w:t>
      </w:r>
      <w:r w:rsidR="009D460C">
        <w:rPr>
          <w:rFonts w:ascii="David" w:hAnsi="David" w:cs="David" w:hint="cs"/>
          <w:sz w:val="24"/>
          <w:szCs w:val="24"/>
          <w:rtl/>
        </w:rPr>
        <w:t>בענפים</w:t>
      </w:r>
      <w:r w:rsidR="00215B34">
        <w:rPr>
          <w:rFonts w:ascii="David" w:hAnsi="David" w:cs="David" w:hint="cs"/>
          <w:sz w:val="24"/>
          <w:szCs w:val="24"/>
          <w:rtl/>
        </w:rPr>
        <w:t xml:space="preserve"> המשלמים שכר נמוך יותר. </w:t>
      </w:r>
      <w:r w:rsidR="009D460C">
        <w:rPr>
          <w:rFonts w:ascii="David" w:hAnsi="David" w:cs="David" w:hint="cs"/>
          <w:sz w:val="24"/>
          <w:szCs w:val="24"/>
          <w:rtl/>
        </w:rPr>
        <w:t>בעזרת שימוש בפאנל נתוני שכר ומאפיינים דמוגרפיים של עובדות ועובדים בישראל בשנים 2008-2019</w:t>
      </w:r>
      <w:r w:rsidR="00DD65F8">
        <w:rPr>
          <w:rStyle w:val="ae"/>
          <w:rFonts w:ascii="David" w:hAnsi="David" w:cs="David"/>
          <w:sz w:val="24"/>
          <w:szCs w:val="24"/>
          <w:rtl/>
        </w:rPr>
        <w:footnoteReference w:id="1"/>
      </w:r>
      <w:r w:rsidR="000A3855">
        <w:rPr>
          <w:rFonts w:ascii="David" w:hAnsi="David" w:cs="David" w:hint="cs"/>
          <w:sz w:val="24"/>
          <w:szCs w:val="24"/>
          <w:rtl/>
        </w:rPr>
        <w:t>,</w:t>
      </w:r>
      <w:r w:rsidR="009D460C">
        <w:rPr>
          <w:rFonts w:ascii="David" w:hAnsi="David" w:cs="David" w:hint="cs"/>
          <w:sz w:val="24"/>
          <w:szCs w:val="24"/>
          <w:rtl/>
        </w:rPr>
        <w:t xml:space="preserve"> המחקר מציע הסתכלות ברמת הפירמה על פערי השכר בין נשים וגברים. </w:t>
      </w:r>
      <w:r w:rsidR="00215B34">
        <w:rPr>
          <w:rFonts w:ascii="David" w:hAnsi="David" w:cs="David" w:hint="cs"/>
          <w:sz w:val="24"/>
          <w:szCs w:val="24"/>
          <w:rtl/>
        </w:rPr>
        <w:t>בעזרת מע</w:t>
      </w:r>
      <w:r w:rsidR="009D460C">
        <w:rPr>
          <w:rFonts w:ascii="David" w:hAnsi="David" w:cs="David" w:hint="cs"/>
          <w:sz w:val="24"/>
          <w:szCs w:val="24"/>
          <w:rtl/>
        </w:rPr>
        <w:t xml:space="preserve">קב אחר מעברי עובדים בין פירמות, </w:t>
      </w:r>
      <w:r w:rsidR="00215B34">
        <w:rPr>
          <w:rFonts w:ascii="David" w:hAnsi="David" w:cs="David" w:hint="cs"/>
          <w:sz w:val="24"/>
          <w:szCs w:val="24"/>
          <w:rtl/>
        </w:rPr>
        <w:t xml:space="preserve">מחקר זה מזהה את פרמיית </w:t>
      </w:r>
      <w:r w:rsidR="009D460C">
        <w:rPr>
          <w:rFonts w:ascii="David" w:hAnsi="David" w:cs="David" w:hint="cs"/>
          <w:sz w:val="24"/>
          <w:szCs w:val="24"/>
          <w:rtl/>
        </w:rPr>
        <w:t>ה</w:t>
      </w:r>
      <w:r w:rsidR="00215B34">
        <w:rPr>
          <w:rFonts w:ascii="David" w:hAnsi="David" w:cs="David" w:hint="cs"/>
          <w:sz w:val="24"/>
          <w:szCs w:val="24"/>
          <w:rtl/>
        </w:rPr>
        <w:t>שכר המיוחסת לפירמה</w:t>
      </w:r>
      <w:r w:rsidR="00DD65F8">
        <w:rPr>
          <w:rFonts w:ascii="David" w:hAnsi="David" w:cs="David" w:hint="cs"/>
          <w:sz w:val="24"/>
          <w:szCs w:val="24"/>
          <w:rtl/>
        </w:rPr>
        <w:t>-</w:t>
      </w:r>
      <w:r w:rsidR="009D460C">
        <w:rPr>
          <w:rFonts w:ascii="David" w:hAnsi="David" w:cs="David" w:hint="cs"/>
          <w:sz w:val="24"/>
          <w:szCs w:val="24"/>
          <w:rtl/>
        </w:rPr>
        <w:t xml:space="preserve"> תוספת שכר ייחודית אותה חולקת הפירמה עם עובדיה.</w:t>
      </w:r>
      <w:r w:rsidR="00215B34">
        <w:rPr>
          <w:rFonts w:ascii="David" w:hAnsi="David" w:cs="David" w:hint="cs"/>
          <w:sz w:val="24"/>
          <w:szCs w:val="24"/>
          <w:rtl/>
        </w:rPr>
        <w:t xml:space="preserve"> </w:t>
      </w:r>
      <w:r w:rsidR="007428A9" w:rsidRPr="009D460C">
        <w:rPr>
          <w:rFonts w:ascii="David" w:hAnsi="David" w:cs="David"/>
          <w:sz w:val="24"/>
          <w:szCs w:val="24"/>
          <w:rtl/>
        </w:rPr>
        <w:t>נמצא כי</w:t>
      </w:r>
      <w:r w:rsidR="007428A9" w:rsidRPr="009D460C">
        <w:rPr>
          <w:rFonts w:ascii="David" w:hAnsi="David" w:cs="David" w:hint="cs"/>
          <w:sz w:val="24"/>
          <w:szCs w:val="24"/>
          <w:rtl/>
        </w:rPr>
        <w:t xml:space="preserve"> </w:t>
      </w:r>
      <w:r w:rsidR="00AF57CA" w:rsidRPr="009D460C">
        <w:rPr>
          <w:rFonts w:ascii="David" w:hAnsi="David" w:cs="David" w:hint="cs"/>
          <w:sz w:val="24"/>
          <w:szCs w:val="24"/>
          <w:rtl/>
        </w:rPr>
        <w:t>פערים בפרמיה זו</w:t>
      </w:r>
      <w:r w:rsidR="009D460C" w:rsidRPr="009D460C">
        <w:rPr>
          <w:rFonts w:ascii="David" w:hAnsi="David" w:cs="David"/>
          <w:sz w:val="24"/>
          <w:szCs w:val="24"/>
          <w:rtl/>
        </w:rPr>
        <w:t xml:space="preserve"> מסביר</w:t>
      </w:r>
      <w:r w:rsidR="009D460C" w:rsidRPr="009D460C">
        <w:rPr>
          <w:rFonts w:ascii="David" w:hAnsi="David" w:cs="David" w:hint="cs"/>
          <w:sz w:val="24"/>
          <w:szCs w:val="24"/>
          <w:rtl/>
        </w:rPr>
        <w:t>ים</w:t>
      </w:r>
      <w:r w:rsidR="007428A9" w:rsidRPr="009D460C">
        <w:rPr>
          <w:rFonts w:ascii="David" w:hAnsi="David" w:cs="David" w:hint="cs"/>
          <w:sz w:val="24"/>
          <w:szCs w:val="24"/>
          <w:rtl/>
        </w:rPr>
        <w:t xml:space="preserve"> כ-30% מפערי השכר בין </w:t>
      </w:r>
      <w:r w:rsidR="009D460C" w:rsidRPr="009D460C">
        <w:rPr>
          <w:rFonts w:ascii="David" w:hAnsi="David" w:cs="David" w:hint="cs"/>
          <w:sz w:val="24"/>
          <w:szCs w:val="24"/>
          <w:rtl/>
        </w:rPr>
        <w:t>נשים וגברים</w:t>
      </w:r>
      <w:r w:rsidR="007428A9" w:rsidRPr="009D460C">
        <w:rPr>
          <w:rFonts w:ascii="David" w:hAnsi="David" w:cs="David" w:hint="cs"/>
          <w:sz w:val="24"/>
          <w:szCs w:val="24"/>
          <w:rtl/>
        </w:rPr>
        <w:t xml:space="preserve"> בישראל.</w:t>
      </w:r>
      <w:r w:rsidR="00B01B3A">
        <w:rPr>
          <w:rFonts w:ascii="David" w:hAnsi="David" w:cs="David" w:hint="cs"/>
          <w:sz w:val="24"/>
          <w:szCs w:val="24"/>
          <w:rtl/>
        </w:rPr>
        <w:t xml:space="preserve"> הפער יכול לנבוע משני ערוצים: פער </w:t>
      </w:r>
      <w:r w:rsidR="00B01B3A">
        <w:rPr>
          <w:rFonts w:ascii="David" w:hAnsi="David" w:cs="David" w:hint="cs"/>
          <w:i/>
          <w:iCs/>
          <w:sz w:val="24"/>
          <w:szCs w:val="24"/>
          <w:rtl/>
        </w:rPr>
        <w:t xml:space="preserve">בין </w:t>
      </w:r>
      <w:r w:rsidR="00B01B3A" w:rsidRPr="00B01B3A">
        <w:rPr>
          <w:rFonts w:ascii="David" w:hAnsi="David" w:cs="David" w:hint="cs"/>
          <w:i/>
          <w:iCs/>
          <w:sz w:val="24"/>
          <w:szCs w:val="24"/>
          <w:rtl/>
        </w:rPr>
        <w:t>פירמות</w:t>
      </w:r>
      <w:r w:rsidR="00B01B3A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A0875">
        <w:rPr>
          <w:rFonts w:ascii="David" w:hAnsi="David" w:cs="David" w:hint="cs"/>
          <w:sz w:val="24"/>
          <w:szCs w:val="24"/>
          <w:rtl/>
        </w:rPr>
        <w:t>שיישתקף</w:t>
      </w:r>
      <w:proofErr w:type="spellEnd"/>
      <w:r w:rsidR="003A0875">
        <w:rPr>
          <w:rFonts w:ascii="David" w:hAnsi="David" w:cs="David" w:hint="cs"/>
          <w:sz w:val="24"/>
          <w:szCs w:val="24"/>
          <w:rtl/>
        </w:rPr>
        <w:t xml:space="preserve"> בפער השכר המגדרי ככל ש</w:t>
      </w:r>
      <w:r w:rsidR="00B01B3A">
        <w:rPr>
          <w:rFonts w:ascii="David" w:hAnsi="David" w:cs="David" w:hint="cs"/>
          <w:sz w:val="24"/>
          <w:szCs w:val="24"/>
          <w:rtl/>
        </w:rPr>
        <w:t xml:space="preserve">נשים </w:t>
      </w:r>
      <w:r w:rsidR="003A0875">
        <w:rPr>
          <w:rFonts w:ascii="David" w:hAnsi="David" w:cs="David" w:hint="cs"/>
          <w:sz w:val="24"/>
          <w:szCs w:val="24"/>
          <w:rtl/>
        </w:rPr>
        <w:t>"</w:t>
      </w:r>
      <w:r w:rsidR="00B01B3A">
        <w:rPr>
          <w:rFonts w:ascii="David" w:hAnsi="David" w:cs="David" w:hint="cs"/>
          <w:sz w:val="24"/>
          <w:szCs w:val="24"/>
          <w:rtl/>
        </w:rPr>
        <w:t>מתמיינות</w:t>
      </w:r>
      <w:r w:rsidR="003A0875">
        <w:rPr>
          <w:rFonts w:ascii="David" w:hAnsi="David" w:cs="David" w:hint="cs"/>
          <w:sz w:val="24"/>
          <w:szCs w:val="24"/>
          <w:rtl/>
        </w:rPr>
        <w:t>"</w:t>
      </w:r>
      <w:r w:rsidR="00B01B3A">
        <w:rPr>
          <w:rFonts w:ascii="David" w:hAnsi="David" w:cs="David" w:hint="cs"/>
          <w:sz w:val="24"/>
          <w:szCs w:val="24"/>
          <w:rtl/>
        </w:rPr>
        <w:t xml:space="preserve"> לפירמות המאופיינות בפרמיית שכר נמוכה</w:t>
      </w:r>
      <w:r w:rsidR="003A0875">
        <w:rPr>
          <w:rFonts w:ascii="David" w:hAnsi="David" w:cs="David" w:hint="cs"/>
          <w:sz w:val="24"/>
          <w:szCs w:val="24"/>
          <w:rtl/>
        </w:rPr>
        <w:t>,</w:t>
      </w:r>
      <w:r w:rsidR="00B01B3A">
        <w:rPr>
          <w:rFonts w:ascii="David" w:hAnsi="David" w:cs="David" w:hint="cs"/>
          <w:sz w:val="24"/>
          <w:szCs w:val="24"/>
          <w:rtl/>
        </w:rPr>
        <w:t xml:space="preserve"> ופער </w:t>
      </w:r>
      <w:r w:rsidR="00B01B3A" w:rsidRPr="00B01B3A">
        <w:rPr>
          <w:rFonts w:ascii="David" w:hAnsi="David" w:cs="David" w:hint="cs"/>
          <w:i/>
          <w:iCs/>
          <w:sz w:val="24"/>
          <w:szCs w:val="24"/>
          <w:rtl/>
        </w:rPr>
        <w:t>בתוך הפירמה</w:t>
      </w:r>
      <w:r w:rsidR="00B01B3A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A0875">
        <w:rPr>
          <w:rFonts w:ascii="David" w:hAnsi="David" w:cs="David" w:hint="cs"/>
          <w:sz w:val="24"/>
          <w:szCs w:val="24"/>
          <w:rtl/>
        </w:rPr>
        <w:t>שיישתקף</w:t>
      </w:r>
      <w:proofErr w:type="spellEnd"/>
      <w:r w:rsidR="003A0875">
        <w:rPr>
          <w:rFonts w:ascii="David" w:hAnsi="David" w:cs="David" w:hint="cs"/>
          <w:sz w:val="24"/>
          <w:szCs w:val="24"/>
          <w:rtl/>
        </w:rPr>
        <w:t xml:space="preserve"> בפער השכר המגדרי ככל ש</w:t>
      </w:r>
      <w:r w:rsidR="00B01B3A">
        <w:rPr>
          <w:rFonts w:ascii="David" w:hAnsi="David" w:cs="David" w:hint="cs"/>
          <w:sz w:val="24"/>
          <w:szCs w:val="24"/>
          <w:rtl/>
        </w:rPr>
        <w:t xml:space="preserve">נשים מקבלות פרמיית שכר נמוכה יותר מגברים העובדים איתן באותה הפירמה. </w:t>
      </w:r>
    </w:p>
    <w:p w14:paraId="74200BEA" w14:textId="07F24AD4" w:rsidR="00B01B3A" w:rsidRDefault="00B01B3A" w:rsidP="00314C0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ממצאי המחקר מעלים כי התרומה העיקרית </w:t>
      </w:r>
      <w:r w:rsidR="0037703E">
        <w:rPr>
          <w:rFonts w:ascii="David" w:hAnsi="David" w:cs="David" w:hint="cs"/>
          <w:sz w:val="24"/>
          <w:szCs w:val="24"/>
          <w:rtl/>
        </w:rPr>
        <w:t xml:space="preserve">לפערי השכר המגדריים בפרמיה המיוחסת לפירמה, </w:t>
      </w:r>
      <w:r>
        <w:rPr>
          <w:rFonts w:ascii="David" w:hAnsi="David" w:cs="David" w:hint="cs"/>
          <w:sz w:val="24"/>
          <w:szCs w:val="24"/>
          <w:rtl/>
        </w:rPr>
        <w:t>מגיעה מפערים בין פירמות ו</w:t>
      </w:r>
      <w:r w:rsidR="00816C01">
        <w:rPr>
          <w:rFonts w:ascii="David" w:hAnsi="David" w:cs="David" w:hint="cs"/>
          <w:sz w:val="24"/>
          <w:szCs w:val="24"/>
          <w:rtl/>
        </w:rPr>
        <w:t xml:space="preserve">מהנטייה </w:t>
      </w:r>
      <w:r>
        <w:rPr>
          <w:rFonts w:ascii="David" w:hAnsi="David" w:cs="David" w:hint="cs"/>
          <w:sz w:val="24"/>
          <w:szCs w:val="24"/>
          <w:rtl/>
        </w:rPr>
        <w:t>של נשים ל</w:t>
      </w:r>
      <w:r w:rsidR="00816C01">
        <w:rPr>
          <w:rFonts w:ascii="David" w:hAnsi="David" w:cs="David" w:hint="cs"/>
          <w:sz w:val="24"/>
          <w:szCs w:val="24"/>
          <w:rtl/>
        </w:rPr>
        <w:t>התרכז ב</w:t>
      </w:r>
      <w:r>
        <w:rPr>
          <w:rFonts w:ascii="David" w:hAnsi="David" w:cs="David" w:hint="cs"/>
          <w:sz w:val="24"/>
          <w:szCs w:val="24"/>
          <w:rtl/>
        </w:rPr>
        <w:t xml:space="preserve">מקומות עבודה המשלמים פרמיית שכר נמוכה. </w:t>
      </w:r>
      <w:r w:rsidR="000A3855">
        <w:rPr>
          <w:rFonts w:ascii="David" w:hAnsi="David" w:cs="David" w:hint="cs"/>
          <w:sz w:val="24"/>
          <w:szCs w:val="24"/>
          <w:rtl/>
        </w:rPr>
        <w:t>חלקו של הפער בין עובדות ועובדים מאותה הפירמה הוא זניח</w:t>
      </w:r>
      <w:r w:rsidR="00816C01">
        <w:rPr>
          <w:rFonts w:ascii="David" w:hAnsi="David" w:cs="David" w:hint="cs"/>
          <w:sz w:val="24"/>
          <w:szCs w:val="24"/>
          <w:rtl/>
        </w:rPr>
        <w:t>,</w:t>
      </w:r>
      <w:r w:rsidR="000A3855">
        <w:rPr>
          <w:rFonts w:ascii="David" w:hAnsi="David" w:cs="David" w:hint="cs"/>
          <w:sz w:val="24"/>
          <w:szCs w:val="24"/>
          <w:rtl/>
        </w:rPr>
        <w:t xml:space="preserve"> במיוחד בחלק התחתון של </w:t>
      </w:r>
      <w:r w:rsidR="000A3855" w:rsidRPr="00B10B8D">
        <w:rPr>
          <w:rFonts w:ascii="David" w:hAnsi="David" w:cs="David" w:hint="cs"/>
          <w:sz w:val="24"/>
          <w:szCs w:val="24"/>
          <w:rtl/>
        </w:rPr>
        <w:lastRenderedPageBreak/>
        <w:t xml:space="preserve">התפלגות השכר. </w:t>
      </w:r>
      <w:r w:rsidR="00816C01" w:rsidRPr="00B10B8D">
        <w:rPr>
          <w:rFonts w:ascii="David" w:hAnsi="David" w:cs="David" w:hint="cs"/>
          <w:sz w:val="24"/>
          <w:szCs w:val="24"/>
          <w:rtl/>
        </w:rPr>
        <w:t xml:space="preserve">לפיכך, </w:t>
      </w:r>
      <w:r w:rsidR="0037703E" w:rsidRPr="00B10B8D">
        <w:rPr>
          <w:rFonts w:ascii="David" w:hAnsi="David" w:cs="David" w:hint="cs"/>
          <w:sz w:val="24"/>
          <w:szCs w:val="24"/>
          <w:rtl/>
        </w:rPr>
        <w:t>ממצאי המחקר תומכים בכך שמדיניות הממוקדת בהבטחת הזדמנויות תעסוקה שוות תהיה אפקטיבית יותר מרגולציה על פערי שכר בין עובדות ועובדים באותה הפירמה.</w:t>
      </w:r>
    </w:p>
    <w:p w14:paraId="273F060A" w14:textId="14CC9108" w:rsidR="00DD65F8" w:rsidRDefault="00DD65F8" w:rsidP="0084469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8423C">
        <w:rPr>
          <w:rFonts w:ascii="David" w:hAnsi="David" w:cs="David" w:hint="cs"/>
          <w:sz w:val="24"/>
          <w:szCs w:val="24"/>
          <w:rtl/>
        </w:rPr>
        <w:t xml:space="preserve">עם לידת הילד הראשון, פערי הפרמיות בין נשים וגברים מתרחבים דרך ערוץ ההתמיינות </w:t>
      </w:r>
      <w:r w:rsidR="00C8423C" w:rsidRPr="00C8423C">
        <w:rPr>
          <w:rFonts w:ascii="David" w:hAnsi="David" w:cs="David" w:hint="cs"/>
          <w:sz w:val="24"/>
          <w:szCs w:val="24"/>
          <w:rtl/>
        </w:rPr>
        <w:t>(</w:t>
      </w:r>
      <w:r w:rsidR="00C8423C">
        <w:rPr>
          <w:rFonts w:ascii="David" w:hAnsi="David" w:cs="David" w:hint="cs"/>
          <w:sz w:val="24"/>
          <w:szCs w:val="24"/>
          <w:rtl/>
        </w:rPr>
        <w:t xml:space="preserve">איור 1, </w:t>
      </w:r>
      <w:r w:rsidR="00C8423C" w:rsidRPr="00C8423C">
        <w:rPr>
          <w:rFonts w:ascii="David" w:hAnsi="David" w:cs="David" w:hint="cs"/>
          <w:sz w:val="24"/>
          <w:szCs w:val="24"/>
          <w:rtl/>
        </w:rPr>
        <w:t xml:space="preserve">החלק הכחול) </w:t>
      </w:r>
      <w:r w:rsidRPr="00C8423C">
        <w:rPr>
          <w:rFonts w:ascii="David" w:hAnsi="David" w:cs="David" w:hint="cs"/>
          <w:sz w:val="24"/>
          <w:szCs w:val="24"/>
          <w:rtl/>
        </w:rPr>
        <w:t xml:space="preserve">ונותרים גבוהים גם שנים לאחר מכן. </w:t>
      </w:r>
      <w:r w:rsidR="00C8423C" w:rsidRPr="00C8423C">
        <w:rPr>
          <w:rFonts w:ascii="David" w:hAnsi="David" w:cs="David" w:hint="cs"/>
          <w:sz w:val="24"/>
          <w:szCs w:val="24"/>
          <w:rtl/>
        </w:rPr>
        <w:t xml:space="preserve">ניתוח דפוסי מעבר בין פירמות בקרב נשים וגברים מלמד כי בהשוואה לגברים, נשים עוברות לפירמה המעניקה פרמיה גבוהה יותר, כלומר משפרות את מיקומן בשוק העבודה, </w:t>
      </w:r>
      <w:r w:rsidR="00816C01">
        <w:rPr>
          <w:rFonts w:ascii="David" w:hAnsi="David" w:cs="David" w:hint="cs"/>
          <w:sz w:val="24"/>
          <w:szCs w:val="24"/>
          <w:rtl/>
        </w:rPr>
        <w:t xml:space="preserve">רק </w:t>
      </w:r>
      <w:r w:rsidR="00C8423C" w:rsidRPr="00C8423C">
        <w:rPr>
          <w:rFonts w:ascii="David" w:hAnsi="David" w:cs="David" w:hint="cs"/>
          <w:sz w:val="24"/>
          <w:szCs w:val="24"/>
          <w:rtl/>
        </w:rPr>
        <w:t xml:space="preserve">בשלב מאוחר יותר בו הילד הצעיר ביותר גדול יותר וחלפו יותר שנים מלידת הילד הראשון. </w:t>
      </w:r>
      <w:r w:rsidRPr="00C8423C">
        <w:rPr>
          <w:rFonts w:ascii="David" w:hAnsi="David" w:cs="David" w:hint="cs"/>
          <w:sz w:val="24"/>
          <w:szCs w:val="24"/>
          <w:rtl/>
        </w:rPr>
        <w:t xml:space="preserve">ממצא זה עולה בקנה אחד עם עדויות בספרות </w:t>
      </w:r>
      <w:r w:rsidR="001912E2">
        <w:rPr>
          <w:rFonts w:ascii="David" w:hAnsi="David" w:cs="David" w:hint="cs"/>
          <w:sz w:val="24"/>
          <w:szCs w:val="24"/>
          <w:rtl/>
        </w:rPr>
        <w:t>ע</w:t>
      </w:r>
      <w:r w:rsidRPr="00C8423C">
        <w:rPr>
          <w:rFonts w:ascii="David" w:hAnsi="David" w:cs="David" w:hint="cs"/>
          <w:sz w:val="24"/>
          <w:szCs w:val="24"/>
          <w:rtl/>
        </w:rPr>
        <w:t>ל</w:t>
      </w:r>
      <w:r w:rsidR="001912E2">
        <w:rPr>
          <w:rFonts w:ascii="David" w:hAnsi="David" w:cs="David" w:hint="cs"/>
          <w:sz w:val="24"/>
          <w:szCs w:val="24"/>
          <w:rtl/>
        </w:rPr>
        <w:t xml:space="preserve"> </w:t>
      </w:r>
      <w:r w:rsidRPr="00C8423C">
        <w:rPr>
          <w:rFonts w:ascii="David" w:hAnsi="David" w:cs="David" w:hint="cs"/>
          <w:sz w:val="24"/>
          <w:szCs w:val="24"/>
          <w:rtl/>
        </w:rPr>
        <w:t xml:space="preserve">קיומו של "קנס </w:t>
      </w:r>
      <w:proofErr w:type="spellStart"/>
      <w:r w:rsidRPr="00C8423C">
        <w:rPr>
          <w:rFonts w:ascii="David" w:hAnsi="David" w:cs="David" w:hint="cs"/>
          <w:sz w:val="24"/>
          <w:szCs w:val="24"/>
          <w:rtl/>
        </w:rPr>
        <w:t>אמהות</w:t>
      </w:r>
      <w:proofErr w:type="spellEnd"/>
      <w:r w:rsidRPr="00C8423C">
        <w:rPr>
          <w:rFonts w:ascii="David" w:hAnsi="David" w:cs="David" w:hint="cs"/>
          <w:sz w:val="24"/>
          <w:szCs w:val="24"/>
          <w:rtl/>
        </w:rPr>
        <w:t>".</w:t>
      </w:r>
    </w:p>
    <w:tbl>
      <w:tblPr>
        <w:tblStyle w:val="a4"/>
        <w:bidiVisual/>
        <w:tblW w:w="87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AF57CA" w14:paraId="78B722D2" w14:textId="77777777" w:rsidTr="005F3773">
        <w:trPr>
          <w:trHeight w:val="612"/>
        </w:trPr>
        <w:tc>
          <w:tcPr>
            <w:tcW w:w="8797" w:type="dxa"/>
          </w:tcPr>
          <w:p w14:paraId="37D77BDC" w14:textId="77777777" w:rsidR="00AF57CA" w:rsidRPr="00AF57CA" w:rsidRDefault="00C8423C" w:rsidP="00AF57C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איור 1: </w:t>
            </w:r>
            <w:r w:rsidR="00AF57C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פירוק פערי הפרמיות</w:t>
            </w:r>
            <w:r w:rsidR="001761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בין נשים וגברים</w:t>
            </w:r>
            <w:r w:rsidR="00AF57C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: פערים </w:t>
            </w:r>
            <w:r w:rsidR="00AF57CA" w:rsidRPr="00AF57C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ובתוך פירמות</w:t>
            </w:r>
          </w:p>
          <w:p w14:paraId="60B772AC" w14:textId="77777777" w:rsidR="00AF57CA" w:rsidRDefault="00AF57CA" w:rsidP="00AF57C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על פני השנים שחלפו מאז לידת הילד הראשון</w:t>
            </w:r>
          </w:p>
        </w:tc>
      </w:tr>
      <w:tr w:rsidR="00AF57CA" w14:paraId="6F09315C" w14:textId="77777777" w:rsidTr="005F3773">
        <w:trPr>
          <w:trHeight w:hRule="exact" w:val="5573"/>
        </w:trPr>
        <w:tc>
          <w:tcPr>
            <w:tcW w:w="8797" w:type="dxa"/>
          </w:tcPr>
          <w:p w14:paraId="24BFD989" w14:textId="7A6A2D21" w:rsidR="00AF57CA" w:rsidRDefault="005F3773" w:rsidP="00AF57CA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6525262" wp14:editId="73394107">
                  <wp:extent cx="5411530" cy="3382645"/>
                  <wp:effectExtent l="0" t="0" r="0" b="8255"/>
                  <wp:docPr id="1" name="תרשים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AF57CA" w14:paraId="7484A502" w14:textId="77777777" w:rsidTr="005F3773">
        <w:trPr>
          <w:trHeight w:val="247"/>
        </w:trPr>
        <w:tc>
          <w:tcPr>
            <w:tcW w:w="8797" w:type="dxa"/>
          </w:tcPr>
          <w:p w14:paraId="7E17D452" w14:textId="77777777" w:rsidR="00FF25CA" w:rsidRDefault="0017615E" w:rsidP="005F377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 w:rsidRPr="0017615E">
              <w:rPr>
                <w:rFonts w:ascii="David" w:hAnsi="David" w:cs="David" w:hint="cs"/>
                <w:sz w:val="20"/>
                <w:szCs w:val="20"/>
                <w:rtl/>
              </w:rPr>
              <w:t xml:space="preserve">המקור: עיבודים לנתוני </w:t>
            </w:r>
            <w:proofErr w:type="spellStart"/>
            <w:r w:rsidR="00262940">
              <w:rPr>
                <w:rFonts w:ascii="David" w:hAnsi="David" w:cs="David" w:hint="cs"/>
                <w:sz w:val="20"/>
                <w:szCs w:val="20"/>
                <w:rtl/>
              </w:rPr>
              <w:t>הלמ"ס</w:t>
            </w:r>
            <w:proofErr w:type="spellEnd"/>
            <w:r w:rsidR="00262940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5F377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EB79965" w14:textId="5BFD32CC" w:rsidR="0017615E" w:rsidRPr="0017615E" w:rsidRDefault="005F3773" w:rsidP="005F3773">
            <w:pPr>
              <w:spacing w:line="360" w:lineRule="auto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פערים בין פירמות מתייחסים לנטייתן של עובדות להתרכז במקומות עבודה המעניקים פרמיית שכר נמוכה. פערים בתוך </w:t>
            </w:r>
            <w:r w:rsidR="002130B9"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פירמה מתייחסים למתן פרמיית שכר נמוכה לעובדות</w:t>
            </w:r>
            <w:r w:rsidR="002130B9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בהשוואה לעובדים בתוך אותה הפירמה.</w:t>
            </w:r>
          </w:p>
        </w:tc>
      </w:tr>
    </w:tbl>
    <w:p w14:paraId="1FBB3E75" w14:textId="77777777" w:rsidR="00AF57CA" w:rsidRPr="00262940" w:rsidRDefault="00AF57CA" w:rsidP="00AF57CA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AF57CA" w:rsidRPr="00262940" w:rsidSect="00D75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E4D5" w14:textId="77777777" w:rsidR="00DD65F8" w:rsidRDefault="00DD65F8" w:rsidP="00DD65F8">
      <w:pPr>
        <w:spacing w:after="0" w:line="240" w:lineRule="auto"/>
      </w:pPr>
      <w:r>
        <w:separator/>
      </w:r>
    </w:p>
  </w:endnote>
  <w:endnote w:type="continuationSeparator" w:id="0">
    <w:p w14:paraId="299FCA0A" w14:textId="77777777" w:rsidR="00DD65F8" w:rsidRDefault="00DD65F8" w:rsidP="00DD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3766" w14:textId="77777777" w:rsidR="00DD65F8" w:rsidRDefault="00DD65F8" w:rsidP="00DD65F8">
      <w:pPr>
        <w:spacing w:after="0" w:line="240" w:lineRule="auto"/>
      </w:pPr>
      <w:r>
        <w:separator/>
      </w:r>
    </w:p>
  </w:footnote>
  <w:footnote w:type="continuationSeparator" w:id="0">
    <w:p w14:paraId="7C490D3A" w14:textId="77777777" w:rsidR="00DD65F8" w:rsidRDefault="00DD65F8" w:rsidP="00DD65F8">
      <w:pPr>
        <w:spacing w:after="0" w:line="240" w:lineRule="auto"/>
      </w:pPr>
      <w:r>
        <w:continuationSeparator/>
      </w:r>
    </w:p>
  </w:footnote>
  <w:footnote w:id="1">
    <w:p w14:paraId="31B3DE67" w14:textId="77777777" w:rsidR="00DD65F8" w:rsidRPr="00DD65F8" w:rsidRDefault="00DD65F8" w:rsidP="00262940">
      <w:pPr>
        <w:pStyle w:val="ac"/>
        <w:rPr>
          <w:rFonts w:ascii="David" w:hAnsi="David" w:cs="David"/>
          <w:rtl/>
        </w:rPr>
      </w:pPr>
      <w:r w:rsidRPr="00DD65F8">
        <w:rPr>
          <w:rStyle w:val="ae"/>
          <w:rFonts w:ascii="David" w:hAnsi="David" w:cs="David"/>
        </w:rPr>
        <w:footnoteRef/>
      </w:r>
      <w:r w:rsidR="00262940">
        <w:rPr>
          <w:rFonts w:ascii="David" w:hAnsi="David" w:cs="David" w:hint="cs"/>
          <w:rtl/>
        </w:rPr>
        <w:t xml:space="preserve"> </w:t>
      </w:r>
      <w:r w:rsidR="00262940" w:rsidRPr="00262940">
        <w:rPr>
          <w:rFonts w:ascii="David" w:hAnsi="David" w:cs="David"/>
          <w:rtl/>
        </w:rPr>
        <w:t>המחקר נערך בסביבת המחקר של הלשכה המרכזית לסטטיסטיקה .</w:t>
      </w:r>
      <w:r w:rsidR="00262940">
        <w:rPr>
          <w:rFonts w:ascii="David" w:hAnsi="David" w:cs="David" w:hint="cs"/>
          <w:rtl/>
        </w:rPr>
        <w:t xml:space="preserve"> </w:t>
      </w:r>
      <w:r w:rsidR="00262940" w:rsidRPr="00262940">
        <w:rPr>
          <w:rFonts w:ascii="David" w:hAnsi="David" w:cs="David"/>
          <w:rtl/>
        </w:rPr>
        <w:t>בהתבסס על קובצי רשומות פרט שהוכנו לצורך ביצוע המחקר על ידי הלשכה</w:t>
      </w:r>
      <w:r w:rsidR="00262940">
        <w:rPr>
          <w:rFonts w:ascii="David" w:hAnsi="David" w:cs="David" w:hint="cs"/>
          <w:rtl/>
        </w:rPr>
        <w:t xml:space="preserve"> </w:t>
      </w:r>
      <w:r w:rsidR="00262940" w:rsidRPr="00262940">
        <w:rPr>
          <w:rFonts w:ascii="David" w:hAnsi="David" w:cs="David"/>
          <w:rtl/>
        </w:rPr>
        <w:t>המרכזית לסטטיסטיקה ושמהם הושמטו פרטי זיהוי</w:t>
      </w:r>
      <w:r w:rsidR="00262940">
        <w:rPr>
          <w:rFonts w:ascii="David" w:hAnsi="David" w:cs="David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C4B"/>
    <w:multiLevelType w:val="hybridMultilevel"/>
    <w:tmpl w:val="E902AF86"/>
    <w:lvl w:ilvl="0" w:tplc="D4F663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094"/>
    <w:multiLevelType w:val="hybridMultilevel"/>
    <w:tmpl w:val="BA7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773B"/>
    <w:multiLevelType w:val="hybridMultilevel"/>
    <w:tmpl w:val="E8D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9"/>
    <w:rsid w:val="00023999"/>
    <w:rsid w:val="0007742C"/>
    <w:rsid w:val="00081814"/>
    <w:rsid w:val="000A349C"/>
    <w:rsid w:val="000A3855"/>
    <w:rsid w:val="000B58BE"/>
    <w:rsid w:val="000E04DE"/>
    <w:rsid w:val="000F1E1B"/>
    <w:rsid w:val="001029A4"/>
    <w:rsid w:val="001202E9"/>
    <w:rsid w:val="001222B5"/>
    <w:rsid w:val="00130D57"/>
    <w:rsid w:val="00133F0F"/>
    <w:rsid w:val="0017374F"/>
    <w:rsid w:val="0017615E"/>
    <w:rsid w:val="001912E2"/>
    <w:rsid w:val="001A7937"/>
    <w:rsid w:val="00205D24"/>
    <w:rsid w:val="002130B9"/>
    <w:rsid w:val="00215B34"/>
    <w:rsid w:val="00221224"/>
    <w:rsid w:val="00227DCA"/>
    <w:rsid w:val="002436A2"/>
    <w:rsid w:val="002507BF"/>
    <w:rsid w:val="0025258A"/>
    <w:rsid w:val="00253937"/>
    <w:rsid w:val="00262940"/>
    <w:rsid w:val="00276687"/>
    <w:rsid w:val="00281E20"/>
    <w:rsid w:val="00282644"/>
    <w:rsid w:val="00282676"/>
    <w:rsid w:val="00283CB3"/>
    <w:rsid w:val="002925D5"/>
    <w:rsid w:val="00295450"/>
    <w:rsid w:val="002A01DE"/>
    <w:rsid w:val="002A0A73"/>
    <w:rsid w:val="002D2418"/>
    <w:rsid w:val="002D3D4C"/>
    <w:rsid w:val="002D7B1F"/>
    <w:rsid w:val="002D7C3B"/>
    <w:rsid w:val="002E0297"/>
    <w:rsid w:val="002E5F60"/>
    <w:rsid w:val="002E707B"/>
    <w:rsid w:val="00301938"/>
    <w:rsid w:val="00314C0D"/>
    <w:rsid w:val="0031700B"/>
    <w:rsid w:val="0032726B"/>
    <w:rsid w:val="00334C94"/>
    <w:rsid w:val="00341A58"/>
    <w:rsid w:val="003537D2"/>
    <w:rsid w:val="00367E0B"/>
    <w:rsid w:val="0037703E"/>
    <w:rsid w:val="003774BF"/>
    <w:rsid w:val="00382FAB"/>
    <w:rsid w:val="00394E09"/>
    <w:rsid w:val="003A0875"/>
    <w:rsid w:val="003B26AF"/>
    <w:rsid w:val="003B65CD"/>
    <w:rsid w:val="003F2123"/>
    <w:rsid w:val="00400A71"/>
    <w:rsid w:val="00437DFB"/>
    <w:rsid w:val="00444D0A"/>
    <w:rsid w:val="00450618"/>
    <w:rsid w:val="0049144F"/>
    <w:rsid w:val="004A164F"/>
    <w:rsid w:val="004A6D35"/>
    <w:rsid w:val="004B13E1"/>
    <w:rsid w:val="004B1A0B"/>
    <w:rsid w:val="004D7DEF"/>
    <w:rsid w:val="004E030F"/>
    <w:rsid w:val="004E2244"/>
    <w:rsid w:val="004F2E4B"/>
    <w:rsid w:val="005116C0"/>
    <w:rsid w:val="00516668"/>
    <w:rsid w:val="00523367"/>
    <w:rsid w:val="00536FEC"/>
    <w:rsid w:val="00543860"/>
    <w:rsid w:val="005564BA"/>
    <w:rsid w:val="005568EE"/>
    <w:rsid w:val="00564FBC"/>
    <w:rsid w:val="0057420D"/>
    <w:rsid w:val="005767FB"/>
    <w:rsid w:val="005842F3"/>
    <w:rsid w:val="00593D6D"/>
    <w:rsid w:val="005B59CF"/>
    <w:rsid w:val="005B7F43"/>
    <w:rsid w:val="005C0B67"/>
    <w:rsid w:val="005C18AE"/>
    <w:rsid w:val="005D17C2"/>
    <w:rsid w:val="005D2B26"/>
    <w:rsid w:val="005D5C0B"/>
    <w:rsid w:val="005F3773"/>
    <w:rsid w:val="005F656B"/>
    <w:rsid w:val="00604B3A"/>
    <w:rsid w:val="0061014E"/>
    <w:rsid w:val="006142C0"/>
    <w:rsid w:val="006210E8"/>
    <w:rsid w:val="00623115"/>
    <w:rsid w:val="00624038"/>
    <w:rsid w:val="0062563E"/>
    <w:rsid w:val="0063486F"/>
    <w:rsid w:val="00635F13"/>
    <w:rsid w:val="0067496D"/>
    <w:rsid w:val="00675CE3"/>
    <w:rsid w:val="006861F5"/>
    <w:rsid w:val="00692B0E"/>
    <w:rsid w:val="00692C0E"/>
    <w:rsid w:val="006939A2"/>
    <w:rsid w:val="006B4CF1"/>
    <w:rsid w:val="006C3974"/>
    <w:rsid w:val="006D310C"/>
    <w:rsid w:val="006D64D9"/>
    <w:rsid w:val="006E46DD"/>
    <w:rsid w:val="006E5603"/>
    <w:rsid w:val="006F021D"/>
    <w:rsid w:val="00702A3E"/>
    <w:rsid w:val="00721644"/>
    <w:rsid w:val="0072650A"/>
    <w:rsid w:val="00726B53"/>
    <w:rsid w:val="0073588D"/>
    <w:rsid w:val="00735905"/>
    <w:rsid w:val="007428A9"/>
    <w:rsid w:val="00746973"/>
    <w:rsid w:val="00772A93"/>
    <w:rsid w:val="007848EA"/>
    <w:rsid w:val="007907AD"/>
    <w:rsid w:val="007A42FE"/>
    <w:rsid w:val="007B01F7"/>
    <w:rsid w:val="007E648D"/>
    <w:rsid w:val="00816C01"/>
    <w:rsid w:val="008208F4"/>
    <w:rsid w:val="00834E7B"/>
    <w:rsid w:val="00841849"/>
    <w:rsid w:val="00844693"/>
    <w:rsid w:val="0085438E"/>
    <w:rsid w:val="0087618D"/>
    <w:rsid w:val="008B3439"/>
    <w:rsid w:val="008B4B2C"/>
    <w:rsid w:val="008C7BDD"/>
    <w:rsid w:val="008D62AD"/>
    <w:rsid w:val="008D714E"/>
    <w:rsid w:val="009066FE"/>
    <w:rsid w:val="00907359"/>
    <w:rsid w:val="00923CB2"/>
    <w:rsid w:val="00925D33"/>
    <w:rsid w:val="00937920"/>
    <w:rsid w:val="00951A3C"/>
    <w:rsid w:val="00953CCC"/>
    <w:rsid w:val="009574FD"/>
    <w:rsid w:val="00962384"/>
    <w:rsid w:val="00983426"/>
    <w:rsid w:val="00996939"/>
    <w:rsid w:val="009C3183"/>
    <w:rsid w:val="009C6834"/>
    <w:rsid w:val="009C7A79"/>
    <w:rsid w:val="009D460C"/>
    <w:rsid w:val="009E2FF4"/>
    <w:rsid w:val="009E3A0E"/>
    <w:rsid w:val="009E7078"/>
    <w:rsid w:val="00A271AD"/>
    <w:rsid w:val="00A6650D"/>
    <w:rsid w:val="00A73019"/>
    <w:rsid w:val="00A7355F"/>
    <w:rsid w:val="00AA04AB"/>
    <w:rsid w:val="00AA37CE"/>
    <w:rsid w:val="00AA3D69"/>
    <w:rsid w:val="00AA4B1E"/>
    <w:rsid w:val="00AA54AD"/>
    <w:rsid w:val="00AB2002"/>
    <w:rsid w:val="00AD3904"/>
    <w:rsid w:val="00AE0392"/>
    <w:rsid w:val="00AE5A92"/>
    <w:rsid w:val="00AF0E67"/>
    <w:rsid w:val="00AF57CA"/>
    <w:rsid w:val="00B01B3A"/>
    <w:rsid w:val="00B06EBE"/>
    <w:rsid w:val="00B10B8D"/>
    <w:rsid w:val="00B257B4"/>
    <w:rsid w:val="00B76042"/>
    <w:rsid w:val="00B76BD6"/>
    <w:rsid w:val="00BC153A"/>
    <w:rsid w:val="00BC6A70"/>
    <w:rsid w:val="00BC6E1E"/>
    <w:rsid w:val="00BD1CD9"/>
    <w:rsid w:val="00BE4DC8"/>
    <w:rsid w:val="00BE55EC"/>
    <w:rsid w:val="00BE6C34"/>
    <w:rsid w:val="00C42717"/>
    <w:rsid w:val="00C52F78"/>
    <w:rsid w:val="00C700EE"/>
    <w:rsid w:val="00C81FE7"/>
    <w:rsid w:val="00C8423C"/>
    <w:rsid w:val="00C91B0E"/>
    <w:rsid w:val="00CA3DE0"/>
    <w:rsid w:val="00CA5F74"/>
    <w:rsid w:val="00CD2107"/>
    <w:rsid w:val="00D11FDF"/>
    <w:rsid w:val="00D14E9D"/>
    <w:rsid w:val="00D20A63"/>
    <w:rsid w:val="00D247E0"/>
    <w:rsid w:val="00D324A7"/>
    <w:rsid w:val="00D5644B"/>
    <w:rsid w:val="00D61FED"/>
    <w:rsid w:val="00D75183"/>
    <w:rsid w:val="00DA46DD"/>
    <w:rsid w:val="00DA7EF6"/>
    <w:rsid w:val="00DB32C8"/>
    <w:rsid w:val="00DB49DB"/>
    <w:rsid w:val="00DB6A1D"/>
    <w:rsid w:val="00DB7C42"/>
    <w:rsid w:val="00DD4B7D"/>
    <w:rsid w:val="00DD65F8"/>
    <w:rsid w:val="00DE0610"/>
    <w:rsid w:val="00DE7242"/>
    <w:rsid w:val="00DF0182"/>
    <w:rsid w:val="00E17BA0"/>
    <w:rsid w:val="00E336C5"/>
    <w:rsid w:val="00E46CF7"/>
    <w:rsid w:val="00E6425D"/>
    <w:rsid w:val="00E712C6"/>
    <w:rsid w:val="00E84F33"/>
    <w:rsid w:val="00E9328D"/>
    <w:rsid w:val="00EB1C32"/>
    <w:rsid w:val="00EE00B9"/>
    <w:rsid w:val="00EF78C3"/>
    <w:rsid w:val="00F175CA"/>
    <w:rsid w:val="00F2002A"/>
    <w:rsid w:val="00F22264"/>
    <w:rsid w:val="00F25A86"/>
    <w:rsid w:val="00F3236B"/>
    <w:rsid w:val="00F4432C"/>
    <w:rsid w:val="00F63543"/>
    <w:rsid w:val="00F737CA"/>
    <w:rsid w:val="00F75E95"/>
    <w:rsid w:val="00F8224D"/>
    <w:rsid w:val="00F838CB"/>
    <w:rsid w:val="00F84290"/>
    <w:rsid w:val="00F91312"/>
    <w:rsid w:val="00FB46B0"/>
    <w:rsid w:val="00FD2DEC"/>
    <w:rsid w:val="00FE6A90"/>
    <w:rsid w:val="00FF25C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F33F"/>
  <w15:chartTrackingRefBased/>
  <w15:docId w15:val="{C7D27DEF-8726-4BB7-9195-73B9CB4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A9"/>
    <w:pPr>
      <w:ind w:left="720"/>
      <w:contextualSpacing/>
    </w:pPr>
  </w:style>
  <w:style w:type="table" w:styleId="a4">
    <w:name w:val="Table Grid"/>
    <w:basedOn w:val="a1"/>
    <w:uiPriority w:val="39"/>
    <w:rsid w:val="00AF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D65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5F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DD65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5F8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DD65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5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D65F8"/>
    <w:rPr>
      <w:rFonts w:ascii="Tahoma" w:hAnsi="Tahoma" w:cs="Tahoma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DD65F8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DD65F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srnas\drive-h\users\u565\Thesis\Results\NewIndustriesClassification\BW%20WN%20decomposi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87678414942825"/>
          <c:y val="6.1926501849077942E-2"/>
          <c:w val="0.82841594772007832"/>
          <c:h val="0.7217919704846355"/>
        </c:manualLayout>
      </c:layout>
      <c:barChart>
        <c:barDir val="col"/>
        <c:grouping val="stacked"/>
        <c:varyColors val="0"/>
        <c:ser>
          <c:idx val="0"/>
          <c:order val="0"/>
          <c:tx>
            <c:v>פערים בין פירמות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time_from_first_birth!$B$27:$V$27</c:f>
              <c:strCache>
                <c:ptCount val="2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16+</c:v>
                </c:pt>
              </c:strCache>
            </c:strRef>
          </c:cat>
          <c:val>
            <c:numRef>
              <c:f>time_from_first_birth!$B$28:$V$28</c:f>
              <c:numCache>
                <c:formatCode>General</c:formatCode>
                <c:ptCount val="20"/>
                <c:pt idx="0">
                  <c:v>8.1845197893598731E-2</c:v>
                </c:pt>
                <c:pt idx="1">
                  <c:v>8.1889588021587856E-2</c:v>
                </c:pt>
                <c:pt idx="2">
                  <c:v>8.0981362190549633E-2</c:v>
                </c:pt>
                <c:pt idx="3">
                  <c:v>7.8645725291992874E-2</c:v>
                </c:pt>
                <c:pt idx="4">
                  <c:v>8.5006866461929009E-2</c:v>
                </c:pt>
                <c:pt idx="5">
                  <c:v>0.10461207075912771</c:v>
                </c:pt>
                <c:pt idx="6">
                  <c:v>0.11659649984401282</c:v>
                </c:pt>
                <c:pt idx="7">
                  <c:v>0.1232077953291062</c:v>
                </c:pt>
                <c:pt idx="8">
                  <c:v>0.12732944857591738</c:v>
                </c:pt>
                <c:pt idx="9">
                  <c:v>0.13053288844178584</c:v>
                </c:pt>
                <c:pt idx="10">
                  <c:v>0.13383264730686439</c:v>
                </c:pt>
                <c:pt idx="11">
                  <c:v>0.13511589408583735</c:v>
                </c:pt>
                <c:pt idx="12">
                  <c:v>0.13662190141113079</c:v>
                </c:pt>
                <c:pt idx="13">
                  <c:v>0.13778753469610022</c:v>
                </c:pt>
                <c:pt idx="14">
                  <c:v>0.1366309027478082</c:v>
                </c:pt>
                <c:pt idx="15">
                  <c:v>0.13530984091084852</c:v>
                </c:pt>
                <c:pt idx="16">
                  <c:v>0.13370049598400979</c:v>
                </c:pt>
                <c:pt idx="17">
                  <c:v>0.13312111573834234</c:v>
                </c:pt>
                <c:pt idx="18">
                  <c:v>0.1325108377139172</c:v>
                </c:pt>
                <c:pt idx="19">
                  <c:v>0.13454961754017991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F-4055-9F30-B01C5A9B70DE}"/>
            </c:ext>
          </c:extLst>
        </c:ser>
        <c:ser>
          <c:idx val="1"/>
          <c:order val="1"/>
          <c:tx>
            <c:v>פערים בתוך הפירמה</c:v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time_from_first_birth!$B$27:$V$27</c:f>
              <c:strCache>
                <c:ptCount val="2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16+</c:v>
                </c:pt>
              </c:strCache>
            </c:strRef>
          </c:cat>
          <c:val>
            <c:numRef>
              <c:f>time_from_first_birth!$B$29:$V$29</c:f>
              <c:numCache>
                <c:formatCode>General</c:formatCode>
                <c:ptCount val="20"/>
                <c:pt idx="0">
                  <c:v>6.5077811426459027E-3</c:v>
                </c:pt>
                <c:pt idx="1">
                  <c:v>8.3504508840438439E-3</c:v>
                </c:pt>
                <c:pt idx="2">
                  <c:v>9.8057607154591452E-3</c:v>
                </c:pt>
                <c:pt idx="3">
                  <c:v>1.0135691953195575E-2</c:v>
                </c:pt>
                <c:pt idx="4">
                  <c:v>1.0086558748639353E-2</c:v>
                </c:pt>
                <c:pt idx="5">
                  <c:v>9.166557718832782E-3</c:v>
                </c:pt>
                <c:pt idx="6">
                  <c:v>8.8029271534450504E-3</c:v>
                </c:pt>
                <c:pt idx="7">
                  <c:v>9.3857349428422675E-3</c:v>
                </c:pt>
                <c:pt idx="8">
                  <c:v>8.3946014034501776E-3</c:v>
                </c:pt>
                <c:pt idx="9">
                  <c:v>8.5747094462134566E-3</c:v>
                </c:pt>
                <c:pt idx="10">
                  <c:v>8.768094755940814E-3</c:v>
                </c:pt>
                <c:pt idx="11">
                  <c:v>8.7830088695710247E-3</c:v>
                </c:pt>
                <c:pt idx="12">
                  <c:v>8.6899388501063424E-3</c:v>
                </c:pt>
                <c:pt idx="13">
                  <c:v>8.9269014827996936E-3</c:v>
                </c:pt>
                <c:pt idx="14">
                  <c:v>9.5624538195493523E-3</c:v>
                </c:pt>
                <c:pt idx="15">
                  <c:v>9.5146891732390115E-3</c:v>
                </c:pt>
                <c:pt idx="16">
                  <c:v>1.0445804144333416E-2</c:v>
                </c:pt>
                <c:pt idx="17">
                  <c:v>1.089522214561787E-2</c:v>
                </c:pt>
                <c:pt idx="18">
                  <c:v>1.1149585667545939E-2</c:v>
                </c:pt>
                <c:pt idx="19">
                  <c:v>1.1584866298343174E-2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4F-4055-9F30-B01C5A9B7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5107776"/>
        <c:axId val="2135117344"/>
      </c:barChart>
      <c:lineChart>
        <c:grouping val="standard"/>
        <c:varyColors val="0"/>
        <c:ser>
          <c:idx val="2"/>
          <c:order val="2"/>
          <c:tx>
            <c:v>פערים בפרמיה המיוחסת לפירמה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strRef>
              <c:f>time_from_first_birth!$B$27:$V$27</c:f>
              <c:strCache>
                <c:ptCount val="2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16+</c:v>
                </c:pt>
              </c:strCache>
            </c:strRef>
          </c:cat>
          <c:val>
            <c:numRef>
              <c:f>time_from_first_birth!$B$23:$V$23</c:f>
              <c:numCache>
                <c:formatCode>General</c:formatCode>
                <c:ptCount val="20"/>
                <c:pt idx="0">
                  <c:v>8.8352979080071337E-2</c:v>
                </c:pt>
                <c:pt idx="1">
                  <c:v>9.0240038950531787E-2</c:v>
                </c:pt>
                <c:pt idx="2">
                  <c:v>9.0787122920655494E-2</c:v>
                </c:pt>
                <c:pt idx="3">
                  <c:v>8.8781417281154074E-2</c:v>
                </c:pt>
                <c:pt idx="4">
                  <c:v>9.509342524041553E-2</c:v>
                </c:pt>
                <c:pt idx="5">
                  <c:v>0.11377862850649756</c:v>
                </c:pt>
                <c:pt idx="6">
                  <c:v>0.12539942703113599</c:v>
                </c:pt>
                <c:pt idx="7">
                  <c:v>0.13259353029136511</c:v>
                </c:pt>
                <c:pt idx="8">
                  <c:v>0.13572405000452353</c:v>
                </c:pt>
                <c:pt idx="9">
                  <c:v>0.13910759791120647</c:v>
                </c:pt>
                <c:pt idx="10">
                  <c:v>0.14260074208662632</c:v>
                </c:pt>
                <c:pt idx="11">
                  <c:v>0.14389890298412011</c:v>
                </c:pt>
                <c:pt idx="12">
                  <c:v>0.14531184029645844</c:v>
                </c:pt>
                <c:pt idx="13">
                  <c:v>0.14671443621620955</c:v>
                </c:pt>
                <c:pt idx="14">
                  <c:v>0.14619335659794919</c:v>
                </c:pt>
                <c:pt idx="15">
                  <c:v>0.14482453012254326</c:v>
                </c:pt>
                <c:pt idx="16">
                  <c:v>0.1441463001616673</c:v>
                </c:pt>
                <c:pt idx="17">
                  <c:v>0.14401633792523177</c:v>
                </c:pt>
                <c:pt idx="18">
                  <c:v>0.1436604233966427</c:v>
                </c:pt>
                <c:pt idx="19">
                  <c:v>0.14613448386993233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4F-4055-9F30-B01C5A9B7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5107776"/>
        <c:axId val="2135117344"/>
      </c:lineChart>
      <c:catAx>
        <c:axId val="2135107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he-IL" sz="1200" b="0" i="0" kern="1200" baseline="0">
                    <a:solidFill>
                      <a:srgbClr val="595959"/>
                    </a:solidFill>
                    <a:effectLst/>
                    <a:latin typeface="David" panose="020E0502060401010101" pitchFamily="34" charset="-79"/>
                    <a:cs typeface="David" panose="020E0502060401010101" pitchFamily="34" charset="-79"/>
                  </a:rPr>
                  <a:t>שנים מאז לידת הילד הראשון ( 0= שנת הלידה)</a:t>
                </a:r>
                <a:endParaRPr lang="he-IL">
                  <a:effectLst/>
                </a:endParaRPr>
              </a:p>
            </c:rich>
          </c:tx>
          <c:layout>
            <c:manualLayout>
              <c:xMode val="edge"/>
              <c:yMode val="edge"/>
              <c:x val="0.29367103578140502"/>
              <c:y val="0.868969105537234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j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he-IL"/>
          </a:p>
        </c:txPr>
        <c:crossAx val="2135117344"/>
        <c:crosses val="autoZero"/>
        <c:auto val="1"/>
        <c:lblAlgn val="ctr"/>
        <c:lblOffset val="100"/>
        <c:noMultiLvlLbl val="0"/>
      </c:catAx>
      <c:valAx>
        <c:axId val="213511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he-IL" sz="1200" b="0" i="0" kern="1200" baseline="0">
                    <a:solidFill>
                      <a:srgbClr val="595959"/>
                    </a:solidFill>
                    <a:effectLst/>
                    <a:latin typeface="David" panose="020E0502060401010101" pitchFamily="34" charset="-79"/>
                    <a:cs typeface="David" panose="020E0502060401010101" pitchFamily="34" charset="-79"/>
                  </a:rPr>
                  <a:t>פערים בפרמיה המיוחסת לפירמה (נקודות </a:t>
                </a:r>
                <a:r>
                  <a:rPr lang="en-US" sz="1200" b="0" i="0" kern="1200" baseline="0">
                    <a:solidFill>
                      <a:srgbClr val="595959"/>
                    </a:solidFill>
                    <a:effectLst/>
                    <a:latin typeface="David" panose="020E0502060401010101" pitchFamily="34" charset="-79"/>
                    <a:cs typeface="David" panose="020E0502060401010101" pitchFamily="34" charset="-79"/>
                  </a:rPr>
                  <a:t>log</a:t>
                </a:r>
                <a:r>
                  <a:rPr lang="he-IL" sz="1200" b="0" i="0" kern="1200" baseline="0">
                    <a:solidFill>
                      <a:srgbClr val="595959"/>
                    </a:solidFill>
                    <a:effectLst/>
                    <a:latin typeface="David" panose="020E0502060401010101" pitchFamily="34" charset="-79"/>
                    <a:cs typeface="David" panose="020E0502060401010101" pitchFamily="34" charset="-79"/>
                  </a:rPr>
                  <a:t>)</a:t>
                </a:r>
                <a:endParaRPr lang="he-IL">
                  <a:effectLst/>
                </a:endParaRPr>
              </a:p>
            </c:rich>
          </c:tx>
          <c:layout>
            <c:manualLayout>
              <c:xMode val="edge"/>
              <c:yMode val="edge"/>
              <c:x val="1.674036814396088E-3"/>
              <c:y val="3.328667359418443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j-lt"/>
                  <a:ea typeface="+mn-ea"/>
                  <a:cs typeface="+mn-cs"/>
                </a:defRPr>
              </a:pPr>
              <a:endParaRPr lang="he-IL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he-IL"/>
          </a:p>
        </c:txPr>
        <c:crossAx val="213510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653040671019151E-2"/>
          <c:y val="0.94484020640652511"/>
          <c:w val="0.9"/>
          <c:h val="5.51597935934749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+mj-lt"/>
        </a:defRPr>
      </a:pPr>
      <a:endParaRPr lang="he-I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2425</Characters>
  <Application>Microsoft Office Word</Application>
  <DocSecurity>4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שירה בוזגלו</dc:creator>
  <cp:keywords/>
  <dc:description/>
  <cp:lastModifiedBy>נטע כלפון</cp:lastModifiedBy>
  <cp:revision>2</cp:revision>
  <dcterms:created xsi:type="dcterms:W3CDTF">2023-12-12T08:32:00Z</dcterms:created>
  <dcterms:modified xsi:type="dcterms:W3CDTF">2023-12-12T08:32:00Z</dcterms:modified>
</cp:coreProperties>
</file>