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ayout w:type="fixed"/>
        <w:tblLook w:val="0000" w:firstRow="0" w:lastRow="0" w:firstColumn="0" w:lastColumn="0" w:noHBand="0" w:noVBand="0"/>
      </w:tblPr>
      <w:tblGrid>
        <w:gridCol w:w="2840"/>
        <w:gridCol w:w="2596"/>
        <w:gridCol w:w="3084"/>
      </w:tblGrid>
      <w:tr w:rsidR="00DD5923" w:rsidRPr="00DB1CBC" w:rsidTr="00BC41DB">
        <w:trPr>
          <w:jc w:val="center"/>
        </w:trPr>
        <w:tc>
          <w:tcPr>
            <w:tcW w:w="2840" w:type="dxa"/>
            <w:tcBorders>
              <w:top w:val="nil"/>
              <w:left w:val="nil"/>
              <w:bottom w:val="nil"/>
              <w:right w:val="nil"/>
            </w:tcBorders>
            <w:vAlign w:val="center"/>
          </w:tcPr>
          <w:p w:rsidR="00DD5923" w:rsidRPr="00520BB4" w:rsidRDefault="00DD5923" w:rsidP="00BD5207">
            <w:pPr>
              <w:bidi/>
              <w:spacing w:line="360" w:lineRule="auto"/>
              <w:jc w:val="center"/>
              <w:rPr>
                <w:rFonts w:cs="David"/>
                <w:b/>
                <w:bCs/>
                <w:sz w:val="28"/>
                <w:szCs w:val="28"/>
              </w:rPr>
            </w:pPr>
            <w:r w:rsidRPr="00520BB4">
              <w:rPr>
                <w:rFonts w:cs="David"/>
                <w:b/>
                <w:bCs/>
                <w:sz w:val="28"/>
                <w:szCs w:val="28"/>
                <w:rtl/>
              </w:rPr>
              <w:t>בנ</w:t>
            </w:r>
            <w:r w:rsidRPr="00520BB4">
              <w:rPr>
                <w:rFonts w:cs="David" w:hint="cs"/>
                <w:b/>
                <w:bCs/>
                <w:sz w:val="28"/>
                <w:szCs w:val="28"/>
                <w:rtl/>
              </w:rPr>
              <w:t xml:space="preserve">ק </w:t>
            </w:r>
            <w:r w:rsidRPr="00520BB4">
              <w:rPr>
                <w:rFonts w:cs="David"/>
                <w:b/>
                <w:bCs/>
                <w:sz w:val="28"/>
                <w:szCs w:val="28"/>
                <w:rtl/>
              </w:rPr>
              <w:t>יש</w:t>
            </w:r>
            <w:r w:rsidRPr="00520BB4">
              <w:rPr>
                <w:rFonts w:cs="David" w:hint="cs"/>
                <w:b/>
                <w:bCs/>
                <w:sz w:val="28"/>
                <w:szCs w:val="28"/>
                <w:rtl/>
              </w:rPr>
              <w:t>ראל</w:t>
            </w:r>
          </w:p>
          <w:p w:rsidR="00DD5923" w:rsidRDefault="00DD5923" w:rsidP="00BD5207">
            <w:pPr>
              <w:bidi/>
              <w:spacing w:line="360" w:lineRule="auto"/>
              <w:ind w:right="-101"/>
              <w:jc w:val="center"/>
              <w:rPr>
                <w:sz w:val="24"/>
                <w:szCs w:val="24"/>
              </w:rPr>
            </w:pPr>
            <w:r w:rsidRPr="00520BB4">
              <w:rPr>
                <w:rFonts w:cs="David"/>
                <w:sz w:val="24"/>
                <w:szCs w:val="24"/>
                <w:rtl/>
              </w:rPr>
              <w:t>דו</w:t>
            </w:r>
            <w:r w:rsidRPr="00520BB4">
              <w:rPr>
                <w:rFonts w:cs="David" w:hint="cs"/>
                <w:sz w:val="24"/>
                <w:szCs w:val="24"/>
                <w:rtl/>
              </w:rPr>
              <w:t>בר</w:t>
            </w:r>
            <w:r w:rsidRPr="00520BB4">
              <w:rPr>
                <w:rFonts w:cs="David"/>
                <w:sz w:val="24"/>
                <w:szCs w:val="24"/>
                <w:rtl/>
              </w:rPr>
              <w:t>ות</w:t>
            </w:r>
            <w:r w:rsidRPr="00520BB4">
              <w:rPr>
                <w:rFonts w:cs="David" w:hint="cs"/>
                <w:sz w:val="24"/>
                <w:szCs w:val="24"/>
                <w:rtl/>
              </w:rPr>
              <w:t xml:space="preserve"> והסברה כלכלית</w:t>
            </w:r>
          </w:p>
        </w:tc>
        <w:tc>
          <w:tcPr>
            <w:tcW w:w="2596" w:type="dxa"/>
            <w:tcBorders>
              <w:top w:val="nil"/>
              <w:left w:val="nil"/>
              <w:bottom w:val="nil"/>
              <w:right w:val="nil"/>
            </w:tcBorders>
          </w:tcPr>
          <w:p w:rsidR="00DD5923" w:rsidRDefault="0047627F" w:rsidP="00BD5207">
            <w:pPr>
              <w:bidi/>
              <w:jc w:val="center"/>
            </w:pPr>
            <w:r>
              <w:rPr>
                <w:rFonts w:cs="David"/>
                <w:noProof/>
                <w:lang w:eastAsia="en-US"/>
              </w:rPr>
              <w:drawing>
                <wp:inline distT="0" distB="0" distL="0" distR="0">
                  <wp:extent cx="1200150" cy="666750"/>
                  <wp:effectExtent l="0" t="0" r="0" b="0"/>
                  <wp:docPr id="1" name="תמונה 1" descr="60Y+bank_Color_RGB_300DP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0Y+bank_Color_RGB_300DPI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66675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DD5923" w:rsidRDefault="00DD5923" w:rsidP="00E361B9">
            <w:pPr>
              <w:bidi/>
              <w:spacing w:line="480" w:lineRule="auto"/>
              <w:jc w:val="right"/>
              <w:rPr>
                <w:rFonts w:cs="David"/>
                <w:sz w:val="24"/>
                <w:szCs w:val="24"/>
              </w:rPr>
            </w:pPr>
            <w:r>
              <w:rPr>
                <w:rFonts w:cs="David" w:hint="eastAsia"/>
                <w:sz w:val="24"/>
                <w:szCs w:val="24"/>
                <w:rtl/>
              </w:rPr>
              <w:t>‏</w:t>
            </w:r>
            <w:r w:rsidR="00100FEE">
              <w:rPr>
                <w:rFonts w:cs="David" w:hint="cs"/>
                <w:sz w:val="24"/>
                <w:szCs w:val="24"/>
                <w:rtl/>
              </w:rPr>
              <w:t xml:space="preserve">ירושלים, </w:t>
            </w:r>
            <w:r w:rsidR="003937CC">
              <w:rPr>
                <w:rFonts w:cs="David" w:hint="cs"/>
                <w:sz w:val="24"/>
                <w:szCs w:val="24"/>
                <w:rtl/>
              </w:rPr>
              <w:t>ח</w:t>
            </w:r>
            <w:r w:rsidR="000A3EB8">
              <w:rPr>
                <w:rFonts w:cs="David" w:hint="cs"/>
                <w:sz w:val="24"/>
                <w:szCs w:val="24"/>
                <w:rtl/>
              </w:rPr>
              <w:t>' בתמוז</w:t>
            </w:r>
            <w:r w:rsidR="00441E07">
              <w:rPr>
                <w:rFonts w:cs="David" w:hint="cs"/>
                <w:sz w:val="24"/>
                <w:szCs w:val="24"/>
                <w:rtl/>
              </w:rPr>
              <w:t xml:space="preserve"> </w:t>
            </w:r>
            <w:r w:rsidR="00614095">
              <w:rPr>
                <w:rFonts w:cs="David" w:hint="cs"/>
                <w:sz w:val="24"/>
                <w:szCs w:val="24"/>
                <w:rtl/>
              </w:rPr>
              <w:t>ה</w:t>
            </w:r>
            <w:r w:rsidR="004625EB">
              <w:rPr>
                <w:rFonts w:cs="David"/>
                <w:sz w:val="24"/>
                <w:szCs w:val="24"/>
                <w:rtl/>
              </w:rPr>
              <w:t>תשע"</w:t>
            </w:r>
            <w:r w:rsidR="004625EB">
              <w:rPr>
                <w:rFonts w:cs="David" w:hint="cs"/>
                <w:sz w:val="24"/>
                <w:szCs w:val="24"/>
                <w:rtl/>
              </w:rPr>
              <w:t>ד</w:t>
            </w:r>
          </w:p>
          <w:p w:rsidR="00DD5923" w:rsidRPr="00DF107C" w:rsidRDefault="00DD5923" w:rsidP="003937CC">
            <w:pPr>
              <w:bidi/>
              <w:spacing w:line="480" w:lineRule="auto"/>
              <w:jc w:val="right"/>
              <w:rPr>
                <w:rFonts w:cs="David"/>
                <w:sz w:val="24"/>
                <w:szCs w:val="24"/>
              </w:rPr>
            </w:pPr>
            <w:r>
              <w:rPr>
                <w:rFonts w:cs="David" w:hint="eastAsia"/>
                <w:sz w:val="24"/>
                <w:szCs w:val="24"/>
                <w:rtl/>
              </w:rPr>
              <w:t>‏‏</w:t>
            </w:r>
            <w:r w:rsidR="003937CC">
              <w:rPr>
                <w:rFonts w:cs="David" w:hint="cs"/>
                <w:sz w:val="24"/>
                <w:szCs w:val="24"/>
                <w:rtl/>
              </w:rPr>
              <w:t>6</w:t>
            </w:r>
            <w:r w:rsidR="00100FEE">
              <w:rPr>
                <w:rFonts w:cs="David" w:hint="cs"/>
                <w:sz w:val="24"/>
                <w:szCs w:val="24"/>
                <w:rtl/>
              </w:rPr>
              <w:t xml:space="preserve"> ביולי</w:t>
            </w:r>
            <w:r w:rsidR="00D81EC3">
              <w:rPr>
                <w:rFonts w:cs="David" w:hint="cs"/>
                <w:sz w:val="24"/>
                <w:szCs w:val="24"/>
                <w:rtl/>
              </w:rPr>
              <w:t xml:space="preserve"> 2014</w:t>
            </w:r>
          </w:p>
        </w:tc>
      </w:tr>
    </w:tbl>
    <w:p w:rsidR="00FE034E" w:rsidRDefault="00FE034E" w:rsidP="00BD5207">
      <w:pPr>
        <w:bidi/>
        <w:rPr>
          <w:rtl/>
        </w:rPr>
      </w:pPr>
    </w:p>
    <w:p w:rsidR="00FE0338" w:rsidRDefault="00FE0338" w:rsidP="00FE0338">
      <w:pPr>
        <w:bidi/>
        <w:spacing w:line="360" w:lineRule="auto"/>
        <w:ind w:left="-942" w:right="-101"/>
        <w:rPr>
          <w:rFonts w:cs="David"/>
          <w:sz w:val="24"/>
          <w:szCs w:val="24"/>
          <w:rtl/>
        </w:rPr>
      </w:pPr>
    </w:p>
    <w:p w:rsidR="00C04A6B" w:rsidRDefault="007E18EE" w:rsidP="00E361B9">
      <w:pPr>
        <w:bidi/>
        <w:spacing w:line="360" w:lineRule="auto"/>
        <w:ind w:right="-101"/>
        <w:rPr>
          <w:rFonts w:cs="David" w:hint="cs"/>
          <w:sz w:val="24"/>
          <w:szCs w:val="24"/>
          <w:rtl/>
        </w:rPr>
      </w:pPr>
      <w:r w:rsidRPr="007E18EE">
        <w:rPr>
          <w:rFonts w:cs="David" w:hint="cs"/>
          <w:sz w:val="24"/>
          <w:szCs w:val="24"/>
          <w:rtl/>
        </w:rPr>
        <w:t>הודעה לעיתונות:</w:t>
      </w:r>
    </w:p>
    <w:p w:rsidR="003937CC" w:rsidRPr="00295938" w:rsidRDefault="003937CC" w:rsidP="00295938">
      <w:pPr>
        <w:bidi/>
        <w:spacing w:line="276" w:lineRule="auto"/>
        <w:jc w:val="center"/>
        <w:rPr>
          <w:rFonts w:cs="David"/>
          <w:b/>
          <w:bCs/>
          <w:sz w:val="32"/>
          <w:szCs w:val="32"/>
          <w:u w:val="single"/>
          <w:rtl/>
        </w:rPr>
      </w:pPr>
      <w:bookmarkStart w:id="0" w:name="_GoBack"/>
      <w:r w:rsidRPr="00295938">
        <w:rPr>
          <w:rFonts w:cs="David"/>
          <w:b/>
          <w:bCs/>
          <w:sz w:val="32"/>
          <w:szCs w:val="32"/>
          <w:u w:val="single"/>
          <w:rtl/>
        </w:rPr>
        <w:t xml:space="preserve">כללים חדשים </w:t>
      </w:r>
      <w:r w:rsidRPr="00295938">
        <w:rPr>
          <w:rFonts w:cs="David" w:hint="cs"/>
          <w:b/>
          <w:bCs/>
          <w:sz w:val="32"/>
          <w:szCs w:val="32"/>
          <w:u w:val="single"/>
          <w:rtl/>
        </w:rPr>
        <w:t>יסדירו את תחום ההטבות הלא בנקאיות הניתנות לל</w:t>
      </w:r>
      <w:r w:rsidRPr="00295938">
        <w:rPr>
          <w:rFonts w:cs="David"/>
          <w:b/>
          <w:bCs/>
          <w:sz w:val="32"/>
          <w:szCs w:val="32"/>
          <w:u w:val="single"/>
          <w:rtl/>
        </w:rPr>
        <w:t xml:space="preserve">קוחות </w:t>
      </w:r>
      <w:r w:rsidRPr="00295938">
        <w:rPr>
          <w:rFonts w:cs="David" w:hint="cs"/>
          <w:b/>
          <w:bCs/>
          <w:sz w:val="32"/>
          <w:szCs w:val="32"/>
          <w:u w:val="single"/>
          <w:rtl/>
        </w:rPr>
        <w:t>התאגידים הבנקאיים</w:t>
      </w:r>
    </w:p>
    <w:bookmarkEnd w:id="0"/>
    <w:p w:rsidR="003937CC" w:rsidRPr="00295938" w:rsidRDefault="003937CC" w:rsidP="00295938">
      <w:pPr>
        <w:bidi/>
        <w:spacing w:before="240" w:line="360" w:lineRule="auto"/>
        <w:jc w:val="both"/>
        <w:rPr>
          <w:rFonts w:cs="David"/>
          <w:b/>
          <w:bCs/>
          <w:sz w:val="26"/>
          <w:szCs w:val="26"/>
          <w:rtl/>
        </w:rPr>
      </w:pPr>
      <w:r w:rsidRPr="00295938">
        <w:rPr>
          <w:rFonts w:cs="David"/>
          <w:b/>
          <w:bCs/>
          <w:sz w:val="26"/>
          <w:szCs w:val="26"/>
          <w:rtl/>
        </w:rPr>
        <w:t xml:space="preserve">הפיקוח על הבנקים בבנק ישראל פרסם היום  תיקון להוראה, </w:t>
      </w:r>
      <w:r w:rsidRPr="00295938">
        <w:rPr>
          <w:rFonts w:cs="David" w:hint="cs"/>
          <w:b/>
          <w:bCs/>
          <w:sz w:val="26"/>
          <w:szCs w:val="26"/>
          <w:rtl/>
        </w:rPr>
        <w:t>שמטילה מגבלות על</w:t>
      </w:r>
      <w:r w:rsidRPr="00295938">
        <w:rPr>
          <w:rFonts w:cs="David"/>
          <w:b/>
          <w:bCs/>
          <w:sz w:val="26"/>
          <w:szCs w:val="26"/>
          <w:rtl/>
        </w:rPr>
        <w:t xml:space="preserve"> התאגידים הבנקאיים </w:t>
      </w:r>
      <w:r w:rsidRPr="00295938">
        <w:rPr>
          <w:rFonts w:cs="David" w:hint="cs"/>
          <w:b/>
          <w:bCs/>
          <w:sz w:val="26"/>
          <w:szCs w:val="26"/>
          <w:rtl/>
        </w:rPr>
        <w:t>בהענקת</w:t>
      </w:r>
      <w:r w:rsidRPr="00295938">
        <w:rPr>
          <w:rFonts w:cs="David"/>
          <w:b/>
          <w:bCs/>
          <w:sz w:val="26"/>
          <w:szCs w:val="26"/>
          <w:rtl/>
        </w:rPr>
        <w:t xml:space="preserve"> הטבות שאינן בנקאיות, על מנת להקל על הלקוחות להשוות בין השירותים והמוצרים הבנקאיים המוצעים להם</w:t>
      </w:r>
      <w:r w:rsidRPr="00295938">
        <w:rPr>
          <w:rFonts w:cs="David" w:hint="cs"/>
          <w:b/>
          <w:bCs/>
          <w:sz w:val="26"/>
          <w:szCs w:val="26"/>
          <w:rtl/>
        </w:rPr>
        <w:t xml:space="preserve"> ולמנוע כבילה של לקוחות בעקבות הטבה שקיבלו.</w:t>
      </w:r>
    </w:p>
    <w:p w:rsidR="003937CC" w:rsidRPr="009162EE" w:rsidRDefault="003937CC" w:rsidP="00295938">
      <w:pPr>
        <w:bidi/>
        <w:spacing w:before="240" w:line="360" w:lineRule="auto"/>
        <w:jc w:val="both"/>
        <w:rPr>
          <w:rFonts w:cs="David"/>
          <w:sz w:val="24"/>
          <w:szCs w:val="24"/>
          <w:rtl/>
        </w:rPr>
      </w:pPr>
      <w:r w:rsidRPr="009162EE">
        <w:rPr>
          <w:rFonts w:cs="David"/>
          <w:sz w:val="24"/>
          <w:szCs w:val="24"/>
          <w:rtl/>
        </w:rPr>
        <w:t xml:space="preserve">הפיקוח על הבנקים בבנק ישראל פרסם היום תיקון להוראת ניהול בנקאי תקין 403 (להלן – ההוראה), אשר מסדירה את תחום ההטבות </w:t>
      </w:r>
      <w:r>
        <w:rPr>
          <w:rFonts w:cs="David" w:hint="cs"/>
          <w:sz w:val="24"/>
          <w:szCs w:val="24"/>
          <w:rtl/>
        </w:rPr>
        <w:t xml:space="preserve">הלא בנקאיות </w:t>
      </w:r>
      <w:r w:rsidRPr="009162EE">
        <w:rPr>
          <w:rFonts w:cs="David"/>
          <w:sz w:val="24"/>
          <w:szCs w:val="24"/>
          <w:rtl/>
        </w:rPr>
        <w:t>הניתנות ללקוחות התאגידים הבנקאיים.</w:t>
      </w:r>
    </w:p>
    <w:p w:rsidR="003937CC" w:rsidRPr="009162EE" w:rsidRDefault="003937CC" w:rsidP="003937CC">
      <w:pPr>
        <w:bidi/>
        <w:spacing w:line="360" w:lineRule="auto"/>
        <w:jc w:val="both"/>
        <w:rPr>
          <w:rFonts w:cs="David"/>
          <w:sz w:val="24"/>
          <w:szCs w:val="24"/>
          <w:rtl/>
        </w:rPr>
      </w:pPr>
    </w:p>
    <w:p w:rsidR="003937CC" w:rsidRDefault="003937CC" w:rsidP="003937CC">
      <w:pPr>
        <w:bidi/>
        <w:spacing w:line="360" w:lineRule="auto"/>
        <w:jc w:val="both"/>
        <w:rPr>
          <w:rFonts w:cs="David"/>
          <w:sz w:val="24"/>
          <w:szCs w:val="24"/>
          <w:rtl/>
        </w:rPr>
      </w:pPr>
      <w:r>
        <w:rPr>
          <w:rFonts w:cs="David" w:hint="cs"/>
          <w:sz w:val="24"/>
          <w:szCs w:val="24"/>
          <w:rtl/>
        </w:rPr>
        <w:t xml:space="preserve">במסגרת התיקון נקבע, כי </w:t>
      </w:r>
      <w:r w:rsidRPr="009162EE">
        <w:rPr>
          <w:rFonts w:cs="David"/>
          <w:sz w:val="24"/>
          <w:szCs w:val="24"/>
          <w:rtl/>
        </w:rPr>
        <w:t>בנקים</w:t>
      </w:r>
      <w:r>
        <w:rPr>
          <w:rFonts w:cs="David" w:hint="cs"/>
          <w:sz w:val="24"/>
          <w:szCs w:val="24"/>
          <w:rtl/>
        </w:rPr>
        <w:t xml:space="preserve"> ו</w:t>
      </w:r>
      <w:r w:rsidRPr="009162EE">
        <w:rPr>
          <w:rFonts w:cs="David"/>
          <w:sz w:val="24"/>
          <w:szCs w:val="24"/>
          <w:rtl/>
        </w:rPr>
        <w:t xml:space="preserve">חברות כרטיסי אשראי, </w:t>
      </w:r>
      <w:r>
        <w:rPr>
          <w:rFonts w:cs="David" w:hint="cs"/>
          <w:sz w:val="24"/>
          <w:szCs w:val="24"/>
          <w:rtl/>
        </w:rPr>
        <w:t xml:space="preserve">רשאים לתת ללקוחותיהם הטבה בנקאית, </w:t>
      </w:r>
      <w:r w:rsidRPr="009162EE">
        <w:rPr>
          <w:rFonts w:cs="David"/>
          <w:sz w:val="24"/>
          <w:szCs w:val="24"/>
          <w:rtl/>
        </w:rPr>
        <w:t xml:space="preserve">כגון: הפחתה או פטור בתשלום עמלות, </w:t>
      </w:r>
      <w:r>
        <w:rPr>
          <w:rFonts w:cs="David" w:hint="cs"/>
          <w:sz w:val="24"/>
          <w:szCs w:val="24"/>
          <w:rtl/>
        </w:rPr>
        <w:t xml:space="preserve">הפחתה או </w:t>
      </w:r>
      <w:r w:rsidRPr="009162EE">
        <w:rPr>
          <w:rFonts w:cs="David"/>
          <w:sz w:val="24"/>
          <w:szCs w:val="24"/>
          <w:rtl/>
        </w:rPr>
        <w:t xml:space="preserve">תוספת בריבית </w:t>
      </w:r>
      <w:r>
        <w:rPr>
          <w:rFonts w:cs="David" w:hint="cs"/>
          <w:sz w:val="24"/>
          <w:szCs w:val="24"/>
          <w:rtl/>
        </w:rPr>
        <w:t>ו</w:t>
      </w:r>
      <w:r w:rsidRPr="009162EE">
        <w:rPr>
          <w:rFonts w:cs="David"/>
          <w:sz w:val="24"/>
          <w:szCs w:val="24"/>
          <w:rtl/>
        </w:rPr>
        <w:t>שינוי בתנאי תשלום</w:t>
      </w:r>
      <w:r>
        <w:rPr>
          <w:rFonts w:cs="David" w:hint="cs"/>
          <w:sz w:val="24"/>
          <w:szCs w:val="24"/>
          <w:rtl/>
        </w:rPr>
        <w:t>, אולם</w:t>
      </w:r>
      <w:r w:rsidRPr="009162EE">
        <w:rPr>
          <w:rFonts w:cs="David"/>
          <w:sz w:val="24"/>
          <w:szCs w:val="24"/>
          <w:rtl/>
        </w:rPr>
        <w:t xml:space="preserve">, </w:t>
      </w:r>
      <w:r>
        <w:rPr>
          <w:rFonts w:cs="David" w:hint="cs"/>
          <w:sz w:val="24"/>
          <w:szCs w:val="24"/>
          <w:rtl/>
        </w:rPr>
        <w:t>ככלל, הם אינם רשאים לתת הטבה</w:t>
      </w:r>
      <w:r w:rsidRPr="009162EE">
        <w:rPr>
          <w:rFonts w:cs="David"/>
          <w:sz w:val="24"/>
          <w:szCs w:val="24"/>
          <w:rtl/>
        </w:rPr>
        <w:t xml:space="preserve"> </w:t>
      </w:r>
      <w:r>
        <w:rPr>
          <w:rFonts w:cs="David" w:hint="cs"/>
          <w:sz w:val="24"/>
          <w:szCs w:val="24"/>
          <w:rtl/>
        </w:rPr>
        <w:t>שאינה בנקאית, כגון מתנה, ובפרט כזו שכובלת את הלקוח בהסכם או בשירות כלשהו. בהוראה נקבע</w:t>
      </w:r>
      <w:r w:rsidRPr="009162EE">
        <w:rPr>
          <w:rFonts w:cs="David"/>
          <w:sz w:val="24"/>
          <w:szCs w:val="24"/>
          <w:rtl/>
        </w:rPr>
        <w:t xml:space="preserve"> איסור מוחלט על </w:t>
      </w:r>
      <w:r>
        <w:rPr>
          <w:rFonts w:cs="David" w:hint="cs"/>
          <w:sz w:val="24"/>
          <w:szCs w:val="24"/>
          <w:rtl/>
        </w:rPr>
        <w:t>מתן</w:t>
      </w:r>
      <w:r w:rsidRPr="009162EE">
        <w:rPr>
          <w:rFonts w:cs="David"/>
          <w:sz w:val="24"/>
          <w:szCs w:val="24"/>
          <w:rtl/>
        </w:rPr>
        <w:t xml:space="preserve"> </w:t>
      </w:r>
      <w:r>
        <w:rPr>
          <w:rFonts w:cs="David" w:hint="cs"/>
          <w:sz w:val="24"/>
          <w:szCs w:val="24"/>
          <w:rtl/>
        </w:rPr>
        <w:t>הטבות לא בנקאיות</w:t>
      </w:r>
      <w:r w:rsidRPr="009162EE">
        <w:rPr>
          <w:rFonts w:cs="David"/>
          <w:sz w:val="24"/>
          <w:szCs w:val="24"/>
          <w:rtl/>
        </w:rPr>
        <w:t xml:space="preserve"> אגב פתיחה וניהול של חשבון עובר ושב, או אגב מתן שירותים בנקאיים אחרים, ובכלל זה הפקדת פיקדון, העמדה או ניצול של אשראי, פתיחת תיק השקעות וניהולו, ייעוץ להשקעות או ייעוץ פנסיוני, סליקה וניכיון.</w:t>
      </w:r>
      <w:r>
        <w:rPr>
          <w:rFonts w:cs="David" w:hint="cs"/>
          <w:sz w:val="24"/>
          <w:szCs w:val="24"/>
          <w:rtl/>
        </w:rPr>
        <w:t xml:space="preserve"> עם זאת, ההוראה מתירה:</w:t>
      </w:r>
    </w:p>
    <w:p w:rsidR="003937CC" w:rsidRDefault="003937CC" w:rsidP="003937CC">
      <w:pPr>
        <w:numPr>
          <w:ilvl w:val="0"/>
          <w:numId w:val="2"/>
        </w:numPr>
        <w:bidi/>
        <w:spacing w:line="360" w:lineRule="auto"/>
        <w:jc w:val="both"/>
        <w:rPr>
          <w:rFonts w:cs="David"/>
          <w:sz w:val="24"/>
          <w:szCs w:val="24"/>
        </w:rPr>
      </w:pPr>
      <w:r w:rsidRPr="009162EE">
        <w:rPr>
          <w:rFonts w:cs="David"/>
          <w:sz w:val="24"/>
          <w:szCs w:val="24"/>
          <w:rtl/>
        </w:rPr>
        <w:t>לתת הטבה לא בנקאית אגב הגשת בקשה מצד לקוח להנפיק כרטיס חיוב, החזקתו והשימוש בו</w:t>
      </w:r>
      <w:r>
        <w:rPr>
          <w:rFonts w:cs="David" w:hint="cs"/>
          <w:sz w:val="24"/>
          <w:szCs w:val="24"/>
          <w:rtl/>
        </w:rPr>
        <w:t>.</w:t>
      </w:r>
    </w:p>
    <w:p w:rsidR="003937CC" w:rsidRDefault="003937CC" w:rsidP="003937CC">
      <w:pPr>
        <w:numPr>
          <w:ilvl w:val="0"/>
          <w:numId w:val="2"/>
        </w:numPr>
        <w:bidi/>
        <w:spacing w:line="360" w:lineRule="auto"/>
        <w:jc w:val="both"/>
        <w:rPr>
          <w:rFonts w:cs="David"/>
          <w:sz w:val="24"/>
          <w:szCs w:val="24"/>
        </w:rPr>
      </w:pPr>
      <w:r>
        <w:rPr>
          <w:rFonts w:cs="David"/>
          <w:sz w:val="24"/>
          <w:szCs w:val="24"/>
          <w:rtl/>
        </w:rPr>
        <w:t>לתת ללקוחות כסף בעת פתיחת חשבון עובר ושב</w:t>
      </w:r>
      <w:r>
        <w:rPr>
          <w:rFonts w:cs="David" w:hint="cs"/>
          <w:sz w:val="24"/>
          <w:szCs w:val="24"/>
          <w:rtl/>
        </w:rPr>
        <w:t>.</w:t>
      </w:r>
    </w:p>
    <w:p w:rsidR="003937CC" w:rsidRDefault="003937CC" w:rsidP="003937CC">
      <w:pPr>
        <w:numPr>
          <w:ilvl w:val="0"/>
          <w:numId w:val="2"/>
        </w:numPr>
        <w:bidi/>
        <w:spacing w:line="360" w:lineRule="auto"/>
        <w:jc w:val="both"/>
        <w:rPr>
          <w:rFonts w:cs="David"/>
          <w:sz w:val="24"/>
          <w:szCs w:val="24"/>
        </w:rPr>
      </w:pPr>
      <w:r>
        <w:rPr>
          <w:rFonts w:cs="David"/>
          <w:sz w:val="24"/>
          <w:szCs w:val="24"/>
          <w:rtl/>
        </w:rPr>
        <w:t xml:space="preserve">לתת </w:t>
      </w:r>
      <w:r w:rsidRPr="00E10B9C">
        <w:rPr>
          <w:rFonts w:cs="David"/>
          <w:sz w:val="24"/>
          <w:szCs w:val="24"/>
          <w:rtl/>
        </w:rPr>
        <w:t>חפץ קטן ערך</w:t>
      </w:r>
      <w:r>
        <w:rPr>
          <w:rFonts w:cs="David"/>
          <w:sz w:val="24"/>
          <w:szCs w:val="24"/>
          <w:rtl/>
        </w:rPr>
        <w:t xml:space="preserve"> וסמלי, לצורכי שיווק התאגיד הבנקאי, בעת פתיחת </w:t>
      </w:r>
      <w:r w:rsidRPr="00E10B9C">
        <w:rPr>
          <w:rFonts w:cs="David"/>
          <w:sz w:val="24"/>
          <w:szCs w:val="24"/>
          <w:rtl/>
        </w:rPr>
        <w:t xml:space="preserve">חשבון </w:t>
      </w:r>
      <w:r>
        <w:rPr>
          <w:rFonts w:cs="David"/>
          <w:sz w:val="24"/>
          <w:szCs w:val="24"/>
          <w:rtl/>
        </w:rPr>
        <w:t xml:space="preserve">עובר ושב </w:t>
      </w:r>
      <w:r w:rsidRPr="00E10B9C">
        <w:rPr>
          <w:rFonts w:cs="David"/>
          <w:sz w:val="24"/>
          <w:szCs w:val="24"/>
          <w:rtl/>
        </w:rPr>
        <w:t xml:space="preserve">או </w:t>
      </w:r>
      <w:r>
        <w:rPr>
          <w:rFonts w:cs="David"/>
          <w:sz w:val="24"/>
          <w:szCs w:val="24"/>
          <w:rtl/>
        </w:rPr>
        <w:t xml:space="preserve">בעת הגשת </w:t>
      </w:r>
      <w:r w:rsidRPr="00E10B9C">
        <w:rPr>
          <w:rFonts w:cs="David"/>
          <w:sz w:val="24"/>
          <w:szCs w:val="24"/>
          <w:rtl/>
        </w:rPr>
        <w:t>בקשה לקבלת שירותי סליקה</w:t>
      </w:r>
      <w:r>
        <w:rPr>
          <w:rFonts w:cs="David"/>
          <w:sz w:val="24"/>
          <w:szCs w:val="24"/>
          <w:rtl/>
        </w:rPr>
        <w:t>, או בהתרחש אירוע מסוים (כגון חג, או יום הולדת) אגב ניהול חשבון עו"ש או אגב שימוש בשירותי סליקה.</w:t>
      </w:r>
    </w:p>
    <w:p w:rsidR="003937CC" w:rsidRDefault="003937CC" w:rsidP="003937CC">
      <w:pPr>
        <w:numPr>
          <w:ilvl w:val="0"/>
          <w:numId w:val="2"/>
        </w:numPr>
        <w:bidi/>
        <w:spacing w:line="360" w:lineRule="auto"/>
        <w:jc w:val="both"/>
        <w:rPr>
          <w:rFonts w:cs="David"/>
          <w:sz w:val="24"/>
          <w:szCs w:val="24"/>
        </w:rPr>
      </w:pPr>
      <w:r>
        <w:rPr>
          <w:rFonts w:cs="David" w:hint="cs"/>
          <w:sz w:val="24"/>
          <w:szCs w:val="24"/>
          <w:rtl/>
        </w:rPr>
        <w:t>לתת</w:t>
      </w:r>
      <w:r w:rsidRPr="009162EE">
        <w:rPr>
          <w:rFonts w:cs="David" w:hint="cs"/>
          <w:sz w:val="24"/>
          <w:szCs w:val="24"/>
          <w:rtl/>
        </w:rPr>
        <w:t xml:space="preserve"> הנחות או פטורים מתשלום עבור פרסום הטבה לא בנקאית, לבתי עסק המקבלים </w:t>
      </w:r>
      <w:r>
        <w:rPr>
          <w:rFonts w:cs="David" w:hint="cs"/>
          <w:sz w:val="24"/>
          <w:szCs w:val="24"/>
          <w:rtl/>
        </w:rPr>
        <w:t>מהתאגיד הבנקאי</w:t>
      </w:r>
      <w:r w:rsidRPr="009162EE">
        <w:rPr>
          <w:rFonts w:cs="David" w:hint="cs"/>
          <w:sz w:val="24"/>
          <w:szCs w:val="24"/>
          <w:rtl/>
        </w:rPr>
        <w:t xml:space="preserve"> שירותי סליקה.  </w:t>
      </w:r>
    </w:p>
    <w:p w:rsidR="003937CC" w:rsidRPr="009162EE" w:rsidRDefault="003937CC" w:rsidP="003937CC">
      <w:pPr>
        <w:numPr>
          <w:ilvl w:val="0"/>
          <w:numId w:val="2"/>
        </w:numPr>
        <w:bidi/>
        <w:spacing w:line="360" w:lineRule="auto"/>
        <w:jc w:val="both"/>
        <w:rPr>
          <w:rFonts w:cs="David"/>
          <w:sz w:val="24"/>
          <w:szCs w:val="24"/>
        </w:rPr>
      </w:pPr>
      <w:r>
        <w:rPr>
          <w:rFonts w:cs="David" w:hint="cs"/>
          <w:sz w:val="24"/>
          <w:szCs w:val="24"/>
          <w:rtl/>
        </w:rPr>
        <w:t xml:space="preserve">לתת הטבות לא בנקאיות הקשורות קשר ישיר להסברה פיננסית. </w:t>
      </w:r>
    </w:p>
    <w:p w:rsidR="003937CC" w:rsidRDefault="003937CC" w:rsidP="003937CC">
      <w:pPr>
        <w:bidi/>
        <w:spacing w:line="360" w:lineRule="auto"/>
        <w:jc w:val="both"/>
        <w:rPr>
          <w:rFonts w:cs="David"/>
          <w:b/>
          <w:bCs/>
          <w:sz w:val="24"/>
          <w:szCs w:val="24"/>
          <w:u w:val="single"/>
          <w:rtl/>
        </w:rPr>
      </w:pPr>
    </w:p>
    <w:p w:rsidR="003937CC" w:rsidRPr="00E5716D" w:rsidRDefault="003937CC" w:rsidP="003937CC">
      <w:pPr>
        <w:bidi/>
        <w:spacing w:line="360" w:lineRule="auto"/>
        <w:jc w:val="both"/>
        <w:rPr>
          <w:rFonts w:cs="David"/>
          <w:sz w:val="24"/>
          <w:szCs w:val="24"/>
          <w:rtl/>
        </w:rPr>
      </w:pPr>
      <w:r w:rsidRPr="00E5716D">
        <w:rPr>
          <w:rFonts w:cs="David" w:hint="cs"/>
          <w:sz w:val="24"/>
          <w:szCs w:val="24"/>
          <w:u w:val="single"/>
          <w:rtl/>
        </w:rPr>
        <w:t xml:space="preserve">וכל </w:t>
      </w:r>
      <w:r w:rsidRPr="00E5716D">
        <w:rPr>
          <w:rFonts w:cs="David"/>
          <w:sz w:val="24"/>
          <w:szCs w:val="24"/>
          <w:u w:val="single"/>
          <w:rtl/>
        </w:rPr>
        <w:t xml:space="preserve"> זאת בתנאי שההטב</w:t>
      </w:r>
      <w:r w:rsidRPr="00E5716D">
        <w:rPr>
          <w:rFonts w:cs="David" w:hint="cs"/>
          <w:sz w:val="24"/>
          <w:szCs w:val="24"/>
          <w:u w:val="single"/>
          <w:rtl/>
        </w:rPr>
        <w:t>ות</w:t>
      </w:r>
      <w:r w:rsidRPr="00E5716D">
        <w:rPr>
          <w:rFonts w:cs="David"/>
          <w:sz w:val="24"/>
          <w:szCs w:val="24"/>
          <w:u w:val="single"/>
          <w:rtl/>
        </w:rPr>
        <w:t xml:space="preserve"> הלא בנקאי</w:t>
      </w:r>
      <w:r w:rsidRPr="00E5716D">
        <w:rPr>
          <w:rFonts w:cs="David" w:hint="cs"/>
          <w:sz w:val="24"/>
          <w:szCs w:val="24"/>
          <w:u w:val="single"/>
          <w:rtl/>
        </w:rPr>
        <w:t>ו</w:t>
      </w:r>
      <w:r w:rsidRPr="00E5716D">
        <w:rPr>
          <w:rFonts w:cs="David"/>
          <w:sz w:val="24"/>
          <w:szCs w:val="24"/>
          <w:u w:val="single"/>
          <w:rtl/>
        </w:rPr>
        <w:t xml:space="preserve">ת </w:t>
      </w:r>
      <w:r w:rsidRPr="00E5716D">
        <w:rPr>
          <w:rFonts w:cs="David" w:hint="cs"/>
          <w:sz w:val="24"/>
          <w:szCs w:val="24"/>
          <w:u w:val="single"/>
          <w:rtl/>
        </w:rPr>
        <w:t xml:space="preserve">הללו </w:t>
      </w:r>
      <w:r w:rsidRPr="00E5716D">
        <w:rPr>
          <w:rFonts w:cs="David"/>
          <w:sz w:val="24"/>
          <w:szCs w:val="24"/>
          <w:u w:val="single"/>
          <w:rtl/>
        </w:rPr>
        <w:t xml:space="preserve">לא </w:t>
      </w:r>
      <w:r w:rsidRPr="00E5716D">
        <w:rPr>
          <w:rFonts w:cs="David" w:hint="cs"/>
          <w:sz w:val="24"/>
          <w:szCs w:val="24"/>
          <w:u w:val="single"/>
          <w:rtl/>
        </w:rPr>
        <w:t xml:space="preserve">יותנו </w:t>
      </w:r>
      <w:r w:rsidRPr="00E5716D">
        <w:rPr>
          <w:rFonts w:cs="David"/>
          <w:sz w:val="24"/>
          <w:szCs w:val="24"/>
          <w:u w:val="single"/>
          <w:rtl/>
        </w:rPr>
        <w:t>בהתקשרות עם התאגיד הבנקאי לתקופת זמן כל שהיא, או בדרישה להשבת</w:t>
      </w:r>
      <w:r w:rsidRPr="00E5716D">
        <w:rPr>
          <w:rFonts w:cs="David" w:hint="cs"/>
          <w:sz w:val="24"/>
          <w:szCs w:val="24"/>
          <w:u w:val="single"/>
          <w:rtl/>
        </w:rPr>
        <w:t>ן</w:t>
      </w:r>
      <w:r w:rsidRPr="00E5716D">
        <w:rPr>
          <w:rFonts w:cs="David"/>
          <w:sz w:val="24"/>
          <w:szCs w:val="24"/>
          <w:rtl/>
        </w:rPr>
        <w:t>. כמו-כן, התאגיד הבנקאי לא יוכל להתנות את קבלת ההטבה ה</w:t>
      </w:r>
      <w:r w:rsidRPr="00E5716D">
        <w:rPr>
          <w:rFonts w:cs="David" w:hint="cs"/>
          <w:sz w:val="24"/>
          <w:szCs w:val="24"/>
          <w:rtl/>
        </w:rPr>
        <w:t xml:space="preserve">לא </w:t>
      </w:r>
      <w:r w:rsidRPr="00E5716D">
        <w:rPr>
          <w:rFonts w:cs="David"/>
          <w:sz w:val="24"/>
          <w:szCs w:val="24"/>
          <w:rtl/>
        </w:rPr>
        <w:t xml:space="preserve">בנקאית בהסכמה מצד הלקוח לקבל חומרים שיווקיים ופרסומיים מהבנק. </w:t>
      </w:r>
    </w:p>
    <w:p w:rsidR="003937CC" w:rsidRDefault="003937CC" w:rsidP="003937CC">
      <w:pPr>
        <w:bidi/>
        <w:spacing w:line="360" w:lineRule="auto"/>
        <w:jc w:val="both"/>
        <w:rPr>
          <w:rFonts w:cs="David"/>
          <w:sz w:val="24"/>
          <w:szCs w:val="24"/>
          <w:rtl/>
        </w:rPr>
      </w:pPr>
    </w:p>
    <w:p w:rsidR="003937CC" w:rsidRDefault="003937CC" w:rsidP="003937CC">
      <w:pPr>
        <w:bidi/>
        <w:spacing w:line="360" w:lineRule="auto"/>
        <w:jc w:val="both"/>
        <w:rPr>
          <w:rFonts w:cs="David"/>
          <w:sz w:val="24"/>
          <w:szCs w:val="24"/>
          <w:rtl/>
        </w:rPr>
      </w:pPr>
      <w:r>
        <w:rPr>
          <w:rFonts w:cs="David" w:hint="cs"/>
          <w:sz w:val="24"/>
          <w:szCs w:val="24"/>
          <w:rtl/>
        </w:rPr>
        <w:lastRenderedPageBreak/>
        <w:t>ההוראה</w:t>
      </w:r>
      <w:r>
        <w:rPr>
          <w:rFonts w:cs="David"/>
          <w:sz w:val="24"/>
          <w:szCs w:val="24"/>
          <w:rtl/>
        </w:rPr>
        <w:t xml:space="preserve"> עוסק</w:t>
      </w:r>
      <w:r>
        <w:rPr>
          <w:rFonts w:cs="David" w:hint="cs"/>
          <w:sz w:val="24"/>
          <w:szCs w:val="24"/>
          <w:rtl/>
        </w:rPr>
        <w:t>ת</w:t>
      </w:r>
      <w:r>
        <w:rPr>
          <w:rFonts w:cs="David"/>
          <w:sz w:val="24"/>
          <w:szCs w:val="24"/>
          <w:rtl/>
        </w:rPr>
        <w:t xml:space="preserve"> גם בסוגיית </w:t>
      </w:r>
      <w:r>
        <w:rPr>
          <w:rFonts w:cs="David" w:hint="cs"/>
          <w:sz w:val="24"/>
          <w:szCs w:val="24"/>
          <w:rtl/>
        </w:rPr>
        <w:t xml:space="preserve">כרטיס </w:t>
      </w:r>
      <w:r>
        <w:rPr>
          <w:rFonts w:cs="David"/>
          <w:sz w:val="24"/>
          <w:szCs w:val="24"/>
          <w:rtl/>
        </w:rPr>
        <w:t xml:space="preserve">האשראי המתגלגל, </w:t>
      </w:r>
      <w:r>
        <w:rPr>
          <w:rFonts w:cs="David" w:hint="cs"/>
          <w:sz w:val="24"/>
          <w:szCs w:val="24"/>
          <w:rtl/>
        </w:rPr>
        <w:t>במטרה</w:t>
      </w:r>
      <w:r>
        <w:rPr>
          <w:rFonts w:cs="David"/>
          <w:sz w:val="24"/>
          <w:szCs w:val="24"/>
          <w:rtl/>
        </w:rPr>
        <w:t xml:space="preserve"> להבטיח שלקוחות יבחרו בשירות של אשראי מתגלגל (שירות שעלותו ללקוח לרוב גבוהה יותר) מתוך עניין בשירות עצמו, ולא בכדי לזכות בהטבות לא בנקאיות המוצעות כחלק משיווק המוצר.</w:t>
      </w:r>
      <w:r>
        <w:rPr>
          <w:rFonts w:cs="David" w:hint="cs"/>
          <w:sz w:val="24"/>
          <w:szCs w:val="24"/>
          <w:rtl/>
        </w:rPr>
        <w:t xml:space="preserve"> לצורך כך </w:t>
      </w:r>
      <w:r>
        <w:rPr>
          <w:rFonts w:cs="David"/>
          <w:sz w:val="24"/>
          <w:szCs w:val="24"/>
          <w:rtl/>
        </w:rPr>
        <w:t>הוגדר</w:t>
      </w:r>
      <w:r>
        <w:rPr>
          <w:rFonts w:cs="David" w:hint="cs"/>
          <w:sz w:val="24"/>
          <w:szCs w:val="24"/>
          <w:rtl/>
        </w:rPr>
        <w:t>,</w:t>
      </w:r>
      <w:r>
        <w:rPr>
          <w:rFonts w:cs="David"/>
          <w:sz w:val="24"/>
          <w:szCs w:val="24"/>
          <w:rtl/>
        </w:rPr>
        <w:t xml:space="preserve"> ש</w:t>
      </w:r>
      <w:r>
        <w:rPr>
          <w:rFonts w:cs="David" w:hint="cs"/>
          <w:sz w:val="24"/>
          <w:szCs w:val="24"/>
          <w:rtl/>
        </w:rPr>
        <w:t xml:space="preserve">תאגיד בנקאי </w:t>
      </w:r>
      <w:r>
        <w:rPr>
          <w:rFonts w:cs="David"/>
          <w:sz w:val="24"/>
          <w:szCs w:val="24"/>
          <w:rtl/>
        </w:rPr>
        <w:t>לא</w:t>
      </w:r>
      <w:r>
        <w:rPr>
          <w:rFonts w:cs="David" w:hint="cs"/>
          <w:sz w:val="24"/>
          <w:szCs w:val="24"/>
          <w:rtl/>
        </w:rPr>
        <w:t xml:space="preserve"> יתנה מתן הטבות לא בנקאיות בהעמדה בפועל של שירות אשראי מתגלגל, או בשימוש בשירות.</w:t>
      </w:r>
      <w:r>
        <w:rPr>
          <w:rFonts w:cs="David"/>
          <w:sz w:val="24"/>
          <w:szCs w:val="24"/>
          <w:rtl/>
        </w:rPr>
        <w:t xml:space="preserve"> </w:t>
      </w:r>
    </w:p>
    <w:p w:rsidR="003937CC" w:rsidRDefault="003937CC" w:rsidP="003937CC">
      <w:pPr>
        <w:bidi/>
        <w:spacing w:line="360" w:lineRule="auto"/>
        <w:jc w:val="both"/>
        <w:rPr>
          <w:rFonts w:cs="David"/>
          <w:sz w:val="24"/>
          <w:szCs w:val="24"/>
          <w:rtl/>
        </w:rPr>
      </w:pPr>
    </w:p>
    <w:p w:rsidR="003937CC" w:rsidRDefault="003937CC" w:rsidP="003937CC">
      <w:pPr>
        <w:bidi/>
        <w:spacing w:line="360" w:lineRule="auto"/>
        <w:jc w:val="both"/>
        <w:rPr>
          <w:rFonts w:cs="David"/>
          <w:sz w:val="24"/>
          <w:szCs w:val="24"/>
          <w:rtl/>
        </w:rPr>
      </w:pPr>
      <w:r>
        <w:rPr>
          <w:rFonts w:cs="David" w:hint="cs"/>
          <w:sz w:val="24"/>
          <w:szCs w:val="24"/>
          <w:rtl/>
        </w:rPr>
        <w:t xml:space="preserve">על מנת לשפר את </w:t>
      </w:r>
      <w:r>
        <w:rPr>
          <w:rFonts w:cs="David"/>
          <w:sz w:val="24"/>
          <w:szCs w:val="24"/>
          <w:rtl/>
        </w:rPr>
        <w:t>הגילוי הנאות ללקוח</w:t>
      </w:r>
      <w:r>
        <w:rPr>
          <w:rFonts w:cs="David" w:hint="cs"/>
          <w:sz w:val="24"/>
          <w:szCs w:val="24"/>
          <w:rtl/>
        </w:rPr>
        <w:t>,</w:t>
      </w:r>
      <w:r>
        <w:rPr>
          <w:rFonts w:cs="David"/>
          <w:sz w:val="24"/>
          <w:szCs w:val="24"/>
          <w:rtl/>
        </w:rPr>
        <w:t xml:space="preserve"> קובע</w:t>
      </w:r>
      <w:r>
        <w:rPr>
          <w:rFonts w:cs="David" w:hint="cs"/>
          <w:sz w:val="24"/>
          <w:szCs w:val="24"/>
          <w:rtl/>
        </w:rPr>
        <w:t>ת ההוראה</w:t>
      </w:r>
      <w:r>
        <w:rPr>
          <w:rFonts w:cs="David"/>
          <w:sz w:val="24"/>
          <w:szCs w:val="24"/>
          <w:rtl/>
        </w:rPr>
        <w:t>, כי בעת פרסום הטבה לא בנקאית, על התאגיד הבנקאי להציג מידע מהותי</w:t>
      </w:r>
      <w:r>
        <w:rPr>
          <w:rFonts w:cs="David" w:hint="cs"/>
          <w:sz w:val="24"/>
          <w:szCs w:val="24"/>
          <w:rtl/>
        </w:rPr>
        <w:t xml:space="preserve"> בקשר עם ההטבה. בנוסף, אם בחר התאגיד הבנקאי להציג בפרסומיו מחיר מוצר או שירות לאחר ההטבה, יהיה עליו להציג גם את המחיר לפני ההטבה, כאשר ישנו כזה. </w:t>
      </w:r>
      <w:r>
        <w:rPr>
          <w:rFonts w:cs="David"/>
          <w:sz w:val="24"/>
          <w:szCs w:val="24"/>
          <w:rtl/>
        </w:rPr>
        <w:t xml:space="preserve">בנוסף נדרש התאגיד הבנקאי לפרסם באתר האינטרנט שלו את </w:t>
      </w:r>
      <w:r>
        <w:rPr>
          <w:rFonts w:cs="David" w:hint="cs"/>
          <w:sz w:val="24"/>
          <w:szCs w:val="24"/>
          <w:rtl/>
        </w:rPr>
        <w:t xml:space="preserve">מלוא </w:t>
      </w:r>
      <w:r>
        <w:rPr>
          <w:rFonts w:cs="David"/>
          <w:sz w:val="24"/>
          <w:szCs w:val="24"/>
          <w:rtl/>
        </w:rPr>
        <w:t xml:space="preserve">פרטי ההטבה הלא בנקאית. </w:t>
      </w:r>
    </w:p>
    <w:p w:rsidR="003937CC" w:rsidRDefault="003937CC" w:rsidP="003937CC">
      <w:pPr>
        <w:bidi/>
        <w:spacing w:line="360" w:lineRule="auto"/>
        <w:jc w:val="both"/>
        <w:rPr>
          <w:rFonts w:cs="David"/>
          <w:sz w:val="24"/>
          <w:szCs w:val="24"/>
          <w:rtl/>
        </w:rPr>
      </w:pPr>
    </w:p>
    <w:p w:rsidR="003937CC" w:rsidRDefault="003937CC" w:rsidP="003937CC">
      <w:pPr>
        <w:bidi/>
        <w:spacing w:line="360" w:lineRule="auto"/>
        <w:jc w:val="both"/>
        <w:rPr>
          <w:sz w:val="22"/>
          <w:rtl/>
        </w:rPr>
      </w:pPr>
      <w:r>
        <w:rPr>
          <w:rFonts w:cs="David" w:hint="cs"/>
          <w:sz w:val="24"/>
          <w:szCs w:val="24"/>
          <w:rtl/>
        </w:rPr>
        <w:t>ההוראה</w:t>
      </w:r>
      <w:r>
        <w:rPr>
          <w:rFonts w:cs="David"/>
          <w:sz w:val="24"/>
          <w:szCs w:val="24"/>
          <w:rtl/>
        </w:rPr>
        <w:t xml:space="preserve"> </w:t>
      </w:r>
      <w:r>
        <w:rPr>
          <w:rFonts w:cs="David" w:hint="cs"/>
          <w:sz w:val="24"/>
          <w:szCs w:val="24"/>
          <w:rtl/>
        </w:rPr>
        <w:t>תי</w:t>
      </w:r>
      <w:r>
        <w:rPr>
          <w:rFonts w:cs="David"/>
          <w:sz w:val="24"/>
          <w:szCs w:val="24"/>
          <w:rtl/>
        </w:rPr>
        <w:t xml:space="preserve">כנס לתוקף </w:t>
      </w:r>
      <w:r>
        <w:rPr>
          <w:rFonts w:cs="David" w:hint="cs"/>
          <w:sz w:val="24"/>
          <w:szCs w:val="24"/>
          <w:rtl/>
        </w:rPr>
        <w:t xml:space="preserve"> ב-1.1.2015</w:t>
      </w:r>
      <w:r w:rsidRPr="00BD4DE6">
        <w:rPr>
          <w:rFonts w:cs="David"/>
          <w:sz w:val="24"/>
          <w:szCs w:val="24"/>
          <w:rtl/>
        </w:rPr>
        <w:t>, כאשר</w:t>
      </w:r>
      <w:r>
        <w:rPr>
          <w:rFonts w:cs="David"/>
          <w:sz w:val="24"/>
          <w:szCs w:val="24"/>
          <w:rtl/>
        </w:rPr>
        <w:t xml:space="preserve"> הסכמים </w:t>
      </w:r>
      <w:r>
        <w:rPr>
          <w:rFonts w:cs="David" w:hint="cs"/>
          <w:sz w:val="24"/>
          <w:szCs w:val="24"/>
          <w:rtl/>
        </w:rPr>
        <w:t xml:space="preserve">ספציפיים </w:t>
      </w:r>
      <w:r>
        <w:rPr>
          <w:rFonts w:cs="David"/>
          <w:sz w:val="24"/>
          <w:szCs w:val="24"/>
          <w:rtl/>
        </w:rPr>
        <w:t xml:space="preserve">עם </w:t>
      </w:r>
      <w:r w:rsidRPr="00BD4DE6">
        <w:rPr>
          <w:rFonts w:cs="David"/>
          <w:sz w:val="24"/>
          <w:szCs w:val="24"/>
          <w:rtl/>
        </w:rPr>
        <w:t>לקוחות התאגידים הבנקאיים</w:t>
      </w:r>
      <w:r>
        <w:rPr>
          <w:rFonts w:cs="David"/>
          <w:sz w:val="24"/>
          <w:szCs w:val="24"/>
          <w:rtl/>
        </w:rPr>
        <w:t xml:space="preserve"> ש</w:t>
      </w:r>
      <w:r>
        <w:rPr>
          <w:rFonts w:cs="David" w:hint="cs"/>
          <w:sz w:val="24"/>
          <w:szCs w:val="24"/>
          <w:rtl/>
        </w:rPr>
        <w:t>נוצרו</w:t>
      </w:r>
      <w:r>
        <w:rPr>
          <w:rFonts w:cs="David"/>
          <w:sz w:val="24"/>
          <w:szCs w:val="24"/>
          <w:rtl/>
        </w:rPr>
        <w:t xml:space="preserve"> טרם כניסת התיקון לתוקף, ואשר כוללים </w:t>
      </w:r>
      <w:r w:rsidRPr="00BD4DE6">
        <w:rPr>
          <w:rFonts w:cs="David"/>
          <w:sz w:val="24"/>
          <w:szCs w:val="24"/>
          <w:rtl/>
        </w:rPr>
        <w:t>הטבות לא בנקאיות המותנות בתנאים כלשהם</w:t>
      </w:r>
      <w:r>
        <w:rPr>
          <w:rFonts w:cs="David"/>
          <w:sz w:val="24"/>
          <w:szCs w:val="24"/>
          <w:rtl/>
        </w:rPr>
        <w:t>,</w:t>
      </w:r>
      <w:r w:rsidRPr="00BD4DE6">
        <w:rPr>
          <w:rFonts w:cs="David"/>
          <w:sz w:val="24"/>
          <w:szCs w:val="24"/>
          <w:rtl/>
        </w:rPr>
        <w:t xml:space="preserve"> יישארו בתוקף עד לתאריך שנקבע בהם.</w:t>
      </w:r>
    </w:p>
    <w:p w:rsidR="003937CC" w:rsidRPr="00CB6D47" w:rsidRDefault="003937CC" w:rsidP="003937CC">
      <w:pPr>
        <w:bidi/>
        <w:spacing w:line="360" w:lineRule="auto"/>
        <w:jc w:val="both"/>
        <w:rPr>
          <w:rFonts w:cs="David"/>
          <w:b/>
          <w:bCs/>
          <w:sz w:val="24"/>
          <w:szCs w:val="24"/>
          <w:rtl/>
        </w:rPr>
      </w:pPr>
    </w:p>
    <w:p w:rsidR="003937CC" w:rsidRDefault="003937CC" w:rsidP="003937CC">
      <w:pPr>
        <w:bidi/>
        <w:spacing w:line="360" w:lineRule="auto"/>
        <w:jc w:val="both"/>
        <w:rPr>
          <w:rFonts w:cs="David"/>
          <w:sz w:val="24"/>
          <w:szCs w:val="24"/>
          <w:rtl/>
        </w:rPr>
      </w:pPr>
      <w:smartTag w:uri="urn:schemas-microsoft-com:office:smarttags" w:element="PersonName">
        <w:smartTag w:uri="urn:schemas-microsoft-com:office:smarttags" w:element="PersonName">
          <w:r w:rsidRPr="001F0116">
            <w:rPr>
              <w:rFonts w:cs="David"/>
              <w:b/>
              <w:bCs/>
              <w:sz w:val="24"/>
              <w:szCs w:val="24"/>
              <w:rtl/>
            </w:rPr>
            <w:t>דוד</w:t>
          </w:r>
        </w:smartTag>
        <w:r w:rsidRPr="001F0116">
          <w:rPr>
            <w:rFonts w:cs="David"/>
            <w:b/>
            <w:bCs/>
            <w:sz w:val="24"/>
            <w:szCs w:val="24"/>
            <w:rtl/>
          </w:rPr>
          <w:t xml:space="preserve"> זקן</w:t>
        </w:r>
      </w:smartTag>
      <w:r w:rsidRPr="001F0116">
        <w:rPr>
          <w:rFonts w:cs="David"/>
          <w:b/>
          <w:bCs/>
          <w:sz w:val="24"/>
          <w:szCs w:val="24"/>
          <w:rtl/>
        </w:rPr>
        <w:t>, המפקח על הבנקים,</w:t>
      </w:r>
      <w:r>
        <w:rPr>
          <w:rFonts w:cs="David"/>
          <w:sz w:val="24"/>
          <w:szCs w:val="24"/>
          <w:rtl/>
        </w:rPr>
        <w:t xml:space="preserve"> מציין: "מטרת התיקון היא לקבוע כללים ברורים ואחידים אשר יאפשרו ללקוחות להשוות בין השירותים והמוצרים הבנקאיים המוצעים להם, תוך אפשרות להבחין בין ערך ההטבות שאינן בנקאיות ובין ערך השירותים הבנקאיים. כמו כן, התיקון בא להבטיח כי הלקוחות יוכלו להעביר את פעילותם מתאגיד בנקאי אחד למשנהו, במטרה לשפר את התנאים המוצעים להם, ללא חסם שנוצר כתוצאה מהטבה לא בנקאית </w:t>
      </w:r>
      <w:r>
        <w:rPr>
          <w:rFonts w:cs="David" w:hint="cs"/>
          <w:sz w:val="24"/>
          <w:szCs w:val="24"/>
          <w:rtl/>
        </w:rPr>
        <w:t xml:space="preserve">או "מתנה" </w:t>
      </w:r>
      <w:r>
        <w:rPr>
          <w:rFonts w:cs="David"/>
          <w:sz w:val="24"/>
          <w:szCs w:val="24"/>
          <w:rtl/>
        </w:rPr>
        <w:t xml:space="preserve">שניתנה להם בעבר, שכן הקשר בין הלקוחות לבין התאגידים הבנקאיים צריך להיות מבוסס על טיב השירותים הבנקאיים שהם מקבלים ומחירם ועל שביעות רצונם משירותים אלו". </w:t>
      </w:r>
    </w:p>
    <w:p w:rsidR="003937CC" w:rsidRPr="00E361B9" w:rsidRDefault="003937CC" w:rsidP="003937CC">
      <w:pPr>
        <w:bidi/>
        <w:spacing w:line="360" w:lineRule="auto"/>
        <w:ind w:right="-101"/>
        <w:rPr>
          <w:rFonts w:cs="David"/>
          <w:sz w:val="24"/>
          <w:szCs w:val="24"/>
        </w:rPr>
      </w:pPr>
    </w:p>
    <w:sectPr w:rsidR="003937CC" w:rsidRPr="00E361B9" w:rsidSect="00E361B9">
      <w:headerReference w:type="even" r:id="rId10"/>
      <w:headerReference w:type="default" r:id="rId11"/>
      <w:footerReference w:type="even" r:id="rId12"/>
      <w:footerReference w:type="default" r:id="rId13"/>
      <w:headerReference w:type="first" r:id="rId14"/>
      <w:footerReference w:type="first" r:id="rId15"/>
      <w:pgSz w:w="11906" w:h="16838"/>
      <w:pgMar w:top="1440" w:right="1558" w:bottom="1440" w:left="1701" w:header="709" w:footer="113"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A6B" w:rsidRDefault="00C04A6B" w:rsidP="00C04A6B">
      <w:r>
        <w:separator/>
      </w:r>
    </w:p>
  </w:endnote>
  <w:endnote w:type="continuationSeparator" w:id="0">
    <w:p w:rsidR="00C04A6B" w:rsidRDefault="00C04A6B"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0000000000000000000"/>
    <w:charset w:val="B1"/>
    <w:family w:val="swiss"/>
    <w:pitch w:val="variable"/>
    <w:sig w:usb0="00000801" w:usb1="00000000" w:usb2="00000000" w:usb3="00000000" w:csb0="00000020" w:csb1="00000000"/>
  </w:font>
  <w:font w:name="David">
    <w:panose1 w:val="00000000000000000000"/>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398" w:rsidRDefault="00B8539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David"/>
        <w:sz w:val="18"/>
        <w:szCs w:val="18"/>
        <w:rtl/>
      </w:rPr>
      <w:id w:val="-1817257504"/>
      <w:docPartObj>
        <w:docPartGallery w:val="Page Numbers (Bottom of Page)"/>
        <w:docPartUnique/>
      </w:docPartObj>
    </w:sdtPr>
    <w:sdtEndPr>
      <w:rPr>
        <w:cs/>
      </w:rPr>
    </w:sdtEndPr>
    <w:sdtContent>
      <w:sdt>
        <w:sdtPr>
          <w:rPr>
            <w:rFonts w:cs="David"/>
            <w:sz w:val="18"/>
            <w:szCs w:val="18"/>
            <w:rtl/>
          </w:rPr>
          <w:id w:val="860082579"/>
          <w:docPartObj>
            <w:docPartGallery w:val="Page Numbers (Top of Page)"/>
            <w:docPartUnique/>
          </w:docPartObj>
        </w:sdtPr>
        <w:sdtEndPr/>
        <w:sdtContent>
          <w:p w:rsidR="00301815" w:rsidRPr="00301815" w:rsidRDefault="00301815" w:rsidP="00295938">
            <w:pPr>
              <w:bidi/>
              <w:spacing w:line="276" w:lineRule="auto"/>
              <w:ind w:left="-709" w:right="-709"/>
              <w:rPr>
                <w:rFonts w:cs="David"/>
                <w:sz w:val="18"/>
                <w:szCs w:val="18"/>
                <w:rtl/>
                <w:cs/>
              </w:rPr>
            </w:pPr>
            <w:r>
              <w:rPr>
                <w:rFonts w:cs="David" w:hint="cs"/>
                <w:sz w:val="18"/>
                <w:szCs w:val="18"/>
                <w:rtl/>
                <w:lang w:val="he-IL"/>
              </w:rPr>
              <w:t xml:space="preserve">בנק ישראל - </w:t>
            </w:r>
            <w:r w:rsidR="00295938" w:rsidRPr="00295938">
              <w:rPr>
                <w:rFonts w:cs="David"/>
                <w:sz w:val="18"/>
                <w:szCs w:val="18"/>
                <w:rtl/>
                <w:lang w:val="he-IL"/>
              </w:rPr>
              <w:t xml:space="preserve">כללים חדשים </w:t>
            </w:r>
            <w:r w:rsidR="00295938" w:rsidRPr="00295938">
              <w:rPr>
                <w:rFonts w:cs="David" w:hint="cs"/>
                <w:sz w:val="18"/>
                <w:szCs w:val="18"/>
                <w:rtl/>
                <w:lang w:val="he-IL"/>
              </w:rPr>
              <w:t>יסדירו את תחום ההטבות הלא בנקאיות הניתנות לל</w:t>
            </w:r>
            <w:r w:rsidR="00295938" w:rsidRPr="00295938">
              <w:rPr>
                <w:rFonts w:cs="David"/>
                <w:sz w:val="18"/>
                <w:szCs w:val="18"/>
                <w:rtl/>
                <w:lang w:val="he-IL"/>
              </w:rPr>
              <w:t xml:space="preserve">קוחות </w:t>
            </w:r>
            <w:r w:rsidR="00295938" w:rsidRPr="00295938">
              <w:rPr>
                <w:rFonts w:cs="David" w:hint="cs"/>
                <w:sz w:val="18"/>
                <w:szCs w:val="18"/>
                <w:rtl/>
                <w:lang w:val="he-IL"/>
              </w:rPr>
              <w:t>התאגידים הבנקאיים</w:t>
            </w:r>
            <w:r>
              <w:rPr>
                <w:rFonts w:cs="David"/>
                <w:sz w:val="18"/>
                <w:szCs w:val="18"/>
                <w:rtl/>
                <w:lang w:val="he-IL"/>
              </w:rPr>
              <w:tab/>
            </w:r>
            <w:r w:rsidR="00295938">
              <w:rPr>
                <w:rFonts w:cs="David" w:hint="cs"/>
                <w:sz w:val="18"/>
                <w:szCs w:val="18"/>
                <w:rtl/>
                <w:lang w:val="he-IL"/>
              </w:rPr>
              <w:tab/>
            </w:r>
            <w:r w:rsidR="00295938">
              <w:rPr>
                <w:rFonts w:cs="David" w:hint="cs"/>
                <w:sz w:val="18"/>
                <w:szCs w:val="18"/>
                <w:rtl/>
                <w:lang w:val="he-IL"/>
              </w:rPr>
              <w:tab/>
            </w:r>
            <w:r w:rsidRPr="00301815">
              <w:rPr>
                <w:rFonts w:cs="David"/>
                <w:sz w:val="18"/>
                <w:szCs w:val="18"/>
                <w:rtl/>
                <w:cs/>
                <w:lang w:val="he-IL"/>
              </w:rPr>
              <w:t xml:space="preserve">עמוד </w:t>
            </w:r>
            <w:r w:rsidRPr="00301815">
              <w:rPr>
                <w:rFonts w:cs="David"/>
                <w:b/>
                <w:bCs/>
                <w:sz w:val="18"/>
                <w:szCs w:val="18"/>
              </w:rPr>
              <w:fldChar w:fldCharType="begin"/>
            </w:r>
            <w:r w:rsidRPr="00301815">
              <w:rPr>
                <w:rFonts w:cs="David"/>
                <w:b/>
                <w:bCs/>
                <w:sz w:val="18"/>
                <w:szCs w:val="18"/>
                <w:rtl/>
                <w:cs/>
              </w:rPr>
              <w:instrText>PAGE</w:instrText>
            </w:r>
            <w:r w:rsidRPr="00301815">
              <w:rPr>
                <w:rFonts w:cs="David"/>
                <w:b/>
                <w:bCs/>
                <w:sz w:val="18"/>
                <w:szCs w:val="18"/>
              </w:rPr>
              <w:fldChar w:fldCharType="separate"/>
            </w:r>
            <w:r w:rsidR="00B85398">
              <w:rPr>
                <w:rFonts w:cs="David"/>
                <w:b/>
                <w:bCs/>
                <w:noProof/>
                <w:sz w:val="18"/>
                <w:szCs w:val="18"/>
                <w:rtl/>
              </w:rPr>
              <w:t>1</w:t>
            </w:r>
            <w:r w:rsidRPr="00301815">
              <w:rPr>
                <w:rFonts w:cs="David"/>
                <w:b/>
                <w:bCs/>
                <w:sz w:val="18"/>
                <w:szCs w:val="18"/>
              </w:rPr>
              <w:fldChar w:fldCharType="end"/>
            </w:r>
            <w:r w:rsidRPr="00301815">
              <w:rPr>
                <w:rFonts w:cs="David"/>
                <w:sz w:val="18"/>
                <w:szCs w:val="18"/>
                <w:rtl/>
                <w:cs/>
                <w:lang w:val="he-IL"/>
              </w:rPr>
              <w:t xml:space="preserve"> מתוך </w:t>
            </w:r>
            <w:r w:rsidRPr="00301815">
              <w:rPr>
                <w:rFonts w:cs="David"/>
                <w:b/>
                <w:bCs/>
                <w:sz w:val="18"/>
                <w:szCs w:val="18"/>
              </w:rPr>
              <w:fldChar w:fldCharType="begin"/>
            </w:r>
            <w:r w:rsidRPr="00301815">
              <w:rPr>
                <w:rFonts w:cs="David"/>
                <w:b/>
                <w:bCs/>
                <w:sz w:val="18"/>
                <w:szCs w:val="18"/>
                <w:rtl/>
                <w:cs/>
              </w:rPr>
              <w:instrText>NUMPAGES</w:instrText>
            </w:r>
            <w:r w:rsidRPr="00301815">
              <w:rPr>
                <w:rFonts w:cs="David"/>
                <w:b/>
                <w:bCs/>
                <w:sz w:val="18"/>
                <w:szCs w:val="18"/>
              </w:rPr>
              <w:fldChar w:fldCharType="separate"/>
            </w:r>
            <w:r w:rsidR="00B85398">
              <w:rPr>
                <w:rFonts w:cs="David"/>
                <w:b/>
                <w:bCs/>
                <w:noProof/>
                <w:sz w:val="18"/>
                <w:szCs w:val="18"/>
                <w:rtl/>
              </w:rPr>
              <w:t>2</w:t>
            </w:r>
            <w:r w:rsidRPr="00301815">
              <w:rPr>
                <w:rFonts w:cs="David"/>
                <w:b/>
                <w:bCs/>
                <w:sz w:val="18"/>
                <w:szCs w:val="18"/>
              </w:rPr>
              <w:fldChar w:fldCharType="end"/>
            </w:r>
          </w:p>
        </w:sdtContent>
      </w:sdt>
    </w:sdtContent>
  </w:sdt>
  <w:p w:rsidR="00A15F57" w:rsidRDefault="00A15F5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398" w:rsidRDefault="00B8539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A6B" w:rsidRDefault="00C04A6B" w:rsidP="00C04A6B">
      <w:r>
        <w:separator/>
      </w:r>
    </w:p>
  </w:footnote>
  <w:footnote w:type="continuationSeparator" w:id="0">
    <w:p w:rsidR="00C04A6B" w:rsidRDefault="00C04A6B" w:rsidP="00C04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398" w:rsidRDefault="00B8539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398" w:rsidRDefault="00B8539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398" w:rsidRDefault="00B8539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E78CC"/>
    <w:multiLevelType w:val="hybridMultilevel"/>
    <w:tmpl w:val="05D069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0C14AE"/>
    <w:multiLevelType w:val="hybridMultilevel"/>
    <w:tmpl w:val="9398C2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23"/>
    <w:rsid w:val="00016D86"/>
    <w:rsid w:val="00081BCE"/>
    <w:rsid w:val="000A3EB8"/>
    <w:rsid w:val="00100FEE"/>
    <w:rsid w:val="00115A82"/>
    <w:rsid w:val="00177686"/>
    <w:rsid w:val="00180E8A"/>
    <w:rsid w:val="001B5E0C"/>
    <w:rsid w:val="001C0337"/>
    <w:rsid w:val="001D7646"/>
    <w:rsid w:val="001E5A00"/>
    <w:rsid w:val="002409CC"/>
    <w:rsid w:val="002438E2"/>
    <w:rsid w:val="002630B7"/>
    <w:rsid w:val="00295938"/>
    <w:rsid w:val="002B3FB0"/>
    <w:rsid w:val="002D510A"/>
    <w:rsid w:val="00301815"/>
    <w:rsid w:val="0031161D"/>
    <w:rsid w:val="003537B9"/>
    <w:rsid w:val="003810D6"/>
    <w:rsid w:val="003901E0"/>
    <w:rsid w:val="003937CC"/>
    <w:rsid w:val="003A4EDC"/>
    <w:rsid w:val="003B5DE7"/>
    <w:rsid w:val="003D651A"/>
    <w:rsid w:val="0041690A"/>
    <w:rsid w:val="00417FB6"/>
    <w:rsid w:val="00420F93"/>
    <w:rsid w:val="00421F80"/>
    <w:rsid w:val="00441E07"/>
    <w:rsid w:val="0044713E"/>
    <w:rsid w:val="004625EB"/>
    <w:rsid w:val="0047627F"/>
    <w:rsid w:val="004A5826"/>
    <w:rsid w:val="004B11CB"/>
    <w:rsid w:val="004B5D8D"/>
    <w:rsid w:val="004E23AC"/>
    <w:rsid w:val="004F06E0"/>
    <w:rsid w:val="00500487"/>
    <w:rsid w:val="00502068"/>
    <w:rsid w:val="00515549"/>
    <w:rsid w:val="00520BB4"/>
    <w:rsid w:val="00614095"/>
    <w:rsid w:val="0064287F"/>
    <w:rsid w:val="00651CB7"/>
    <w:rsid w:val="00661ADC"/>
    <w:rsid w:val="006C01FB"/>
    <w:rsid w:val="006C2B75"/>
    <w:rsid w:val="00762D5A"/>
    <w:rsid w:val="007E18EE"/>
    <w:rsid w:val="007F013B"/>
    <w:rsid w:val="00826810"/>
    <w:rsid w:val="00837763"/>
    <w:rsid w:val="00852D44"/>
    <w:rsid w:val="0086330B"/>
    <w:rsid w:val="00881EF7"/>
    <w:rsid w:val="008928BC"/>
    <w:rsid w:val="008B55E9"/>
    <w:rsid w:val="008B5665"/>
    <w:rsid w:val="008D1016"/>
    <w:rsid w:val="00923E37"/>
    <w:rsid w:val="00961EFC"/>
    <w:rsid w:val="00972F89"/>
    <w:rsid w:val="009818C2"/>
    <w:rsid w:val="009B71E4"/>
    <w:rsid w:val="009C16BD"/>
    <w:rsid w:val="00A13688"/>
    <w:rsid w:val="00A15F57"/>
    <w:rsid w:val="00A57161"/>
    <w:rsid w:val="00A6707D"/>
    <w:rsid w:val="00AA51B0"/>
    <w:rsid w:val="00AA7ED7"/>
    <w:rsid w:val="00AB409F"/>
    <w:rsid w:val="00AC2075"/>
    <w:rsid w:val="00AD759C"/>
    <w:rsid w:val="00AE591E"/>
    <w:rsid w:val="00B058F3"/>
    <w:rsid w:val="00B2503D"/>
    <w:rsid w:val="00B45A8A"/>
    <w:rsid w:val="00B77C1D"/>
    <w:rsid w:val="00B84BD7"/>
    <w:rsid w:val="00B85398"/>
    <w:rsid w:val="00BC41DB"/>
    <w:rsid w:val="00BC5A6D"/>
    <w:rsid w:val="00BD5207"/>
    <w:rsid w:val="00BE235C"/>
    <w:rsid w:val="00BE49A2"/>
    <w:rsid w:val="00C04A6B"/>
    <w:rsid w:val="00C22C24"/>
    <w:rsid w:val="00C25C1C"/>
    <w:rsid w:val="00C45C9C"/>
    <w:rsid w:val="00C656C3"/>
    <w:rsid w:val="00C84B20"/>
    <w:rsid w:val="00CB1B2B"/>
    <w:rsid w:val="00CB5842"/>
    <w:rsid w:val="00D15A8B"/>
    <w:rsid w:val="00D3721C"/>
    <w:rsid w:val="00D81EC3"/>
    <w:rsid w:val="00D87DC1"/>
    <w:rsid w:val="00D969AD"/>
    <w:rsid w:val="00DD5923"/>
    <w:rsid w:val="00E361B9"/>
    <w:rsid w:val="00E72A42"/>
    <w:rsid w:val="00E85E11"/>
    <w:rsid w:val="00EA052D"/>
    <w:rsid w:val="00ED153D"/>
    <w:rsid w:val="00ED5B1D"/>
    <w:rsid w:val="00EF5DC9"/>
    <w:rsid w:val="00F36470"/>
    <w:rsid w:val="00F75061"/>
    <w:rsid w:val="00F96916"/>
    <w:rsid w:val="00FA0AA7"/>
    <w:rsid w:val="00FD3791"/>
    <w:rsid w:val="00FD4DC2"/>
    <w:rsid w:val="00FE0338"/>
    <w:rsid w:val="00FE034E"/>
    <w:rsid w:val="00FF32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86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paragraph" w:styleId="4">
    <w:name w:val="heading 4"/>
    <w:basedOn w:val="a"/>
    <w:next w:val="a"/>
    <w:link w:val="40"/>
    <w:qFormat/>
    <w:rsid w:val="00520BB4"/>
    <w:pPr>
      <w:keepNext/>
      <w:jc w:val="center"/>
      <w:outlineLvl w:val="3"/>
    </w:pPr>
    <w:rPr>
      <w:rFonts w:cs="David"/>
      <w:b/>
      <w:bCs/>
      <w:color w:val="000000"/>
      <w:spacing w:val="-4"/>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character" w:customStyle="1" w:styleId="40">
    <w:name w:val="כותרת 4 תו"/>
    <w:basedOn w:val="a0"/>
    <w:link w:val="4"/>
    <w:rsid w:val="00520BB4"/>
    <w:rPr>
      <w:rFonts w:ascii="Times New Roman" w:eastAsia="Times New Roman" w:hAnsi="Times New Roman" w:cs="David"/>
      <w:b/>
      <w:bCs/>
      <w:color w:val="000000"/>
      <w:spacing w:val="-4"/>
      <w:sz w:val="28"/>
      <w:szCs w:val="28"/>
      <w:u w:val="single"/>
      <w:lang w:eastAsia="he-IL"/>
    </w:rPr>
  </w:style>
  <w:style w:type="paragraph" w:styleId="a9">
    <w:name w:val="Block Text"/>
    <w:basedOn w:val="a"/>
    <w:rsid w:val="00520BB4"/>
    <w:pPr>
      <w:bidi/>
      <w:spacing w:after="120" w:line="480" w:lineRule="auto"/>
      <w:ind w:left="-57" w:hanging="1"/>
      <w:jc w:val="both"/>
    </w:pPr>
    <w:rPr>
      <w:rFonts w:cs="David"/>
      <w:sz w:val="22"/>
      <w:szCs w:val="24"/>
    </w:rPr>
  </w:style>
  <w:style w:type="character" w:styleId="Hyperlink">
    <w:name w:val="Hyperlink"/>
    <w:rsid w:val="00520BB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paragraph" w:styleId="4">
    <w:name w:val="heading 4"/>
    <w:basedOn w:val="a"/>
    <w:next w:val="a"/>
    <w:link w:val="40"/>
    <w:qFormat/>
    <w:rsid w:val="00520BB4"/>
    <w:pPr>
      <w:keepNext/>
      <w:jc w:val="center"/>
      <w:outlineLvl w:val="3"/>
    </w:pPr>
    <w:rPr>
      <w:rFonts w:cs="David"/>
      <w:b/>
      <w:bCs/>
      <w:color w:val="000000"/>
      <w:spacing w:val="-4"/>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character" w:customStyle="1" w:styleId="40">
    <w:name w:val="כותרת 4 תו"/>
    <w:basedOn w:val="a0"/>
    <w:link w:val="4"/>
    <w:rsid w:val="00520BB4"/>
    <w:rPr>
      <w:rFonts w:ascii="Times New Roman" w:eastAsia="Times New Roman" w:hAnsi="Times New Roman" w:cs="David"/>
      <w:b/>
      <w:bCs/>
      <w:color w:val="000000"/>
      <w:spacing w:val="-4"/>
      <w:sz w:val="28"/>
      <w:szCs w:val="28"/>
      <w:u w:val="single"/>
      <w:lang w:eastAsia="he-IL"/>
    </w:rPr>
  </w:style>
  <w:style w:type="paragraph" w:styleId="a9">
    <w:name w:val="Block Text"/>
    <w:basedOn w:val="a"/>
    <w:rsid w:val="00520BB4"/>
    <w:pPr>
      <w:bidi/>
      <w:spacing w:after="120" w:line="480" w:lineRule="auto"/>
      <w:ind w:left="-57" w:hanging="1"/>
      <w:jc w:val="both"/>
    </w:pPr>
    <w:rPr>
      <w:rFonts w:cs="David"/>
      <w:sz w:val="22"/>
      <w:szCs w:val="24"/>
    </w:rPr>
  </w:style>
  <w:style w:type="character" w:styleId="Hyperlink">
    <w:name w:val="Hyperlink"/>
    <w:rsid w:val="00520B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2014-07-06T08:30:00+00:00</PublishingStartDate>
    <eWaveListOrderValue xmlns="http://schemas.microsoft.com/sharepoint/v3" xsi:nil="true"/>
    <_DCDateCreated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83348-24BC-4413-8587-73310FAF83CE}"/>
</file>

<file path=customXml/itemProps2.xml><?xml version="1.0" encoding="utf-8"?>
<ds:datastoreItem xmlns:ds="http://schemas.openxmlformats.org/officeDocument/2006/customXml" ds:itemID="{F153BD05-9518-4889-AE89-FD50D80F6096}"/>
</file>

<file path=customXml/itemProps3.xml><?xml version="1.0" encoding="utf-8"?>
<ds:datastoreItem xmlns:ds="http://schemas.openxmlformats.org/officeDocument/2006/customXml" ds:itemID="{586B3A96-DD9F-4E3C-AB6C-6EF6ABD28B78}"/>
</file>

<file path=customXml/itemProps4.xml><?xml version="1.0" encoding="utf-8"?>
<ds:datastoreItem xmlns:ds="http://schemas.openxmlformats.org/officeDocument/2006/customXml" ds:itemID="{E76F47C5-E7E9-4701-9210-6401A9CEF11B}"/>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2690</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2014-07-06T05:39:00Z</dcterms:created>
  <dcterms:modified xsi:type="dcterms:W3CDTF">2014-07-06T05:39:00Z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