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117D7A" w:rsidTr="00031A9D">
        <w:tc>
          <w:tcPr>
            <w:tcW w:w="3343" w:type="dxa"/>
            <w:tcBorders>
              <w:top w:val="nil"/>
              <w:left w:val="nil"/>
              <w:bottom w:val="nil"/>
              <w:right w:val="nil"/>
            </w:tcBorders>
            <w:vAlign w:val="center"/>
          </w:tcPr>
          <w:p w:rsidR="00031A9D" w:rsidRPr="00117D7A" w:rsidRDefault="00031A9D" w:rsidP="00117D7A">
            <w:pPr>
              <w:bidi/>
              <w:spacing w:line="276" w:lineRule="auto"/>
              <w:jc w:val="center"/>
              <w:rPr>
                <w:rFonts w:asciiTheme="minorHAnsi" w:hAnsiTheme="minorHAnsi" w:cstheme="minorHAnsi"/>
                <w:b/>
                <w:bCs/>
                <w:rtl/>
              </w:rPr>
            </w:pPr>
            <w:r w:rsidRPr="00117D7A">
              <w:rPr>
                <w:rFonts w:asciiTheme="minorHAnsi" w:hAnsiTheme="minorHAnsi" w:cstheme="minorHAnsi"/>
                <w:b/>
                <w:bCs/>
                <w:rtl/>
              </w:rPr>
              <w:t>בנק ישראל</w:t>
            </w:r>
          </w:p>
          <w:p w:rsidR="00031A9D" w:rsidRPr="00117D7A" w:rsidRDefault="00031A9D" w:rsidP="00117D7A">
            <w:pPr>
              <w:bidi/>
              <w:spacing w:line="276" w:lineRule="auto"/>
              <w:jc w:val="center"/>
              <w:rPr>
                <w:rFonts w:asciiTheme="minorHAnsi" w:hAnsiTheme="minorHAnsi" w:cstheme="minorHAnsi"/>
                <w:b/>
                <w:bCs/>
              </w:rPr>
            </w:pPr>
            <w:r w:rsidRPr="00117D7A">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117D7A" w:rsidRDefault="00CC57F4" w:rsidP="00117D7A">
            <w:pPr>
              <w:bidi/>
              <w:jc w:val="center"/>
              <w:rPr>
                <w:rFonts w:asciiTheme="minorHAnsi" w:hAnsiTheme="minorHAnsi" w:cstheme="minorHAnsi"/>
              </w:rPr>
            </w:pPr>
            <w:r w:rsidRPr="00117D7A">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117D7A" w:rsidRDefault="00031A9D" w:rsidP="00117D7A">
            <w:pPr>
              <w:bidi/>
              <w:spacing w:line="276" w:lineRule="auto"/>
              <w:jc w:val="center"/>
              <w:rPr>
                <w:rFonts w:asciiTheme="minorHAnsi" w:hAnsiTheme="minorHAnsi" w:cstheme="minorHAnsi"/>
                <w:rtl/>
              </w:rPr>
            </w:pPr>
            <w:r w:rsidRPr="00117D7A">
              <w:rPr>
                <w:rFonts w:asciiTheme="minorHAnsi" w:hAnsiTheme="minorHAnsi" w:cstheme="minorHAnsi"/>
                <w:highlight w:val="green"/>
                <w:rtl/>
              </w:rPr>
              <w:t>‏</w:t>
            </w:r>
            <w:r w:rsidRPr="00117D7A">
              <w:rPr>
                <w:rFonts w:asciiTheme="minorHAnsi" w:hAnsiTheme="minorHAnsi" w:cstheme="minorHAnsi"/>
                <w:rtl/>
              </w:rPr>
              <w:t xml:space="preserve">ירושלים, </w:t>
            </w:r>
            <w:r w:rsidRPr="00117D7A">
              <w:rPr>
                <w:rFonts w:asciiTheme="minorHAnsi" w:hAnsiTheme="minorHAnsi" w:cstheme="minorHAnsi"/>
                <w:rtl/>
              </w:rPr>
              <w:fldChar w:fldCharType="begin"/>
            </w:r>
            <w:r w:rsidRPr="00117D7A">
              <w:rPr>
                <w:rFonts w:asciiTheme="minorHAnsi" w:hAnsiTheme="minorHAnsi" w:cstheme="minorHAnsi"/>
                <w:rtl/>
              </w:rPr>
              <w:instrText xml:space="preserve"> </w:instrText>
            </w:r>
            <w:r w:rsidRPr="00117D7A">
              <w:rPr>
                <w:rFonts w:asciiTheme="minorHAnsi" w:hAnsiTheme="minorHAnsi" w:cstheme="minorHAnsi"/>
              </w:rPr>
              <w:instrText>DATE</w:instrText>
            </w:r>
            <w:r w:rsidRPr="00117D7A">
              <w:rPr>
                <w:rFonts w:asciiTheme="minorHAnsi" w:hAnsiTheme="minorHAnsi" w:cstheme="minorHAnsi"/>
                <w:rtl/>
              </w:rPr>
              <w:instrText xml:space="preserve"> \@ "</w:instrText>
            </w:r>
            <w:r w:rsidRPr="00117D7A">
              <w:rPr>
                <w:rFonts w:asciiTheme="minorHAnsi" w:hAnsiTheme="minorHAnsi" w:cstheme="minorHAnsi"/>
              </w:rPr>
              <w:instrText>d MMMM, yyyy" \h</w:instrText>
            </w:r>
            <w:r w:rsidRPr="00117D7A">
              <w:rPr>
                <w:rFonts w:asciiTheme="minorHAnsi" w:hAnsiTheme="minorHAnsi" w:cstheme="minorHAnsi"/>
                <w:rtl/>
              </w:rPr>
              <w:instrText xml:space="preserve"> </w:instrText>
            </w:r>
            <w:r w:rsidRPr="00117D7A">
              <w:rPr>
                <w:rFonts w:asciiTheme="minorHAnsi" w:hAnsiTheme="minorHAnsi" w:cstheme="minorHAnsi"/>
                <w:rtl/>
              </w:rPr>
              <w:fldChar w:fldCharType="separate"/>
            </w:r>
            <w:r w:rsidR="00117D7A" w:rsidRPr="00117D7A">
              <w:rPr>
                <w:rFonts w:asciiTheme="minorHAnsi" w:hAnsiTheme="minorHAnsi" w:cstheme="minorHAnsi"/>
                <w:noProof/>
                <w:rtl/>
              </w:rPr>
              <w:t>‏י"ב ניסן, תשפ"ו</w:t>
            </w:r>
            <w:r w:rsidRPr="00117D7A">
              <w:rPr>
                <w:rFonts w:asciiTheme="minorHAnsi" w:hAnsiTheme="minorHAnsi" w:cstheme="minorHAnsi"/>
                <w:rtl/>
              </w:rPr>
              <w:fldChar w:fldCharType="end"/>
            </w:r>
          </w:p>
          <w:p w:rsidR="00031A9D" w:rsidRPr="00117D7A" w:rsidRDefault="00031A9D" w:rsidP="00117D7A">
            <w:pPr>
              <w:bidi/>
              <w:spacing w:line="276" w:lineRule="auto"/>
              <w:jc w:val="center"/>
              <w:rPr>
                <w:rFonts w:asciiTheme="minorHAnsi" w:hAnsiTheme="minorHAnsi" w:cstheme="minorHAnsi"/>
                <w:highlight w:val="green"/>
              </w:rPr>
            </w:pPr>
            <w:r w:rsidRPr="00117D7A">
              <w:rPr>
                <w:rFonts w:asciiTheme="minorHAnsi" w:hAnsiTheme="minorHAnsi" w:cstheme="minorHAnsi"/>
                <w:rtl/>
              </w:rPr>
              <w:fldChar w:fldCharType="begin"/>
            </w:r>
            <w:r w:rsidRPr="00117D7A">
              <w:rPr>
                <w:rFonts w:asciiTheme="minorHAnsi" w:hAnsiTheme="minorHAnsi" w:cstheme="minorHAnsi"/>
                <w:rtl/>
              </w:rPr>
              <w:instrText xml:space="preserve"> </w:instrText>
            </w:r>
            <w:r w:rsidRPr="00117D7A">
              <w:rPr>
                <w:rFonts w:asciiTheme="minorHAnsi" w:hAnsiTheme="minorHAnsi" w:cstheme="minorHAnsi"/>
              </w:rPr>
              <w:instrText>DATE</w:instrText>
            </w:r>
            <w:r w:rsidRPr="00117D7A">
              <w:rPr>
                <w:rFonts w:asciiTheme="minorHAnsi" w:hAnsiTheme="minorHAnsi" w:cstheme="minorHAnsi"/>
                <w:rtl/>
              </w:rPr>
              <w:instrText xml:space="preserve"> \@ "</w:instrText>
            </w:r>
            <w:r w:rsidRPr="00117D7A">
              <w:rPr>
                <w:rFonts w:asciiTheme="minorHAnsi" w:hAnsiTheme="minorHAnsi" w:cstheme="minorHAnsi"/>
              </w:rPr>
              <w:instrText>d MMMM, yyyy</w:instrText>
            </w:r>
            <w:r w:rsidRPr="00117D7A">
              <w:rPr>
                <w:rFonts w:asciiTheme="minorHAnsi" w:hAnsiTheme="minorHAnsi" w:cstheme="minorHAnsi"/>
                <w:rtl/>
              </w:rPr>
              <w:instrText xml:space="preserve">" </w:instrText>
            </w:r>
            <w:r w:rsidRPr="00117D7A">
              <w:rPr>
                <w:rFonts w:asciiTheme="minorHAnsi" w:hAnsiTheme="minorHAnsi" w:cstheme="minorHAnsi"/>
                <w:rtl/>
              </w:rPr>
              <w:fldChar w:fldCharType="separate"/>
            </w:r>
            <w:r w:rsidR="00117D7A" w:rsidRPr="00117D7A">
              <w:rPr>
                <w:rFonts w:asciiTheme="minorHAnsi" w:hAnsiTheme="minorHAnsi" w:cstheme="minorHAnsi"/>
                <w:noProof/>
                <w:rtl/>
              </w:rPr>
              <w:t>‏30 מרץ, 2026</w:t>
            </w:r>
            <w:r w:rsidRPr="00117D7A">
              <w:rPr>
                <w:rFonts w:asciiTheme="minorHAnsi" w:hAnsiTheme="minorHAnsi" w:cstheme="minorHAnsi"/>
                <w:rtl/>
              </w:rPr>
              <w:fldChar w:fldCharType="end"/>
            </w:r>
          </w:p>
        </w:tc>
      </w:tr>
    </w:tbl>
    <w:p w:rsidR="005E28F6" w:rsidRPr="00117D7A" w:rsidRDefault="005E28F6" w:rsidP="00117D7A">
      <w:pPr>
        <w:bidi/>
        <w:spacing w:line="360" w:lineRule="auto"/>
        <w:rPr>
          <w:rFonts w:asciiTheme="minorHAnsi" w:hAnsiTheme="minorHAnsi" w:cstheme="minorHAnsi"/>
          <w:rtl/>
        </w:rPr>
      </w:pPr>
    </w:p>
    <w:p w:rsidR="00117D7A" w:rsidRPr="00117D7A" w:rsidRDefault="00117D7A" w:rsidP="00117D7A">
      <w:pPr>
        <w:bidi/>
        <w:rPr>
          <w:rFonts w:asciiTheme="minorHAnsi" w:hAnsiTheme="minorHAnsi" w:cstheme="minorHAnsi"/>
          <w:rtl/>
        </w:rPr>
      </w:pPr>
      <w:r w:rsidRPr="00117D7A">
        <w:rPr>
          <w:rFonts w:asciiTheme="minorHAnsi" w:hAnsiTheme="minorHAnsi" w:cstheme="minorHAnsi"/>
          <w:rtl/>
        </w:rPr>
        <w:t>הודעה לעיתונות:</w:t>
      </w:r>
    </w:p>
    <w:p w:rsidR="00117D7A" w:rsidRPr="00117D7A" w:rsidRDefault="00117D7A" w:rsidP="00117D7A">
      <w:pPr>
        <w:pStyle w:val="af4"/>
        <w:spacing w:before="240" w:line="276" w:lineRule="auto"/>
        <w:rPr>
          <w:rFonts w:asciiTheme="minorHAnsi" w:hAnsiTheme="minorHAnsi" w:cstheme="minorHAnsi"/>
          <w:rtl/>
        </w:rPr>
      </w:pPr>
      <w:bookmarkStart w:id="0" w:name="_GoBack"/>
      <w:r w:rsidRPr="00117D7A">
        <w:rPr>
          <w:rFonts w:asciiTheme="minorHAnsi" w:hAnsiTheme="minorHAnsi" w:cstheme="minorHAnsi"/>
          <w:rtl/>
        </w:rPr>
        <w:t>התחזית המקרו-כלכלית של חטיבת המחקר, מרץ 2026</w:t>
      </w:r>
      <w:bookmarkEnd w:id="0"/>
    </w:p>
    <w:p w:rsidR="00117D7A" w:rsidRPr="00117D7A" w:rsidRDefault="00117D7A" w:rsidP="00117D7A">
      <w:pPr>
        <w:bidi/>
        <w:rPr>
          <w:rFonts w:asciiTheme="minorHAnsi" w:hAnsiTheme="minorHAnsi" w:cstheme="minorHAnsi"/>
          <w:b/>
          <w:bCs/>
        </w:rPr>
      </w:pPr>
      <w:r w:rsidRPr="00117D7A">
        <w:rPr>
          <w:rFonts w:asciiTheme="minorHAnsi" w:hAnsiTheme="minorHAnsi" w:cstheme="minorHAnsi"/>
          <w:b/>
          <w:bCs/>
          <w:rtl/>
        </w:rPr>
        <w:t>תמצית</w:t>
      </w:r>
    </w:p>
    <w:p w:rsidR="00117D7A" w:rsidRPr="00117D7A" w:rsidRDefault="00117D7A" w:rsidP="00117D7A">
      <w:pPr>
        <w:bidi/>
        <w:spacing w:after="120"/>
        <w:jc w:val="both"/>
        <w:rPr>
          <w:rFonts w:asciiTheme="minorHAnsi" w:hAnsiTheme="minorHAnsi" w:cstheme="minorHAnsi"/>
          <w:rtl/>
        </w:rPr>
      </w:pPr>
      <w:r w:rsidRPr="00117D7A">
        <w:rPr>
          <w:rFonts w:asciiTheme="minorHAnsi" w:eastAsia="Calibri" w:hAnsiTheme="minorHAnsi" w:cstheme="minorHAnsi"/>
          <w:rtl/>
        </w:rPr>
        <w:t>מסמך זה מציג את התחזית המקרו-כלכלית שחטיבת המחקר בבנק ישראל גיבשה במרץ 2026 בנוגע למשתני המקרו העיקריים – לרבות התוצר, האינפלציה והריבית.</w:t>
      </w:r>
      <w:r w:rsidRPr="00117D7A">
        <w:rPr>
          <w:rFonts w:asciiTheme="minorHAnsi" w:eastAsia="Calibri" w:hAnsiTheme="minorHAnsi" w:cstheme="minorHAnsi"/>
          <w:vertAlign w:val="superscript"/>
          <w:rtl/>
        </w:rPr>
        <w:footnoteReference w:id="1"/>
      </w:r>
      <w:r w:rsidRPr="00117D7A">
        <w:rPr>
          <w:rFonts w:asciiTheme="minorHAnsi" w:eastAsia="Calibri" w:hAnsiTheme="minorHAnsi" w:cstheme="minorHAnsi"/>
          <w:rtl/>
        </w:rPr>
        <w:t xml:space="preserve"> </w:t>
      </w:r>
      <w:r w:rsidRPr="00117D7A">
        <w:rPr>
          <w:rFonts w:asciiTheme="minorHAnsi" w:hAnsiTheme="minorHAnsi" w:cstheme="minorHAnsi"/>
          <w:rtl/>
        </w:rPr>
        <w:t xml:space="preserve">התחזית גובשה תחת הנחת העבודה שמבצע "שאגת הארי" והלחימה בלבנון יסתיימו לקראת סוף חודש אפריל. כל עוד הלחימה נמשכת, המצב המיוחד בעורף וגיוס המילואים המוגבר יוסיפו להגביל את הפעילות. על פי תרחיש זה התוצר צפוי לצמוח בשנת 2026 ב־3.8% ובשנת 2027 ב־5.5%. שיעור האינפלציה בארבעת הרבעונים הקרובים (המסתיימים ברבעון הראשון של שנת 2027) צפוי לעמוד על 2.3%. במהלך השנים 2026 ו־2027 הוא צפוי לעמוד על 2.2% ועל 1.8%, בהתאמה. הריבית הממוצעת ברבעון הראשון של 2027 צפויה לעמוד על </w:t>
      </w:r>
      <w:r w:rsidRPr="00117D7A" w:rsidDel="00EB0B18">
        <w:rPr>
          <w:rFonts w:asciiTheme="minorHAnsi" w:hAnsiTheme="minorHAnsi" w:cstheme="minorHAnsi"/>
          <w:rtl/>
        </w:rPr>
        <w:t xml:space="preserve"> </w:t>
      </w:r>
      <w:r w:rsidRPr="00117D7A">
        <w:rPr>
          <w:rFonts w:asciiTheme="minorHAnsi" w:hAnsiTheme="minorHAnsi" w:cstheme="minorHAnsi"/>
          <w:rtl/>
        </w:rPr>
        <w:t xml:space="preserve">3.5%/3.75%. </w:t>
      </w:r>
    </w:p>
    <w:p w:rsidR="00117D7A" w:rsidRPr="00117D7A" w:rsidRDefault="00117D7A" w:rsidP="00117D7A">
      <w:pPr>
        <w:tabs>
          <w:tab w:val="num" w:pos="248"/>
        </w:tabs>
        <w:bidi/>
        <w:spacing w:after="120"/>
        <w:jc w:val="both"/>
        <w:rPr>
          <w:rFonts w:asciiTheme="minorHAnsi" w:hAnsiTheme="minorHAnsi" w:cstheme="minorHAnsi"/>
        </w:rPr>
      </w:pPr>
      <w:r w:rsidRPr="00117D7A">
        <w:rPr>
          <w:rFonts w:asciiTheme="minorHAnsi" w:hAnsiTheme="minorHAnsi" w:cstheme="minorHAnsi"/>
          <w:rtl/>
        </w:rPr>
        <w:t>הנחת העבודה בתחזית היא כי מבצע "שאגת הארי" תורם לירידה בחומרת האיום הנשקף מאיראן, ושלא יתקיים סבב לחימה נוסף באופק התחזית, אך הסביבה הגאו-פוליטית תהיה כזאת שתדרוש בשנת 2027 ואילך הוצאות ביטחון לשם היערכות לאפשרות של סבב כזה.</w:t>
      </w:r>
      <w:r w:rsidRPr="00117D7A" w:rsidDel="00247CA4">
        <w:rPr>
          <w:rFonts w:asciiTheme="minorHAnsi" w:hAnsiTheme="minorHAnsi" w:cstheme="minorHAnsi"/>
          <w:rtl/>
        </w:rPr>
        <w:t xml:space="preserve"> </w:t>
      </w:r>
      <w:r w:rsidRPr="00117D7A">
        <w:rPr>
          <w:rFonts w:asciiTheme="minorHAnsi" w:hAnsiTheme="minorHAnsi" w:cstheme="minorHAnsi"/>
          <w:rtl/>
        </w:rPr>
        <w:t>בפרט, ההנחה היא שלא יחולו שינויים נוספים בהמשך השנה במסגרת התקציב לשנת 2026, מעבר לגידול בסך 39 מיליארדי ₪ שאושר על רקע מבצע "שאגת הארי".</w:t>
      </w:r>
      <w:r w:rsidRPr="00117D7A">
        <w:rPr>
          <w:rStyle w:val="af3"/>
          <w:rFonts w:asciiTheme="minorHAnsi" w:hAnsiTheme="minorHAnsi" w:cstheme="minorHAnsi"/>
          <w:rtl/>
        </w:rPr>
        <w:footnoteReference w:id="2"/>
      </w:r>
      <w:r w:rsidRPr="00117D7A">
        <w:rPr>
          <w:rFonts w:asciiTheme="minorHAnsi" w:hAnsiTheme="minorHAnsi" w:cstheme="minorHAnsi"/>
          <w:rtl/>
        </w:rPr>
        <w:t xml:space="preserve"> כלומר, התחזית מניחה שהממשלה תנצל במלואה את הרזרבה שהוקצתה לצרכים ביטחוניים בשל הימשכות הלחימה במהלך חודש אפריל וכן תנצל את מרבית הרזרבה הכללית בסך 5.8 מיליארדי ש"ח למימון הוצאות הקשורות בלחימה. הנחה נוספת בבסיס התחזית היא שמחירי האנרגיה בעולם אמנם ירדו מעט עם סיום הלחימה, אך הם יהיו גבוהים יותר מרמתם לפני תחילתו.</w:t>
      </w:r>
    </w:p>
    <w:p w:rsidR="00117D7A" w:rsidRPr="00117D7A" w:rsidRDefault="00117D7A" w:rsidP="00117D7A">
      <w:pPr>
        <w:tabs>
          <w:tab w:val="num" w:pos="720"/>
        </w:tabs>
        <w:bidi/>
        <w:spacing w:after="120"/>
        <w:jc w:val="both"/>
        <w:rPr>
          <w:rFonts w:asciiTheme="minorHAnsi" w:hAnsiTheme="minorHAnsi" w:cstheme="minorHAnsi"/>
          <w:rtl/>
        </w:rPr>
      </w:pPr>
      <w:r w:rsidRPr="00117D7A">
        <w:rPr>
          <w:rFonts w:asciiTheme="minorHAnsi" w:hAnsiTheme="minorHAnsi" w:cstheme="minorHAnsi"/>
          <w:rtl/>
        </w:rPr>
        <w:t>התחזית משקפת פגיעה בפעילות בטווח הקצר, בעיקר על רקע המגבלות בעורף והפגיעה בהיצע העבודה לנוכח גיוס המילואים, לצד עלייה בסביבת האינפלציה כתוצאה מכל אלו, וכן כתוצאה מהתייקרות מחירי הנפט</w:t>
      </w:r>
      <w:r w:rsidRPr="00117D7A">
        <w:rPr>
          <w:rFonts w:asciiTheme="minorHAnsi" w:hAnsiTheme="minorHAnsi" w:cstheme="minorHAnsi"/>
        </w:rPr>
        <w:t>.</w:t>
      </w:r>
    </w:p>
    <w:p w:rsidR="00117D7A" w:rsidRPr="00117D7A" w:rsidRDefault="00117D7A" w:rsidP="00117D7A">
      <w:pPr>
        <w:tabs>
          <w:tab w:val="num" w:pos="720"/>
        </w:tabs>
        <w:bidi/>
        <w:spacing w:after="120"/>
        <w:jc w:val="both"/>
        <w:rPr>
          <w:rFonts w:asciiTheme="minorHAnsi" w:hAnsiTheme="minorHAnsi" w:cstheme="minorHAnsi"/>
          <w:rtl/>
        </w:rPr>
      </w:pPr>
      <w:r w:rsidRPr="00117D7A">
        <w:rPr>
          <w:rFonts w:asciiTheme="minorHAnsi" w:hAnsiTheme="minorHAnsi" w:cstheme="minorHAnsi"/>
          <w:rtl/>
        </w:rPr>
        <w:t>התחזית מאופיינת ברמה גבוהה במיוחד של אי-וודאות – הן ביחס למשך הלחימה באיראן ובלבנון, והן ביחס לרמתם של הסיכונים הגיאופוליטיים בתום הלחימה. סיכונים אלו יבואו לידי ביטוי – בין השאר – בהיצע העבודה, בפרמיית הסיכון, בשער החליפין, במחירי הנפט בהוצאות הביטחון ובהשלכות של כל אלו על הפעילות במשק</w:t>
      </w:r>
      <w:r w:rsidRPr="00117D7A">
        <w:rPr>
          <w:rFonts w:asciiTheme="minorHAnsi" w:hAnsiTheme="minorHAnsi" w:cstheme="minorHAnsi"/>
        </w:rPr>
        <w:t>.</w:t>
      </w:r>
      <w:r w:rsidRPr="00117D7A" w:rsidDel="009C277C">
        <w:rPr>
          <w:rFonts w:asciiTheme="minorHAnsi" w:hAnsiTheme="minorHAnsi" w:cstheme="minorHAnsi"/>
          <w:rtl/>
        </w:rPr>
        <w:t xml:space="preserve"> </w:t>
      </w:r>
    </w:p>
    <w:p w:rsidR="00117D7A" w:rsidRPr="00117D7A" w:rsidRDefault="00117D7A" w:rsidP="00117D7A">
      <w:pPr>
        <w:pStyle w:val="1"/>
        <w:spacing w:line="276" w:lineRule="auto"/>
        <w:rPr>
          <w:rFonts w:asciiTheme="minorHAnsi" w:hAnsiTheme="minorHAnsi" w:cstheme="minorHAnsi"/>
          <w:rtl/>
        </w:rPr>
      </w:pPr>
      <w:r w:rsidRPr="00117D7A">
        <w:rPr>
          <w:rFonts w:asciiTheme="minorHAnsi" w:hAnsiTheme="minorHAnsi" w:cstheme="minorHAnsi"/>
          <w:rtl/>
        </w:rPr>
        <w:t>התחזית</w:t>
      </w:r>
    </w:p>
    <w:p w:rsidR="00117D7A" w:rsidRPr="00117D7A" w:rsidRDefault="00117D7A" w:rsidP="00117D7A">
      <w:pPr>
        <w:bidi/>
        <w:spacing w:after="120"/>
        <w:jc w:val="both"/>
        <w:rPr>
          <w:rFonts w:asciiTheme="minorHAnsi" w:eastAsia="Calibri" w:hAnsiTheme="minorHAnsi" w:cstheme="minorHAnsi"/>
          <w:rtl/>
        </w:rPr>
      </w:pPr>
      <w:r w:rsidRPr="00117D7A">
        <w:rPr>
          <w:rFonts w:asciiTheme="minorHAnsi" w:eastAsia="Calibri" w:hAnsiTheme="minorHAnsi" w:cstheme="minorHAnsi"/>
          <w:rtl/>
        </w:rPr>
        <w:t xml:space="preserve">חטיבת המחקר של בנק ישראל עורכת בכל רבעון תחזית מקרו-כלכלית שמתבססת על מספר מודלים, על מקורות מידע שונים ועל הערכות שיפוטיות. בתהליך זה יש תפקיד מרכזי למודלים מסוג </w:t>
      </w:r>
      <w:r w:rsidRPr="00117D7A">
        <w:rPr>
          <w:rFonts w:asciiTheme="minorHAnsi" w:eastAsia="Calibri" w:hAnsiTheme="minorHAnsi" w:cstheme="minorHAnsi"/>
        </w:rPr>
        <w:t>DSGE (Dynamic Stochastic General Equilibrium)</w:t>
      </w:r>
      <w:r w:rsidRPr="00117D7A">
        <w:rPr>
          <w:rFonts w:asciiTheme="minorHAnsi" w:eastAsia="Calibri" w:hAnsiTheme="minorHAnsi" w:cstheme="minorHAnsi"/>
          <w:rtl/>
        </w:rPr>
        <w:t xml:space="preserve"> שפותחו בחטיבת המחקר – מודלים מבניים שמבוססים על יסודות מיקרו-כלכליים. המודלים מספקים מסגרת לניתוח הכוחות המשפיעים על המשק ומאפשרים לגבש את המידע מהמקורות השונים לכדי תחזית מקרו-כלכלית למשתנים ריאליים ונומינליים, המתאפיינת בעקביות פנימית ובסיפור כלכלי. כמו כן המודלים מסייעים בניתוח תרחישים וחלופות מדיניות, ובכך תומכים בגיבוש מדיניות בתנאי אי ודאות.</w:t>
      </w:r>
    </w:p>
    <w:p w:rsidR="00117D7A" w:rsidRPr="00117D7A" w:rsidRDefault="00117D7A" w:rsidP="00117D7A">
      <w:pPr>
        <w:pStyle w:val="a"/>
        <w:spacing w:line="276" w:lineRule="auto"/>
        <w:rPr>
          <w:sz w:val="24"/>
        </w:rPr>
      </w:pPr>
      <w:r w:rsidRPr="00117D7A">
        <w:rPr>
          <w:sz w:val="24"/>
          <w:rtl/>
        </w:rPr>
        <w:lastRenderedPageBreak/>
        <w:t>הסביבה העולמית</w:t>
      </w:r>
      <w:bookmarkStart w:id="1" w:name="_Hlk202427660"/>
    </w:p>
    <w:p w:rsidR="00117D7A" w:rsidRPr="00117D7A" w:rsidRDefault="00117D7A" w:rsidP="00117D7A">
      <w:pPr>
        <w:tabs>
          <w:tab w:val="num" w:pos="720"/>
        </w:tabs>
        <w:bidi/>
        <w:spacing w:after="360"/>
        <w:jc w:val="both"/>
        <w:rPr>
          <w:rFonts w:asciiTheme="minorHAnsi" w:hAnsiTheme="minorHAnsi" w:cstheme="minorHAnsi"/>
          <w:rtl/>
        </w:rPr>
      </w:pPr>
      <w:r w:rsidRPr="00117D7A">
        <w:rPr>
          <w:rFonts w:asciiTheme="minorHAnsi" w:eastAsia="Calibri" w:hAnsiTheme="minorHAnsi" w:cstheme="minorHAnsi"/>
          <w:rtl/>
        </w:rPr>
        <w:t>הערכותינו לגבי ההתפתחויות בסביבה העולמית מתבססות על התחזיות שמגבשים מוסדות בין-לאומיים ובתי השקעות זרים. בהתאם, אנו מניחים כי התוצר של המדינות המפותחות יצמח בשיעור של 1.5% בשנת 2026, ובשיעור של 1.6% בשנת 2027 (ללא שינוי לעומת תחזית ינואר). האינפלציה של מדינות אלו תעמוד על 2.4% בשנת 2026 (בהשוואה ל-2.3% בתחזית ינואר) ועל 2.0% בשנת 2027 (בהשוואה ל-2.2% בתחזית ינואר), והריבית תעמוד על 2.8% בשנת 2026 (בהשוואה ל-2.6% בתחזית ינואר) ועל 2.6% בשנת 2027 (ללא שינוי לעומת תחזית ינואר)</w:t>
      </w:r>
      <w:r w:rsidRPr="00117D7A">
        <w:rPr>
          <w:rFonts w:asciiTheme="minorHAnsi" w:eastAsia="Calibri" w:hAnsiTheme="minorHAnsi" w:cstheme="minorHAnsi"/>
        </w:rPr>
        <w:t>.</w:t>
      </w:r>
      <w:r w:rsidRPr="00117D7A">
        <w:rPr>
          <w:rFonts w:asciiTheme="minorHAnsi" w:eastAsia="Calibri" w:hAnsiTheme="minorHAnsi" w:cstheme="minorHAnsi"/>
          <w:rtl/>
        </w:rPr>
        <w:t xml:space="preserve"> מחירה של חבית נפט מסוג "ברנט" עלה מרמה של כ־61$, בעת עריכת תחזית ינואר, לרמה של כ-</w:t>
      </w:r>
      <w:r w:rsidRPr="00117D7A">
        <w:rPr>
          <w:rFonts w:asciiTheme="minorHAnsi" w:eastAsia="Calibri" w:hAnsiTheme="minorHAnsi" w:cstheme="minorHAnsi"/>
        </w:rPr>
        <w:t>115$</w:t>
      </w:r>
      <w:r w:rsidRPr="00117D7A">
        <w:rPr>
          <w:rFonts w:asciiTheme="minorHAnsi" w:eastAsia="Calibri" w:hAnsiTheme="minorHAnsi" w:cstheme="minorHAnsi"/>
          <w:rtl/>
        </w:rPr>
        <w:t xml:space="preserve"> כעת</w:t>
      </w:r>
      <w:r w:rsidRPr="00117D7A">
        <w:rPr>
          <w:rFonts w:asciiTheme="minorHAnsi" w:eastAsia="Calibri" w:hAnsiTheme="minorHAnsi" w:cstheme="minorHAnsi"/>
        </w:rPr>
        <w:t>.</w:t>
      </w:r>
      <w:r w:rsidRPr="00117D7A">
        <w:rPr>
          <w:rFonts w:asciiTheme="minorHAnsi" w:eastAsia="Calibri" w:hAnsiTheme="minorHAnsi" w:cstheme="minorHAnsi"/>
          <w:rtl/>
        </w:rPr>
        <w:t xml:space="preserve"> העדכון הקל בלבד, בתחזיות לסביבה העולמית, משקף הערכה בדבר סיום מהיר יחסית של העימות במזרח התיכון, כאשר ההשפעה של מחירי האנרגיה על האינפלציה במדינות המפותחות ניכרת בעיקר ברבעון השני של 2026. </w:t>
      </w:r>
      <w:r w:rsidRPr="00117D7A">
        <w:rPr>
          <w:rFonts w:asciiTheme="minorHAnsi" w:hAnsiTheme="minorHAnsi" w:cstheme="minorHAnsi"/>
          <w:rtl/>
        </w:rPr>
        <w:t xml:space="preserve">הנחת העבודה בתחזית היא כי לאחר סיום המבצע מחירי הנפט ירדו בהדרגה, אך </w:t>
      </w:r>
      <w:proofErr w:type="spellStart"/>
      <w:r w:rsidRPr="00117D7A">
        <w:rPr>
          <w:rFonts w:asciiTheme="minorHAnsi" w:hAnsiTheme="minorHAnsi" w:cstheme="minorHAnsi"/>
          <w:rtl/>
        </w:rPr>
        <w:t>ישארו</w:t>
      </w:r>
      <w:proofErr w:type="spellEnd"/>
      <w:r w:rsidRPr="00117D7A">
        <w:rPr>
          <w:rFonts w:asciiTheme="minorHAnsi" w:hAnsiTheme="minorHAnsi" w:cstheme="minorHAnsi"/>
          <w:rtl/>
        </w:rPr>
        <w:t xml:space="preserve"> ברמה גבוהה מזו ששררה ערב המבצע</w:t>
      </w:r>
      <w:r w:rsidRPr="00117D7A">
        <w:rPr>
          <w:rFonts w:asciiTheme="minorHAnsi" w:hAnsiTheme="minorHAnsi" w:cstheme="minorHAnsi"/>
        </w:rPr>
        <w:t>.</w:t>
      </w:r>
    </w:p>
    <w:tbl>
      <w:tblPr>
        <w:tblpPr w:leftFromText="180" w:rightFromText="180" w:vertAnchor="text" w:horzAnchor="margin" w:tblpXSpec="right" w:tblpY="809"/>
        <w:bidiVisual/>
        <w:tblW w:w="5365" w:type="pct"/>
        <w:shd w:val="clear" w:color="auto" w:fill="FFFFFF" w:themeFill="background1"/>
        <w:tblLook w:val="04A0" w:firstRow="1" w:lastRow="0" w:firstColumn="1" w:lastColumn="0" w:noHBand="0" w:noVBand="1"/>
      </w:tblPr>
      <w:tblGrid>
        <w:gridCol w:w="266"/>
        <w:gridCol w:w="222"/>
        <w:gridCol w:w="3470"/>
        <w:gridCol w:w="790"/>
        <w:gridCol w:w="1000"/>
        <w:gridCol w:w="1029"/>
        <w:gridCol w:w="909"/>
        <w:gridCol w:w="962"/>
        <w:gridCol w:w="1809"/>
      </w:tblGrid>
      <w:tr w:rsidR="00117D7A" w:rsidRPr="00117D7A" w:rsidTr="00117D7A">
        <w:trPr>
          <w:gridBefore w:val="1"/>
          <w:wBefore w:w="130" w:type="pct"/>
          <w:trHeight w:val="381"/>
        </w:trPr>
        <w:tc>
          <w:tcPr>
            <w:tcW w:w="99"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hAnsiTheme="minorHAnsi" w:cstheme="minorHAnsi"/>
                <w:rtl/>
              </w:rPr>
            </w:pPr>
          </w:p>
        </w:tc>
        <w:tc>
          <w:tcPr>
            <w:tcW w:w="4770" w:type="pct"/>
            <w:gridSpan w:val="7"/>
            <w:tcBorders>
              <w:top w:val="nil"/>
              <w:left w:val="nil"/>
              <w:bottom w:val="nil"/>
              <w:right w:val="nil"/>
            </w:tcBorders>
            <w:shd w:val="clear" w:color="auto" w:fill="FFFFFF" w:themeFill="background1"/>
            <w:noWrap/>
            <w:vAlign w:val="bottom"/>
            <w:hideMark/>
          </w:tcPr>
          <w:p w:rsidR="00117D7A" w:rsidRPr="00117D7A" w:rsidRDefault="00117D7A" w:rsidP="00117D7A">
            <w:pPr>
              <w:bidi/>
              <w:spacing w:after="0"/>
              <w:jc w:val="center"/>
              <w:rPr>
                <w:rFonts w:asciiTheme="minorHAnsi" w:eastAsia="Times New Roman" w:hAnsiTheme="minorHAnsi" w:cstheme="minorHAnsi"/>
                <w:b/>
                <w:bCs/>
                <w:color w:val="000000"/>
              </w:rPr>
            </w:pPr>
            <w:r w:rsidRPr="00117D7A">
              <w:rPr>
                <w:rFonts w:asciiTheme="minorHAnsi" w:eastAsia="Times New Roman" w:hAnsiTheme="minorHAnsi" w:cstheme="minorHAnsi"/>
                <w:b/>
                <w:bCs/>
                <w:color w:val="000000"/>
                <w:rtl/>
              </w:rPr>
              <w:br w:type="page"/>
              <w:t xml:space="preserve">לוח 1 | תחזית חטיבת המחקר לשנים 2026—2027 </w:t>
            </w:r>
          </w:p>
        </w:tc>
      </w:tr>
      <w:tr w:rsidR="00117D7A" w:rsidRPr="00117D7A" w:rsidTr="00117D7A">
        <w:trPr>
          <w:gridBefore w:val="1"/>
          <w:wBefore w:w="130" w:type="pct"/>
          <w:trHeight w:val="365"/>
        </w:trPr>
        <w:tc>
          <w:tcPr>
            <w:tcW w:w="99"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color w:val="000000"/>
                <w:rtl/>
              </w:rPr>
            </w:pPr>
          </w:p>
        </w:tc>
        <w:tc>
          <w:tcPr>
            <w:tcW w:w="4770" w:type="pct"/>
            <w:gridSpan w:val="7"/>
            <w:tcBorders>
              <w:top w:val="nil"/>
              <w:left w:val="nil"/>
              <w:bottom w:val="nil"/>
              <w:right w:val="nil"/>
            </w:tcBorders>
            <w:shd w:val="clear" w:color="auto" w:fill="FFFFFF" w:themeFill="background1"/>
            <w:noWrap/>
            <w:vAlign w:val="bottom"/>
            <w:hideMark/>
          </w:tcPr>
          <w:p w:rsidR="00117D7A" w:rsidRPr="00117D7A" w:rsidRDefault="00117D7A" w:rsidP="00117D7A">
            <w:pPr>
              <w:bidi/>
              <w:spacing w:after="0"/>
              <w:jc w:val="center"/>
              <w:rPr>
                <w:rFonts w:asciiTheme="minorHAnsi" w:eastAsia="Times New Roman" w:hAnsiTheme="minorHAnsi" w:cstheme="minorHAnsi"/>
                <w:color w:val="000000"/>
                <w:rtl/>
              </w:rPr>
            </w:pPr>
            <w:r w:rsidRPr="00117D7A">
              <w:rPr>
                <w:rFonts w:asciiTheme="minorHAnsi" w:eastAsia="Times New Roman" w:hAnsiTheme="minorHAnsi" w:cstheme="minorHAnsi"/>
                <w:color w:val="000000"/>
                <w:rtl/>
              </w:rPr>
              <w:t>(שיעורי השינוי השנתיים באחוזים</w:t>
            </w:r>
            <w:r w:rsidRPr="00117D7A">
              <w:rPr>
                <w:rFonts w:asciiTheme="minorHAnsi" w:eastAsia="Times New Roman" w:hAnsiTheme="minorHAnsi" w:cstheme="minorHAnsi"/>
                <w:color w:val="000000"/>
                <w:vertAlign w:val="superscript"/>
                <w:rtl/>
              </w:rPr>
              <w:t>1</w:t>
            </w:r>
            <w:r w:rsidRPr="00117D7A">
              <w:rPr>
                <w:rFonts w:asciiTheme="minorHAnsi" w:eastAsia="Times New Roman" w:hAnsiTheme="minorHAnsi" w:cstheme="minorHAnsi"/>
                <w:color w:val="000000"/>
                <w:rtl/>
              </w:rPr>
              <w:t>, אלא אם צוין אחרת)</w:t>
            </w:r>
          </w:p>
        </w:tc>
      </w:tr>
      <w:tr w:rsidR="00117D7A" w:rsidRPr="00117D7A" w:rsidTr="00117D7A">
        <w:trPr>
          <w:gridAfter w:val="1"/>
          <w:wAfter w:w="868" w:type="pct"/>
          <w:trHeight w:val="320"/>
        </w:trPr>
        <w:tc>
          <w:tcPr>
            <w:tcW w:w="1891" w:type="pct"/>
            <w:gridSpan w:val="3"/>
            <w:tcBorders>
              <w:top w:val="single" w:sz="4" w:space="0" w:color="1F497D"/>
              <w:left w:val="nil"/>
              <w:bottom w:val="nil"/>
              <w:right w:val="nil"/>
            </w:tcBorders>
            <w:shd w:val="clear" w:color="auto" w:fill="FFFFFF" w:themeFill="background1"/>
            <w:noWrap/>
            <w:vAlign w:val="bottom"/>
            <w:hideMark/>
          </w:tcPr>
          <w:p w:rsidR="00117D7A" w:rsidRPr="00117D7A" w:rsidRDefault="00117D7A" w:rsidP="00117D7A">
            <w:pPr>
              <w:bidi/>
              <w:spacing w:after="0"/>
              <w:rPr>
                <w:rFonts w:asciiTheme="minorHAnsi" w:eastAsia="Times New Roman" w:hAnsiTheme="minorHAnsi" w:cstheme="minorHAnsi"/>
                <w:color w:val="000000"/>
                <w:rtl/>
              </w:rPr>
            </w:pPr>
            <w:bookmarkStart w:id="2" w:name="_Hlk202427682"/>
            <w:r w:rsidRPr="00117D7A">
              <w:rPr>
                <w:rFonts w:asciiTheme="minorHAnsi" w:eastAsia="Times New Roman" w:hAnsiTheme="minorHAnsi" w:cstheme="minorHAnsi"/>
                <w:color w:val="000000"/>
                <w:rtl/>
              </w:rPr>
              <w:t> </w:t>
            </w:r>
          </w:p>
        </w:tc>
        <w:tc>
          <w:tcPr>
            <w:tcW w:w="374" w:type="pct"/>
            <w:tcBorders>
              <w:top w:val="single" w:sz="4" w:space="0" w:color="1F497D"/>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1F497D"/>
                <w:rtl/>
              </w:rPr>
            </w:pPr>
            <w:r w:rsidRPr="00117D7A">
              <w:rPr>
                <w:rFonts w:asciiTheme="minorHAnsi" w:eastAsia="Times New Roman" w:hAnsiTheme="minorHAnsi" w:cstheme="minorHAnsi"/>
                <w:b/>
                <w:bCs/>
                <w:color w:val="1F497D"/>
                <w:rtl/>
              </w:rPr>
              <w:t>2025</w:t>
            </w:r>
          </w:p>
        </w:tc>
        <w:tc>
          <w:tcPr>
            <w:tcW w:w="976" w:type="pct"/>
            <w:gridSpan w:val="2"/>
            <w:tcBorders>
              <w:top w:val="single" w:sz="4" w:space="0" w:color="1F497D"/>
              <w:left w:val="nil"/>
              <w:bottom w:val="nil"/>
              <w:right w:val="nil"/>
            </w:tcBorders>
            <w:shd w:val="clear" w:color="auto" w:fill="FFFFFF" w:themeFill="background1"/>
            <w:noWrap/>
            <w:vAlign w:val="bottom"/>
            <w:hideMark/>
          </w:tcPr>
          <w:p w:rsidR="00117D7A" w:rsidRPr="00117D7A" w:rsidRDefault="00117D7A" w:rsidP="00117D7A">
            <w:pPr>
              <w:bidi/>
              <w:spacing w:after="0"/>
              <w:rPr>
                <w:rFonts w:asciiTheme="minorHAnsi" w:eastAsia="Times New Roman" w:hAnsiTheme="minorHAnsi" w:cstheme="minorHAnsi"/>
                <w:b/>
                <w:bCs/>
                <w:color w:val="1F497D"/>
                <w:rtl/>
              </w:rPr>
            </w:pPr>
            <w:r w:rsidRPr="00117D7A">
              <w:rPr>
                <w:rFonts w:asciiTheme="minorHAnsi" w:eastAsia="Times New Roman" w:hAnsiTheme="minorHAnsi" w:cstheme="minorHAnsi"/>
                <w:b/>
                <w:bCs/>
                <w:color w:val="1F497D"/>
                <w:rtl/>
              </w:rPr>
              <w:t>2026</w:t>
            </w:r>
          </w:p>
        </w:tc>
        <w:tc>
          <w:tcPr>
            <w:tcW w:w="891" w:type="pct"/>
            <w:gridSpan w:val="2"/>
            <w:tcBorders>
              <w:top w:val="single" w:sz="4" w:space="0" w:color="1F497D"/>
              <w:left w:val="nil"/>
              <w:bottom w:val="nil"/>
              <w:right w:val="nil"/>
            </w:tcBorders>
            <w:shd w:val="clear" w:color="auto" w:fill="FFFFFF" w:themeFill="background1"/>
            <w:noWrap/>
            <w:vAlign w:val="bottom"/>
            <w:hideMark/>
          </w:tcPr>
          <w:p w:rsidR="00117D7A" w:rsidRPr="00117D7A" w:rsidRDefault="00117D7A" w:rsidP="00117D7A">
            <w:pPr>
              <w:bidi/>
              <w:spacing w:after="0"/>
              <w:rPr>
                <w:rFonts w:asciiTheme="minorHAnsi" w:eastAsia="Times New Roman" w:hAnsiTheme="minorHAnsi" w:cstheme="minorHAnsi"/>
                <w:b/>
                <w:bCs/>
                <w:color w:val="1F497D"/>
                <w:rtl/>
              </w:rPr>
            </w:pPr>
            <w:r w:rsidRPr="00117D7A">
              <w:rPr>
                <w:rFonts w:asciiTheme="minorHAnsi" w:eastAsia="Times New Roman" w:hAnsiTheme="minorHAnsi" w:cstheme="minorHAnsi"/>
                <w:b/>
                <w:bCs/>
                <w:color w:val="1F497D"/>
                <w:rtl/>
              </w:rPr>
              <w:t>2027</w:t>
            </w:r>
          </w:p>
        </w:tc>
      </w:tr>
      <w:bookmarkEnd w:id="2"/>
      <w:tr w:rsidR="00117D7A" w:rsidRPr="00117D7A" w:rsidTr="00117D7A">
        <w:trPr>
          <w:gridAfter w:val="1"/>
          <w:wAfter w:w="868" w:type="pct"/>
          <w:trHeight w:val="502"/>
        </w:trPr>
        <w:tc>
          <w:tcPr>
            <w:tcW w:w="1891" w:type="pct"/>
            <w:gridSpan w:val="3"/>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bidi/>
              <w:spacing w:after="0"/>
              <w:rPr>
                <w:rFonts w:asciiTheme="minorHAnsi" w:eastAsia="Times New Roman" w:hAnsiTheme="minorHAnsi" w:cstheme="minorHAnsi"/>
                <w:color w:val="000000"/>
              </w:rPr>
            </w:pPr>
            <w:r w:rsidRPr="00117D7A">
              <w:rPr>
                <w:rFonts w:asciiTheme="minorHAnsi" w:eastAsia="Times New Roman" w:hAnsiTheme="minorHAnsi" w:cstheme="minorHAnsi"/>
                <w:color w:val="000000"/>
              </w:rPr>
              <w:t> </w:t>
            </w:r>
          </w:p>
        </w:tc>
        <w:tc>
          <w:tcPr>
            <w:tcW w:w="374" w:type="pct"/>
            <w:tcBorders>
              <w:top w:val="nil"/>
              <w:left w:val="nil"/>
              <w:bottom w:val="single" w:sz="4" w:space="0" w:color="1F497D"/>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נתונים בפועל</w:t>
            </w:r>
          </w:p>
        </w:tc>
        <w:tc>
          <w:tcPr>
            <w:tcW w:w="481" w:type="pct"/>
            <w:tcBorders>
              <w:top w:val="nil"/>
              <w:left w:val="nil"/>
              <w:bottom w:val="single" w:sz="4" w:space="0" w:color="1F497D"/>
              <w:right w:val="nil"/>
            </w:tcBorders>
            <w:shd w:val="clear" w:color="auto" w:fill="FFFFFF" w:themeFill="background1"/>
            <w:hideMark/>
          </w:tcPr>
          <w:p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התחזית ל-2026</w:t>
            </w:r>
          </w:p>
        </w:tc>
        <w:tc>
          <w:tcPr>
            <w:tcW w:w="495" w:type="pct"/>
            <w:tcBorders>
              <w:top w:val="nil"/>
              <w:left w:val="nil"/>
              <w:bottom w:val="single" w:sz="4" w:space="0" w:color="1F497D"/>
              <w:right w:val="nil"/>
            </w:tcBorders>
            <w:shd w:val="clear" w:color="auto" w:fill="FFFFFF" w:themeFill="background1"/>
            <w:hideMark/>
          </w:tcPr>
          <w:p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השינוי מתחזית ינואר</w:t>
            </w:r>
          </w:p>
        </w:tc>
        <w:tc>
          <w:tcPr>
            <w:tcW w:w="428" w:type="pct"/>
            <w:tcBorders>
              <w:top w:val="nil"/>
              <w:left w:val="nil"/>
              <w:bottom w:val="single" w:sz="4" w:space="0" w:color="1F497D"/>
              <w:right w:val="nil"/>
            </w:tcBorders>
            <w:shd w:val="clear" w:color="auto" w:fill="FFFFFF" w:themeFill="background1"/>
            <w:hideMark/>
          </w:tcPr>
          <w:p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התחזית ל-2027</w:t>
            </w:r>
          </w:p>
        </w:tc>
        <w:tc>
          <w:tcPr>
            <w:tcW w:w="462" w:type="pct"/>
            <w:tcBorders>
              <w:top w:val="nil"/>
              <w:left w:val="nil"/>
              <w:bottom w:val="single" w:sz="4" w:space="0" w:color="1F497D"/>
              <w:right w:val="nil"/>
            </w:tcBorders>
            <w:shd w:val="clear" w:color="auto" w:fill="FFFFFF" w:themeFill="background1"/>
            <w:hideMark/>
          </w:tcPr>
          <w:p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השינוי מתחזית ינואר</w:t>
            </w:r>
          </w:p>
        </w:tc>
      </w:tr>
      <w:tr w:rsidR="00117D7A" w:rsidRPr="00117D7A"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tl/>
              </w:rPr>
            </w:pPr>
            <w:r w:rsidRPr="00117D7A">
              <w:rPr>
                <w:rFonts w:asciiTheme="minorHAnsi" w:eastAsia="Times New Roman" w:hAnsiTheme="minorHAnsi" w:cstheme="minorHAnsi"/>
                <w:rtl/>
              </w:rPr>
              <w:t>תוצר מקומי גולמי</w:t>
            </w:r>
          </w:p>
        </w:tc>
        <w:tc>
          <w:tcPr>
            <w:tcW w:w="374"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2.9</w:t>
            </w:r>
          </w:p>
        </w:tc>
        <w:tc>
          <w:tcPr>
            <w:tcW w:w="481"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Pr>
            </w:pPr>
            <w:r w:rsidRPr="00117D7A">
              <w:rPr>
                <w:rFonts w:asciiTheme="minorHAnsi" w:hAnsiTheme="minorHAnsi" w:cstheme="minorHAnsi"/>
                <w:b/>
                <w:bCs/>
                <w:color w:val="000000"/>
                <w:kern w:val="24"/>
              </w:rPr>
              <w:t>3.8</w:t>
            </w:r>
          </w:p>
        </w:tc>
        <w:tc>
          <w:tcPr>
            <w:tcW w:w="495"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1.4-</w:t>
            </w:r>
          </w:p>
        </w:tc>
        <w:tc>
          <w:tcPr>
            <w:tcW w:w="428"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5.5</w:t>
            </w:r>
          </w:p>
        </w:tc>
        <w:tc>
          <w:tcPr>
            <w:tcW w:w="462"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1.2</w:t>
            </w:r>
          </w:p>
        </w:tc>
      </w:tr>
      <w:tr w:rsidR="00117D7A" w:rsidRPr="00117D7A"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צריכה פרטית</w:t>
            </w:r>
          </w:p>
        </w:tc>
        <w:tc>
          <w:tcPr>
            <w:tcW w:w="374"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2.6</w:t>
            </w:r>
          </w:p>
        </w:tc>
        <w:tc>
          <w:tcPr>
            <w:tcW w:w="481"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Pr>
              <w:t>3.0</w:t>
            </w:r>
          </w:p>
        </w:tc>
        <w:tc>
          <w:tcPr>
            <w:tcW w:w="495"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eastAsia="Calibri" w:hAnsiTheme="minorHAnsi" w:cstheme="minorHAnsi"/>
                <w:color w:val="1F497D"/>
                <w:kern w:val="24"/>
                <w:rtl/>
              </w:rPr>
              <w:t>4.5-</w:t>
            </w:r>
          </w:p>
        </w:tc>
        <w:tc>
          <w:tcPr>
            <w:tcW w:w="428"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7.0</w:t>
            </w:r>
          </w:p>
        </w:tc>
        <w:tc>
          <w:tcPr>
            <w:tcW w:w="462"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eastAsia="Calibri" w:hAnsiTheme="minorHAnsi" w:cstheme="minorHAnsi"/>
                <w:color w:val="1F497D"/>
                <w:kern w:val="24"/>
                <w:rtl/>
              </w:rPr>
              <w:t>2.0</w:t>
            </w:r>
          </w:p>
        </w:tc>
      </w:tr>
      <w:tr w:rsidR="00117D7A" w:rsidRPr="00117D7A"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 xml:space="preserve">השקעה בנכסים קבועים (ללא </w:t>
            </w:r>
            <w:proofErr w:type="spellStart"/>
            <w:r w:rsidRPr="00117D7A">
              <w:rPr>
                <w:rFonts w:asciiTheme="minorHAnsi" w:eastAsia="Times New Roman" w:hAnsiTheme="minorHAnsi" w:cstheme="minorHAnsi"/>
                <w:rtl/>
              </w:rPr>
              <w:t>אוניות</w:t>
            </w:r>
            <w:proofErr w:type="spellEnd"/>
            <w:r w:rsidRPr="00117D7A">
              <w:rPr>
                <w:rFonts w:asciiTheme="minorHAnsi" w:eastAsia="Times New Roman" w:hAnsiTheme="minorHAnsi" w:cstheme="minorHAnsi"/>
                <w:rtl/>
              </w:rPr>
              <w:t xml:space="preserve"> ומטוסים)</w:t>
            </w:r>
          </w:p>
        </w:tc>
        <w:tc>
          <w:tcPr>
            <w:tcW w:w="374"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8.5</w:t>
            </w:r>
          </w:p>
        </w:tc>
        <w:tc>
          <w:tcPr>
            <w:tcW w:w="481"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6.5</w:t>
            </w:r>
          </w:p>
        </w:tc>
        <w:tc>
          <w:tcPr>
            <w:tcW w:w="495"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6.5-</w:t>
            </w:r>
          </w:p>
        </w:tc>
        <w:tc>
          <w:tcPr>
            <w:tcW w:w="428"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14.5</w:t>
            </w:r>
          </w:p>
        </w:tc>
        <w:tc>
          <w:tcPr>
            <w:tcW w:w="462"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Pr>
            </w:pPr>
            <w:r w:rsidRPr="00117D7A">
              <w:rPr>
                <w:rFonts w:asciiTheme="minorHAnsi" w:hAnsiTheme="minorHAnsi" w:cstheme="minorHAnsi"/>
                <w:color w:val="1F497D"/>
                <w:kern w:val="24"/>
                <w:rtl/>
              </w:rPr>
              <w:t>6.5</w:t>
            </w:r>
          </w:p>
        </w:tc>
      </w:tr>
      <w:tr w:rsidR="00117D7A" w:rsidRPr="00117D7A"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צריכה ציבורית (ללא יבוא ביטחוני)</w:t>
            </w:r>
          </w:p>
        </w:tc>
        <w:tc>
          <w:tcPr>
            <w:tcW w:w="374"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2.0</w:t>
            </w:r>
          </w:p>
        </w:tc>
        <w:tc>
          <w:tcPr>
            <w:tcW w:w="481"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2.5</w:t>
            </w:r>
          </w:p>
        </w:tc>
        <w:tc>
          <w:tcPr>
            <w:tcW w:w="495"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1.5</w:t>
            </w:r>
          </w:p>
        </w:tc>
        <w:tc>
          <w:tcPr>
            <w:tcW w:w="428"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eastAsia="Calibri" w:hAnsiTheme="minorHAnsi" w:cstheme="minorHAnsi"/>
                <w:b/>
                <w:bCs/>
                <w:color w:val="000000"/>
                <w:kern w:val="24"/>
                <w:rtl/>
              </w:rPr>
              <w:t>2.5</w:t>
            </w:r>
          </w:p>
        </w:tc>
        <w:tc>
          <w:tcPr>
            <w:tcW w:w="462"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1.0-</w:t>
            </w:r>
          </w:p>
        </w:tc>
      </w:tr>
      <w:tr w:rsidR="00117D7A" w:rsidRPr="00117D7A"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יצוא (ללא יהלומים והזנק)</w:t>
            </w:r>
          </w:p>
        </w:tc>
        <w:tc>
          <w:tcPr>
            <w:tcW w:w="374"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5.9</w:t>
            </w:r>
          </w:p>
        </w:tc>
        <w:tc>
          <w:tcPr>
            <w:tcW w:w="481"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5.5</w:t>
            </w:r>
          </w:p>
        </w:tc>
        <w:tc>
          <w:tcPr>
            <w:tcW w:w="495"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rPr>
                <w:rFonts w:asciiTheme="minorHAnsi" w:hAnsiTheme="minorHAnsi" w:cstheme="minorHAnsi"/>
                <w:rtl/>
              </w:rPr>
            </w:pPr>
            <w:r w:rsidRPr="00117D7A">
              <w:rPr>
                <w:rFonts w:asciiTheme="minorHAnsi" w:hAnsiTheme="minorHAnsi" w:cstheme="minorHAnsi"/>
                <w:color w:val="1F497D"/>
                <w:kern w:val="24"/>
                <w:rtl/>
              </w:rPr>
              <w:t>1.0</w:t>
            </w:r>
          </w:p>
        </w:tc>
        <w:tc>
          <w:tcPr>
            <w:tcW w:w="428"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rPr>
                <w:rFonts w:asciiTheme="minorHAnsi" w:hAnsiTheme="minorHAnsi" w:cstheme="minorHAnsi"/>
                <w:rtl/>
              </w:rPr>
            </w:pPr>
            <w:r w:rsidRPr="00117D7A">
              <w:rPr>
                <w:rFonts w:asciiTheme="minorHAnsi" w:eastAsia="Calibri" w:hAnsiTheme="minorHAnsi" w:cstheme="minorHAnsi"/>
                <w:b/>
                <w:bCs/>
                <w:color w:val="000000"/>
                <w:kern w:val="24"/>
                <w:rtl/>
              </w:rPr>
              <w:t>8.0</w:t>
            </w:r>
          </w:p>
        </w:tc>
        <w:tc>
          <w:tcPr>
            <w:tcW w:w="462"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rPr>
                <w:rFonts w:asciiTheme="minorHAnsi" w:hAnsiTheme="minorHAnsi" w:cstheme="minorHAnsi"/>
                <w:rtl/>
              </w:rPr>
            </w:pPr>
            <w:r w:rsidRPr="00117D7A">
              <w:rPr>
                <w:rFonts w:asciiTheme="minorHAnsi" w:hAnsiTheme="minorHAnsi" w:cstheme="minorHAnsi"/>
                <w:color w:val="1F497D"/>
                <w:kern w:val="24"/>
                <w:rtl/>
              </w:rPr>
              <w:t>3.0</w:t>
            </w:r>
          </w:p>
        </w:tc>
      </w:tr>
      <w:tr w:rsidR="00117D7A" w:rsidRPr="00117D7A" w:rsidTr="00117D7A">
        <w:trPr>
          <w:gridAfter w:val="1"/>
          <w:wAfter w:w="868" w:type="pct"/>
          <w:trHeight w:val="304"/>
        </w:trPr>
        <w:tc>
          <w:tcPr>
            <w:tcW w:w="1891" w:type="pct"/>
            <w:gridSpan w:val="3"/>
            <w:tcBorders>
              <w:top w:val="nil"/>
              <w:left w:val="nil"/>
              <w:bottom w:val="single" w:sz="4" w:space="0" w:color="1F497D"/>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 xml:space="preserve">יבוא אזרחי (ללא יהלומים, </w:t>
            </w:r>
            <w:proofErr w:type="spellStart"/>
            <w:r w:rsidRPr="00117D7A">
              <w:rPr>
                <w:rFonts w:asciiTheme="minorHAnsi" w:eastAsia="Times New Roman" w:hAnsiTheme="minorHAnsi" w:cstheme="minorHAnsi"/>
                <w:rtl/>
              </w:rPr>
              <w:t>אוניות</w:t>
            </w:r>
            <w:proofErr w:type="spellEnd"/>
            <w:r w:rsidRPr="00117D7A">
              <w:rPr>
                <w:rFonts w:asciiTheme="minorHAnsi" w:eastAsia="Times New Roman" w:hAnsiTheme="minorHAnsi" w:cstheme="minorHAnsi"/>
                <w:rtl/>
              </w:rPr>
              <w:t xml:space="preserve"> ומטוסים)</w:t>
            </w:r>
          </w:p>
        </w:tc>
        <w:tc>
          <w:tcPr>
            <w:tcW w:w="374" w:type="pct"/>
            <w:tcBorders>
              <w:top w:val="nil"/>
              <w:left w:val="nil"/>
              <w:bottom w:val="single" w:sz="4" w:space="0" w:color="1F497D"/>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8.8</w:t>
            </w:r>
          </w:p>
        </w:tc>
        <w:tc>
          <w:tcPr>
            <w:tcW w:w="481"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10.0</w:t>
            </w:r>
          </w:p>
        </w:tc>
        <w:tc>
          <w:tcPr>
            <w:tcW w:w="495"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Pr>
            </w:pPr>
            <w:r w:rsidRPr="00117D7A">
              <w:rPr>
                <w:rFonts w:asciiTheme="minorHAnsi" w:hAnsiTheme="minorHAnsi" w:cstheme="minorHAnsi"/>
                <w:color w:val="1F497D"/>
                <w:kern w:val="24"/>
                <w:rtl/>
              </w:rPr>
              <w:t>2.0</w:t>
            </w:r>
          </w:p>
        </w:tc>
        <w:tc>
          <w:tcPr>
            <w:tcW w:w="428"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12.0</w:t>
            </w:r>
          </w:p>
        </w:tc>
        <w:tc>
          <w:tcPr>
            <w:tcW w:w="462"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5.0</w:t>
            </w:r>
          </w:p>
        </w:tc>
      </w:tr>
      <w:tr w:rsidR="00117D7A" w:rsidRPr="00117D7A"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שיעור האבטלה הרחבה (גילאי 25–64)</w:t>
            </w:r>
            <w:r w:rsidRPr="00117D7A">
              <w:rPr>
                <w:rFonts w:asciiTheme="minorHAnsi" w:eastAsia="Times New Roman" w:hAnsiTheme="minorHAnsi" w:cstheme="minorHAnsi"/>
                <w:vertAlign w:val="superscript"/>
                <w:rtl/>
              </w:rPr>
              <w:t>2</w:t>
            </w:r>
          </w:p>
        </w:tc>
        <w:tc>
          <w:tcPr>
            <w:tcW w:w="374"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3.6</w:t>
            </w:r>
          </w:p>
        </w:tc>
        <w:tc>
          <w:tcPr>
            <w:tcW w:w="481" w:type="pct"/>
            <w:tcBorders>
              <w:top w:val="nil"/>
              <w:left w:val="nil"/>
              <w:bottom w:val="nil"/>
              <w:right w:val="nil"/>
            </w:tcBorders>
            <w:shd w:val="clear" w:color="auto" w:fill="FFFFFF" w:themeFill="background1"/>
            <w:vAlign w:val="center"/>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Pr>
              <w:t>4.5</w:t>
            </w:r>
          </w:p>
        </w:tc>
        <w:tc>
          <w:tcPr>
            <w:tcW w:w="495" w:type="pct"/>
            <w:tcBorders>
              <w:top w:val="nil"/>
              <w:left w:val="nil"/>
              <w:bottom w:val="nil"/>
              <w:right w:val="nil"/>
            </w:tcBorders>
            <w:shd w:val="clear" w:color="auto" w:fill="FFFFFF" w:themeFill="background1"/>
            <w:vAlign w:val="center"/>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1.2</w:t>
            </w:r>
          </w:p>
        </w:tc>
        <w:tc>
          <w:tcPr>
            <w:tcW w:w="428" w:type="pct"/>
            <w:tcBorders>
              <w:top w:val="nil"/>
              <w:left w:val="nil"/>
              <w:bottom w:val="nil"/>
              <w:right w:val="nil"/>
            </w:tcBorders>
            <w:shd w:val="clear" w:color="auto" w:fill="FFFFFF" w:themeFill="background1"/>
            <w:vAlign w:val="center"/>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tl/>
              </w:rPr>
              <w:t>3.4</w:t>
            </w:r>
          </w:p>
        </w:tc>
        <w:tc>
          <w:tcPr>
            <w:tcW w:w="462" w:type="pct"/>
            <w:tcBorders>
              <w:top w:val="nil"/>
              <w:left w:val="nil"/>
              <w:bottom w:val="nil"/>
              <w:right w:val="nil"/>
            </w:tcBorders>
            <w:shd w:val="clear" w:color="auto" w:fill="FFFFFF" w:themeFill="background1"/>
            <w:vAlign w:val="center"/>
            <w:hideMark/>
          </w:tcPr>
          <w:p w:rsidR="00117D7A" w:rsidRPr="00117D7A" w:rsidRDefault="00117D7A" w:rsidP="00117D7A">
            <w:pPr>
              <w:pStyle w:val="NormalWeb"/>
              <w:bidi/>
              <w:spacing w:before="0" w:beforeAutospacing="0" w:after="0" w:afterAutospacing="0" w:line="276" w:lineRule="auto"/>
              <w:rPr>
                <w:rFonts w:asciiTheme="minorHAnsi" w:hAnsiTheme="minorHAnsi" w:cstheme="minorHAnsi"/>
                <w:rtl/>
              </w:rPr>
            </w:pPr>
            <w:r w:rsidRPr="00117D7A">
              <w:rPr>
                <w:rFonts w:asciiTheme="minorHAnsi" w:hAnsiTheme="minorHAnsi" w:cstheme="minorHAnsi"/>
                <w:color w:val="1F497D"/>
                <w:kern w:val="24"/>
                <w:rtl/>
              </w:rPr>
              <w:t>0.1-</w:t>
            </w:r>
          </w:p>
        </w:tc>
      </w:tr>
      <w:tr w:rsidR="00117D7A" w:rsidRPr="00117D7A" w:rsidTr="00117D7A">
        <w:trPr>
          <w:gridAfter w:val="1"/>
          <w:wAfter w:w="868" w:type="pct"/>
          <w:trHeight w:val="304"/>
        </w:trPr>
        <w:tc>
          <w:tcPr>
            <w:tcW w:w="1891" w:type="pct"/>
            <w:gridSpan w:val="3"/>
            <w:tcBorders>
              <w:top w:val="nil"/>
              <w:left w:val="nil"/>
              <w:bottom w:val="single" w:sz="4" w:space="0" w:color="1F497D"/>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שיעור התעסוקה המותאם (גילאי 25–64)</w:t>
            </w:r>
            <w:r w:rsidRPr="00117D7A">
              <w:rPr>
                <w:rFonts w:asciiTheme="minorHAnsi" w:eastAsia="Times New Roman" w:hAnsiTheme="minorHAnsi" w:cstheme="minorHAnsi"/>
                <w:vertAlign w:val="superscript"/>
                <w:rtl/>
              </w:rPr>
              <w:t>2</w:t>
            </w:r>
          </w:p>
        </w:tc>
        <w:tc>
          <w:tcPr>
            <w:tcW w:w="374" w:type="pct"/>
            <w:tcBorders>
              <w:top w:val="nil"/>
              <w:left w:val="nil"/>
              <w:bottom w:val="single" w:sz="4" w:space="0" w:color="1F497D"/>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Pr>
            </w:pPr>
            <w:r w:rsidRPr="00117D7A">
              <w:rPr>
                <w:rFonts w:asciiTheme="minorHAnsi" w:eastAsia="Times New Roman" w:hAnsiTheme="minorHAnsi" w:cstheme="minorHAnsi"/>
                <w:b/>
                <w:bCs/>
                <w:color w:val="000000"/>
                <w:rtl/>
              </w:rPr>
              <w:t>78.2</w:t>
            </w:r>
          </w:p>
        </w:tc>
        <w:tc>
          <w:tcPr>
            <w:tcW w:w="481"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kern w:val="24"/>
              </w:rPr>
              <w:t>7</w:t>
            </w:r>
            <w:r w:rsidRPr="00117D7A">
              <w:rPr>
                <w:rFonts w:asciiTheme="minorHAnsi" w:hAnsiTheme="minorHAnsi" w:cstheme="minorHAnsi"/>
                <w:b/>
                <w:bCs/>
                <w:color w:val="000000"/>
                <w:kern w:val="24"/>
                <w:rtl/>
              </w:rPr>
              <w:t>7</w:t>
            </w:r>
            <w:r w:rsidRPr="00117D7A">
              <w:rPr>
                <w:rFonts w:asciiTheme="minorHAnsi" w:hAnsiTheme="minorHAnsi" w:cstheme="minorHAnsi"/>
                <w:b/>
                <w:bCs/>
                <w:color w:val="000000"/>
                <w:kern w:val="24"/>
              </w:rPr>
              <w:t>.</w:t>
            </w:r>
            <w:r w:rsidRPr="00117D7A">
              <w:rPr>
                <w:rFonts w:asciiTheme="minorHAnsi" w:hAnsiTheme="minorHAnsi" w:cstheme="minorHAnsi"/>
                <w:b/>
                <w:bCs/>
                <w:color w:val="000000"/>
                <w:kern w:val="24"/>
                <w:rtl/>
              </w:rPr>
              <w:t>5</w:t>
            </w:r>
          </w:p>
        </w:tc>
        <w:tc>
          <w:tcPr>
            <w:tcW w:w="495"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2.6-</w:t>
            </w:r>
          </w:p>
        </w:tc>
        <w:tc>
          <w:tcPr>
            <w:tcW w:w="428"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78.6</w:t>
            </w:r>
          </w:p>
        </w:tc>
        <w:tc>
          <w:tcPr>
            <w:tcW w:w="462"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Pr>
              <w:t>-2.5</w:t>
            </w:r>
          </w:p>
        </w:tc>
      </w:tr>
      <w:tr w:rsidR="00117D7A" w:rsidRPr="00117D7A" w:rsidTr="00117D7A">
        <w:trPr>
          <w:gridAfter w:val="1"/>
          <w:wAfter w:w="868" w:type="pct"/>
          <w:trHeight w:val="304"/>
        </w:trPr>
        <w:tc>
          <w:tcPr>
            <w:tcW w:w="1891" w:type="pct"/>
            <w:gridSpan w:val="3"/>
            <w:tcBorders>
              <w:top w:val="nil"/>
              <w:left w:val="nil"/>
              <w:bottom w:val="nil"/>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גירעון הממשלה (אחוזי תוצר)</w:t>
            </w:r>
          </w:p>
        </w:tc>
        <w:tc>
          <w:tcPr>
            <w:tcW w:w="374"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themeColor="text1"/>
                <w:rtl/>
              </w:rPr>
            </w:pPr>
            <w:r w:rsidRPr="00117D7A">
              <w:rPr>
                <w:rFonts w:asciiTheme="minorHAnsi" w:eastAsia="Times New Roman" w:hAnsiTheme="minorHAnsi" w:cstheme="minorHAnsi"/>
                <w:b/>
                <w:bCs/>
                <w:color w:val="000000" w:themeColor="text1"/>
                <w:rtl/>
              </w:rPr>
              <w:t>4.7</w:t>
            </w:r>
          </w:p>
        </w:tc>
        <w:tc>
          <w:tcPr>
            <w:tcW w:w="481"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5.3</w:t>
            </w:r>
          </w:p>
        </w:tc>
        <w:tc>
          <w:tcPr>
            <w:tcW w:w="495" w:type="pct"/>
            <w:tcBorders>
              <w:top w:val="nil"/>
              <w:left w:val="nil"/>
              <w:bottom w:val="nil"/>
              <w:right w:val="nil"/>
            </w:tcBorders>
            <w:shd w:val="clear" w:color="auto" w:fill="FFFFFF" w:themeFill="background1"/>
            <w:noWrap/>
            <w:vAlign w:val="center"/>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Pr>
            </w:pPr>
            <w:r w:rsidRPr="00117D7A">
              <w:rPr>
                <w:rFonts w:asciiTheme="minorHAnsi" w:hAnsiTheme="minorHAnsi" w:cstheme="minorHAnsi"/>
                <w:color w:val="1F497D"/>
                <w:kern w:val="24"/>
                <w:rtl/>
              </w:rPr>
              <w:t>1.4</w:t>
            </w:r>
          </w:p>
        </w:tc>
        <w:tc>
          <w:tcPr>
            <w:tcW w:w="428" w:type="pct"/>
            <w:tcBorders>
              <w:top w:val="nil"/>
              <w:left w:val="nil"/>
              <w:bottom w:val="nil"/>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4.4</w:t>
            </w:r>
          </w:p>
        </w:tc>
        <w:tc>
          <w:tcPr>
            <w:tcW w:w="462" w:type="pct"/>
            <w:tcBorders>
              <w:top w:val="nil"/>
              <w:left w:val="nil"/>
              <w:bottom w:val="nil"/>
              <w:right w:val="nil"/>
            </w:tcBorders>
            <w:shd w:val="clear" w:color="auto" w:fill="FFFFFF" w:themeFill="background1"/>
            <w:noWrap/>
            <w:vAlign w:val="center"/>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0.8</w:t>
            </w:r>
          </w:p>
        </w:tc>
      </w:tr>
      <w:tr w:rsidR="00117D7A" w:rsidRPr="00117D7A" w:rsidTr="00117D7A">
        <w:trPr>
          <w:gridAfter w:val="1"/>
          <w:wAfter w:w="868" w:type="pct"/>
          <w:trHeight w:val="304"/>
        </w:trPr>
        <w:tc>
          <w:tcPr>
            <w:tcW w:w="1891" w:type="pct"/>
            <w:gridSpan w:val="3"/>
            <w:tcBorders>
              <w:top w:val="nil"/>
              <w:left w:val="nil"/>
              <w:bottom w:val="single" w:sz="4" w:space="0" w:color="1F497D"/>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rPr>
            </w:pPr>
            <w:r w:rsidRPr="00117D7A">
              <w:rPr>
                <w:rFonts w:asciiTheme="minorHAnsi" w:eastAsia="Times New Roman" w:hAnsiTheme="minorHAnsi" w:cstheme="minorHAnsi"/>
                <w:rtl/>
              </w:rPr>
              <w:t>יחס החוב לתוצר (אחוזי תוצר)</w:t>
            </w:r>
          </w:p>
        </w:tc>
        <w:tc>
          <w:tcPr>
            <w:tcW w:w="374" w:type="pct"/>
            <w:tcBorders>
              <w:top w:val="nil"/>
              <w:left w:val="nil"/>
              <w:bottom w:val="single" w:sz="4" w:space="0" w:color="1F497D"/>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themeColor="text1"/>
                <w:rtl/>
              </w:rPr>
            </w:pPr>
            <w:r w:rsidRPr="00117D7A">
              <w:rPr>
                <w:rFonts w:asciiTheme="minorHAnsi" w:eastAsia="Times New Roman" w:hAnsiTheme="minorHAnsi" w:cstheme="minorHAnsi"/>
                <w:b/>
                <w:bCs/>
                <w:color w:val="000000" w:themeColor="text1"/>
                <w:rtl/>
              </w:rPr>
              <w:t>68.5</w:t>
            </w:r>
          </w:p>
        </w:tc>
        <w:tc>
          <w:tcPr>
            <w:tcW w:w="481"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70.5</w:t>
            </w:r>
          </w:p>
        </w:tc>
        <w:tc>
          <w:tcPr>
            <w:tcW w:w="495"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Pr>
            </w:pPr>
            <w:r w:rsidRPr="00117D7A">
              <w:rPr>
                <w:rFonts w:asciiTheme="minorHAnsi" w:hAnsiTheme="minorHAnsi" w:cstheme="minorHAnsi"/>
                <w:color w:val="1F497D"/>
                <w:kern w:val="24"/>
                <w:rtl/>
              </w:rPr>
              <w:t>2.0</w:t>
            </w:r>
          </w:p>
        </w:tc>
        <w:tc>
          <w:tcPr>
            <w:tcW w:w="428"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70.5</w:t>
            </w:r>
          </w:p>
        </w:tc>
        <w:tc>
          <w:tcPr>
            <w:tcW w:w="462"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2.0</w:t>
            </w:r>
          </w:p>
        </w:tc>
      </w:tr>
      <w:tr w:rsidR="00117D7A" w:rsidRPr="00117D7A" w:rsidTr="00117D7A">
        <w:trPr>
          <w:gridAfter w:val="1"/>
          <w:wAfter w:w="868" w:type="pct"/>
          <w:trHeight w:val="304"/>
        </w:trPr>
        <w:tc>
          <w:tcPr>
            <w:tcW w:w="1891" w:type="pct"/>
            <w:gridSpan w:val="3"/>
            <w:tcBorders>
              <w:top w:val="nil"/>
              <w:left w:val="nil"/>
              <w:bottom w:val="single" w:sz="4" w:space="0" w:color="1F497D"/>
              <w:right w:val="nil"/>
            </w:tcBorders>
            <w:shd w:val="clear" w:color="auto" w:fill="FFFFFF" w:themeFill="background1"/>
            <w:vAlign w:val="center"/>
            <w:hideMark/>
          </w:tcPr>
          <w:p w:rsidR="00117D7A" w:rsidRPr="00117D7A" w:rsidRDefault="00117D7A" w:rsidP="00117D7A">
            <w:pPr>
              <w:bidi/>
              <w:spacing w:after="0"/>
              <w:rPr>
                <w:rFonts w:asciiTheme="minorHAnsi" w:eastAsia="Times New Roman" w:hAnsiTheme="minorHAnsi" w:cstheme="minorHAnsi"/>
                <w:color w:val="000000"/>
              </w:rPr>
            </w:pPr>
            <w:r w:rsidRPr="00117D7A">
              <w:rPr>
                <w:rFonts w:asciiTheme="minorHAnsi" w:eastAsia="Times New Roman" w:hAnsiTheme="minorHAnsi" w:cstheme="minorHAnsi"/>
                <w:color w:val="000000"/>
                <w:rtl/>
              </w:rPr>
              <w:t>אינפלציה</w:t>
            </w:r>
            <w:r w:rsidRPr="00117D7A">
              <w:rPr>
                <w:rFonts w:asciiTheme="minorHAnsi" w:eastAsia="Times New Roman" w:hAnsiTheme="minorHAnsi" w:cstheme="minorHAnsi"/>
                <w:color w:val="000000"/>
                <w:vertAlign w:val="superscript"/>
                <w:rtl/>
              </w:rPr>
              <w:t>3</w:t>
            </w:r>
          </w:p>
        </w:tc>
        <w:tc>
          <w:tcPr>
            <w:tcW w:w="374" w:type="pct"/>
            <w:tcBorders>
              <w:top w:val="nil"/>
              <w:left w:val="nil"/>
              <w:bottom w:val="single" w:sz="4" w:space="0" w:color="1F497D"/>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b/>
                <w:bCs/>
                <w:color w:val="000000"/>
                <w:rtl/>
              </w:rPr>
            </w:pPr>
            <w:r w:rsidRPr="00117D7A">
              <w:rPr>
                <w:rFonts w:asciiTheme="minorHAnsi" w:eastAsia="Times New Roman" w:hAnsiTheme="minorHAnsi" w:cstheme="minorHAnsi"/>
                <w:b/>
                <w:bCs/>
                <w:color w:val="000000"/>
                <w:rtl/>
              </w:rPr>
              <w:t>2.5</w:t>
            </w:r>
          </w:p>
        </w:tc>
        <w:tc>
          <w:tcPr>
            <w:tcW w:w="481"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2.2</w:t>
            </w:r>
          </w:p>
        </w:tc>
        <w:tc>
          <w:tcPr>
            <w:tcW w:w="495"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eastAsia="Calibri" w:hAnsiTheme="minorHAnsi" w:cstheme="minorHAnsi"/>
                <w:color w:val="1F497D"/>
                <w:kern w:val="24"/>
                <w:rtl/>
              </w:rPr>
              <w:t>0.5</w:t>
            </w:r>
          </w:p>
        </w:tc>
        <w:tc>
          <w:tcPr>
            <w:tcW w:w="428"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b/>
                <w:bCs/>
                <w:color w:val="000000" w:themeColor="text1"/>
                <w:kern w:val="24"/>
                <w:rtl/>
              </w:rPr>
              <w:t>1.8</w:t>
            </w:r>
          </w:p>
        </w:tc>
        <w:tc>
          <w:tcPr>
            <w:tcW w:w="462" w:type="pct"/>
            <w:tcBorders>
              <w:top w:val="nil"/>
              <w:left w:val="nil"/>
              <w:bottom w:val="single" w:sz="4" w:space="0" w:color="1F497D"/>
              <w:right w:val="nil"/>
            </w:tcBorders>
            <w:shd w:val="clear" w:color="auto" w:fill="FFFFFF" w:themeFill="background1"/>
            <w:noWrap/>
            <w:vAlign w:val="bottom"/>
            <w:hideMark/>
          </w:tcPr>
          <w:p w:rsidR="00117D7A" w:rsidRPr="00117D7A" w:rsidRDefault="00117D7A" w:rsidP="00117D7A">
            <w:pPr>
              <w:pStyle w:val="NormalWeb"/>
              <w:bidi/>
              <w:spacing w:before="0" w:beforeAutospacing="0" w:after="0" w:afterAutospacing="0" w:line="276" w:lineRule="auto"/>
              <w:jc w:val="right"/>
              <w:rPr>
                <w:rFonts w:asciiTheme="minorHAnsi" w:hAnsiTheme="minorHAnsi" w:cstheme="minorHAnsi"/>
                <w:rtl/>
              </w:rPr>
            </w:pPr>
            <w:r w:rsidRPr="00117D7A">
              <w:rPr>
                <w:rFonts w:asciiTheme="minorHAnsi" w:hAnsiTheme="minorHAnsi" w:cstheme="minorHAnsi"/>
                <w:color w:val="1F497D"/>
                <w:kern w:val="24"/>
                <w:rtl/>
              </w:rPr>
              <w:t>0.2-</w:t>
            </w:r>
          </w:p>
        </w:tc>
      </w:tr>
      <w:tr w:rsidR="00117D7A" w:rsidRPr="00117D7A" w:rsidTr="00117D7A">
        <w:trPr>
          <w:gridBefore w:val="1"/>
          <w:wBefore w:w="130" w:type="pct"/>
          <w:trHeight w:val="304"/>
        </w:trPr>
        <w:tc>
          <w:tcPr>
            <w:tcW w:w="99" w:type="pct"/>
            <w:tcBorders>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color w:val="000000"/>
                <w:vertAlign w:val="superscript"/>
                <w:rtl/>
              </w:rPr>
            </w:pPr>
          </w:p>
        </w:tc>
        <w:tc>
          <w:tcPr>
            <w:tcW w:w="4770" w:type="pct"/>
            <w:gridSpan w:val="7"/>
            <w:tcBorders>
              <w:left w:val="nil"/>
              <w:bottom w:val="nil"/>
              <w:right w:val="nil"/>
            </w:tcBorders>
            <w:shd w:val="clear" w:color="auto" w:fill="FFFFFF" w:themeFill="background1"/>
            <w:noWrap/>
            <w:vAlign w:val="center"/>
            <w:hideMark/>
          </w:tcPr>
          <w:p w:rsidR="00117D7A" w:rsidRPr="00117D7A" w:rsidRDefault="00117D7A" w:rsidP="00117D7A">
            <w:pPr>
              <w:bidi/>
              <w:spacing w:after="0"/>
              <w:rPr>
                <w:rFonts w:asciiTheme="minorHAnsi" w:eastAsia="Times New Roman" w:hAnsiTheme="minorHAnsi" w:cstheme="minorHAnsi"/>
                <w:color w:val="000000"/>
                <w:sz w:val="16"/>
                <w:szCs w:val="16"/>
                <w:rtl/>
              </w:rPr>
            </w:pPr>
            <w:r w:rsidRPr="00117D7A">
              <w:rPr>
                <w:rFonts w:asciiTheme="minorHAnsi" w:eastAsia="Times New Roman" w:hAnsiTheme="minorHAnsi" w:cstheme="minorHAnsi"/>
                <w:color w:val="000000"/>
                <w:sz w:val="16"/>
                <w:szCs w:val="16"/>
                <w:vertAlign w:val="superscript"/>
                <w:rtl/>
              </w:rPr>
              <w:t>1</w:t>
            </w:r>
            <w:r w:rsidRPr="00117D7A">
              <w:rPr>
                <w:rFonts w:asciiTheme="minorHAnsi" w:eastAsia="Times New Roman" w:hAnsiTheme="minorHAnsi" w:cstheme="minorHAnsi"/>
                <w:color w:val="000000"/>
                <w:sz w:val="16"/>
                <w:szCs w:val="16"/>
                <w:rtl/>
              </w:rPr>
              <w:t xml:space="preserve"> התחזית לרכיבי החשבונאות הלאומית ולחוב הציבורי מעוגלת לחצי נקודת אחוז.</w:t>
            </w:r>
          </w:p>
        </w:tc>
      </w:tr>
      <w:tr w:rsidR="00117D7A" w:rsidRPr="00117D7A" w:rsidTr="00117D7A">
        <w:trPr>
          <w:gridBefore w:val="1"/>
          <w:wBefore w:w="130" w:type="pct"/>
          <w:trHeight w:val="777"/>
        </w:trPr>
        <w:tc>
          <w:tcPr>
            <w:tcW w:w="99"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color w:val="000000"/>
                <w:vertAlign w:val="superscript"/>
                <w:rtl/>
              </w:rPr>
            </w:pPr>
          </w:p>
        </w:tc>
        <w:tc>
          <w:tcPr>
            <w:tcW w:w="4770" w:type="pct"/>
            <w:gridSpan w:val="7"/>
            <w:tcBorders>
              <w:top w:val="nil"/>
              <w:left w:val="nil"/>
              <w:bottom w:val="nil"/>
              <w:right w:val="nil"/>
            </w:tcBorders>
            <w:shd w:val="clear" w:color="auto" w:fill="FFFFFF" w:themeFill="background1"/>
            <w:vAlign w:val="bottom"/>
            <w:hideMark/>
          </w:tcPr>
          <w:p w:rsidR="00117D7A" w:rsidRPr="00117D7A" w:rsidRDefault="00117D7A" w:rsidP="00117D7A">
            <w:pPr>
              <w:bidi/>
              <w:spacing w:after="0"/>
              <w:rPr>
                <w:rFonts w:asciiTheme="minorHAnsi" w:eastAsia="Times New Roman" w:hAnsiTheme="minorHAnsi" w:cstheme="minorHAnsi"/>
                <w:color w:val="000000"/>
                <w:sz w:val="16"/>
                <w:szCs w:val="16"/>
                <w:rtl/>
              </w:rPr>
            </w:pPr>
            <w:r w:rsidRPr="00117D7A">
              <w:rPr>
                <w:rFonts w:asciiTheme="minorHAnsi" w:eastAsia="Times New Roman" w:hAnsiTheme="minorHAnsi" w:cstheme="minorHAnsi"/>
                <w:color w:val="000000"/>
                <w:sz w:val="16"/>
                <w:szCs w:val="16"/>
                <w:vertAlign w:val="superscript"/>
                <w:rtl/>
              </w:rPr>
              <w:t>2</w:t>
            </w:r>
            <w:r w:rsidRPr="00117D7A">
              <w:rPr>
                <w:rFonts w:asciiTheme="minorHAnsi" w:eastAsia="Times New Roman" w:hAnsiTheme="minorHAnsi" w:cstheme="minorHAnsi"/>
                <w:color w:val="000000"/>
                <w:sz w:val="16"/>
                <w:szCs w:val="16"/>
                <w:rtl/>
              </w:rPr>
              <w:t xml:space="preserve"> ממוצע שנתי. בהתאם להגדרה של </w:t>
            </w:r>
            <w:proofErr w:type="spellStart"/>
            <w:r w:rsidRPr="00117D7A">
              <w:rPr>
                <w:rFonts w:asciiTheme="minorHAnsi" w:eastAsia="Times New Roman" w:hAnsiTheme="minorHAnsi" w:cstheme="minorHAnsi"/>
                <w:color w:val="000000"/>
                <w:sz w:val="16"/>
                <w:szCs w:val="16"/>
                <w:rtl/>
              </w:rPr>
              <w:t>הלמ"ס</w:t>
            </w:r>
            <w:proofErr w:type="spellEnd"/>
            <w:r w:rsidRPr="00117D7A">
              <w:rPr>
                <w:rFonts w:asciiTheme="minorHAnsi" w:eastAsia="Times New Roman" w:hAnsiTheme="minorHAnsi" w:cstheme="minorHAnsi"/>
                <w:color w:val="000000"/>
                <w:sz w:val="16"/>
                <w:szCs w:val="16"/>
                <w:rtl/>
              </w:rPr>
              <w:t xml:space="preserve">, שיעור האבטלה הרחבה כולל את המובטלים בהגדרתם הרגילה (מי שלא עבדו, רצו לעבוד, היו פנויים לעבודה, וחיפשו עבודה) ואת המועסקים שנעדרים זמנית מעבודתם מסיבות כלכליות (כולל עובדים בחל"ת). בהתאם, שיעור התעסוקה המותאם אינו כולל את הנעדרים זמנית מסיבות כלכליות. </w:t>
            </w:r>
          </w:p>
        </w:tc>
      </w:tr>
      <w:tr w:rsidR="00117D7A" w:rsidRPr="00117D7A" w:rsidTr="00117D7A">
        <w:trPr>
          <w:gridBefore w:val="1"/>
          <w:wBefore w:w="130" w:type="pct"/>
          <w:trHeight w:val="304"/>
        </w:trPr>
        <w:tc>
          <w:tcPr>
            <w:tcW w:w="99" w:type="pct"/>
            <w:tcBorders>
              <w:top w:val="nil"/>
              <w:left w:val="nil"/>
              <w:bottom w:val="nil"/>
              <w:right w:val="nil"/>
            </w:tcBorders>
            <w:shd w:val="clear" w:color="auto" w:fill="FFFFFF" w:themeFill="background1"/>
          </w:tcPr>
          <w:p w:rsidR="00117D7A" w:rsidRPr="00117D7A" w:rsidRDefault="00117D7A" w:rsidP="00117D7A">
            <w:pPr>
              <w:bidi/>
              <w:spacing w:after="0"/>
              <w:rPr>
                <w:rFonts w:asciiTheme="minorHAnsi" w:eastAsia="Times New Roman" w:hAnsiTheme="minorHAnsi" w:cstheme="minorHAnsi"/>
                <w:color w:val="000000"/>
                <w:vertAlign w:val="superscript"/>
                <w:rtl/>
              </w:rPr>
            </w:pPr>
          </w:p>
        </w:tc>
        <w:tc>
          <w:tcPr>
            <w:tcW w:w="4770" w:type="pct"/>
            <w:gridSpan w:val="7"/>
            <w:tcBorders>
              <w:top w:val="nil"/>
              <w:left w:val="nil"/>
              <w:bottom w:val="nil"/>
              <w:right w:val="nil"/>
            </w:tcBorders>
            <w:shd w:val="clear" w:color="auto" w:fill="FFFFFF" w:themeFill="background1"/>
            <w:noWrap/>
            <w:vAlign w:val="bottom"/>
            <w:hideMark/>
          </w:tcPr>
          <w:p w:rsidR="00117D7A" w:rsidRPr="00117D7A" w:rsidRDefault="00117D7A" w:rsidP="00117D7A">
            <w:pPr>
              <w:bidi/>
              <w:spacing w:after="0"/>
              <w:rPr>
                <w:rFonts w:asciiTheme="minorHAnsi" w:eastAsia="Times New Roman" w:hAnsiTheme="minorHAnsi" w:cstheme="minorHAnsi"/>
                <w:color w:val="000000"/>
                <w:sz w:val="16"/>
                <w:szCs w:val="16"/>
              </w:rPr>
            </w:pPr>
            <w:r w:rsidRPr="00117D7A">
              <w:rPr>
                <w:rFonts w:asciiTheme="minorHAnsi" w:eastAsia="Times New Roman" w:hAnsiTheme="minorHAnsi" w:cstheme="minorHAnsi"/>
                <w:color w:val="000000"/>
                <w:sz w:val="16"/>
                <w:szCs w:val="16"/>
                <w:rtl/>
              </w:rPr>
              <w:t xml:space="preserve">העדכון בשיעור התעסוקה החזוי ל-2026-2027 ביחס לתחזית ינואר משקף בעיקר תיקון טעות בנתון שפורסם בתחזית ינואר. </w:t>
            </w:r>
          </w:p>
          <w:p w:rsidR="00117D7A" w:rsidRPr="00117D7A" w:rsidRDefault="00117D7A" w:rsidP="00117D7A">
            <w:pPr>
              <w:bidi/>
              <w:spacing w:after="0"/>
              <w:rPr>
                <w:rFonts w:asciiTheme="minorHAnsi" w:eastAsia="Times New Roman" w:hAnsiTheme="minorHAnsi" w:cstheme="minorHAnsi"/>
                <w:color w:val="000000"/>
                <w:sz w:val="16"/>
                <w:szCs w:val="16"/>
              </w:rPr>
            </w:pPr>
            <w:r w:rsidRPr="00117D7A">
              <w:rPr>
                <w:rFonts w:asciiTheme="minorHAnsi" w:eastAsia="Times New Roman" w:hAnsiTheme="minorHAnsi" w:cstheme="minorHAnsi"/>
                <w:color w:val="000000"/>
                <w:sz w:val="16"/>
                <w:szCs w:val="16"/>
                <w:rtl/>
              </w:rPr>
              <w:t>התחזית לשיעור התעסוקה ב-2026 כוללת גם את השפעות מבצע "שאגת הארי</w:t>
            </w:r>
            <w:r w:rsidRPr="00117D7A">
              <w:rPr>
                <w:rFonts w:asciiTheme="minorHAnsi" w:eastAsia="Times New Roman" w:hAnsiTheme="minorHAnsi" w:cstheme="minorHAnsi"/>
                <w:color w:val="000000"/>
                <w:sz w:val="16"/>
                <w:szCs w:val="16"/>
              </w:rPr>
              <w:t>"</w:t>
            </w:r>
            <w:r w:rsidRPr="00117D7A">
              <w:rPr>
                <w:rFonts w:asciiTheme="minorHAnsi" w:eastAsia="Times New Roman" w:hAnsiTheme="minorHAnsi" w:cstheme="minorHAnsi"/>
                <w:color w:val="000000"/>
                <w:sz w:val="16"/>
                <w:szCs w:val="16"/>
                <w:rtl/>
              </w:rPr>
              <w:t>.</w:t>
            </w:r>
          </w:p>
          <w:p w:rsidR="00117D7A" w:rsidRPr="00117D7A" w:rsidRDefault="00117D7A" w:rsidP="00117D7A">
            <w:pPr>
              <w:bidi/>
              <w:spacing w:after="0"/>
              <w:rPr>
                <w:rFonts w:asciiTheme="minorHAnsi" w:eastAsia="Times New Roman" w:hAnsiTheme="minorHAnsi" w:cstheme="minorHAnsi"/>
                <w:color w:val="000000"/>
                <w:sz w:val="16"/>
                <w:szCs w:val="16"/>
                <w:rtl/>
              </w:rPr>
            </w:pPr>
            <w:r w:rsidRPr="00117D7A">
              <w:rPr>
                <w:rFonts w:asciiTheme="minorHAnsi" w:eastAsia="Times New Roman" w:hAnsiTheme="minorHAnsi" w:cstheme="minorHAnsi"/>
                <w:color w:val="000000"/>
                <w:sz w:val="16"/>
                <w:szCs w:val="16"/>
                <w:vertAlign w:val="superscript"/>
                <w:rtl/>
              </w:rPr>
              <w:t>3</w:t>
            </w:r>
            <w:r w:rsidRPr="00117D7A">
              <w:rPr>
                <w:rFonts w:asciiTheme="minorHAnsi" w:eastAsia="Times New Roman" w:hAnsiTheme="minorHAnsi" w:cstheme="minorHAnsi"/>
                <w:color w:val="000000"/>
                <w:sz w:val="16"/>
                <w:szCs w:val="16"/>
                <w:rtl/>
              </w:rPr>
              <w:t xml:space="preserve"> הממוצע של מדד המחירים לצרכן ברבעון האחרון בשנה לעומת הממוצע ברבעון האחרון בשנה הקודמת.</w:t>
            </w:r>
          </w:p>
        </w:tc>
      </w:tr>
    </w:tbl>
    <w:p w:rsidR="00117D7A" w:rsidRDefault="00117D7A" w:rsidP="00117D7A">
      <w:pPr>
        <w:tabs>
          <w:tab w:val="num" w:pos="720"/>
        </w:tabs>
        <w:bidi/>
        <w:spacing w:after="360"/>
        <w:jc w:val="both"/>
        <w:rPr>
          <w:rFonts w:asciiTheme="minorHAnsi" w:eastAsia="Calibri" w:hAnsiTheme="minorHAnsi" w:cstheme="minorHAnsi"/>
          <w:rtl/>
        </w:rPr>
      </w:pPr>
    </w:p>
    <w:p w:rsidR="00117D7A" w:rsidRPr="00117D7A" w:rsidRDefault="00117D7A" w:rsidP="00117D7A">
      <w:pPr>
        <w:tabs>
          <w:tab w:val="num" w:pos="720"/>
        </w:tabs>
        <w:bidi/>
        <w:spacing w:after="360"/>
        <w:jc w:val="both"/>
        <w:rPr>
          <w:rFonts w:asciiTheme="minorHAnsi" w:eastAsia="Calibri" w:hAnsiTheme="minorHAnsi" w:cstheme="minorHAnsi"/>
        </w:rPr>
      </w:pPr>
    </w:p>
    <w:p w:rsidR="00117D7A" w:rsidRPr="00117D7A" w:rsidRDefault="00117D7A" w:rsidP="00117D7A">
      <w:pPr>
        <w:bidi/>
        <w:spacing w:after="360"/>
        <w:jc w:val="both"/>
        <w:rPr>
          <w:rFonts w:asciiTheme="minorHAnsi" w:eastAsia="Calibri" w:hAnsiTheme="minorHAnsi" w:cstheme="minorHAnsi"/>
          <w:color w:val="000000" w:themeColor="text1"/>
          <w:rtl/>
        </w:rPr>
      </w:pPr>
    </w:p>
    <w:bookmarkEnd w:id="1"/>
    <w:p w:rsidR="00117D7A" w:rsidRPr="00117D7A" w:rsidRDefault="00117D7A" w:rsidP="00117D7A">
      <w:pPr>
        <w:pStyle w:val="a"/>
        <w:spacing w:line="276" w:lineRule="auto"/>
        <w:rPr>
          <w:sz w:val="24"/>
          <w:rtl/>
        </w:rPr>
      </w:pPr>
      <w:r w:rsidRPr="00117D7A">
        <w:rPr>
          <w:sz w:val="24"/>
          <w:rtl/>
        </w:rPr>
        <w:lastRenderedPageBreak/>
        <w:t>הפעילות הריאלית בישראל</w:t>
      </w:r>
    </w:p>
    <w:p w:rsidR="00117D7A" w:rsidRPr="00117D7A" w:rsidRDefault="00117D7A" w:rsidP="00117D7A">
      <w:pPr>
        <w:tabs>
          <w:tab w:val="num" w:pos="720"/>
        </w:tabs>
        <w:bidi/>
        <w:spacing w:after="360"/>
        <w:jc w:val="both"/>
        <w:rPr>
          <w:rFonts w:asciiTheme="minorHAnsi" w:hAnsiTheme="minorHAnsi" w:cstheme="minorHAnsi"/>
          <w:rtl/>
        </w:rPr>
      </w:pPr>
      <w:r w:rsidRPr="00117D7A">
        <w:rPr>
          <w:rFonts w:asciiTheme="minorHAnsi" w:hAnsiTheme="minorHAnsi" w:cstheme="minorHAnsi"/>
          <w:b/>
          <w:bCs/>
          <w:rtl/>
        </w:rPr>
        <w:t xml:space="preserve">התוצר צפוי לצמוח ב־3.8% בשנת 2026 וב־5.5% בשנת 2027 </w:t>
      </w:r>
      <w:r w:rsidRPr="00117D7A">
        <w:rPr>
          <w:rFonts w:asciiTheme="minorHAnsi" w:hAnsiTheme="minorHAnsi" w:cstheme="minorHAnsi"/>
          <w:rtl/>
        </w:rPr>
        <w:t>(לוח 1). סיום המבצע צפוי לתמוך בהתאוששות מהירה בפעילות כבר במהלך הרבעון השני של 2026. הפעילות במשק מושפעת לרעה בעיקר מהמגבלות על העורף בעקבות איום וירי הטילים, ומהיעדרות מהעבודה גם בשל השבתת מערכת החינוך ועקב גיוס המילואים. בנוסף, התחזית מניחה כי הלחימה בלבנון תוסיף להשפיע על הפעילות, בעיקר דרך המשך גיוס המילואים והמגבלות על הפעילות בצפון, עד לסיומה במהלך אפריל</w:t>
      </w:r>
      <w:r w:rsidRPr="00117D7A">
        <w:rPr>
          <w:rFonts w:asciiTheme="minorHAnsi" w:hAnsiTheme="minorHAnsi" w:cstheme="minorHAnsi"/>
        </w:rPr>
        <w:t>.</w:t>
      </w:r>
    </w:p>
    <w:p w:rsidR="00117D7A" w:rsidRPr="00117D7A" w:rsidRDefault="00117D7A" w:rsidP="00117D7A">
      <w:pPr>
        <w:tabs>
          <w:tab w:val="num" w:pos="720"/>
        </w:tabs>
        <w:bidi/>
        <w:spacing w:after="360"/>
        <w:jc w:val="both"/>
        <w:rPr>
          <w:rFonts w:asciiTheme="minorHAnsi" w:hAnsiTheme="minorHAnsi" w:cstheme="minorHAnsi"/>
          <w:rtl/>
        </w:rPr>
      </w:pPr>
      <w:r w:rsidRPr="00117D7A">
        <w:rPr>
          <w:rFonts w:asciiTheme="minorHAnsi" w:hAnsiTheme="minorHAnsi" w:cstheme="minorHAnsi"/>
          <w:rtl/>
        </w:rPr>
        <w:t>בהתאם לכך, הצריכה הפרטית צפויה להתרחב ב־3.0% בשנת 2026 וב־7.0% בשנת 2027, וההשקעה בנכסים קבועים צפויה לגדול ב־6.5% וב־14.5%, בהתאמה. היצוא צפוי לצמוח ב־5.5% בשנת 2026 וב־8.0% בשנת 2027, והיבוא האזרחי צפוי לגדול ב־10.0% וב־12.0%, בהתאמה. שיעור האבטלה הרחבה צפוי לעמוד בממוצע על 4.5% בשנת 2026, בעיקר בשל עליה חדה בתקופת הלחימה באיראן, ולרדת ל־3.4% בשנת 2027. שיעור התעסוקה המותאם צפוי לעמוד על 77.5% ו־78.6%, בהתאמה</w:t>
      </w:r>
      <w:r w:rsidRPr="00117D7A">
        <w:rPr>
          <w:rFonts w:asciiTheme="minorHAnsi" w:hAnsiTheme="minorHAnsi" w:cstheme="minorHAnsi"/>
        </w:rPr>
        <w:t>.</w:t>
      </w:r>
    </w:p>
    <w:p w:rsidR="00117D7A" w:rsidRPr="00117D7A" w:rsidRDefault="00117D7A" w:rsidP="00117D7A">
      <w:pPr>
        <w:bidi/>
        <w:spacing w:after="360"/>
        <w:ind w:left="6"/>
        <w:jc w:val="both"/>
        <w:rPr>
          <w:rFonts w:asciiTheme="minorHAnsi" w:hAnsiTheme="minorHAnsi" w:cstheme="minorHAnsi"/>
          <w:rtl/>
        </w:rPr>
      </w:pPr>
      <w:r w:rsidRPr="00117D7A">
        <w:rPr>
          <w:rFonts w:asciiTheme="minorHAnsi" w:hAnsiTheme="minorHAnsi" w:cstheme="minorHAnsi"/>
          <w:b/>
          <w:bCs/>
          <w:rtl/>
        </w:rPr>
        <w:t>הגירעון בתקציב המדינה צפוי לעמוד על 5.3 ו-4.4 אחוזי תוצר בשנים 2026 ו-2027, בהתאמה. יחס החוב הציבורי לתוצר צפוי לעלות ולעמוד על 70.5 אחוזים בשנים 2026 ו-2027.</w:t>
      </w:r>
      <w:r w:rsidRPr="00117D7A">
        <w:rPr>
          <w:rFonts w:asciiTheme="minorHAnsi" w:hAnsiTheme="minorHAnsi" w:cstheme="minorHAnsi"/>
          <w:rtl/>
        </w:rPr>
        <w:t xml:space="preserve"> העלייה בשיעור הגירעון וביחס החוב לתוצר בשנת 2026 ביחס לשיעורם בשנת 2025, והעדכון כלפי מעלה בהשוואה לתחזית חטיבת המחקר מחודש ינואר 2026 נובעים מהעלות הגבוהה של מבצע "שאגת הארי", שהתבטאה בהחלטה להגדיל את תקציב הביטחון ב-32 מיליארדי ש"ח. הנחת העבודה בתחזית היא שאף שלאחר סיום הלחימה, לקראת סוף אפריל, היא לא תתחדש עד סוף 2027, גיוס המילואים יהיה גבוה מהרמה שתוקצבה בתקציב המקורי במשך מספר חודשים לאחר סיום הלחימה העצימה. התחזית מניחה שבמקרה כזה תנוצל במלואה הרזרבה שהממשלה הקצתה (12.8 מיליארדי ש"ח), בעיקר עבור אותם צרכים ביטחוניים. כמו-כן בשל התמשכות הלחימה אנו מניחים כי התביעות בגין נזקים ישירים (רכוש) ועקיפים (מתווה הסיוע לעסקים) יסתכמו בכ-8 מיליארדי ₪ וימומנו מחוץ לתקציב באמצעות קרן מס רכוש – הוצאה שדורשת גיוס חוב נוסף אך לא משתקפת בגרעון. הכנסות זמניות גבוהות מהצפוי בחודשים ינואר ופברואר מיתנו במעט את העדכון כלפי מעלה בתחזיות הגירעון והחוב ביחס לתוצר. העדכון כלפי מעלה של הגרעון החזוי לשנת 2027 ביחס לתחזית ינואר נובע מההנחה שתקציב הביטחון יוגדל בשל הצורך להיערך לאפשרות של עימות צבאי נוסף בטווח הבינוני וכן מדחיית הדיונים אודות צעדים פרמננטיים להעלאת הכנסות המדינה ובראשם מס הרכוש על קרקעות. צמצום הגרעון בשנת 2027 ביחס לשנת 2026 נובע מסיום ההוצאות הישירות על הלחימה, מחד-גיסא, ומאידך גיסא מכך שחלק מההכנסות ב-2026 הן חד-פעמיות (כגון הקדמות תשלומים בשל מיסוי רווחים לא מחולקים ומסי ההכנסה בעקבות מכירת </w:t>
      </w:r>
      <w:proofErr w:type="spellStart"/>
      <w:r w:rsidRPr="00117D7A">
        <w:rPr>
          <w:rFonts w:asciiTheme="minorHAnsi" w:hAnsiTheme="minorHAnsi" w:cstheme="minorHAnsi"/>
          <w:rtl/>
        </w:rPr>
        <w:t>וויז</w:t>
      </w:r>
      <w:proofErr w:type="spellEnd"/>
      <w:r w:rsidRPr="00117D7A">
        <w:rPr>
          <w:rFonts w:asciiTheme="minorHAnsi" w:hAnsiTheme="minorHAnsi" w:cstheme="minorHAnsi"/>
          <w:rtl/>
        </w:rPr>
        <w:t>).</w:t>
      </w:r>
    </w:p>
    <w:p w:rsidR="00117D7A" w:rsidRPr="00117D7A" w:rsidRDefault="00117D7A" w:rsidP="00117D7A">
      <w:pPr>
        <w:pStyle w:val="a"/>
        <w:spacing w:line="276" w:lineRule="auto"/>
        <w:rPr>
          <w:sz w:val="24"/>
          <w:rtl/>
        </w:rPr>
      </w:pPr>
      <w:r w:rsidRPr="00117D7A">
        <w:rPr>
          <w:sz w:val="24"/>
          <w:rtl/>
        </w:rPr>
        <w:t>האינפלציה והריבית</w:t>
      </w:r>
    </w:p>
    <w:p w:rsidR="00117D7A" w:rsidRPr="00117D7A" w:rsidRDefault="00117D7A" w:rsidP="00117D7A">
      <w:pPr>
        <w:bidi/>
        <w:jc w:val="both"/>
        <w:rPr>
          <w:rFonts w:asciiTheme="minorHAnsi" w:hAnsiTheme="minorHAnsi" w:cstheme="minorHAnsi"/>
          <w:b/>
        </w:rPr>
      </w:pPr>
      <w:bookmarkStart w:id="3" w:name="_Hlk202427787"/>
      <w:r w:rsidRPr="00117D7A">
        <w:rPr>
          <w:rFonts w:asciiTheme="minorHAnsi" w:hAnsiTheme="minorHAnsi" w:cstheme="minorHAnsi"/>
          <w:b/>
          <w:rtl/>
        </w:rPr>
        <w:t xml:space="preserve">שיעור האינפלציה במהלך ארבעת הרבעונים הבאים, המסתיימים ברבעון הראשון של שנת 2027, צפוי לעמוד על 2.3% (לוח 2). עליית מחירי הנפט תורמת לעלייה בסביבת האינפלציה בטווח הקצר. מנגד, ציפיות לירידת מחירי הנפט לאחר מכן, להקלה במגבלות ההיצע, ולירידת האי-ודאות עם סיום המבצע בשבועות הקרובים, מובילות להערכה בדבר התמתנות האינפלציה כבר במחצית </w:t>
      </w:r>
      <w:proofErr w:type="spellStart"/>
      <w:r w:rsidRPr="00117D7A">
        <w:rPr>
          <w:rFonts w:asciiTheme="minorHAnsi" w:hAnsiTheme="minorHAnsi" w:cstheme="minorHAnsi"/>
          <w:b/>
          <w:rtl/>
        </w:rPr>
        <w:t>השניה</w:t>
      </w:r>
      <w:proofErr w:type="spellEnd"/>
      <w:r w:rsidRPr="00117D7A">
        <w:rPr>
          <w:rFonts w:asciiTheme="minorHAnsi" w:hAnsiTheme="minorHAnsi" w:cstheme="minorHAnsi"/>
          <w:b/>
          <w:rtl/>
        </w:rPr>
        <w:t xml:space="preserve"> של השנה</w:t>
      </w:r>
      <w:r w:rsidRPr="00117D7A">
        <w:rPr>
          <w:rFonts w:asciiTheme="minorHAnsi" w:hAnsiTheme="minorHAnsi" w:cstheme="minorHAnsi"/>
          <w:b/>
        </w:rPr>
        <w:t>.</w:t>
      </w:r>
    </w:p>
    <w:p w:rsidR="00117D7A" w:rsidRPr="00117D7A" w:rsidRDefault="00117D7A" w:rsidP="00117D7A">
      <w:pPr>
        <w:bidi/>
        <w:jc w:val="both"/>
        <w:rPr>
          <w:rFonts w:asciiTheme="minorHAnsi" w:hAnsiTheme="minorHAnsi" w:cstheme="minorHAnsi"/>
          <w:b/>
          <w:rtl/>
        </w:rPr>
      </w:pPr>
      <w:r w:rsidRPr="00117D7A">
        <w:rPr>
          <w:rFonts w:asciiTheme="minorHAnsi" w:hAnsiTheme="minorHAnsi" w:cstheme="minorHAnsi"/>
          <w:bCs/>
          <w:rtl/>
        </w:rPr>
        <w:t>ריבית בנק ישראל צפויה לעמוד על 3.5%/3.75%, בממוצע, ברבעון הראשון של 2027</w:t>
      </w:r>
      <w:r w:rsidRPr="00117D7A">
        <w:rPr>
          <w:rFonts w:asciiTheme="minorHAnsi" w:hAnsiTheme="minorHAnsi" w:cstheme="minorHAnsi"/>
          <w:b/>
          <w:rtl/>
        </w:rPr>
        <w:t xml:space="preserve"> (לוח 2). תחזית זו מגלמת ירידת ריבית אחת או שתיים במהלך השנה הקרובה. תוואי הריבית ייקבע בהתאם להתפתחות סביבת האינפלציה, לפעילות הכלכלית ולהתפתחויות בשווקים הפיננסיים ובזירה הגיאופוליטית.</w:t>
      </w:r>
      <w:r w:rsidRPr="00117D7A">
        <w:rPr>
          <w:rFonts w:asciiTheme="minorHAnsi" w:hAnsiTheme="minorHAnsi" w:cstheme="minorHAnsi"/>
          <w:b/>
        </w:rPr>
        <w:t xml:space="preserve"> </w:t>
      </w:r>
    </w:p>
    <w:bookmarkEnd w:id="3"/>
    <w:p w:rsidR="00117D7A" w:rsidRDefault="00117D7A" w:rsidP="00117D7A">
      <w:pPr>
        <w:bidi/>
        <w:jc w:val="both"/>
        <w:rPr>
          <w:rFonts w:asciiTheme="minorHAnsi" w:hAnsiTheme="minorHAnsi" w:cstheme="minorHAnsi"/>
          <w:b/>
          <w:rtl/>
        </w:rPr>
      </w:pPr>
      <w:r w:rsidRPr="00117D7A">
        <w:rPr>
          <w:rFonts w:asciiTheme="minorHAnsi" w:hAnsiTheme="minorHAnsi" w:cstheme="minorHAnsi"/>
          <w:b/>
          <w:rtl/>
        </w:rPr>
        <w:t xml:space="preserve">מלוח 2 עולה כי תחזית החטיבה לאינפלציה במהלך ארבעת הרביעים הקרובים גבוהה מהציפיות הנגזרות משוק ההון, אך דומה לממוצע של תחזיות החזאים. תחזית החטיבה לריבית בעוד ארבעה רביעים נמוכה מהציפיות הנגזרות משוק ההון ודומה לממוצע תחזיות החזאים הפרטיים. </w:t>
      </w:r>
    </w:p>
    <w:p w:rsidR="00117D7A" w:rsidRPr="00117D7A" w:rsidRDefault="00117D7A" w:rsidP="00117D7A">
      <w:pPr>
        <w:bidi/>
        <w:jc w:val="both"/>
        <w:rPr>
          <w:rFonts w:asciiTheme="minorHAnsi" w:hAnsiTheme="minorHAnsi" w:cstheme="minorHAnsi"/>
          <w:b/>
          <w:rtl/>
        </w:rPr>
      </w:pPr>
    </w:p>
    <w:tbl>
      <w:tblPr>
        <w:bidiVisual/>
        <w:tblW w:w="5000" w:type="pct"/>
        <w:jc w:val="center"/>
        <w:tblLook w:val="04A0" w:firstRow="1" w:lastRow="0" w:firstColumn="1" w:lastColumn="0" w:noHBand="0" w:noVBand="1"/>
      </w:tblPr>
      <w:tblGrid>
        <w:gridCol w:w="2837"/>
        <w:gridCol w:w="2378"/>
        <w:gridCol w:w="2374"/>
        <w:gridCol w:w="2157"/>
      </w:tblGrid>
      <w:tr w:rsidR="00117D7A" w:rsidRPr="00117D7A" w:rsidTr="000A6373">
        <w:trPr>
          <w:trHeight w:val="280"/>
          <w:jc w:val="center"/>
        </w:trPr>
        <w:tc>
          <w:tcPr>
            <w:tcW w:w="5000" w:type="pct"/>
            <w:gridSpan w:val="4"/>
            <w:tcBorders>
              <w:top w:val="nil"/>
              <w:left w:val="nil"/>
              <w:bottom w:val="nil"/>
              <w:right w:val="nil"/>
            </w:tcBorders>
            <w:noWrap/>
            <w:vAlign w:val="bottom"/>
            <w:hideMark/>
          </w:tcPr>
          <w:p w:rsidR="00117D7A" w:rsidRPr="00117D7A" w:rsidRDefault="00117D7A" w:rsidP="00117D7A">
            <w:pPr>
              <w:bidi/>
              <w:spacing w:after="0"/>
              <w:jc w:val="center"/>
              <w:rPr>
                <w:rFonts w:asciiTheme="minorHAnsi" w:eastAsia="Times New Roman" w:hAnsiTheme="minorHAnsi" w:cstheme="minorHAnsi"/>
                <w:b/>
                <w:bCs/>
                <w:color w:val="000000"/>
              </w:rPr>
            </w:pPr>
            <w:bookmarkStart w:id="4" w:name="_Hlk202427821"/>
            <w:r w:rsidRPr="00117D7A">
              <w:rPr>
                <w:rFonts w:asciiTheme="minorHAnsi" w:eastAsia="Times New Roman" w:hAnsiTheme="minorHAnsi" w:cstheme="minorHAnsi"/>
                <w:b/>
                <w:bCs/>
                <w:color w:val="000000"/>
                <w:rtl/>
              </w:rPr>
              <w:lastRenderedPageBreak/>
              <w:t>לוח 2 | התחזיות לגבי האינפלציה במהלך השנה הקרובה ולגבי הריבית בעוד שנה</w:t>
            </w:r>
          </w:p>
        </w:tc>
      </w:tr>
      <w:tr w:rsidR="00117D7A" w:rsidRPr="00117D7A" w:rsidTr="000A6373">
        <w:trPr>
          <w:trHeight w:val="315"/>
          <w:jc w:val="center"/>
        </w:trPr>
        <w:tc>
          <w:tcPr>
            <w:tcW w:w="5000" w:type="pct"/>
            <w:gridSpan w:val="4"/>
            <w:tcBorders>
              <w:top w:val="nil"/>
              <w:left w:val="nil"/>
              <w:bottom w:val="single" w:sz="4" w:space="0" w:color="1F497D"/>
              <w:right w:val="nil"/>
            </w:tcBorders>
            <w:noWrap/>
            <w:vAlign w:val="bottom"/>
            <w:hideMark/>
          </w:tcPr>
          <w:p w:rsidR="00117D7A" w:rsidRPr="00117D7A" w:rsidRDefault="00117D7A" w:rsidP="00117D7A">
            <w:pPr>
              <w:bidi/>
              <w:spacing w:after="0"/>
              <w:jc w:val="center"/>
              <w:rPr>
                <w:rFonts w:asciiTheme="minorHAnsi" w:eastAsia="Times New Roman" w:hAnsiTheme="minorHAnsi" w:cstheme="minorHAnsi"/>
                <w:color w:val="000000"/>
                <w:rtl/>
              </w:rPr>
            </w:pPr>
            <w:r w:rsidRPr="00117D7A">
              <w:rPr>
                <w:rFonts w:asciiTheme="minorHAnsi" w:eastAsia="Times New Roman" w:hAnsiTheme="minorHAnsi" w:cstheme="minorHAnsi"/>
                <w:color w:val="000000"/>
                <w:rtl/>
              </w:rPr>
              <w:t>(אחוזים)</w:t>
            </w:r>
          </w:p>
        </w:tc>
      </w:tr>
      <w:tr w:rsidR="00117D7A" w:rsidRPr="00117D7A" w:rsidTr="000A6373">
        <w:trPr>
          <w:trHeight w:val="660"/>
          <w:jc w:val="center"/>
        </w:trPr>
        <w:tc>
          <w:tcPr>
            <w:tcW w:w="1462" w:type="pct"/>
            <w:tcBorders>
              <w:top w:val="nil"/>
              <w:left w:val="nil"/>
              <w:bottom w:val="single" w:sz="4" w:space="0" w:color="1F497D"/>
              <w:right w:val="nil"/>
            </w:tcBorders>
            <w:noWrap/>
            <w:vAlign w:val="bottom"/>
            <w:hideMark/>
          </w:tcPr>
          <w:p w:rsidR="00117D7A" w:rsidRPr="00117D7A" w:rsidRDefault="00117D7A" w:rsidP="00117D7A">
            <w:pPr>
              <w:bidi/>
              <w:spacing w:after="0"/>
              <w:rPr>
                <w:rFonts w:asciiTheme="minorHAnsi" w:eastAsia="Times New Roman" w:hAnsiTheme="minorHAnsi" w:cstheme="minorHAnsi"/>
                <w:color w:val="000000"/>
              </w:rPr>
            </w:pPr>
            <w:r w:rsidRPr="00117D7A">
              <w:rPr>
                <w:rFonts w:asciiTheme="minorHAnsi" w:eastAsia="Times New Roman" w:hAnsiTheme="minorHAnsi" w:cstheme="minorHAnsi"/>
                <w:color w:val="000000"/>
              </w:rPr>
              <w:t> </w:t>
            </w:r>
          </w:p>
        </w:tc>
        <w:tc>
          <w:tcPr>
            <w:tcW w:w="1219" w:type="pct"/>
            <w:tcBorders>
              <w:top w:val="nil"/>
              <w:left w:val="nil"/>
              <w:bottom w:val="nil"/>
              <w:right w:val="nil"/>
            </w:tcBorders>
            <w:vAlign w:val="center"/>
            <w:hideMark/>
          </w:tcPr>
          <w:p w:rsidR="00117D7A" w:rsidRPr="00117D7A" w:rsidRDefault="00117D7A" w:rsidP="00117D7A">
            <w:pPr>
              <w:bidi/>
              <w:spacing w:after="0"/>
              <w:rPr>
                <w:rFonts w:asciiTheme="minorHAnsi" w:eastAsia="Times New Roman" w:hAnsiTheme="minorHAnsi" w:cstheme="minorHAnsi"/>
                <w:color w:val="1F497D"/>
              </w:rPr>
            </w:pPr>
            <w:r w:rsidRPr="00117D7A">
              <w:rPr>
                <w:rFonts w:asciiTheme="minorHAnsi" w:eastAsia="Times New Roman" w:hAnsiTheme="minorHAnsi" w:cstheme="minorHAnsi"/>
                <w:color w:val="1F497D"/>
                <w:rtl/>
              </w:rPr>
              <w:t>חטיבת המחקר של בנק ישראל</w:t>
            </w:r>
            <w:r w:rsidRPr="00117D7A">
              <w:rPr>
                <w:rFonts w:asciiTheme="minorHAnsi" w:eastAsia="Times New Roman" w:hAnsiTheme="minorHAnsi" w:cstheme="minorHAnsi"/>
                <w:color w:val="1F497D"/>
                <w:vertAlign w:val="superscript"/>
                <w:rtl/>
              </w:rPr>
              <w:t>1</w:t>
            </w:r>
          </w:p>
        </w:tc>
        <w:tc>
          <w:tcPr>
            <w:tcW w:w="1217" w:type="pct"/>
            <w:tcBorders>
              <w:top w:val="nil"/>
              <w:left w:val="nil"/>
              <w:bottom w:val="single" w:sz="4" w:space="0" w:color="1F497D"/>
              <w:right w:val="nil"/>
            </w:tcBorders>
            <w:vAlign w:val="center"/>
            <w:hideMark/>
          </w:tcPr>
          <w:p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שוק ההון</w:t>
            </w:r>
            <w:r w:rsidRPr="00117D7A">
              <w:rPr>
                <w:rFonts w:asciiTheme="minorHAnsi" w:eastAsia="Times New Roman" w:hAnsiTheme="minorHAnsi" w:cstheme="minorHAnsi"/>
                <w:color w:val="1F497D"/>
                <w:vertAlign w:val="superscript"/>
                <w:rtl/>
              </w:rPr>
              <w:t>2</w:t>
            </w:r>
          </w:p>
        </w:tc>
        <w:tc>
          <w:tcPr>
            <w:tcW w:w="1101" w:type="pct"/>
            <w:tcBorders>
              <w:top w:val="nil"/>
              <w:left w:val="nil"/>
              <w:bottom w:val="single" w:sz="4" w:space="0" w:color="1F497D"/>
              <w:right w:val="nil"/>
            </w:tcBorders>
            <w:vAlign w:val="center"/>
            <w:hideMark/>
          </w:tcPr>
          <w:p w:rsidR="00117D7A" w:rsidRPr="00117D7A" w:rsidRDefault="00117D7A" w:rsidP="00117D7A">
            <w:pPr>
              <w:bidi/>
              <w:spacing w:after="0"/>
              <w:rPr>
                <w:rFonts w:asciiTheme="minorHAnsi" w:eastAsia="Times New Roman" w:hAnsiTheme="minorHAnsi" w:cstheme="minorHAnsi"/>
                <w:color w:val="1F497D"/>
                <w:rtl/>
              </w:rPr>
            </w:pPr>
            <w:r w:rsidRPr="00117D7A">
              <w:rPr>
                <w:rFonts w:asciiTheme="minorHAnsi" w:eastAsia="Times New Roman" w:hAnsiTheme="minorHAnsi" w:cstheme="minorHAnsi"/>
                <w:color w:val="1F497D"/>
                <w:rtl/>
              </w:rPr>
              <w:t>החזאים הפרטיים</w:t>
            </w:r>
            <w:r w:rsidRPr="00117D7A">
              <w:rPr>
                <w:rFonts w:asciiTheme="minorHAnsi" w:eastAsia="Times New Roman" w:hAnsiTheme="minorHAnsi" w:cstheme="minorHAnsi"/>
                <w:color w:val="1F497D"/>
                <w:vertAlign w:val="superscript"/>
                <w:rtl/>
              </w:rPr>
              <w:t>3</w:t>
            </w:r>
            <w:r w:rsidRPr="00117D7A">
              <w:rPr>
                <w:rFonts w:asciiTheme="minorHAnsi" w:eastAsia="Times New Roman" w:hAnsiTheme="minorHAnsi" w:cstheme="minorHAnsi"/>
                <w:color w:val="1F497D"/>
                <w:rtl/>
              </w:rPr>
              <w:br/>
              <w:t>(טווח התחזיות)</w:t>
            </w:r>
          </w:p>
        </w:tc>
      </w:tr>
      <w:tr w:rsidR="00117D7A" w:rsidRPr="00117D7A" w:rsidTr="000A6373">
        <w:trPr>
          <w:trHeight w:val="300"/>
          <w:jc w:val="center"/>
        </w:trPr>
        <w:tc>
          <w:tcPr>
            <w:tcW w:w="1462" w:type="pct"/>
            <w:tcBorders>
              <w:top w:val="nil"/>
              <w:left w:val="nil"/>
              <w:bottom w:val="nil"/>
              <w:right w:val="nil"/>
            </w:tcBorders>
            <w:vAlign w:val="center"/>
            <w:hideMark/>
          </w:tcPr>
          <w:p w:rsidR="00117D7A" w:rsidRPr="00117D7A" w:rsidRDefault="00117D7A" w:rsidP="00117D7A">
            <w:pPr>
              <w:bidi/>
              <w:spacing w:after="0"/>
              <w:rPr>
                <w:rFonts w:asciiTheme="minorHAnsi" w:eastAsia="Times New Roman" w:hAnsiTheme="minorHAnsi" w:cstheme="minorHAnsi"/>
                <w:rtl/>
              </w:rPr>
            </w:pPr>
            <w:r w:rsidRPr="00117D7A">
              <w:rPr>
                <w:rFonts w:asciiTheme="minorHAnsi" w:eastAsia="Times New Roman" w:hAnsiTheme="minorHAnsi" w:cstheme="minorHAnsi"/>
                <w:rtl/>
              </w:rPr>
              <w:t>האינפלציה</w:t>
            </w:r>
          </w:p>
        </w:tc>
        <w:tc>
          <w:tcPr>
            <w:tcW w:w="1219" w:type="pct"/>
            <w:tcBorders>
              <w:top w:val="single" w:sz="4" w:space="0" w:color="1F497D"/>
              <w:left w:val="nil"/>
              <w:bottom w:val="nil"/>
              <w:right w:val="nil"/>
            </w:tcBorders>
            <w:noWrap/>
            <w:vAlign w:val="bottom"/>
            <w:hideMark/>
          </w:tcPr>
          <w:p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rtl/>
              </w:rPr>
              <w:t>2.3</w:t>
            </w:r>
          </w:p>
        </w:tc>
        <w:tc>
          <w:tcPr>
            <w:tcW w:w="1217" w:type="pct"/>
            <w:tcBorders>
              <w:top w:val="nil"/>
              <w:left w:val="nil"/>
              <w:bottom w:val="nil"/>
              <w:right w:val="nil"/>
            </w:tcBorders>
            <w:noWrap/>
            <w:vAlign w:val="bottom"/>
            <w:hideMark/>
          </w:tcPr>
          <w:p w:rsidR="00117D7A" w:rsidRPr="00117D7A" w:rsidRDefault="00117D7A" w:rsidP="00117D7A">
            <w:pPr>
              <w:bidi/>
              <w:spacing w:after="0"/>
              <w:rPr>
                <w:rFonts w:asciiTheme="minorHAnsi" w:eastAsia="Times New Roman" w:hAnsiTheme="minorHAnsi" w:cstheme="minorHAnsi"/>
                <w:color w:val="000000" w:themeColor="text1"/>
                <w:highlight w:val="yellow"/>
                <w:rtl/>
              </w:rPr>
            </w:pPr>
            <w:r w:rsidRPr="00117D7A">
              <w:rPr>
                <w:rFonts w:asciiTheme="minorHAnsi" w:eastAsia="Times New Roman" w:hAnsiTheme="minorHAnsi" w:cstheme="minorHAnsi"/>
                <w:color w:val="000000" w:themeColor="text1"/>
              </w:rPr>
              <w:t>1.8</w:t>
            </w:r>
          </w:p>
        </w:tc>
        <w:tc>
          <w:tcPr>
            <w:tcW w:w="1101" w:type="pct"/>
            <w:tcBorders>
              <w:top w:val="nil"/>
              <w:left w:val="nil"/>
              <w:bottom w:val="nil"/>
              <w:right w:val="nil"/>
            </w:tcBorders>
            <w:noWrap/>
            <w:vAlign w:val="bottom"/>
            <w:hideMark/>
          </w:tcPr>
          <w:p w:rsidR="00117D7A" w:rsidRPr="00117D7A" w:rsidRDefault="00117D7A" w:rsidP="00117D7A">
            <w:pPr>
              <w:bidi/>
              <w:spacing w:after="0"/>
              <w:rPr>
                <w:rFonts w:asciiTheme="minorHAnsi" w:eastAsia="Times New Roman" w:hAnsiTheme="minorHAnsi" w:cstheme="minorHAnsi"/>
                <w:color w:val="000000" w:themeColor="text1"/>
                <w:highlight w:val="yellow"/>
                <w:rtl/>
              </w:rPr>
            </w:pPr>
            <w:r w:rsidRPr="00117D7A">
              <w:rPr>
                <w:rFonts w:asciiTheme="minorHAnsi" w:eastAsia="Times New Roman" w:hAnsiTheme="minorHAnsi" w:cstheme="minorHAnsi"/>
                <w:color w:val="000000" w:themeColor="text1"/>
                <w:rtl/>
              </w:rPr>
              <w:t>3.</w:t>
            </w:r>
            <w:r w:rsidRPr="00117D7A">
              <w:rPr>
                <w:rFonts w:asciiTheme="minorHAnsi" w:eastAsia="Times New Roman" w:hAnsiTheme="minorHAnsi" w:cstheme="minorHAnsi"/>
                <w:color w:val="000000" w:themeColor="text1"/>
              </w:rPr>
              <w:t>2</w:t>
            </w:r>
            <w:r w:rsidRPr="00117D7A">
              <w:rPr>
                <w:rFonts w:asciiTheme="minorHAnsi" w:eastAsia="Times New Roman" w:hAnsiTheme="minorHAnsi" w:cstheme="minorHAnsi"/>
                <w:color w:val="000000" w:themeColor="text1"/>
                <w:rtl/>
              </w:rPr>
              <w:t xml:space="preserve"> (</w:t>
            </w:r>
            <w:r w:rsidRPr="00117D7A">
              <w:rPr>
                <w:rFonts w:asciiTheme="minorHAnsi" w:eastAsia="Times New Roman" w:hAnsiTheme="minorHAnsi" w:cstheme="minorHAnsi"/>
                <w:color w:val="000000" w:themeColor="text1"/>
              </w:rPr>
              <w:t>2.0-3.0</w:t>
            </w:r>
            <w:r w:rsidRPr="00117D7A">
              <w:rPr>
                <w:rFonts w:asciiTheme="minorHAnsi" w:eastAsia="Times New Roman" w:hAnsiTheme="minorHAnsi" w:cstheme="minorHAnsi"/>
                <w:color w:val="000000" w:themeColor="text1"/>
                <w:rtl/>
              </w:rPr>
              <w:t>)</w:t>
            </w:r>
          </w:p>
        </w:tc>
      </w:tr>
      <w:tr w:rsidR="00117D7A" w:rsidRPr="00117D7A" w:rsidTr="000A6373">
        <w:trPr>
          <w:trHeight w:val="300"/>
          <w:jc w:val="center"/>
        </w:trPr>
        <w:tc>
          <w:tcPr>
            <w:tcW w:w="1462" w:type="pct"/>
            <w:tcBorders>
              <w:top w:val="nil"/>
              <w:left w:val="nil"/>
              <w:bottom w:val="single" w:sz="4" w:space="0" w:color="1F497D"/>
              <w:right w:val="nil"/>
            </w:tcBorders>
            <w:vAlign w:val="center"/>
            <w:hideMark/>
          </w:tcPr>
          <w:p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rtl/>
              </w:rPr>
              <w:t>ריבית בנק ישראל</w:t>
            </w:r>
          </w:p>
        </w:tc>
        <w:tc>
          <w:tcPr>
            <w:tcW w:w="1219" w:type="pct"/>
            <w:tcBorders>
              <w:top w:val="nil"/>
              <w:left w:val="nil"/>
              <w:bottom w:val="single" w:sz="4" w:space="0" w:color="1F497D"/>
              <w:right w:val="nil"/>
            </w:tcBorders>
            <w:noWrap/>
            <w:vAlign w:val="bottom"/>
            <w:hideMark/>
          </w:tcPr>
          <w:p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rPr>
              <w:t>3.75</w:t>
            </w:r>
            <w:r w:rsidRPr="00117D7A">
              <w:rPr>
                <w:rFonts w:asciiTheme="minorHAnsi" w:eastAsia="Times New Roman" w:hAnsiTheme="minorHAnsi" w:cstheme="minorHAnsi"/>
                <w:color w:val="000000"/>
                <w:rtl/>
              </w:rPr>
              <w:t>/</w:t>
            </w:r>
            <w:r w:rsidRPr="00117D7A">
              <w:rPr>
                <w:rFonts w:asciiTheme="minorHAnsi" w:eastAsia="Times New Roman" w:hAnsiTheme="minorHAnsi" w:cstheme="minorHAnsi"/>
                <w:color w:val="000000"/>
              </w:rPr>
              <w:t>3.5</w:t>
            </w:r>
          </w:p>
        </w:tc>
        <w:tc>
          <w:tcPr>
            <w:tcW w:w="1217" w:type="pct"/>
            <w:tcBorders>
              <w:top w:val="nil"/>
              <w:left w:val="nil"/>
              <w:bottom w:val="single" w:sz="4" w:space="0" w:color="1F497D"/>
              <w:right w:val="nil"/>
            </w:tcBorders>
            <w:noWrap/>
            <w:vAlign w:val="bottom"/>
            <w:hideMark/>
          </w:tcPr>
          <w:p w:rsidR="00117D7A" w:rsidRPr="00117D7A" w:rsidRDefault="00117D7A" w:rsidP="00117D7A">
            <w:pPr>
              <w:bidi/>
              <w:spacing w:after="0"/>
              <w:rPr>
                <w:rFonts w:asciiTheme="minorHAnsi" w:eastAsia="Times New Roman" w:hAnsiTheme="minorHAnsi" w:cstheme="minorHAnsi"/>
                <w:color w:val="000000" w:themeColor="text1"/>
                <w:highlight w:val="yellow"/>
              </w:rPr>
            </w:pPr>
            <w:r w:rsidRPr="00117D7A">
              <w:rPr>
                <w:rFonts w:asciiTheme="minorHAnsi" w:eastAsia="Times New Roman" w:hAnsiTheme="minorHAnsi" w:cstheme="minorHAnsi"/>
                <w:color w:val="000000" w:themeColor="text1"/>
                <w:rtl/>
              </w:rPr>
              <w:t>3.9</w:t>
            </w:r>
          </w:p>
        </w:tc>
        <w:tc>
          <w:tcPr>
            <w:tcW w:w="1101" w:type="pct"/>
            <w:tcBorders>
              <w:top w:val="nil"/>
              <w:left w:val="nil"/>
              <w:bottom w:val="single" w:sz="4" w:space="0" w:color="1F497D"/>
              <w:right w:val="nil"/>
            </w:tcBorders>
            <w:noWrap/>
            <w:vAlign w:val="bottom"/>
            <w:hideMark/>
          </w:tcPr>
          <w:p w:rsidR="00117D7A" w:rsidRPr="00117D7A" w:rsidRDefault="00117D7A" w:rsidP="00117D7A">
            <w:pPr>
              <w:bidi/>
              <w:spacing w:after="0"/>
              <w:rPr>
                <w:rFonts w:asciiTheme="minorHAnsi" w:eastAsia="Times New Roman" w:hAnsiTheme="minorHAnsi" w:cstheme="minorHAnsi"/>
                <w:color w:val="000000" w:themeColor="text1"/>
                <w:highlight w:val="yellow"/>
                <w:rtl/>
              </w:rPr>
            </w:pPr>
            <w:r w:rsidRPr="00117D7A">
              <w:rPr>
                <w:rFonts w:asciiTheme="minorHAnsi" w:eastAsia="Times New Roman" w:hAnsiTheme="minorHAnsi" w:cstheme="minorHAnsi"/>
                <w:color w:val="000000" w:themeColor="text1"/>
              </w:rPr>
              <w:t>3.5</w:t>
            </w:r>
            <w:r w:rsidRPr="00117D7A">
              <w:rPr>
                <w:rFonts w:asciiTheme="minorHAnsi" w:eastAsia="Times New Roman" w:hAnsiTheme="minorHAnsi" w:cstheme="minorHAnsi"/>
                <w:color w:val="000000" w:themeColor="text1"/>
                <w:rtl/>
              </w:rPr>
              <w:t xml:space="preserve"> </w:t>
            </w:r>
            <w:r w:rsidRPr="00117D7A">
              <w:rPr>
                <w:rFonts w:asciiTheme="minorHAnsi" w:eastAsia="Times New Roman" w:hAnsiTheme="minorHAnsi" w:cstheme="minorHAnsi"/>
                <w:color w:val="000000" w:themeColor="text1"/>
              </w:rPr>
              <w:t>(3.0-3.75)</w:t>
            </w:r>
          </w:p>
        </w:tc>
      </w:tr>
      <w:tr w:rsidR="00117D7A" w:rsidRPr="00117D7A" w:rsidTr="000A6373">
        <w:trPr>
          <w:trHeight w:val="285"/>
          <w:jc w:val="center"/>
        </w:trPr>
        <w:tc>
          <w:tcPr>
            <w:tcW w:w="5000" w:type="pct"/>
            <w:gridSpan w:val="4"/>
            <w:tcBorders>
              <w:top w:val="nil"/>
              <w:left w:val="nil"/>
              <w:bottom w:val="nil"/>
              <w:right w:val="nil"/>
            </w:tcBorders>
            <w:noWrap/>
            <w:vAlign w:val="bottom"/>
          </w:tcPr>
          <w:p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vertAlign w:val="superscript"/>
                <w:rtl/>
              </w:rPr>
              <w:t>1</w:t>
            </w:r>
            <w:r w:rsidRPr="00117D7A">
              <w:rPr>
                <w:rFonts w:asciiTheme="minorHAnsi" w:eastAsia="Times New Roman" w:hAnsiTheme="minorHAnsi" w:cstheme="minorHAnsi"/>
                <w:color w:val="000000"/>
                <w:rtl/>
              </w:rPr>
              <w:t xml:space="preserve"> תחזית לאינפלציה בארבעת הרבעונים המסתיימים ברבעון הראשון של 2027 ולריבית הממוצעת ברבעון הראשון של 2027.</w:t>
            </w:r>
          </w:p>
        </w:tc>
      </w:tr>
      <w:tr w:rsidR="00117D7A" w:rsidRPr="00117D7A" w:rsidTr="000A6373">
        <w:trPr>
          <w:trHeight w:val="285"/>
          <w:jc w:val="center"/>
        </w:trPr>
        <w:tc>
          <w:tcPr>
            <w:tcW w:w="5000" w:type="pct"/>
            <w:gridSpan w:val="4"/>
            <w:tcBorders>
              <w:top w:val="nil"/>
              <w:left w:val="nil"/>
              <w:bottom w:val="nil"/>
              <w:right w:val="nil"/>
            </w:tcBorders>
            <w:noWrap/>
            <w:vAlign w:val="center"/>
            <w:hideMark/>
          </w:tcPr>
          <w:p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vertAlign w:val="superscript"/>
                <w:rtl/>
              </w:rPr>
              <w:t>2</w:t>
            </w:r>
            <w:r w:rsidRPr="00117D7A">
              <w:rPr>
                <w:rFonts w:asciiTheme="minorHAnsi" w:eastAsia="Times New Roman" w:hAnsiTheme="minorHAnsi" w:cstheme="minorHAnsi"/>
                <w:color w:val="000000"/>
                <w:rtl/>
              </w:rPr>
              <w:t xml:space="preserve"> נכון עדכני </w:t>
            </w:r>
            <w:r w:rsidRPr="00117D7A">
              <w:rPr>
                <w:rFonts w:asciiTheme="minorHAnsi" w:eastAsia="Times New Roman" w:hAnsiTheme="minorHAnsi" w:cstheme="minorHAnsi"/>
                <w:color w:val="000000" w:themeColor="text1"/>
                <w:rtl/>
              </w:rPr>
              <w:t xml:space="preserve">לנתוני ה-30/3/2026. ציפיות </w:t>
            </w:r>
            <w:r w:rsidRPr="00117D7A">
              <w:rPr>
                <w:rFonts w:asciiTheme="minorHAnsi" w:eastAsia="Times New Roman" w:hAnsiTheme="minorHAnsi" w:cstheme="minorHAnsi"/>
                <w:color w:val="000000"/>
                <w:rtl/>
              </w:rPr>
              <w:t xml:space="preserve">האינפלציה מנוכות עונתיות ומתייחסות לשנה קדימה </w:t>
            </w:r>
            <w:r w:rsidRPr="00117D7A">
              <w:rPr>
                <w:rFonts w:asciiTheme="minorHAnsi" w:eastAsia="Times New Roman" w:hAnsiTheme="minorHAnsi" w:cstheme="minorHAnsi"/>
                <w:color w:val="000000" w:themeColor="text1"/>
                <w:rtl/>
              </w:rPr>
              <w:t xml:space="preserve">והציפיות </w:t>
            </w:r>
            <w:r w:rsidRPr="00117D7A">
              <w:rPr>
                <w:rFonts w:asciiTheme="minorHAnsi" w:eastAsia="Times New Roman" w:hAnsiTheme="minorHAnsi" w:cstheme="minorHAnsi"/>
                <w:color w:val="000000"/>
                <w:rtl/>
              </w:rPr>
              <w:t>לריבית מבוססות על ממוצע ציטוטי שוק ה-</w:t>
            </w:r>
            <w:r w:rsidRPr="00117D7A">
              <w:rPr>
                <w:rFonts w:asciiTheme="minorHAnsi" w:eastAsia="Times New Roman" w:hAnsiTheme="minorHAnsi" w:cstheme="minorHAnsi"/>
                <w:color w:val="000000"/>
              </w:rPr>
              <w:t>SHIR</w:t>
            </w:r>
            <w:r w:rsidRPr="00117D7A">
              <w:rPr>
                <w:rFonts w:asciiTheme="minorHAnsi" w:eastAsia="Times New Roman" w:hAnsiTheme="minorHAnsi" w:cstheme="minorHAnsi"/>
                <w:color w:val="000000"/>
                <w:rtl/>
              </w:rPr>
              <w:t xml:space="preserve"> ועיבודי בנק ישראל. </w:t>
            </w:r>
          </w:p>
        </w:tc>
      </w:tr>
      <w:tr w:rsidR="00117D7A" w:rsidRPr="00117D7A" w:rsidTr="000A6373">
        <w:trPr>
          <w:trHeight w:val="285"/>
          <w:jc w:val="center"/>
        </w:trPr>
        <w:tc>
          <w:tcPr>
            <w:tcW w:w="5000" w:type="pct"/>
            <w:gridSpan w:val="4"/>
            <w:tcBorders>
              <w:top w:val="nil"/>
              <w:left w:val="nil"/>
              <w:bottom w:val="nil"/>
              <w:right w:val="nil"/>
            </w:tcBorders>
            <w:noWrap/>
            <w:vAlign w:val="bottom"/>
            <w:hideMark/>
          </w:tcPr>
          <w:p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color w:val="000000"/>
                <w:vertAlign w:val="superscript"/>
                <w:rtl/>
              </w:rPr>
              <w:t>3</w:t>
            </w:r>
            <w:r w:rsidRPr="00117D7A">
              <w:rPr>
                <w:rFonts w:asciiTheme="minorHAnsi" w:eastAsia="Times New Roman" w:hAnsiTheme="minorHAnsi" w:cstheme="minorHAnsi"/>
                <w:color w:val="000000"/>
                <w:rtl/>
              </w:rPr>
              <w:t xml:space="preserve"> נכון לנתוני ה-</w:t>
            </w:r>
            <w:r w:rsidRPr="00117D7A">
              <w:rPr>
                <w:rFonts w:asciiTheme="minorHAnsi" w:eastAsia="Times New Roman" w:hAnsiTheme="minorHAnsi" w:cstheme="minorHAnsi"/>
                <w:color w:val="000000" w:themeColor="text1"/>
                <w:rtl/>
              </w:rPr>
              <w:t>30/3/2026</w:t>
            </w:r>
            <w:r w:rsidRPr="00117D7A">
              <w:rPr>
                <w:rFonts w:asciiTheme="minorHAnsi" w:eastAsia="Times New Roman" w:hAnsiTheme="minorHAnsi" w:cstheme="minorHAnsi"/>
                <w:color w:val="000000"/>
                <w:rtl/>
              </w:rPr>
              <w:t xml:space="preserve">. תחזיות החזאים מתייחסות ל-12 המדדים </w:t>
            </w:r>
            <w:r w:rsidRPr="00117D7A">
              <w:rPr>
                <w:rFonts w:asciiTheme="minorHAnsi" w:eastAsia="Times New Roman" w:hAnsiTheme="minorHAnsi" w:cstheme="minorHAnsi"/>
                <w:color w:val="000000" w:themeColor="text1"/>
                <w:rtl/>
              </w:rPr>
              <w:t>הבאים</w:t>
            </w:r>
            <w:r w:rsidRPr="00117D7A">
              <w:rPr>
                <w:rFonts w:asciiTheme="minorHAnsi" w:eastAsia="Times New Roman" w:hAnsiTheme="minorHAnsi" w:cstheme="minorHAnsi"/>
                <w:color w:val="000000"/>
                <w:rtl/>
              </w:rPr>
              <w:t>.</w:t>
            </w:r>
          </w:p>
        </w:tc>
      </w:tr>
      <w:tr w:rsidR="00117D7A" w:rsidRPr="00117D7A" w:rsidTr="000A6373">
        <w:trPr>
          <w:trHeight w:val="255"/>
          <w:jc w:val="center"/>
        </w:trPr>
        <w:tc>
          <w:tcPr>
            <w:tcW w:w="5000" w:type="pct"/>
            <w:gridSpan w:val="4"/>
            <w:tcBorders>
              <w:top w:val="nil"/>
              <w:left w:val="nil"/>
              <w:bottom w:val="nil"/>
              <w:right w:val="nil"/>
            </w:tcBorders>
            <w:noWrap/>
            <w:vAlign w:val="center"/>
            <w:hideMark/>
          </w:tcPr>
          <w:p w:rsidR="00117D7A" w:rsidRPr="00117D7A" w:rsidRDefault="00117D7A" w:rsidP="00117D7A">
            <w:pPr>
              <w:bidi/>
              <w:spacing w:after="0"/>
              <w:rPr>
                <w:rFonts w:asciiTheme="minorHAnsi" w:eastAsia="Times New Roman" w:hAnsiTheme="minorHAnsi" w:cstheme="minorHAnsi"/>
                <w:color w:val="000000"/>
                <w:rtl/>
              </w:rPr>
            </w:pPr>
            <w:r w:rsidRPr="00117D7A">
              <w:rPr>
                <w:rFonts w:asciiTheme="minorHAnsi" w:eastAsia="Times New Roman" w:hAnsiTheme="minorHAnsi" w:cstheme="minorHAnsi"/>
                <w:b/>
                <w:bCs/>
                <w:color w:val="000000"/>
                <w:rtl/>
              </w:rPr>
              <w:t>המקור:</w:t>
            </w:r>
            <w:r w:rsidRPr="00117D7A">
              <w:rPr>
                <w:rFonts w:asciiTheme="minorHAnsi" w:eastAsia="Times New Roman" w:hAnsiTheme="minorHAnsi" w:cstheme="minorHAnsi"/>
                <w:color w:val="000000"/>
                <w:rtl/>
              </w:rPr>
              <w:t xml:space="preserve"> בנק ישראל.</w:t>
            </w:r>
          </w:p>
        </w:tc>
      </w:tr>
    </w:tbl>
    <w:bookmarkEnd w:id="4"/>
    <w:p w:rsidR="00117D7A" w:rsidRPr="00117D7A" w:rsidRDefault="00117D7A" w:rsidP="00117D7A">
      <w:pPr>
        <w:pStyle w:val="a"/>
        <w:spacing w:line="276" w:lineRule="auto"/>
        <w:rPr>
          <w:sz w:val="24"/>
        </w:rPr>
      </w:pPr>
      <w:r w:rsidRPr="00117D7A">
        <w:rPr>
          <w:sz w:val="24"/>
          <w:rtl/>
        </w:rPr>
        <w:t>הסיכונים העיקריים לתחזית</w:t>
      </w:r>
    </w:p>
    <w:p w:rsidR="00117D7A" w:rsidRPr="00117D7A" w:rsidRDefault="00117D7A" w:rsidP="00117D7A">
      <w:pPr>
        <w:tabs>
          <w:tab w:val="num" w:pos="720"/>
        </w:tabs>
        <w:bidi/>
        <w:ind w:left="8"/>
        <w:jc w:val="both"/>
        <w:rPr>
          <w:rFonts w:asciiTheme="minorHAnsi" w:hAnsiTheme="minorHAnsi" w:cstheme="minorHAnsi"/>
        </w:rPr>
      </w:pPr>
      <w:r w:rsidRPr="00117D7A">
        <w:rPr>
          <w:rFonts w:asciiTheme="minorHAnsi" w:hAnsiTheme="minorHAnsi" w:cstheme="minorHAnsi"/>
          <w:rtl/>
        </w:rPr>
        <w:t>לנוכח אי-הוודאות הגבוהה במיוחד, בחנה חטיבת המחקר גם תרחישים חלופיים ביחס למשך המערכה ולאופן סיומה. הימשכות הלחימה והמגבלות על הפעילות בעורף עלולות להביא לפגיעה ממושכת יותר בפעילות, ופגיעה זו עלולה להחריף ואף להתרחב לערוצים נוספים. כמו כן, לאופן סיום המערכה עשויה להיות השפעה מהותית על סביבת האינפלציה, על פרמיית הסיכון ועל הצורך בהתאמות פיסקליות, ובפרט דרך מחירי האנרגיה, שער החליפין ותקציב הביטחון. בהיבט זה, הסיכונים סביב האינפלציה מוטים כלפי מעלה ככל שהתמשכות האי-ודאות הגיאופוליטית תתבטא בפרמיית סיכון גבוהה יותר, בפיחות ובמחירי אנרגיה גבוהים מן ההנחות שבבסיס התחזית. מנגד, התפתחות גיאופוליטית חיובית יותר עשויה לתמוך בהתאוששות מהירה יותר של הפעילות וירידה מהירה יותר של האינפלציה, או לחילופין להתגברות עודפי הביקוש ועליה באינפלציה. בהתאם לכך, המדיניות המוניטרית תגיב להתפתחות סביבת האינפלציה והפעילות: אם הלחצים האינפלציוניים יתבררו כמתמשכים יותר, הדבר יתמוך בתוואי ריבית מרסן יותר; ואם האינפלציה תתמתן מהר יותר מן הצפוי לצד ירידה בפרמיית הסיכון, ייווצר מרחב להפחתת ריבית מהירה יותר</w:t>
      </w:r>
      <w:r w:rsidRPr="00117D7A">
        <w:rPr>
          <w:rFonts w:asciiTheme="minorHAnsi" w:hAnsiTheme="minorHAnsi" w:cstheme="minorHAnsi"/>
        </w:rPr>
        <w:t>.</w:t>
      </w:r>
    </w:p>
    <w:p w:rsidR="00117D7A" w:rsidRPr="00117D7A" w:rsidRDefault="00117D7A" w:rsidP="00117D7A">
      <w:pPr>
        <w:tabs>
          <w:tab w:val="num" w:pos="720"/>
        </w:tabs>
        <w:bidi/>
        <w:ind w:left="8"/>
        <w:jc w:val="both"/>
        <w:rPr>
          <w:rFonts w:asciiTheme="minorHAnsi" w:hAnsiTheme="minorHAnsi" w:cstheme="minorHAnsi"/>
          <w:rtl/>
        </w:rPr>
      </w:pPr>
      <w:r w:rsidRPr="00117D7A">
        <w:rPr>
          <w:rFonts w:asciiTheme="minorHAnsi" w:hAnsiTheme="minorHAnsi" w:cstheme="minorHAnsi"/>
          <w:rtl/>
        </w:rPr>
        <w:t>מהסתכלות כוללת, על מגוון התרחישים האפשריים, עולה שמאזן הסיכונים נוטה לכיוון של צמיחה נמוכה יותר מזו שבתרחיש הבסיס, בעוד שסיכוני האינפלציה מוטים מעלה.</w:t>
      </w:r>
    </w:p>
    <w:p w:rsidR="00117D7A" w:rsidRPr="00117D7A" w:rsidRDefault="00117D7A" w:rsidP="00117D7A">
      <w:pPr>
        <w:tabs>
          <w:tab w:val="num" w:pos="720"/>
        </w:tabs>
        <w:bidi/>
        <w:ind w:left="8"/>
        <w:jc w:val="both"/>
        <w:rPr>
          <w:rFonts w:asciiTheme="minorHAnsi" w:hAnsiTheme="minorHAnsi" w:cstheme="minorHAnsi"/>
          <w:rtl/>
        </w:rPr>
      </w:pPr>
    </w:p>
    <w:p w:rsidR="00117D7A" w:rsidRPr="00117D7A" w:rsidRDefault="00117D7A" w:rsidP="00117D7A">
      <w:pPr>
        <w:tabs>
          <w:tab w:val="num" w:pos="720"/>
        </w:tabs>
        <w:bidi/>
        <w:ind w:left="8"/>
        <w:jc w:val="both"/>
        <w:rPr>
          <w:rFonts w:asciiTheme="minorHAnsi" w:hAnsiTheme="minorHAnsi" w:cstheme="minorHAnsi"/>
          <w:rtl/>
        </w:rPr>
      </w:pPr>
    </w:p>
    <w:p w:rsidR="003E7478" w:rsidRPr="00117D7A" w:rsidRDefault="003E7478" w:rsidP="00117D7A">
      <w:pPr>
        <w:bidi/>
        <w:rPr>
          <w:rFonts w:asciiTheme="minorHAnsi" w:hAnsiTheme="minorHAnsi" w:cstheme="minorHAnsi"/>
        </w:rPr>
      </w:pPr>
    </w:p>
    <w:sectPr w:rsidR="003E7478" w:rsidRPr="00117D7A" w:rsidSect="00CC2499">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8"/>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 w:id="1">
    <w:p w:rsidR="00117D7A" w:rsidRPr="00202530" w:rsidRDefault="00117D7A" w:rsidP="00117D7A">
      <w:pPr>
        <w:pStyle w:val="af1"/>
        <w:spacing w:before="60" w:after="120"/>
        <w:ind w:left="17"/>
        <w:rPr>
          <w:sz w:val="18"/>
          <w:szCs w:val="18"/>
          <w:rtl/>
        </w:rPr>
      </w:pPr>
      <w:r w:rsidRPr="00202530">
        <w:rPr>
          <w:rStyle w:val="af3"/>
        </w:rPr>
        <w:footnoteRef/>
      </w:r>
      <w:r w:rsidRPr="00202530">
        <w:rPr>
          <w:rtl/>
        </w:rPr>
        <w:t xml:space="preserve"> </w:t>
      </w:r>
      <w:r>
        <w:rPr>
          <w:rtl/>
        </w:rPr>
        <w:t>התחזית הוצגה לוועדה המוניטרית ב</w:t>
      </w:r>
      <w:r>
        <w:rPr>
          <w:rFonts w:hint="cs"/>
          <w:rtl/>
        </w:rPr>
        <w:t>-29/3/2026</w:t>
      </w:r>
      <w:r w:rsidRPr="00202530">
        <w:rPr>
          <w:rtl/>
        </w:rPr>
        <w:t>, לקראת החלטת הריבית שהתקבלה ב-</w:t>
      </w:r>
      <w:r>
        <w:rPr>
          <w:rFonts w:hint="cs"/>
          <w:rtl/>
        </w:rPr>
        <w:t>30</w:t>
      </w:r>
      <w:r w:rsidRPr="00202530">
        <w:rPr>
          <w:rtl/>
        </w:rPr>
        <w:t>/</w:t>
      </w:r>
      <w:r>
        <w:rPr>
          <w:rFonts w:hint="cs"/>
          <w:rtl/>
        </w:rPr>
        <w:t>3</w:t>
      </w:r>
      <w:r w:rsidRPr="00202530">
        <w:rPr>
          <w:rtl/>
        </w:rPr>
        <w:t>/202</w:t>
      </w:r>
      <w:r>
        <w:rPr>
          <w:rFonts w:hint="cs"/>
          <w:rtl/>
        </w:rPr>
        <w:t>6</w:t>
      </w:r>
      <w:r w:rsidRPr="00202530">
        <w:rPr>
          <w:rtl/>
        </w:rPr>
        <w:t>.</w:t>
      </w:r>
    </w:p>
  </w:footnote>
  <w:footnote w:id="2">
    <w:p w:rsidR="00117D7A" w:rsidRDefault="00117D7A" w:rsidP="00117D7A">
      <w:pPr>
        <w:pStyle w:val="af1"/>
      </w:pPr>
      <w:r>
        <w:rPr>
          <w:rStyle w:val="af3"/>
        </w:rPr>
        <w:footnoteRef/>
      </w:r>
      <w:r>
        <w:rPr>
          <w:rtl/>
        </w:rPr>
        <w:t xml:space="preserve"> </w:t>
      </w:r>
      <w:r>
        <w:rPr>
          <w:rtl/>
        </w:rPr>
        <w:t>מסגרת ההוצאה העדכנית עומדת על כ-699 מיליארדי ש"ח, לרבות רזרבה בסך 12.8 מיליארדי ש"ח שמיועדת למימון הוצאות הנובעות במישרין מהימשכות מ</w:t>
      </w:r>
      <w:r>
        <w:rPr>
          <w:rFonts w:hint="cs"/>
          <w:rtl/>
        </w:rPr>
        <w:t>בצע</w:t>
      </w:r>
      <w:r>
        <w:rPr>
          <w:rtl/>
        </w:rPr>
        <w:t xml:space="preserve"> </w:t>
      </w:r>
      <w:r>
        <w:t>"</w:t>
      </w:r>
      <w:r>
        <w:rPr>
          <w:rFonts w:hint="cs"/>
          <w:rtl/>
        </w:rPr>
        <w:t>שאגת הארי</w:t>
      </w:r>
      <w:r>
        <w:t>"</w:t>
      </w:r>
      <w:r>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3E701312"/>
    <w:multiLevelType w:val="hybridMultilevel"/>
    <w:tmpl w:val="48600200"/>
    <w:lvl w:ilvl="0" w:tplc="740679F2">
      <w:start w:val="1"/>
      <w:numFmt w:val="hebrew1"/>
      <w:pStyle w:val="a"/>
      <w:lvlText w:val="%1."/>
      <w:lvlJc w:val="center"/>
      <w:pPr>
        <w:ind w:left="720" w:hanging="360"/>
      </w:pPr>
      <w:rPr>
        <w:rFonts w:asciiTheme="minorHAnsi" w:hAnsiTheme="minorHAnsi" w:cstheme="min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F9E3D72" w:tentative="1">
      <w:start w:val="1"/>
      <w:numFmt w:val="lowerLetter"/>
      <w:lvlText w:val="%2."/>
      <w:lvlJc w:val="left"/>
      <w:pPr>
        <w:ind w:left="1440" w:hanging="360"/>
      </w:pPr>
    </w:lvl>
    <w:lvl w:ilvl="2" w:tplc="A5566D20" w:tentative="1">
      <w:start w:val="1"/>
      <w:numFmt w:val="lowerRoman"/>
      <w:lvlText w:val="%3."/>
      <w:lvlJc w:val="right"/>
      <w:pPr>
        <w:ind w:left="2160" w:hanging="180"/>
      </w:pPr>
    </w:lvl>
    <w:lvl w:ilvl="3" w:tplc="F2A2C8CC" w:tentative="1">
      <w:start w:val="1"/>
      <w:numFmt w:val="decimal"/>
      <w:lvlText w:val="%4."/>
      <w:lvlJc w:val="left"/>
      <w:pPr>
        <w:ind w:left="2880" w:hanging="360"/>
      </w:pPr>
    </w:lvl>
    <w:lvl w:ilvl="4" w:tplc="F76A268A" w:tentative="1">
      <w:start w:val="1"/>
      <w:numFmt w:val="lowerLetter"/>
      <w:lvlText w:val="%5."/>
      <w:lvlJc w:val="left"/>
      <w:pPr>
        <w:ind w:left="3600" w:hanging="360"/>
      </w:pPr>
    </w:lvl>
    <w:lvl w:ilvl="5" w:tplc="E5CEC398" w:tentative="1">
      <w:start w:val="1"/>
      <w:numFmt w:val="lowerRoman"/>
      <w:lvlText w:val="%6."/>
      <w:lvlJc w:val="right"/>
      <w:pPr>
        <w:ind w:left="4320" w:hanging="180"/>
      </w:pPr>
    </w:lvl>
    <w:lvl w:ilvl="6" w:tplc="20585BF4" w:tentative="1">
      <w:start w:val="1"/>
      <w:numFmt w:val="decimal"/>
      <w:lvlText w:val="%7."/>
      <w:lvlJc w:val="left"/>
      <w:pPr>
        <w:ind w:left="5040" w:hanging="360"/>
      </w:pPr>
    </w:lvl>
    <w:lvl w:ilvl="7" w:tplc="24065F1A" w:tentative="1">
      <w:start w:val="1"/>
      <w:numFmt w:val="lowerLetter"/>
      <w:lvlText w:val="%8."/>
      <w:lvlJc w:val="left"/>
      <w:pPr>
        <w:ind w:left="5760" w:hanging="360"/>
      </w:pPr>
    </w:lvl>
    <w:lvl w:ilvl="8" w:tplc="DEB6A124" w:tentative="1">
      <w:start w:val="1"/>
      <w:numFmt w:val="lowerRoman"/>
      <w:lvlText w:val="%9."/>
      <w:lvlJc w:val="right"/>
      <w:pPr>
        <w:ind w:left="6480" w:hanging="180"/>
      </w:pPr>
    </w:lvl>
  </w:abstractNum>
  <w:abstractNum w:abstractNumId="4"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5"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17D7A"/>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E77A7"/>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35421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1A9D"/>
    <w:pPr>
      <w:spacing w:after="160" w:line="259" w:lineRule="auto"/>
    </w:pPr>
    <w:rPr>
      <w:rFonts w:ascii="David" w:eastAsia="David" w:hAnsi="David" w:cs="David"/>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yperlink">
    <w:name w:val="Hyperlink"/>
    <w:basedOn w:val="a1"/>
    <w:uiPriority w:val="99"/>
    <w:unhideWhenUsed/>
    <w:rsid w:val="00575141"/>
    <w:rPr>
      <w:color w:val="0000FF"/>
      <w:u w:val="single"/>
    </w:rPr>
  </w:style>
  <w:style w:type="paragraph" w:styleId="a4">
    <w:name w:val="Balloon Text"/>
    <w:basedOn w:val="a0"/>
    <w:link w:val="a5"/>
    <w:uiPriority w:val="99"/>
    <w:semiHidden/>
    <w:unhideWhenUsed/>
    <w:rsid w:val="007B64D4"/>
    <w:pPr>
      <w:spacing w:after="0" w:line="240" w:lineRule="auto"/>
    </w:pPr>
    <w:rPr>
      <w:rFonts w:ascii="Tahoma" w:hAnsi="Tahoma" w:cs="Tahoma"/>
      <w:sz w:val="18"/>
      <w:szCs w:val="18"/>
    </w:rPr>
  </w:style>
  <w:style w:type="character" w:customStyle="1" w:styleId="a5">
    <w:name w:val="טקסט בלונים תו"/>
    <w:basedOn w:val="a1"/>
    <w:link w:val="a4"/>
    <w:uiPriority w:val="99"/>
    <w:semiHidden/>
    <w:rsid w:val="007B64D4"/>
    <w:rPr>
      <w:rFonts w:ascii="Tahoma" w:hAnsi="Tahoma" w:cs="Tahoma"/>
      <w:sz w:val="18"/>
      <w:szCs w:val="18"/>
    </w:rPr>
  </w:style>
  <w:style w:type="paragraph" w:styleId="a6">
    <w:name w:val="header"/>
    <w:basedOn w:val="a0"/>
    <w:link w:val="a7"/>
    <w:uiPriority w:val="99"/>
    <w:unhideWhenUsed/>
    <w:rsid w:val="00E04682"/>
    <w:pPr>
      <w:tabs>
        <w:tab w:val="center" w:pos="4153"/>
        <w:tab w:val="right" w:pos="8306"/>
      </w:tabs>
      <w:spacing w:after="0" w:line="240" w:lineRule="auto"/>
    </w:pPr>
  </w:style>
  <w:style w:type="character" w:customStyle="1" w:styleId="a7">
    <w:name w:val="כותרת עליונה תו"/>
    <w:basedOn w:val="a1"/>
    <w:link w:val="a6"/>
    <w:uiPriority w:val="99"/>
    <w:rsid w:val="00E04682"/>
  </w:style>
  <w:style w:type="paragraph" w:styleId="a8">
    <w:name w:val="footer"/>
    <w:basedOn w:val="a0"/>
    <w:link w:val="a9"/>
    <w:uiPriority w:val="99"/>
    <w:unhideWhenUsed/>
    <w:rsid w:val="00E04682"/>
    <w:pPr>
      <w:tabs>
        <w:tab w:val="center" w:pos="4153"/>
        <w:tab w:val="right" w:pos="8306"/>
      </w:tabs>
      <w:spacing w:after="0" w:line="240" w:lineRule="auto"/>
    </w:pPr>
  </w:style>
  <w:style w:type="character" w:customStyle="1" w:styleId="a9">
    <w:name w:val="כותרת תחתונה תו"/>
    <w:basedOn w:val="a1"/>
    <w:link w:val="a8"/>
    <w:uiPriority w:val="99"/>
    <w:rsid w:val="00E04682"/>
  </w:style>
  <w:style w:type="paragraph" w:styleId="aa">
    <w:name w:val="List Paragraph"/>
    <w:aliases w:val="פיסקת רשימה12,פיסקת רשימה121,פיסקת רשימה2,פיסקת רשימה11"/>
    <w:basedOn w:val="a0"/>
    <w:link w:val="ab"/>
    <w:uiPriority w:val="34"/>
    <w:qFormat/>
    <w:rsid w:val="00CD2A65"/>
    <w:pPr>
      <w:ind w:left="720"/>
      <w:contextualSpacing/>
    </w:pPr>
  </w:style>
  <w:style w:type="character" w:styleId="ac">
    <w:name w:val="annotation reference"/>
    <w:basedOn w:val="a1"/>
    <w:uiPriority w:val="99"/>
    <w:semiHidden/>
    <w:unhideWhenUsed/>
    <w:rsid w:val="004F26A1"/>
    <w:rPr>
      <w:sz w:val="16"/>
      <w:szCs w:val="16"/>
    </w:rPr>
  </w:style>
  <w:style w:type="paragraph" w:styleId="ad">
    <w:name w:val="annotation text"/>
    <w:basedOn w:val="a0"/>
    <w:link w:val="ae"/>
    <w:uiPriority w:val="99"/>
    <w:semiHidden/>
    <w:unhideWhenUsed/>
    <w:rsid w:val="004F26A1"/>
    <w:pPr>
      <w:spacing w:line="240" w:lineRule="auto"/>
    </w:pPr>
    <w:rPr>
      <w:sz w:val="20"/>
      <w:szCs w:val="20"/>
    </w:rPr>
  </w:style>
  <w:style w:type="character" w:customStyle="1" w:styleId="ae">
    <w:name w:val="טקסט הערה תו"/>
    <w:basedOn w:val="a1"/>
    <w:link w:val="ad"/>
    <w:uiPriority w:val="99"/>
    <w:semiHidden/>
    <w:rsid w:val="004F26A1"/>
    <w:rPr>
      <w:sz w:val="20"/>
      <w:szCs w:val="20"/>
    </w:rPr>
  </w:style>
  <w:style w:type="paragraph" w:styleId="af">
    <w:name w:val="annotation subject"/>
    <w:basedOn w:val="ad"/>
    <w:next w:val="ad"/>
    <w:link w:val="af0"/>
    <w:uiPriority w:val="99"/>
    <w:semiHidden/>
    <w:unhideWhenUsed/>
    <w:rsid w:val="004F26A1"/>
    <w:rPr>
      <w:b/>
      <w:bCs/>
    </w:rPr>
  </w:style>
  <w:style w:type="character" w:customStyle="1" w:styleId="af0">
    <w:name w:val="נושא הערה תו"/>
    <w:basedOn w:val="ae"/>
    <w:link w:val="af"/>
    <w:uiPriority w:val="99"/>
    <w:semiHidden/>
    <w:rsid w:val="004F26A1"/>
    <w:rPr>
      <w:b/>
      <w:bCs/>
      <w:sz w:val="20"/>
      <w:szCs w:val="20"/>
    </w:rPr>
  </w:style>
  <w:style w:type="character" w:styleId="FollowedHyperlink">
    <w:name w:val="FollowedHyperlink"/>
    <w:basedOn w:val="a1"/>
    <w:uiPriority w:val="99"/>
    <w:semiHidden/>
    <w:unhideWhenUsed/>
    <w:rsid w:val="00B569FD"/>
    <w:rPr>
      <w:color w:val="800080" w:themeColor="followedHyperlink"/>
      <w:u w:val="single"/>
    </w:rPr>
  </w:style>
  <w:style w:type="character" w:customStyle="1" w:styleId="ab">
    <w:name w:val="פיסקת רשימה תו"/>
    <w:aliases w:val="פיסקת רשימה12 תו,פיסקת רשימה121 תו,פיסקת רשימה2 תו,פיסקת רשימה11 תו"/>
    <w:basedOn w:val="a1"/>
    <w:link w:val="aa"/>
    <w:uiPriority w:val="34"/>
    <w:rsid w:val="00031A9D"/>
  </w:style>
  <w:style w:type="paragraph" w:styleId="af1">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0"/>
    <w:link w:val="af2"/>
    <w:uiPriority w:val="99"/>
    <w:unhideWhenUsed/>
    <w:qFormat/>
    <w:rsid w:val="00117D7A"/>
    <w:pPr>
      <w:bidi/>
      <w:spacing w:after="0" w:line="240" w:lineRule="auto"/>
    </w:pPr>
    <w:rPr>
      <w:rFonts w:ascii="Calibri" w:eastAsiaTheme="minorHAnsi" w:hAnsi="Calibri" w:cs="Calibri"/>
      <w:sz w:val="20"/>
      <w:szCs w:val="20"/>
    </w:rPr>
  </w:style>
  <w:style w:type="character" w:customStyle="1" w:styleId="af2">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1"/>
    <w:link w:val="af1"/>
    <w:uiPriority w:val="99"/>
    <w:rsid w:val="00117D7A"/>
    <w:rPr>
      <w:rFonts w:ascii="Calibri" w:hAnsi="Calibri" w:cs="Calibri"/>
      <w:sz w:val="20"/>
      <w:szCs w:val="20"/>
    </w:rPr>
  </w:style>
  <w:style w:type="character" w:styleId="af3">
    <w:name w:val="footnote reference"/>
    <w:aliases w:val="Footnote Reference Superscript,Footnote symbol,Footnote Reference Number,Footnote Reference_LVL6,Footnote Reference_LVL61,Footnote Reference_LVL62,Footnote Reference_LVL63,Footnote Reference_LVL64,fr,SUPERS,EN Footnote Reference"/>
    <w:basedOn w:val="a1"/>
    <w:uiPriority w:val="99"/>
    <w:unhideWhenUsed/>
    <w:rsid w:val="00117D7A"/>
    <w:rPr>
      <w:vertAlign w:val="superscript"/>
    </w:rPr>
  </w:style>
  <w:style w:type="paragraph" w:styleId="NormalWeb">
    <w:name w:val="Normal (Web)"/>
    <w:basedOn w:val="a0"/>
    <w:uiPriority w:val="99"/>
    <w:unhideWhenUsed/>
    <w:rsid w:val="00117D7A"/>
    <w:pPr>
      <w:spacing w:before="100" w:beforeAutospacing="1" w:after="100" w:afterAutospacing="1" w:line="240" w:lineRule="auto"/>
    </w:pPr>
    <w:rPr>
      <w:rFonts w:ascii="Times New Roman" w:eastAsia="Times New Roman" w:hAnsi="Times New Roman" w:cs="Times New Roman"/>
    </w:rPr>
  </w:style>
  <w:style w:type="paragraph" w:customStyle="1" w:styleId="af4">
    <w:name w:val="כותרת ראשית"/>
    <w:basedOn w:val="a0"/>
    <w:next w:val="a0"/>
    <w:link w:val="af5"/>
    <w:qFormat/>
    <w:rsid w:val="00117D7A"/>
    <w:pPr>
      <w:bidi/>
      <w:spacing w:before="120" w:after="240" w:line="360" w:lineRule="auto"/>
      <w:ind w:left="23"/>
      <w:contextualSpacing/>
      <w:jc w:val="center"/>
      <w:outlineLvl w:val="0"/>
    </w:pPr>
    <w:rPr>
      <w:rFonts w:eastAsiaTheme="minorHAnsi"/>
      <w:b/>
      <w:bCs/>
      <w:spacing w:val="5"/>
      <w:kern w:val="28"/>
      <w:sz w:val="28"/>
      <w:szCs w:val="28"/>
    </w:rPr>
  </w:style>
  <w:style w:type="paragraph" w:customStyle="1" w:styleId="a">
    <w:name w:val="כותרת משנה ממוספרת"/>
    <w:basedOn w:val="a0"/>
    <w:next w:val="a0"/>
    <w:link w:val="af6"/>
    <w:qFormat/>
    <w:rsid w:val="00117D7A"/>
    <w:pPr>
      <w:keepNext/>
      <w:numPr>
        <w:numId w:val="7"/>
      </w:numPr>
      <w:bidi/>
      <w:spacing w:before="240" w:after="120" w:line="360" w:lineRule="auto"/>
      <w:contextualSpacing/>
      <w:jc w:val="both"/>
    </w:pPr>
    <w:rPr>
      <w:rFonts w:asciiTheme="minorHAnsi" w:eastAsiaTheme="minorEastAsia" w:hAnsiTheme="minorHAnsi" w:cstheme="minorHAnsi"/>
      <w:bCs/>
      <w:sz w:val="28"/>
    </w:rPr>
  </w:style>
  <w:style w:type="character" w:customStyle="1" w:styleId="af5">
    <w:name w:val="כותרת ראשית תו"/>
    <w:basedOn w:val="a1"/>
    <w:link w:val="af4"/>
    <w:rsid w:val="00117D7A"/>
    <w:rPr>
      <w:rFonts w:ascii="David" w:hAnsi="David" w:cs="David"/>
      <w:b/>
      <w:bCs/>
      <w:spacing w:val="5"/>
      <w:kern w:val="28"/>
      <w:sz w:val="28"/>
      <w:szCs w:val="28"/>
    </w:rPr>
  </w:style>
  <w:style w:type="paragraph" w:customStyle="1" w:styleId="1">
    <w:name w:val="כותרת משנה רמה 1"/>
    <w:basedOn w:val="a0"/>
    <w:next w:val="a0"/>
    <w:link w:val="10"/>
    <w:qFormat/>
    <w:rsid w:val="00117D7A"/>
    <w:pPr>
      <w:keepNext/>
      <w:bidi/>
      <w:spacing w:before="240" w:after="120" w:line="360" w:lineRule="auto"/>
      <w:ind w:left="23"/>
      <w:contextualSpacing/>
      <w:jc w:val="both"/>
      <w:outlineLvl w:val="0"/>
    </w:pPr>
    <w:rPr>
      <w:rFonts w:eastAsia="Calibri"/>
      <w:b/>
      <w:bCs/>
    </w:rPr>
  </w:style>
  <w:style w:type="character" w:customStyle="1" w:styleId="af6">
    <w:name w:val="כותרת משנה ממוספרת תו"/>
    <w:basedOn w:val="a1"/>
    <w:link w:val="a"/>
    <w:rsid w:val="00117D7A"/>
    <w:rPr>
      <w:rFonts w:eastAsiaTheme="minorEastAsia" w:cstheme="minorHAnsi"/>
      <w:bCs/>
      <w:sz w:val="28"/>
      <w:szCs w:val="24"/>
    </w:rPr>
  </w:style>
  <w:style w:type="character" w:customStyle="1" w:styleId="10">
    <w:name w:val="כותרת משנה רמה 1 תו"/>
    <w:basedOn w:val="a1"/>
    <w:link w:val="1"/>
    <w:rsid w:val="00117D7A"/>
    <w:rPr>
      <w:rFonts w:ascii="David" w:eastAsia="Calibri" w:hAnsi="David" w:cs="Davi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1624</Words>
  <Characters>8125</Characters>
  <Application>Microsoft Office Word</Application>
  <DocSecurity>0</DocSecurity>
  <Lines>67</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2026-03-30T11:52:00Z</dcterms:created>
  <dcterms:modified xsi:type="dcterms:W3CDTF">2026-03-30T11:52:00Z</dcterms:modified>
</cp:coreProperties>
</file>