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2830"/>
        <w:gridCol w:w="2587"/>
        <w:gridCol w:w="3074"/>
      </w:tblGrid>
      <w:tr w:rsidR="00D921A2" w:rsidRPr="00DB1CBC" w:rsidTr="00FE3B35">
        <w:trPr>
          <w:trHeight w:val="1435"/>
          <w:jc w:val="center"/>
        </w:trPr>
        <w:tc>
          <w:tcPr>
            <w:tcW w:w="2830" w:type="dxa"/>
            <w:vAlign w:val="center"/>
          </w:tcPr>
          <w:p w:rsidR="00D921A2" w:rsidRDefault="00D921A2" w:rsidP="009709E0">
            <w:pPr>
              <w:spacing w:before="240"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בנ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ק </w:t>
            </w:r>
            <w:r>
              <w:rPr>
                <w:b/>
                <w:bCs/>
                <w:sz w:val="28"/>
                <w:szCs w:val="28"/>
                <w:rtl/>
              </w:rPr>
              <w:t>יש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ראל</w:t>
            </w:r>
          </w:p>
          <w:p w:rsidR="00D921A2" w:rsidRDefault="00D921A2" w:rsidP="009709E0">
            <w:pPr>
              <w:spacing w:before="240" w:line="360" w:lineRule="auto"/>
              <w:ind w:right="-101"/>
              <w:jc w:val="both"/>
            </w:pPr>
            <w:r>
              <w:rPr>
                <w:rtl/>
              </w:rPr>
              <w:t>דו</w:t>
            </w:r>
            <w:r>
              <w:rPr>
                <w:rFonts w:hint="cs"/>
                <w:rtl/>
              </w:rPr>
              <w:t>בר</w:t>
            </w:r>
            <w:r>
              <w:rPr>
                <w:rtl/>
              </w:rPr>
              <w:t>ות</w:t>
            </w:r>
            <w:r>
              <w:rPr>
                <w:rFonts w:hint="cs"/>
                <w:rtl/>
              </w:rPr>
              <w:t xml:space="preserve"> והסברה כלכלית</w:t>
            </w:r>
          </w:p>
        </w:tc>
        <w:tc>
          <w:tcPr>
            <w:tcW w:w="2587" w:type="dxa"/>
          </w:tcPr>
          <w:p w:rsidR="00D921A2" w:rsidRDefault="00AE5FAE" w:rsidP="009709E0">
            <w:pPr>
              <w:spacing w:before="240"/>
              <w:jc w:val="both"/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017EE8D0" wp14:editId="6FD14129">
                  <wp:simplePos x="3561715" y="786765"/>
                  <wp:positionH relativeFrom="column">
                    <wp:align>center</wp:align>
                  </wp:positionH>
                  <wp:positionV relativeFrom="paragraph">
                    <wp:posOffset>154940</wp:posOffset>
                  </wp:positionV>
                  <wp:extent cx="1051200" cy="1051200"/>
                  <wp:effectExtent l="0" t="0" r="0" b="0"/>
                  <wp:wrapSquare wrapText="bothSides"/>
                  <wp:docPr id="14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4" w:type="dxa"/>
            <w:vAlign w:val="center"/>
          </w:tcPr>
          <w:p w:rsidR="00D921A2" w:rsidRPr="000B3287" w:rsidRDefault="00D921A2" w:rsidP="00C144ED">
            <w:pPr>
              <w:spacing w:before="240" w:line="480" w:lineRule="auto"/>
              <w:jc w:val="both"/>
              <w:rPr>
                <w:rtl/>
              </w:rPr>
            </w:pPr>
            <w:r w:rsidRPr="000B3287">
              <w:rPr>
                <w:rFonts w:hint="eastAsia"/>
                <w:rtl/>
              </w:rPr>
              <w:t>‏</w:t>
            </w:r>
            <w:r w:rsidRPr="000B3287">
              <w:rPr>
                <w:rFonts w:hint="cs"/>
                <w:rtl/>
              </w:rPr>
              <w:t>ירושלים</w:t>
            </w:r>
            <w:r w:rsidR="002F0DC3" w:rsidRPr="000B3287">
              <w:rPr>
                <w:rFonts w:hint="cs"/>
                <w:rtl/>
              </w:rPr>
              <w:t xml:space="preserve">, </w:t>
            </w:r>
            <w:r w:rsidR="00432446" w:rsidRPr="00432446">
              <w:rPr>
                <w:rFonts w:hint="cs"/>
                <w:rtl/>
              </w:rPr>
              <w:t>י</w:t>
            </w:r>
            <w:r w:rsidR="00C144ED">
              <w:rPr>
                <w:rFonts w:hint="cs"/>
                <w:rtl/>
              </w:rPr>
              <w:t>ד</w:t>
            </w:r>
            <w:r w:rsidR="00320088" w:rsidRPr="00432446">
              <w:rPr>
                <w:rFonts w:hint="cs"/>
                <w:rtl/>
              </w:rPr>
              <w:t xml:space="preserve"> </w:t>
            </w:r>
            <w:r w:rsidR="00C144ED">
              <w:rPr>
                <w:rFonts w:hint="cs"/>
                <w:rtl/>
              </w:rPr>
              <w:t>בתמוז</w:t>
            </w:r>
            <w:r w:rsidR="000C7808" w:rsidRPr="00432446">
              <w:rPr>
                <w:rFonts w:hint="cs"/>
                <w:rtl/>
              </w:rPr>
              <w:t xml:space="preserve"> </w:t>
            </w:r>
            <w:r w:rsidRPr="00432446">
              <w:rPr>
                <w:rFonts w:hint="cs"/>
                <w:rtl/>
              </w:rPr>
              <w:t>ה</w:t>
            </w:r>
            <w:r w:rsidRPr="00432446">
              <w:rPr>
                <w:rtl/>
              </w:rPr>
              <w:t>תש</w:t>
            </w:r>
            <w:r w:rsidR="00973EF7" w:rsidRPr="00432446">
              <w:rPr>
                <w:rFonts w:hint="cs"/>
                <w:rtl/>
              </w:rPr>
              <w:t>פ</w:t>
            </w:r>
            <w:r w:rsidRPr="00432446">
              <w:rPr>
                <w:rtl/>
              </w:rPr>
              <w:t>"</w:t>
            </w:r>
            <w:r w:rsidR="00E022FC" w:rsidRPr="00432446">
              <w:rPr>
                <w:rFonts w:hint="cs"/>
                <w:rtl/>
              </w:rPr>
              <w:t>ו</w:t>
            </w:r>
          </w:p>
          <w:p w:rsidR="00D921A2" w:rsidRPr="000B3287" w:rsidRDefault="006A3BBA" w:rsidP="00C144ED">
            <w:pPr>
              <w:spacing w:before="240" w:line="480" w:lineRule="auto"/>
              <w:jc w:val="both"/>
            </w:pPr>
            <w:r>
              <w:rPr>
                <w:rFonts w:hint="cs"/>
                <w:rtl/>
              </w:rPr>
              <w:t>29</w:t>
            </w:r>
            <w:r w:rsidR="008411FF" w:rsidRPr="000B3287">
              <w:rPr>
                <w:rFonts w:hint="cs"/>
                <w:rtl/>
              </w:rPr>
              <w:t xml:space="preserve"> </w:t>
            </w:r>
            <w:r w:rsidR="00C144ED">
              <w:rPr>
                <w:rFonts w:hint="cs"/>
                <w:rtl/>
              </w:rPr>
              <w:t>יוני</w:t>
            </w:r>
            <w:r w:rsidR="00444713" w:rsidRPr="000B328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2026</w:t>
            </w:r>
            <w:r w:rsidR="00444713" w:rsidRPr="000B3287">
              <w:rPr>
                <w:rFonts w:hint="cs"/>
                <w:rtl/>
              </w:rPr>
              <w:t xml:space="preserve"> </w:t>
            </w:r>
          </w:p>
        </w:tc>
      </w:tr>
    </w:tbl>
    <w:p w:rsidR="00D921A2" w:rsidRDefault="00D921A2" w:rsidP="009709E0">
      <w:pPr>
        <w:spacing w:before="240" w:line="360" w:lineRule="auto"/>
        <w:ind w:right="-101"/>
        <w:jc w:val="both"/>
        <w:rPr>
          <w:rtl/>
        </w:rPr>
      </w:pPr>
      <w:r w:rsidRPr="007E18EE">
        <w:rPr>
          <w:rFonts w:hint="cs"/>
          <w:rtl/>
        </w:rPr>
        <w:t>הודעה לעיתונות:</w:t>
      </w:r>
    </w:p>
    <w:p w:rsidR="00E724A2" w:rsidRDefault="0078645B" w:rsidP="002F5E09">
      <w:pPr>
        <w:pStyle w:val="af2"/>
        <w:spacing w:before="240" w:after="240"/>
        <w:rPr>
          <w:b/>
          <w:bCs/>
          <w:rtl/>
        </w:rPr>
      </w:pPr>
      <w:r w:rsidRPr="002E5159">
        <w:rPr>
          <w:rFonts w:hint="cs"/>
          <w:b/>
          <w:bCs/>
          <w:rtl/>
        </w:rPr>
        <w:t xml:space="preserve">התפתחויות </w:t>
      </w:r>
      <w:r w:rsidR="00E724A2" w:rsidRPr="002E5159">
        <w:rPr>
          <w:rFonts w:hint="cs"/>
          <w:b/>
          <w:bCs/>
          <w:rtl/>
        </w:rPr>
        <w:t>בתיק הנכסים</w:t>
      </w:r>
      <w:r w:rsidR="00883782" w:rsidRPr="002E5159">
        <w:rPr>
          <w:rFonts w:hint="cs"/>
          <w:b/>
          <w:bCs/>
          <w:rtl/>
        </w:rPr>
        <w:t xml:space="preserve"> הפיננסיים</w:t>
      </w:r>
      <w:r w:rsidR="00B35B70" w:rsidRPr="002E5159">
        <w:rPr>
          <w:rFonts w:hint="cs"/>
          <w:b/>
          <w:bCs/>
          <w:rtl/>
        </w:rPr>
        <w:t xml:space="preserve"> של הציבור</w:t>
      </w:r>
      <w:r w:rsidR="003B437B" w:rsidRPr="002E5159">
        <w:rPr>
          <w:rFonts w:hint="cs"/>
          <w:b/>
          <w:bCs/>
          <w:rtl/>
        </w:rPr>
        <w:t xml:space="preserve"> </w:t>
      </w:r>
      <w:r w:rsidR="00FB3C86">
        <w:rPr>
          <w:rFonts w:hint="cs"/>
          <w:b/>
          <w:bCs/>
          <w:rtl/>
        </w:rPr>
        <w:t>ברבעון</w:t>
      </w:r>
      <w:r w:rsidR="003B437B" w:rsidRPr="002E5159">
        <w:rPr>
          <w:rFonts w:hint="cs"/>
          <w:b/>
          <w:bCs/>
          <w:rtl/>
        </w:rPr>
        <w:t xml:space="preserve"> </w:t>
      </w:r>
      <w:r w:rsidR="002F5E09">
        <w:rPr>
          <w:rFonts w:hint="cs"/>
          <w:b/>
          <w:bCs/>
          <w:rtl/>
        </w:rPr>
        <w:t>ראשון</w:t>
      </w:r>
      <w:r w:rsidR="009530C6" w:rsidRPr="002E5159">
        <w:rPr>
          <w:rFonts w:hint="cs"/>
          <w:b/>
          <w:bCs/>
          <w:rtl/>
        </w:rPr>
        <w:t xml:space="preserve"> </w:t>
      </w:r>
      <w:r w:rsidR="009F3982" w:rsidRPr="002E5159">
        <w:rPr>
          <w:rFonts w:hint="cs"/>
          <w:b/>
          <w:bCs/>
          <w:rtl/>
        </w:rPr>
        <w:t xml:space="preserve">של </w:t>
      </w:r>
      <w:r w:rsidR="009530C6" w:rsidRPr="002E5159">
        <w:rPr>
          <w:rFonts w:hint="cs"/>
          <w:b/>
          <w:bCs/>
          <w:rtl/>
        </w:rPr>
        <w:t xml:space="preserve">שנת </w:t>
      </w:r>
      <w:r w:rsidR="002F5E09">
        <w:rPr>
          <w:rFonts w:hint="cs"/>
          <w:b/>
          <w:bCs/>
          <w:rtl/>
        </w:rPr>
        <w:t>2026</w:t>
      </w:r>
    </w:p>
    <w:p w:rsidR="00A30462" w:rsidRPr="00D3538A" w:rsidRDefault="00FB3C86" w:rsidP="00327A1E">
      <w:pPr>
        <w:pStyle w:val="af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ברבעון</w:t>
      </w:r>
      <w:r w:rsidR="001D66CD" w:rsidRPr="00D3538A">
        <w:rPr>
          <w:rFonts w:hint="cs"/>
          <w:b/>
          <w:bCs/>
          <w:rtl/>
        </w:rPr>
        <w:t xml:space="preserve"> </w:t>
      </w:r>
      <w:r w:rsidR="00327A1E">
        <w:rPr>
          <w:rFonts w:hint="cs"/>
          <w:b/>
          <w:bCs/>
          <w:rtl/>
        </w:rPr>
        <w:t>הראשון</w:t>
      </w:r>
      <w:r w:rsidR="001D66CD" w:rsidRPr="00D3538A">
        <w:rPr>
          <w:rFonts w:hint="cs"/>
          <w:b/>
          <w:bCs/>
          <w:rtl/>
        </w:rPr>
        <w:t xml:space="preserve"> של השנה </w:t>
      </w:r>
      <w:r w:rsidR="009F228E">
        <w:rPr>
          <w:rFonts w:hint="cs"/>
          <w:b/>
          <w:bCs/>
          <w:rtl/>
        </w:rPr>
        <w:t xml:space="preserve">עלתה </w:t>
      </w:r>
      <w:r w:rsidR="001D66CD" w:rsidRPr="00D3538A">
        <w:rPr>
          <w:rFonts w:hint="cs"/>
          <w:b/>
          <w:bCs/>
          <w:rtl/>
        </w:rPr>
        <w:t>יתרת תיק הנכסים הפיננסיים של הציבור</w:t>
      </w:r>
      <w:r w:rsidR="009F228E">
        <w:rPr>
          <w:rFonts w:hint="cs"/>
          <w:b/>
          <w:bCs/>
          <w:rtl/>
        </w:rPr>
        <w:t xml:space="preserve"> בכ-</w:t>
      </w:r>
      <w:r w:rsidR="00327A1E">
        <w:rPr>
          <w:rFonts w:hint="cs"/>
          <w:b/>
          <w:bCs/>
          <w:rtl/>
        </w:rPr>
        <w:t>55</w:t>
      </w:r>
      <w:r w:rsidR="009F228E">
        <w:rPr>
          <w:rFonts w:hint="cs"/>
          <w:b/>
          <w:bCs/>
          <w:rtl/>
        </w:rPr>
        <w:t xml:space="preserve"> מיליארדי ש"ח (</w:t>
      </w:r>
      <w:r w:rsidR="00327A1E">
        <w:rPr>
          <w:rFonts w:hint="cs"/>
          <w:b/>
          <w:bCs/>
          <w:rtl/>
        </w:rPr>
        <w:t>0.8</w:t>
      </w:r>
      <w:r w:rsidR="009F228E">
        <w:rPr>
          <w:rFonts w:hint="cs"/>
          <w:b/>
          <w:bCs/>
          <w:rtl/>
        </w:rPr>
        <w:t>%), לרמה של</w:t>
      </w:r>
      <w:r w:rsidR="001D66CD" w:rsidRPr="00D3538A">
        <w:rPr>
          <w:rFonts w:hint="cs"/>
          <w:b/>
          <w:bCs/>
          <w:rtl/>
        </w:rPr>
        <w:t xml:space="preserve"> כ-</w:t>
      </w:r>
      <w:r w:rsidR="006A3BBA">
        <w:rPr>
          <w:rFonts w:hint="cs"/>
          <w:b/>
          <w:bCs/>
          <w:rtl/>
        </w:rPr>
        <w:t>7.2</w:t>
      </w:r>
      <w:r w:rsidR="00327A1E">
        <w:rPr>
          <w:rFonts w:hint="cs"/>
          <w:b/>
          <w:bCs/>
          <w:rtl/>
        </w:rPr>
        <w:t>5</w:t>
      </w:r>
      <w:r w:rsidR="00794AC6" w:rsidRPr="00D3538A">
        <w:rPr>
          <w:rFonts w:hint="cs"/>
          <w:b/>
          <w:bCs/>
          <w:rtl/>
        </w:rPr>
        <w:t xml:space="preserve"> </w:t>
      </w:r>
      <w:r w:rsidR="001D66CD" w:rsidRPr="00D3538A">
        <w:rPr>
          <w:rFonts w:hint="cs"/>
          <w:b/>
          <w:bCs/>
          <w:rtl/>
        </w:rPr>
        <w:t>טריליוני ש</w:t>
      </w:r>
      <w:r w:rsidR="001D66CD" w:rsidRPr="00D3538A">
        <w:rPr>
          <w:b/>
          <w:bCs/>
          <w:rtl/>
        </w:rPr>
        <w:t>"</w:t>
      </w:r>
      <w:r w:rsidR="00B24E56" w:rsidRPr="00D3538A">
        <w:rPr>
          <w:rFonts w:hint="cs"/>
          <w:b/>
          <w:bCs/>
          <w:rtl/>
        </w:rPr>
        <w:t>ח</w:t>
      </w:r>
      <w:r w:rsidR="002F5E09">
        <w:rPr>
          <w:rFonts w:hint="cs"/>
          <w:b/>
          <w:bCs/>
          <w:rtl/>
        </w:rPr>
        <w:t>.</w:t>
      </w:r>
    </w:p>
    <w:p w:rsidR="00BB0055" w:rsidRPr="00D3538A" w:rsidRDefault="00051FE4" w:rsidP="00425349">
      <w:pPr>
        <w:pStyle w:val="af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העלייה בשווי התיק </w:t>
      </w:r>
      <w:r w:rsidR="00FB3C86">
        <w:rPr>
          <w:rFonts w:hint="cs"/>
          <w:b/>
          <w:bCs/>
          <w:rtl/>
        </w:rPr>
        <w:t>ברבעון</w:t>
      </w:r>
      <w:r w:rsidR="00A17A6E" w:rsidRPr="00D3538A">
        <w:rPr>
          <w:rFonts w:hint="cs"/>
          <w:b/>
          <w:bCs/>
          <w:rtl/>
        </w:rPr>
        <w:t xml:space="preserve"> </w:t>
      </w:r>
      <w:r w:rsidR="00327A1E">
        <w:rPr>
          <w:rFonts w:hint="cs"/>
          <w:b/>
          <w:bCs/>
          <w:rtl/>
        </w:rPr>
        <w:t>הראשון</w:t>
      </w:r>
      <w:r w:rsidR="00B8585F" w:rsidRPr="00D3538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נבעה בעיקר מעליות ביתרת </w:t>
      </w:r>
      <w:r w:rsidR="00955FB0">
        <w:rPr>
          <w:rFonts w:hint="cs"/>
          <w:b/>
          <w:bCs/>
          <w:rtl/>
        </w:rPr>
        <w:t>המניות בארץ</w:t>
      </w:r>
      <w:r>
        <w:rPr>
          <w:rFonts w:hint="cs"/>
          <w:b/>
          <w:bCs/>
          <w:rtl/>
        </w:rPr>
        <w:t xml:space="preserve"> (</w:t>
      </w:r>
      <w:r w:rsidR="00425349">
        <w:rPr>
          <w:rFonts w:hint="cs"/>
          <w:b/>
          <w:bCs/>
          <w:rtl/>
        </w:rPr>
        <w:t>5.5</w:t>
      </w:r>
      <w:r w:rsidR="00955FB0">
        <w:rPr>
          <w:rFonts w:hint="cs"/>
          <w:b/>
          <w:bCs/>
          <w:rtl/>
        </w:rPr>
        <w:t>%)</w:t>
      </w:r>
      <w:r w:rsidR="007D7C33">
        <w:rPr>
          <w:rFonts w:hint="cs"/>
          <w:b/>
          <w:bCs/>
          <w:rtl/>
        </w:rPr>
        <w:t xml:space="preserve"> ו</w:t>
      </w:r>
      <w:r w:rsidR="00EE4F07">
        <w:rPr>
          <w:rFonts w:hint="cs"/>
          <w:b/>
          <w:bCs/>
          <w:rtl/>
        </w:rPr>
        <w:t xml:space="preserve">ביתרת </w:t>
      </w:r>
      <w:r w:rsidR="00425349">
        <w:rPr>
          <w:rFonts w:hint="cs"/>
          <w:b/>
          <w:bCs/>
          <w:rtl/>
        </w:rPr>
        <w:t>האג"ח החברות</w:t>
      </w:r>
      <w:r w:rsidR="007D7C33">
        <w:rPr>
          <w:rFonts w:hint="cs"/>
          <w:b/>
          <w:bCs/>
          <w:rtl/>
        </w:rPr>
        <w:t xml:space="preserve"> (3.</w:t>
      </w:r>
      <w:r w:rsidR="00425349">
        <w:rPr>
          <w:rFonts w:hint="cs"/>
          <w:b/>
          <w:bCs/>
          <w:rtl/>
        </w:rPr>
        <w:t>1</w:t>
      </w:r>
      <w:r w:rsidR="007D7C33">
        <w:rPr>
          <w:rFonts w:hint="cs"/>
          <w:b/>
          <w:bCs/>
          <w:rtl/>
        </w:rPr>
        <w:t>%).</w:t>
      </w:r>
    </w:p>
    <w:p w:rsidR="00940C2E" w:rsidRPr="0087301E" w:rsidRDefault="00940C2E" w:rsidP="0087301E">
      <w:pPr>
        <w:pStyle w:val="af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 w:rsidRPr="0087301E">
        <w:rPr>
          <w:b/>
          <w:bCs/>
          <w:rtl/>
        </w:rPr>
        <w:t xml:space="preserve">יתרת התיק המנוהל בידי המשקיעים המוסדיים </w:t>
      </w:r>
      <w:r w:rsidR="00413205" w:rsidRPr="0087301E">
        <w:rPr>
          <w:rFonts w:hint="cs"/>
          <w:b/>
          <w:bCs/>
          <w:rtl/>
        </w:rPr>
        <w:t>עלתה</w:t>
      </w:r>
      <w:r w:rsidR="008619E1" w:rsidRPr="0087301E">
        <w:rPr>
          <w:b/>
          <w:bCs/>
          <w:rtl/>
        </w:rPr>
        <w:t xml:space="preserve"> </w:t>
      </w:r>
      <w:r w:rsidR="00FB3C86" w:rsidRPr="0087301E">
        <w:rPr>
          <w:rFonts w:hint="cs"/>
          <w:b/>
          <w:bCs/>
          <w:rtl/>
        </w:rPr>
        <w:t>ברבעון</w:t>
      </w:r>
      <w:r w:rsidR="008619E1" w:rsidRPr="0087301E">
        <w:rPr>
          <w:b/>
          <w:bCs/>
          <w:rtl/>
        </w:rPr>
        <w:t xml:space="preserve"> </w:t>
      </w:r>
      <w:r w:rsidR="0087301E" w:rsidRPr="0087301E">
        <w:rPr>
          <w:rFonts w:hint="cs"/>
          <w:b/>
          <w:bCs/>
          <w:rtl/>
        </w:rPr>
        <w:t>הראשון</w:t>
      </w:r>
      <w:r w:rsidR="008619E1" w:rsidRPr="0087301E">
        <w:rPr>
          <w:b/>
          <w:bCs/>
          <w:rtl/>
        </w:rPr>
        <w:t xml:space="preserve"> </w:t>
      </w:r>
      <w:r w:rsidR="0087301E" w:rsidRPr="0087301E">
        <w:rPr>
          <w:rFonts w:hint="cs"/>
          <w:b/>
          <w:bCs/>
          <w:rtl/>
        </w:rPr>
        <w:t>בשיעור של כ-0.5%</w:t>
      </w:r>
      <w:r w:rsidR="008619E1" w:rsidRPr="0087301E">
        <w:rPr>
          <w:b/>
          <w:bCs/>
          <w:rtl/>
        </w:rPr>
        <w:t xml:space="preserve"> </w:t>
      </w:r>
      <w:r w:rsidR="00A30462" w:rsidRPr="0087301E">
        <w:rPr>
          <w:b/>
          <w:bCs/>
          <w:rtl/>
        </w:rPr>
        <w:t>ועמדה בסופו על כ-</w:t>
      </w:r>
      <w:r w:rsidR="00955FB0" w:rsidRPr="0087301E">
        <w:rPr>
          <w:rFonts w:hint="cs"/>
          <w:b/>
          <w:bCs/>
          <w:rtl/>
        </w:rPr>
        <w:t>3.</w:t>
      </w:r>
      <w:r w:rsidR="008766CB" w:rsidRPr="0087301E">
        <w:rPr>
          <w:rFonts w:hint="cs"/>
          <w:b/>
          <w:bCs/>
          <w:rtl/>
        </w:rPr>
        <w:t>3</w:t>
      </w:r>
      <w:r w:rsidR="00A30462" w:rsidRPr="0087301E">
        <w:rPr>
          <w:b/>
          <w:bCs/>
          <w:rtl/>
        </w:rPr>
        <w:t xml:space="preserve"> טריליוני ש"ח</w:t>
      </w:r>
      <w:r w:rsidR="0087301E">
        <w:rPr>
          <w:rFonts w:hint="cs"/>
          <w:b/>
          <w:bCs/>
          <w:rtl/>
        </w:rPr>
        <w:t xml:space="preserve"> (כ-46% מסך תיק הנכסים הפיננסים של הציבור)</w:t>
      </w:r>
      <w:r w:rsidR="004D0413" w:rsidRPr="0087301E">
        <w:rPr>
          <w:rFonts w:hint="cs"/>
          <w:b/>
          <w:bCs/>
          <w:rtl/>
        </w:rPr>
        <w:t>.</w:t>
      </w:r>
    </w:p>
    <w:p w:rsidR="008D0D97" w:rsidRPr="005A6DA8" w:rsidRDefault="000C537B" w:rsidP="00FD2FA9">
      <w:pPr>
        <w:pStyle w:val="af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 w:rsidRPr="005A6DA8">
        <w:rPr>
          <w:b/>
          <w:bCs/>
          <w:rtl/>
        </w:rPr>
        <w:t xml:space="preserve">היקף התיק המנוהל באמצעות קרנות נאמנות בארץ </w:t>
      </w:r>
      <w:r w:rsidR="00050152" w:rsidRPr="005A6DA8">
        <w:rPr>
          <w:rFonts w:hint="cs"/>
          <w:b/>
          <w:bCs/>
          <w:rtl/>
        </w:rPr>
        <w:t>עלה</w:t>
      </w:r>
      <w:r w:rsidR="00AD5990" w:rsidRPr="005A6DA8">
        <w:rPr>
          <w:rFonts w:hint="cs"/>
          <w:b/>
          <w:bCs/>
          <w:rtl/>
        </w:rPr>
        <w:t xml:space="preserve"> במהלך </w:t>
      </w:r>
      <w:r w:rsidR="00FB3C86">
        <w:rPr>
          <w:rFonts w:hint="cs"/>
          <w:b/>
          <w:bCs/>
          <w:rtl/>
        </w:rPr>
        <w:t>הרבעון</w:t>
      </w:r>
      <w:r w:rsidR="00152471" w:rsidRPr="005A6DA8">
        <w:rPr>
          <w:rFonts w:hint="cs"/>
          <w:b/>
          <w:bCs/>
          <w:rtl/>
        </w:rPr>
        <w:t xml:space="preserve"> </w:t>
      </w:r>
      <w:r w:rsidR="00FD2FA9">
        <w:rPr>
          <w:rFonts w:hint="cs"/>
          <w:b/>
          <w:bCs/>
          <w:rtl/>
        </w:rPr>
        <w:t>הראשון</w:t>
      </w:r>
      <w:r w:rsidR="003033B3" w:rsidRPr="005A6DA8">
        <w:rPr>
          <w:rFonts w:hint="cs"/>
          <w:b/>
          <w:bCs/>
          <w:rtl/>
        </w:rPr>
        <w:t xml:space="preserve"> </w:t>
      </w:r>
      <w:r w:rsidR="00AD5990" w:rsidRPr="005A6DA8">
        <w:rPr>
          <w:b/>
          <w:bCs/>
          <w:rtl/>
        </w:rPr>
        <w:t>בכ-</w:t>
      </w:r>
      <w:r w:rsidR="00FD2FA9">
        <w:rPr>
          <w:rFonts w:hint="cs"/>
          <w:b/>
          <w:bCs/>
          <w:rtl/>
        </w:rPr>
        <w:t>23.4</w:t>
      </w:r>
      <w:r w:rsidR="00C92FC4">
        <w:rPr>
          <w:rFonts w:hint="cs"/>
          <w:b/>
          <w:bCs/>
          <w:rtl/>
        </w:rPr>
        <w:t xml:space="preserve"> </w:t>
      </w:r>
      <w:r w:rsidR="00AD5990" w:rsidRPr="005A6DA8">
        <w:rPr>
          <w:b/>
          <w:bCs/>
          <w:rtl/>
        </w:rPr>
        <w:t>מיליארדי ש"ח (</w:t>
      </w:r>
      <w:r w:rsidR="00FD2FA9">
        <w:rPr>
          <w:rFonts w:hint="cs"/>
          <w:b/>
          <w:bCs/>
          <w:rtl/>
        </w:rPr>
        <w:t>3.1</w:t>
      </w:r>
      <w:r w:rsidR="00424497" w:rsidRPr="005A6DA8">
        <w:rPr>
          <w:b/>
          <w:bCs/>
          <w:rtl/>
        </w:rPr>
        <w:t>%)</w:t>
      </w:r>
      <w:r w:rsidR="00424497" w:rsidRPr="005A6DA8">
        <w:rPr>
          <w:rFonts w:hint="cs"/>
          <w:b/>
          <w:bCs/>
          <w:rtl/>
        </w:rPr>
        <w:t xml:space="preserve"> </w:t>
      </w:r>
      <w:r w:rsidR="00061BC1" w:rsidRPr="005A6DA8">
        <w:rPr>
          <w:rFonts w:hint="cs"/>
          <w:b/>
          <w:bCs/>
          <w:rtl/>
        </w:rPr>
        <w:t>והגיע לרמה של כ-</w:t>
      </w:r>
      <w:r w:rsidR="00FD2FA9">
        <w:rPr>
          <w:rFonts w:hint="cs"/>
          <w:b/>
          <w:bCs/>
          <w:rtl/>
        </w:rPr>
        <w:t>780</w:t>
      </w:r>
      <w:r w:rsidR="002922B6" w:rsidRPr="005A6DA8">
        <w:rPr>
          <w:rFonts w:hint="cs"/>
          <w:b/>
          <w:bCs/>
          <w:rtl/>
        </w:rPr>
        <w:t xml:space="preserve"> מיליארדי ש"ח.</w:t>
      </w:r>
      <w:r w:rsidR="00427BDF" w:rsidRPr="005A6DA8">
        <w:rPr>
          <w:rFonts w:hint="cs"/>
          <w:b/>
          <w:bCs/>
          <w:rtl/>
        </w:rPr>
        <w:t xml:space="preserve"> נרשמו </w:t>
      </w:r>
      <w:r w:rsidR="00050152" w:rsidRPr="005A6DA8">
        <w:rPr>
          <w:rFonts w:hint="cs"/>
          <w:b/>
          <w:bCs/>
          <w:rtl/>
        </w:rPr>
        <w:t>צבירות</w:t>
      </w:r>
      <w:r w:rsidR="00B45FFA" w:rsidRPr="005A6DA8">
        <w:rPr>
          <w:rFonts w:hint="cs"/>
          <w:b/>
          <w:bCs/>
          <w:rtl/>
        </w:rPr>
        <w:t xml:space="preserve"> נטו</w:t>
      </w:r>
      <w:r w:rsidR="00427BDF" w:rsidRPr="005A6DA8">
        <w:rPr>
          <w:rFonts w:hint="cs"/>
          <w:b/>
          <w:bCs/>
          <w:rtl/>
        </w:rPr>
        <w:t xml:space="preserve"> </w:t>
      </w:r>
      <w:r w:rsidR="00BF31D8" w:rsidRPr="005A6DA8">
        <w:rPr>
          <w:rFonts w:hint="cs"/>
          <w:b/>
          <w:bCs/>
          <w:rtl/>
        </w:rPr>
        <w:t xml:space="preserve">בעיקר </w:t>
      </w:r>
      <w:r w:rsidR="00A90D53">
        <w:rPr>
          <w:rFonts w:hint="cs"/>
          <w:b/>
          <w:bCs/>
          <w:rtl/>
        </w:rPr>
        <w:t>בקרנות המתמחות באג"ח בארץ</w:t>
      </w:r>
      <w:r w:rsidR="003E17A1" w:rsidRPr="005A6DA8">
        <w:rPr>
          <w:rFonts w:hint="cs"/>
          <w:b/>
          <w:bCs/>
          <w:rtl/>
        </w:rPr>
        <w:t xml:space="preserve"> ו</w:t>
      </w:r>
      <w:r w:rsidR="00BF31D8" w:rsidRPr="005A6DA8">
        <w:rPr>
          <w:rFonts w:hint="cs"/>
          <w:b/>
          <w:bCs/>
          <w:rtl/>
        </w:rPr>
        <w:t>בקרנות</w:t>
      </w:r>
      <w:r w:rsidR="00FD2FA9">
        <w:rPr>
          <w:rFonts w:hint="cs"/>
          <w:b/>
          <w:bCs/>
          <w:rtl/>
        </w:rPr>
        <w:t xml:space="preserve"> הכספיות השקליות</w:t>
      </w:r>
      <w:r w:rsidR="003E17A1" w:rsidRPr="005A6DA8">
        <w:rPr>
          <w:rFonts w:hint="cs"/>
          <w:b/>
          <w:bCs/>
          <w:rtl/>
        </w:rPr>
        <w:t>.</w:t>
      </w:r>
    </w:p>
    <w:p w:rsidR="00821D0B" w:rsidRPr="00821D0B" w:rsidRDefault="00821D0B" w:rsidP="00821D0B">
      <w:pPr>
        <w:pStyle w:val="af"/>
        <w:spacing w:before="240" w:line="360" w:lineRule="auto"/>
        <w:jc w:val="both"/>
        <w:rPr>
          <w:b/>
          <w:bCs/>
        </w:rPr>
      </w:pPr>
    </w:p>
    <w:p w:rsidR="008D130A" w:rsidRDefault="002A7E7B" w:rsidP="00202A38">
      <w:pPr>
        <w:pStyle w:val="af"/>
        <w:numPr>
          <w:ilvl w:val="0"/>
          <w:numId w:val="18"/>
        </w:numPr>
        <w:spacing w:before="240" w:line="360" w:lineRule="auto"/>
        <w:jc w:val="both"/>
        <w:rPr>
          <w:b/>
          <w:bCs/>
        </w:rPr>
      </w:pPr>
      <w:r w:rsidRPr="002E5159">
        <w:rPr>
          <w:rStyle w:val="10"/>
          <w:rFonts w:hint="cs"/>
          <w:rtl/>
        </w:rPr>
        <w:t>סך תיק הנכסים</w:t>
      </w:r>
      <w:r w:rsidR="008A5A5C">
        <w:rPr>
          <w:rStyle w:val="10"/>
          <w:rFonts w:hint="cs"/>
          <w:rtl/>
        </w:rPr>
        <w:t xml:space="preserve"> הפיננסים של הציבור</w:t>
      </w:r>
    </w:p>
    <w:p w:rsidR="00FE3B35" w:rsidRPr="00FE3B35" w:rsidRDefault="00FE3B35" w:rsidP="00FE3B35">
      <w:pPr>
        <w:pStyle w:val="af"/>
        <w:spacing w:before="240" w:line="360" w:lineRule="auto"/>
        <w:ind w:left="360"/>
        <w:jc w:val="both"/>
        <w:rPr>
          <w:b/>
          <w:bCs/>
          <w:sz w:val="8"/>
          <w:szCs w:val="8"/>
          <w:rtl/>
        </w:rPr>
      </w:pPr>
    </w:p>
    <w:p w:rsidR="008D0D97" w:rsidRDefault="0027468F" w:rsidP="00327A1E">
      <w:pPr>
        <w:pStyle w:val="af"/>
        <w:spacing w:before="240" w:line="360" w:lineRule="auto"/>
        <w:ind w:left="360"/>
        <w:jc w:val="both"/>
        <w:rPr>
          <w:rtl/>
        </w:rPr>
      </w:pPr>
      <w:r w:rsidRPr="00D3538A">
        <w:rPr>
          <w:rFonts w:hint="cs"/>
          <w:rtl/>
        </w:rPr>
        <w:t>מהחטיבה למידע ולסטטיסטיקה</w:t>
      </w:r>
      <w:r w:rsidR="000755F0" w:rsidRPr="00D3538A">
        <w:rPr>
          <w:rFonts w:hint="cs"/>
          <w:rtl/>
        </w:rPr>
        <w:t xml:space="preserve"> בבנק ישראל</w:t>
      </w:r>
      <w:r w:rsidRPr="00D3538A">
        <w:rPr>
          <w:rFonts w:hint="cs"/>
          <w:rtl/>
        </w:rPr>
        <w:t xml:space="preserve"> נמסר</w:t>
      </w:r>
      <w:r w:rsidR="003E5DA9" w:rsidRPr="00D3538A">
        <w:rPr>
          <w:rFonts w:hint="cs"/>
          <w:rtl/>
        </w:rPr>
        <w:t>,</w:t>
      </w:r>
      <w:r w:rsidRPr="00D3538A">
        <w:rPr>
          <w:rFonts w:hint="cs"/>
          <w:rtl/>
        </w:rPr>
        <w:t xml:space="preserve"> כי </w:t>
      </w:r>
      <w:r w:rsidR="00FB3C86">
        <w:rPr>
          <w:rFonts w:hint="cs"/>
          <w:b/>
          <w:bCs/>
          <w:rtl/>
        </w:rPr>
        <w:t>ברבעון</w:t>
      </w:r>
      <w:r w:rsidR="008F4C5E" w:rsidRPr="00D3538A">
        <w:rPr>
          <w:rFonts w:hint="cs"/>
          <w:b/>
          <w:bCs/>
          <w:rtl/>
        </w:rPr>
        <w:t xml:space="preserve"> </w:t>
      </w:r>
      <w:r w:rsidR="00327A1E">
        <w:rPr>
          <w:rFonts w:hint="cs"/>
          <w:b/>
          <w:bCs/>
          <w:rtl/>
        </w:rPr>
        <w:t>הראשון</w:t>
      </w:r>
      <w:r w:rsidR="00F32C0F" w:rsidRPr="00D3538A">
        <w:rPr>
          <w:rFonts w:hint="cs"/>
          <w:b/>
          <w:bCs/>
          <w:rtl/>
        </w:rPr>
        <w:t xml:space="preserve"> </w:t>
      </w:r>
      <w:r w:rsidR="008F4C5E" w:rsidRPr="00D3538A">
        <w:rPr>
          <w:rFonts w:hint="cs"/>
          <w:b/>
          <w:bCs/>
          <w:rtl/>
        </w:rPr>
        <w:t>של שנת</w:t>
      </w:r>
      <w:r w:rsidR="001E2E5B" w:rsidRPr="00D3538A">
        <w:rPr>
          <w:rFonts w:hint="cs"/>
          <w:b/>
          <w:bCs/>
          <w:rtl/>
        </w:rPr>
        <w:t xml:space="preserve"> </w:t>
      </w:r>
      <w:r w:rsidR="00327A1E">
        <w:rPr>
          <w:rFonts w:hint="cs"/>
          <w:b/>
          <w:bCs/>
          <w:rtl/>
        </w:rPr>
        <w:t>2026</w:t>
      </w:r>
      <w:r w:rsidR="0049743C" w:rsidRPr="00D3538A">
        <w:rPr>
          <w:rFonts w:hint="cs"/>
          <w:b/>
          <w:bCs/>
          <w:color w:val="FF0000"/>
          <w:rtl/>
        </w:rPr>
        <w:t xml:space="preserve"> </w:t>
      </w:r>
      <w:r w:rsidR="003F7C50" w:rsidRPr="00D3538A">
        <w:rPr>
          <w:rFonts w:hint="cs"/>
          <w:rtl/>
        </w:rPr>
        <w:t>יתרת</w:t>
      </w:r>
      <w:r w:rsidR="0049743C" w:rsidRPr="00D3538A">
        <w:rPr>
          <w:rFonts w:hint="cs"/>
          <w:rtl/>
        </w:rPr>
        <w:t xml:space="preserve"> תיק הנכסים</w:t>
      </w:r>
      <w:r w:rsidR="00235FBA" w:rsidRPr="00D3538A">
        <w:rPr>
          <w:rFonts w:hint="cs"/>
          <w:rtl/>
        </w:rPr>
        <w:t xml:space="preserve"> הפיננסיים של הציבור</w:t>
      </w:r>
      <w:r w:rsidR="0049743C" w:rsidRPr="00D3538A">
        <w:rPr>
          <w:rFonts w:hint="cs"/>
          <w:rtl/>
        </w:rPr>
        <w:t xml:space="preserve"> </w:t>
      </w:r>
      <w:r w:rsidR="005F516F">
        <w:rPr>
          <w:rFonts w:hint="cs"/>
          <w:rtl/>
        </w:rPr>
        <w:t>עלתה בכ-</w:t>
      </w:r>
      <w:r w:rsidR="00327A1E">
        <w:rPr>
          <w:rFonts w:hint="cs"/>
          <w:rtl/>
        </w:rPr>
        <w:t>55</w:t>
      </w:r>
      <w:r w:rsidR="005F516F">
        <w:rPr>
          <w:rFonts w:hint="cs"/>
          <w:rtl/>
        </w:rPr>
        <w:t xml:space="preserve"> מיליארדי ש"ח (כ-</w:t>
      </w:r>
      <w:r w:rsidR="00327A1E">
        <w:rPr>
          <w:rFonts w:hint="cs"/>
          <w:rtl/>
        </w:rPr>
        <w:t>0.8</w:t>
      </w:r>
      <w:r w:rsidR="005F516F">
        <w:rPr>
          <w:rFonts w:hint="cs"/>
          <w:rtl/>
        </w:rPr>
        <w:t>%)</w:t>
      </w:r>
      <w:r w:rsidR="00EB0E87">
        <w:rPr>
          <w:rFonts w:hint="cs"/>
          <w:rtl/>
        </w:rPr>
        <w:t>,</w:t>
      </w:r>
      <w:r w:rsidR="00C54B6F" w:rsidRPr="00D3538A">
        <w:rPr>
          <w:rFonts w:hint="cs"/>
          <w:rtl/>
        </w:rPr>
        <w:t xml:space="preserve"> </w:t>
      </w:r>
      <w:r w:rsidR="00EB0E87">
        <w:rPr>
          <w:rFonts w:hint="cs"/>
          <w:rtl/>
        </w:rPr>
        <w:t>לרמה של</w:t>
      </w:r>
      <w:r w:rsidR="00C54B6F" w:rsidRPr="00D3538A">
        <w:rPr>
          <w:rFonts w:hint="cs"/>
          <w:rtl/>
        </w:rPr>
        <w:t xml:space="preserve"> כ-</w:t>
      </w:r>
      <w:r w:rsidR="006A3BBA">
        <w:rPr>
          <w:rFonts w:hint="cs"/>
          <w:rtl/>
        </w:rPr>
        <w:t>7.2</w:t>
      </w:r>
      <w:r w:rsidR="00327A1E">
        <w:rPr>
          <w:rFonts w:hint="cs"/>
          <w:rtl/>
        </w:rPr>
        <w:t>5</w:t>
      </w:r>
      <w:r w:rsidR="006A3BBA">
        <w:rPr>
          <w:rFonts w:hint="cs"/>
          <w:rtl/>
        </w:rPr>
        <w:t xml:space="preserve"> </w:t>
      </w:r>
      <w:r w:rsidR="005F516F">
        <w:rPr>
          <w:rFonts w:hint="cs"/>
          <w:rtl/>
        </w:rPr>
        <w:t xml:space="preserve">טריליוני ש"ח </w:t>
      </w:r>
      <w:r w:rsidR="006B1969" w:rsidRPr="00D3538A">
        <w:rPr>
          <w:rFonts w:hint="cs"/>
          <w:rtl/>
        </w:rPr>
        <w:t>(תרשים 1</w:t>
      </w:r>
      <w:r w:rsidR="002F5E09">
        <w:rPr>
          <w:rFonts w:hint="cs"/>
          <w:rtl/>
        </w:rPr>
        <w:t>)</w:t>
      </w:r>
      <w:r w:rsidR="00AE36C9" w:rsidRPr="00EB0E87">
        <w:rPr>
          <w:rFonts w:hint="cs"/>
          <w:b/>
          <w:bCs/>
          <w:rtl/>
        </w:rPr>
        <w:t>.</w:t>
      </w:r>
      <w:r w:rsidR="00AE36C9" w:rsidRPr="00400005">
        <w:rPr>
          <w:rFonts w:hint="cs"/>
          <w:rtl/>
        </w:rPr>
        <w:t xml:space="preserve"> </w:t>
      </w:r>
      <w:r w:rsidR="006B1969" w:rsidRPr="00400005">
        <w:rPr>
          <w:rFonts w:hint="cs"/>
          <w:rtl/>
        </w:rPr>
        <w:t>משקל תיק הנכסים הפיננסיים של הציבור</w:t>
      </w:r>
      <w:r w:rsidR="0085556F" w:rsidRPr="00400005">
        <w:rPr>
          <w:rFonts w:hint="cs"/>
          <w:rtl/>
        </w:rPr>
        <w:t xml:space="preserve"> ביחס לתוצר </w:t>
      </w:r>
      <w:r w:rsidR="00327A1E">
        <w:rPr>
          <w:rFonts w:hint="cs"/>
          <w:rtl/>
        </w:rPr>
        <w:t>ירד</w:t>
      </w:r>
      <w:r w:rsidR="0085556F" w:rsidRPr="00400005">
        <w:rPr>
          <w:rFonts w:hint="cs"/>
          <w:rtl/>
        </w:rPr>
        <w:t xml:space="preserve"> בכ-</w:t>
      </w:r>
      <w:r w:rsidR="00327A1E">
        <w:rPr>
          <w:rFonts w:hint="cs"/>
          <w:rtl/>
        </w:rPr>
        <w:t>0.2</w:t>
      </w:r>
      <w:r w:rsidR="00F65496">
        <w:rPr>
          <w:rFonts w:hint="cs"/>
          <w:rtl/>
        </w:rPr>
        <w:t xml:space="preserve"> </w:t>
      </w:r>
      <w:r w:rsidR="0085556F" w:rsidRPr="00400005">
        <w:rPr>
          <w:rFonts w:hint="cs"/>
          <w:rtl/>
        </w:rPr>
        <w:t xml:space="preserve">נקודות האחוז ועמד בסוף </w:t>
      </w:r>
      <w:r w:rsidR="00FB3C86">
        <w:rPr>
          <w:rFonts w:hint="cs"/>
          <w:rtl/>
        </w:rPr>
        <w:t>הרבעון</w:t>
      </w:r>
      <w:r w:rsidR="0085556F" w:rsidRPr="00400005">
        <w:rPr>
          <w:rFonts w:hint="cs"/>
          <w:rtl/>
        </w:rPr>
        <w:t xml:space="preserve"> על כ-</w:t>
      </w:r>
      <w:r w:rsidR="006A3BBA">
        <w:rPr>
          <w:rFonts w:hint="cs"/>
          <w:rtl/>
        </w:rPr>
        <w:t>34</w:t>
      </w:r>
      <w:r w:rsidR="00327A1E">
        <w:rPr>
          <w:rFonts w:hint="cs"/>
          <w:rtl/>
        </w:rPr>
        <w:t>0</w:t>
      </w:r>
      <w:r w:rsidR="006A3BBA">
        <w:rPr>
          <w:rFonts w:hint="cs"/>
          <w:rtl/>
        </w:rPr>
        <w:t xml:space="preserve"> </w:t>
      </w:r>
      <w:r w:rsidR="0085556F" w:rsidRPr="00400005">
        <w:rPr>
          <w:rFonts w:hint="cs"/>
          <w:rtl/>
        </w:rPr>
        <w:t xml:space="preserve">אחוזים, </w:t>
      </w:r>
      <w:r w:rsidR="00D95EF5" w:rsidRPr="00400005">
        <w:rPr>
          <w:rFonts w:hint="cs"/>
          <w:rtl/>
        </w:rPr>
        <w:t xml:space="preserve">זאת כתוצאה </w:t>
      </w:r>
      <w:r w:rsidR="00896E8C">
        <w:rPr>
          <w:rFonts w:hint="cs"/>
          <w:rtl/>
        </w:rPr>
        <w:t>מעלייה</w:t>
      </w:r>
      <w:r w:rsidR="005F516F">
        <w:rPr>
          <w:rFonts w:hint="cs"/>
          <w:rtl/>
        </w:rPr>
        <w:t xml:space="preserve"> </w:t>
      </w:r>
      <w:r w:rsidR="00327A1E">
        <w:rPr>
          <w:rFonts w:hint="cs"/>
          <w:rtl/>
        </w:rPr>
        <w:t xml:space="preserve">מעט </w:t>
      </w:r>
      <w:r w:rsidR="005F516F">
        <w:rPr>
          <w:rFonts w:hint="cs"/>
          <w:rtl/>
        </w:rPr>
        <w:t>גדולה יותר</w:t>
      </w:r>
      <w:r w:rsidR="00327A1E">
        <w:rPr>
          <w:rFonts w:hint="cs"/>
          <w:rtl/>
        </w:rPr>
        <w:t xml:space="preserve"> בתוצר לעומת</w:t>
      </w:r>
      <w:r w:rsidR="00896E8C">
        <w:rPr>
          <w:rFonts w:hint="cs"/>
          <w:rtl/>
        </w:rPr>
        <w:t xml:space="preserve"> </w:t>
      </w:r>
      <w:r w:rsidR="00C94AEF">
        <w:rPr>
          <w:rFonts w:hint="cs"/>
          <w:rtl/>
        </w:rPr>
        <w:t>ב</w:t>
      </w:r>
      <w:r w:rsidR="00916879">
        <w:rPr>
          <w:rFonts w:hint="cs"/>
          <w:rtl/>
        </w:rPr>
        <w:t>יתרת ה</w:t>
      </w:r>
      <w:r w:rsidR="005855AD">
        <w:rPr>
          <w:rFonts w:hint="cs"/>
          <w:rtl/>
        </w:rPr>
        <w:t>תיק</w:t>
      </w:r>
      <w:r w:rsidR="00327A1E">
        <w:rPr>
          <w:rFonts w:hint="cs"/>
          <w:rtl/>
        </w:rPr>
        <w:t>.</w:t>
      </w:r>
    </w:p>
    <w:p w:rsidR="00202A38" w:rsidRDefault="00202A38" w:rsidP="00677691">
      <w:pPr>
        <w:pStyle w:val="af"/>
        <w:spacing w:before="240" w:line="360" w:lineRule="auto"/>
        <w:ind w:left="360"/>
        <w:jc w:val="both"/>
        <w:rPr>
          <w:rStyle w:val="10"/>
          <w:b w:val="0"/>
          <w:bCs w:val="0"/>
          <w:rtl/>
        </w:rPr>
      </w:pPr>
    </w:p>
    <w:p w:rsidR="00030ED8" w:rsidRDefault="00BC49B6" w:rsidP="00677691">
      <w:pPr>
        <w:pStyle w:val="af"/>
        <w:spacing w:before="240" w:line="360" w:lineRule="auto"/>
        <w:ind w:left="360"/>
        <w:jc w:val="both"/>
        <w:rPr>
          <w:rStyle w:val="10"/>
          <w:b w:val="0"/>
          <w:bCs w:val="0"/>
          <w:rtl/>
        </w:rPr>
      </w:pPr>
      <w:r>
        <w:rPr>
          <w:rStyle w:val="10"/>
          <w:b w:val="0"/>
          <w:bCs w:val="0"/>
          <w:noProof/>
          <w:lang w:eastAsia="en-US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18517</wp:posOffset>
            </wp:positionV>
            <wp:extent cx="5576400" cy="2358717"/>
            <wp:effectExtent l="0" t="0" r="5715" b="381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235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74E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2F474E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2F474E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2F474E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2F474E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BC49B6" w:rsidRDefault="00BC49B6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BC49B6" w:rsidRDefault="00BC49B6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</w:p>
    <w:p w:rsidR="0041648B" w:rsidRPr="00BD1343" w:rsidRDefault="005B134C" w:rsidP="00BD1343">
      <w:pPr>
        <w:tabs>
          <w:tab w:val="left" w:pos="4919"/>
        </w:tabs>
        <w:spacing w:before="240" w:line="360" w:lineRule="auto"/>
        <w:jc w:val="both"/>
        <w:rPr>
          <w:rStyle w:val="10"/>
          <w:b w:val="0"/>
          <w:bCs w:val="0"/>
          <w:rtl/>
        </w:rPr>
      </w:pPr>
      <w:r w:rsidRPr="00BD1343">
        <w:rPr>
          <w:rStyle w:val="10"/>
          <w:b w:val="0"/>
          <w:bCs w:val="0"/>
          <w:rtl/>
        </w:rPr>
        <w:tab/>
      </w:r>
    </w:p>
    <w:p w:rsidR="00350C6F" w:rsidRDefault="00A27ECC" w:rsidP="00350C6F">
      <w:pPr>
        <w:pStyle w:val="af"/>
        <w:numPr>
          <w:ilvl w:val="0"/>
          <w:numId w:val="18"/>
        </w:numPr>
        <w:spacing w:before="240" w:line="360" w:lineRule="auto"/>
        <w:jc w:val="both"/>
        <w:rPr>
          <w:rStyle w:val="10"/>
        </w:rPr>
      </w:pPr>
      <w:r w:rsidRPr="00070610">
        <w:rPr>
          <w:rStyle w:val="10"/>
          <w:rFonts w:hint="cs"/>
          <w:rtl/>
        </w:rPr>
        <w:t xml:space="preserve">ניתוח </w:t>
      </w:r>
      <w:r w:rsidRPr="00F26049">
        <w:rPr>
          <w:rStyle w:val="10"/>
          <w:rFonts w:hint="cs"/>
          <w:rtl/>
        </w:rPr>
        <w:t>השינויים בכלל התיק</w:t>
      </w:r>
    </w:p>
    <w:p w:rsidR="00A27ECC" w:rsidRDefault="00A27ECC" w:rsidP="008C06CD">
      <w:pPr>
        <w:pStyle w:val="af"/>
        <w:spacing w:before="240" w:line="360" w:lineRule="auto"/>
        <w:ind w:left="360"/>
        <w:jc w:val="both"/>
        <w:rPr>
          <w:rtl/>
        </w:rPr>
      </w:pPr>
      <w:r w:rsidRPr="00D07CE3">
        <w:rPr>
          <w:rFonts w:hint="cs"/>
          <w:rtl/>
        </w:rPr>
        <w:t xml:space="preserve">במהלך </w:t>
      </w:r>
      <w:r w:rsidR="00FB3C86">
        <w:rPr>
          <w:rFonts w:hint="cs"/>
          <w:rtl/>
        </w:rPr>
        <w:t>הרבעון</w:t>
      </w:r>
      <w:r w:rsidRPr="00D07CE3">
        <w:rPr>
          <w:rFonts w:hint="cs"/>
          <w:rtl/>
        </w:rPr>
        <w:t xml:space="preserve"> </w:t>
      </w:r>
      <w:r w:rsidR="00F2425B">
        <w:rPr>
          <w:rFonts w:hint="cs"/>
          <w:rtl/>
        </w:rPr>
        <w:t>הראשון</w:t>
      </w:r>
      <w:r w:rsidR="001C7231">
        <w:rPr>
          <w:rFonts w:hint="cs"/>
          <w:rtl/>
        </w:rPr>
        <w:t xml:space="preserve"> </w:t>
      </w:r>
      <w:r w:rsidR="008C06CD">
        <w:rPr>
          <w:rFonts w:hint="cs"/>
          <w:rtl/>
        </w:rPr>
        <w:t>ההתפתחות ברכיבי תיק הנכסים לא הייתה אחידה: חלו עליות ביתרת המניות בארץ (5.5%), ביתרת אג"ח חברות (3.1%) וביתרת המזומן והפיקדונות (0.9%), ואילו חלה ירידה ביתרת ההשקעות בחו"ל (2.7%-) וביתרת האג"ח הממשלתיות והמק"ם (1.5%-).</w:t>
      </w:r>
    </w:p>
    <w:p w:rsidR="009A7930" w:rsidRPr="00B56025" w:rsidRDefault="00F2425B" w:rsidP="00BD1343">
      <w:pPr>
        <w:pStyle w:val="af"/>
        <w:spacing w:before="240" w:line="360" w:lineRule="auto"/>
        <w:ind w:left="360"/>
        <w:jc w:val="both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568400" cy="2438788"/>
            <wp:effectExtent l="0" t="0" r="3810" b="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438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930" w:rsidRDefault="009A7930" w:rsidP="00F971EC">
      <w:pPr>
        <w:spacing w:before="240" w:line="360" w:lineRule="auto"/>
        <w:ind w:left="360"/>
        <w:jc w:val="center"/>
      </w:pPr>
    </w:p>
    <w:p w:rsidR="009A7930" w:rsidRDefault="009A7930" w:rsidP="00F971EC">
      <w:pPr>
        <w:spacing w:before="240" w:line="360" w:lineRule="auto"/>
        <w:ind w:left="360"/>
        <w:jc w:val="center"/>
      </w:pPr>
    </w:p>
    <w:p w:rsidR="009A7930" w:rsidRDefault="009A7930" w:rsidP="00F971EC">
      <w:pPr>
        <w:spacing w:before="240" w:line="360" w:lineRule="auto"/>
        <w:ind w:left="360"/>
        <w:jc w:val="center"/>
      </w:pPr>
    </w:p>
    <w:p w:rsidR="009A7930" w:rsidRDefault="009A7930" w:rsidP="00F971EC">
      <w:pPr>
        <w:spacing w:before="240" w:line="360" w:lineRule="auto"/>
        <w:ind w:left="360"/>
        <w:jc w:val="center"/>
      </w:pPr>
    </w:p>
    <w:p w:rsidR="009A7930" w:rsidRDefault="009A7930" w:rsidP="00F971EC">
      <w:pPr>
        <w:spacing w:before="240" w:line="360" w:lineRule="auto"/>
        <w:ind w:left="360"/>
        <w:jc w:val="center"/>
      </w:pPr>
    </w:p>
    <w:p w:rsidR="00DE0DB7" w:rsidRDefault="00F2425B" w:rsidP="00DE0DB7">
      <w:pPr>
        <w:spacing w:before="240" w:line="360" w:lineRule="auto"/>
        <w:ind w:left="360"/>
        <w:jc w:val="center"/>
        <w:rPr>
          <w:rtl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289712</wp:posOffset>
            </wp:positionV>
            <wp:extent cx="4568400" cy="2013441"/>
            <wp:effectExtent l="0" t="0" r="3810" b="635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01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Default="00DE0DB7" w:rsidP="00DE0DB7">
      <w:pPr>
        <w:spacing w:before="240" w:line="360" w:lineRule="auto"/>
        <w:ind w:left="360"/>
        <w:jc w:val="center"/>
        <w:rPr>
          <w:rtl/>
        </w:rPr>
      </w:pPr>
    </w:p>
    <w:p w:rsidR="00DE0DB7" w:rsidRDefault="00DE0DB7" w:rsidP="00DE0DB7">
      <w:pPr>
        <w:spacing w:before="240" w:line="360" w:lineRule="auto"/>
        <w:ind w:left="360"/>
        <w:jc w:val="center"/>
        <w:rPr>
          <w:rtl/>
        </w:rPr>
      </w:pPr>
    </w:p>
    <w:p w:rsidR="00DE0DB7" w:rsidRDefault="00DE0DB7" w:rsidP="00DE0DB7">
      <w:pPr>
        <w:spacing w:before="240" w:line="360" w:lineRule="auto"/>
        <w:ind w:left="360"/>
        <w:jc w:val="center"/>
        <w:rPr>
          <w:rtl/>
        </w:rPr>
      </w:pPr>
    </w:p>
    <w:p w:rsidR="00DE0DB7" w:rsidRDefault="00DE0DB7" w:rsidP="004A21AD">
      <w:pPr>
        <w:spacing w:before="240" w:line="360" w:lineRule="auto"/>
        <w:rPr>
          <w:rtl/>
        </w:rPr>
      </w:pPr>
    </w:p>
    <w:p w:rsidR="004A21AD" w:rsidRDefault="004A21AD" w:rsidP="004A21AD">
      <w:pPr>
        <w:spacing w:before="240" w:line="360" w:lineRule="auto"/>
        <w:rPr>
          <w:rtl/>
        </w:rPr>
      </w:pPr>
    </w:p>
    <w:p w:rsidR="004A21AD" w:rsidRPr="00F971EC" w:rsidRDefault="004A21AD" w:rsidP="004A21AD">
      <w:pPr>
        <w:spacing w:before="240" w:line="360" w:lineRule="auto"/>
        <w:rPr>
          <w:rtl/>
        </w:rPr>
      </w:pPr>
    </w:p>
    <w:p w:rsidR="00FB5B06" w:rsidRPr="00C856AD" w:rsidRDefault="00FB5B06" w:rsidP="00A65EFA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="David" w:hAnsi="David"/>
        </w:rPr>
      </w:pPr>
      <w:r w:rsidRPr="00C856AD">
        <w:rPr>
          <w:rFonts w:hint="cs"/>
          <w:rtl/>
        </w:rPr>
        <w:t xml:space="preserve">יתרת </w:t>
      </w:r>
      <w:r w:rsidRPr="00C856AD">
        <w:rPr>
          <w:rFonts w:hint="cs"/>
          <w:b/>
          <w:bCs/>
          <w:rtl/>
        </w:rPr>
        <w:t>המניות בארץ</w:t>
      </w:r>
      <w:r w:rsidRPr="00C856AD">
        <w:rPr>
          <w:rFonts w:hint="cs"/>
          <w:rtl/>
        </w:rPr>
        <w:t xml:space="preserve"> </w:t>
      </w:r>
      <w:r w:rsidR="007A1921" w:rsidRPr="00C856AD">
        <w:rPr>
          <w:rFonts w:hint="cs"/>
          <w:rtl/>
        </w:rPr>
        <w:t>עלתה</w:t>
      </w:r>
      <w:r w:rsidRPr="00C856AD">
        <w:rPr>
          <w:rFonts w:hint="cs"/>
          <w:rtl/>
        </w:rPr>
        <w:t xml:space="preserve"> בכ-</w:t>
      </w:r>
      <w:r w:rsidR="00A65EFA" w:rsidRPr="00C856AD">
        <w:rPr>
          <w:rFonts w:hint="cs"/>
          <w:rtl/>
        </w:rPr>
        <w:t>71.3</w:t>
      </w:r>
      <w:r w:rsidRPr="00C856AD">
        <w:rPr>
          <w:rFonts w:hint="cs"/>
          <w:rtl/>
        </w:rPr>
        <w:t>מיליארדי ש"ח (</w:t>
      </w:r>
      <w:r w:rsidR="00A65EFA" w:rsidRPr="00C856AD">
        <w:rPr>
          <w:rFonts w:hint="cs"/>
          <w:rtl/>
        </w:rPr>
        <w:t>5.5</w:t>
      </w:r>
      <w:r w:rsidR="000357CD" w:rsidRPr="00C856AD">
        <w:rPr>
          <w:rFonts w:hint="cs"/>
          <w:rtl/>
        </w:rPr>
        <w:t>%</w:t>
      </w:r>
      <w:r w:rsidRPr="00C856AD">
        <w:rPr>
          <w:rFonts w:hint="cs"/>
          <w:rtl/>
        </w:rPr>
        <w:t>), זאת</w:t>
      </w:r>
      <w:r w:rsidR="00F33C8F" w:rsidRPr="00C856AD">
        <w:rPr>
          <w:rFonts w:hint="cs"/>
          <w:rtl/>
        </w:rPr>
        <w:t xml:space="preserve"> </w:t>
      </w:r>
      <w:r w:rsidR="00AC6C14" w:rsidRPr="00C856AD">
        <w:rPr>
          <w:rFonts w:hint="cs"/>
          <w:rtl/>
        </w:rPr>
        <w:t xml:space="preserve">בעיקר </w:t>
      </w:r>
      <w:r w:rsidRPr="00C856AD">
        <w:rPr>
          <w:rFonts w:hint="cs"/>
          <w:rtl/>
        </w:rPr>
        <w:t xml:space="preserve">על רקע </w:t>
      </w:r>
      <w:r w:rsidR="004D512E" w:rsidRPr="00C856AD">
        <w:rPr>
          <w:rFonts w:hint="cs"/>
          <w:rtl/>
        </w:rPr>
        <w:t>עליות מחירים.</w:t>
      </w:r>
    </w:p>
    <w:p w:rsidR="00241521" w:rsidRPr="00C856AD" w:rsidRDefault="00241521" w:rsidP="005A324D">
      <w:pPr>
        <w:pStyle w:val="af"/>
        <w:numPr>
          <w:ilvl w:val="0"/>
          <w:numId w:val="24"/>
        </w:numPr>
        <w:spacing w:before="240" w:line="360" w:lineRule="auto"/>
        <w:ind w:hanging="319"/>
      </w:pPr>
      <w:r w:rsidRPr="00C856AD">
        <w:rPr>
          <w:rtl/>
        </w:rPr>
        <w:t xml:space="preserve">יתרת </w:t>
      </w:r>
      <w:r w:rsidRPr="00C856AD">
        <w:rPr>
          <w:rFonts w:hint="cs"/>
          <w:b/>
          <w:bCs/>
          <w:rtl/>
        </w:rPr>
        <w:t>המזומן ו</w:t>
      </w:r>
      <w:r w:rsidRPr="00C856AD">
        <w:rPr>
          <w:b/>
          <w:bCs/>
          <w:rtl/>
        </w:rPr>
        <w:t>הפ</w:t>
      </w:r>
      <w:r w:rsidRPr="00C856AD">
        <w:rPr>
          <w:rFonts w:hint="cs"/>
          <w:b/>
          <w:bCs/>
          <w:rtl/>
        </w:rPr>
        <w:t>י</w:t>
      </w:r>
      <w:r w:rsidRPr="00C856AD">
        <w:rPr>
          <w:b/>
          <w:bCs/>
          <w:rtl/>
        </w:rPr>
        <w:t>קדונות</w:t>
      </w:r>
      <w:r w:rsidRPr="00C856AD">
        <w:rPr>
          <w:rtl/>
        </w:rPr>
        <w:t xml:space="preserve"> </w:t>
      </w:r>
      <w:r w:rsidRPr="00C856AD">
        <w:rPr>
          <w:rFonts w:hint="cs"/>
          <w:rtl/>
        </w:rPr>
        <w:t>עלתה</w:t>
      </w:r>
      <w:r w:rsidRPr="00C856AD">
        <w:rPr>
          <w:rtl/>
        </w:rPr>
        <w:t xml:space="preserve"> במהלך </w:t>
      </w:r>
      <w:r w:rsidR="00FB3C86" w:rsidRPr="00C856AD">
        <w:rPr>
          <w:rFonts w:hint="cs"/>
          <w:rtl/>
        </w:rPr>
        <w:t>הרבעון</w:t>
      </w:r>
      <w:r w:rsidRPr="00C856AD">
        <w:rPr>
          <w:rtl/>
        </w:rPr>
        <w:t xml:space="preserve"> בכ-</w:t>
      </w:r>
      <w:r w:rsidR="005A324D" w:rsidRPr="00C856AD">
        <w:rPr>
          <w:rFonts w:hint="cs"/>
          <w:rtl/>
        </w:rPr>
        <w:t>22.5</w:t>
      </w:r>
      <w:r w:rsidR="00B86BE4" w:rsidRPr="00C856AD">
        <w:rPr>
          <w:rFonts w:hint="cs"/>
          <w:rtl/>
        </w:rPr>
        <w:t xml:space="preserve"> </w:t>
      </w:r>
      <w:r w:rsidRPr="00C856AD">
        <w:rPr>
          <w:rtl/>
        </w:rPr>
        <w:t>מיליארדי ש"ח (</w:t>
      </w:r>
      <w:r w:rsidR="005A324D" w:rsidRPr="00C856AD">
        <w:rPr>
          <w:rFonts w:hint="cs"/>
          <w:rtl/>
        </w:rPr>
        <w:t>0.9</w:t>
      </w:r>
      <w:r w:rsidRPr="00C856AD">
        <w:rPr>
          <w:rtl/>
        </w:rPr>
        <w:t>%) והגיעה לרמה של כ-</w:t>
      </w:r>
      <w:r w:rsidRPr="00C856AD">
        <w:rPr>
          <w:rFonts w:hint="cs"/>
          <w:rtl/>
        </w:rPr>
        <w:t>2.</w:t>
      </w:r>
      <w:r w:rsidR="00AC367E" w:rsidRPr="00C856AD">
        <w:rPr>
          <w:rFonts w:hint="cs"/>
          <w:rtl/>
        </w:rPr>
        <w:t>4</w:t>
      </w:r>
      <w:r w:rsidR="005A324D" w:rsidRPr="00C856AD">
        <w:rPr>
          <w:rFonts w:hint="cs"/>
          <w:rtl/>
        </w:rPr>
        <w:t>4</w:t>
      </w:r>
      <w:r w:rsidRPr="00C856AD">
        <w:rPr>
          <w:rFonts w:hint="cs"/>
          <w:rtl/>
        </w:rPr>
        <w:t xml:space="preserve"> </w:t>
      </w:r>
      <w:r w:rsidRPr="00C856AD">
        <w:rPr>
          <w:rtl/>
        </w:rPr>
        <w:t xml:space="preserve">טריליוני </w:t>
      </w:r>
      <w:r w:rsidRPr="00C856AD">
        <w:rPr>
          <w:rFonts w:hint="cs"/>
          <w:rtl/>
        </w:rPr>
        <w:t>ש"ח, המהווים כ-34% מסך התיק.</w:t>
      </w:r>
    </w:p>
    <w:p w:rsidR="00BE4467" w:rsidRPr="00C856AD" w:rsidRDefault="00BE4467" w:rsidP="001C440F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</w:pPr>
      <w:r w:rsidRPr="00C856AD">
        <w:rPr>
          <w:rFonts w:hint="cs"/>
          <w:b/>
          <w:bCs/>
          <w:rtl/>
        </w:rPr>
        <w:t xml:space="preserve">יתרת האג"ח החברות הסחירות בארץ </w:t>
      </w:r>
      <w:r w:rsidRPr="00C856AD">
        <w:rPr>
          <w:rFonts w:hint="cs"/>
          <w:rtl/>
        </w:rPr>
        <w:t xml:space="preserve">עלתה </w:t>
      </w:r>
      <w:r w:rsidR="00996D13" w:rsidRPr="00C856AD">
        <w:rPr>
          <w:rFonts w:hint="cs"/>
          <w:rtl/>
        </w:rPr>
        <w:t xml:space="preserve">במהלך </w:t>
      </w:r>
      <w:r w:rsidR="00FB3C86" w:rsidRPr="00C856AD">
        <w:rPr>
          <w:rFonts w:hint="cs"/>
          <w:rtl/>
        </w:rPr>
        <w:t>הרבעון</w:t>
      </w:r>
      <w:r w:rsidR="00996D13" w:rsidRPr="00C856AD">
        <w:rPr>
          <w:rFonts w:hint="cs"/>
          <w:rtl/>
        </w:rPr>
        <w:t xml:space="preserve"> </w:t>
      </w:r>
      <w:r w:rsidRPr="00C856AD">
        <w:rPr>
          <w:rFonts w:hint="cs"/>
          <w:rtl/>
        </w:rPr>
        <w:t>בכ-</w:t>
      </w:r>
      <w:r w:rsidR="00421F08" w:rsidRPr="00C856AD">
        <w:rPr>
          <w:rFonts w:hint="cs"/>
          <w:rtl/>
        </w:rPr>
        <w:t>15.7</w:t>
      </w:r>
      <w:r w:rsidR="00AC367E" w:rsidRPr="00C856AD">
        <w:rPr>
          <w:rFonts w:hint="cs"/>
          <w:rtl/>
        </w:rPr>
        <w:t xml:space="preserve"> </w:t>
      </w:r>
      <w:r w:rsidRPr="00C856AD">
        <w:rPr>
          <w:rFonts w:hint="cs"/>
          <w:rtl/>
        </w:rPr>
        <w:t>מיליארדי ש"ח ועמדה בסופו על כ-</w:t>
      </w:r>
      <w:r w:rsidR="00421F08" w:rsidRPr="00C856AD">
        <w:rPr>
          <w:rFonts w:hint="cs"/>
          <w:rtl/>
        </w:rPr>
        <w:t>526</w:t>
      </w:r>
      <w:r w:rsidRPr="00C856AD">
        <w:rPr>
          <w:rFonts w:hint="cs"/>
          <w:rtl/>
        </w:rPr>
        <w:t xml:space="preserve"> מיליארדים, זאת </w:t>
      </w:r>
      <w:r w:rsidR="001C440F" w:rsidRPr="00C856AD">
        <w:rPr>
          <w:rFonts w:hint="cs"/>
          <w:rtl/>
        </w:rPr>
        <w:t xml:space="preserve">בעיקר </w:t>
      </w:r>
      <w:r w:rsidRPr="00C856AD">
        <w:rPr>
          <w:rFonts w:hint="cs"/>
          <w:rtl/>
        </w:rPr>
        <w:t xml:space="preserve">כתוצאה </w:t>
      </w:r>
      <w:r w:rsidR="001C440F" w:rsidRPr="00C856AD">
        <w:rPr>
          <w:rFonts w:hint="cs"/>
          <w:rtl/>
        </w:rPr>
        <w:t>מ</w:t>
      </w:r>
      <w:r w:rsidR="007A1921" w:rsidRPr="00C856AD">
        <w:rPr>
          <w:rFonts w:hint="cs"/>
          <w:rtl/>
        </w:rPr>
        <w:t>השקעות נטו</w:t>
      </w:r>
      <w:r w:rsidR="001C440F" w:rsidRPr="00C856AD">
        <w:rPr>
          <w:rFonts w:hint="cs"/>
          <w:rtl/>
        </w:rPr>
        <w:t>.</w:t>
      </w:r>
    </w:p>
    <w:p w:rsidR="0098595F" w:rsidRPr="00C856AD" w:rsidRDefault="0098595F" w:rsidP="00421F08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</w:pPr>
      <w:r w:rsidRPr="00C856AD">
        <w:rPr>
          <w:rFonts w:hint="cs"/>
          <w:rtl/>
        </w:rPr>
        <w:t xml:space="preserve">יתרת </w:t>
      </w:r>
      <w:r w:rsidRPr="00C856AD">
        <w:rPr>
          <w:rFonts w:hint="cs"/>
          <w:b/>
          <w:bCs/>
          <w:rtl/>
        </w:rPr>
        <w:t>המק"ם</w:t>
      </w:r>
      <w:r w:rsidRPr="00C856AD">
        <w:rPr>
          <w:rFonts w:hint="cs"/>
          <w:rtl/>
        </w:rPr>
        <w:t xml:space="preserve"> שבידי הציבור </w:t>
      </w:r>
      <w:r w:rsidR="00421F08" w:rsidRPr="00C856AD">
        <w:rPr>
          <w:rFonts w:hint="cs"/>
          <w:rtl/>
        </w:rPr>
        <w:t>ירדה</w:t>
      </w:r>
      <w:r w:rsidRPr="00C856AD">
        <w:rPr>
          <w:rFonts w:hint="cs"/>
          <w:rtl/>
        </w:rPr>
        <w:t xml:space="preserve"> בכ-</w:t>
      </w:r>
      <w:r w:rsidR="00421F08" w:rsidRPr="00C856AD">
        <w:rPr>
          <w:rFonts w:hint="cs"/>
          <w:rtl/>
        </w:rPr>
        <w:t>14</w:t>
      </w:r>
      <w:r w:rsidRPr="00C856AD">
        <w:rPr>
          <w:rFonts w:hint="cs"/>
          <w:rtl/>
        </w:rPr>
        <w:t xml:space="preserve"> מיליארדי ש"ח לרמה של כ-</w:t>
      </w:r>
      <w:r w:rsidR="00421F08" w:rsidRPr="00C856AD">
        <w:rPr>
          <w:rFonts w:hint="cs"/>
          <w:rtl/>
        </w:rPr>
        <w:t>188</w:t>
      </w:r>
      <w:r w:rsidRPr="00C856AD">
        <w:rPr>
          <w:rFonts w:hint="cs"/>
          <w:rtl/>
        </w:rPr>
        <w:t xml:space="preserve"> מיליארדי ש"ח.</w:t>
      </w:r>
    </w:p>
    <w:p w:rsidR="00DE0DB7" w:rsidRPr="00C856AD" w:rsidRDefault="00DB7A39" w:rsidP="000B6ACD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</w:pPr>
      <w:r w:rsidRPr="00C856AD">
        <w:rPr>
          <w:rFonts w:hint="cs"/>
          <w:rtl/>
        </w:rPr>
        <w:t xml:space="preserve">יתרת </w:t>
      </w:r>
      <w:r w:rsidRPr="00C856AD">
        <w:rPr>
          <w:rFonts w:hint="cs"/>
          <w:b/>
          <w:bCs/>
          <w:rtl/>
        </w:rPr>
        <w:t>האג"ח הממשלתיות</w:t>
      </w:r>
      <w:r w:rsidRPr="00C856AD">
        <w:rPr>
          <w:rFonts w:hint="cs"/>
          <w:rtl/>
        </w:rPr>
        <w:t xml:space="preserve"> </w:t>
      </w:r>
      <w:r w:rsidR="00C86FD9" w:rsidRPr="00C856AD">
        <w:rPr>
          <w:rFonts w:hint="cs"/>
          <w:b/>
          <w:bCs/>
          <w:rtl/>
        </w:rPr>
        <w:t>הסחירות</w:t>
      </w:r>
      <w:r w:rsidR="00C86FD9" w:rsidRPr="00C856AD">
        <w:rPr>
          <w:rFonts w:hint="cs"/>
          <w:rtl/>
        </w:rPr>
        <w:t xml:space="preserve"> </w:t>
      </w:r>
      <w:r w:rsidR="00FD35A9" w:rsidRPr="00C856AD">
        <w:rPr>
          <w:rFonts w:hint="cs"/>
          <w:rtl/>
        </w:rPr>
        <w:t xml:space="preserve">שבידי הציבור </w:t>
      </w:r>
      <w:r w:rsidR="00421F08" w:rsidRPr="00C856AD">
        <w:rPr>
          <w:rFonts w:hint="cs"/>
          <w:rtl/>
        </w:rPr>
        <w:t>נותרה כמעט ללא שינוי</w:t>
      </w:r>
      <w:r w:rsidR="00C86FD9" w:rsidRPr="00C856AD">
        <w:rPr>
          <w:rFonts w:hint="cs"/>
          <w:rtl/>
        </w:rPr>
        <w:t xml:space="preserve"> ועמדה </w:t>
      </w:r>
      <w:r w:rsidR="004B4467" w:rsidRPr="00C856AD">
        <w:rPr>
          <w:rFonts w:hint="cs"/>
          <w:rtl/>
        </w:rPr>
        <w:t>ב</w:t>
      </w:r>
      <w:r w:rsidR="00421F08" w:rsidRPr="00C856AD">
        <w:rPr>
          <w:rFonts w:hint="cs"/>
          <w:rtl/>
        </w:rPr>
        <w:t>סוף הרבעון</w:t>
      </w:r>
      <w:r w:rsidR="00C86FD9" w:rsidRPr="00C856AD">
        <w:rPr>
          <w:rFonts w:hint="cs"/>
          <w:rtl/>
        </w:rPr>
        <w:t xml:space="preserve"> על כ-</w:t>
      </w:r>
      <w:r w:rsidR="00AC367E" w:rsidRPr="00C856AD">
        <w:rPr>
          <w:rFonts w:hint="cs"/>
          <w:rtl/>
        </w:rPr>
        <w:t>50</w:t>
      </w:r>
      <w:r w:rsidR="00421F08" w:rsidRPr="00C856AD">
        <w:rPr>
          <w:rFonts w:hint="cs"/>
          <w:rtl/>
        </w:rPr>
        <w:t>3</w:t>
      </w:r>
      <w:r w:rsidR="00C86FD9" w:rsidRPr="00C856AD">
        <w:rPr>
          <w:rFonts w:hint="cs"/>
          <w:rtl/>
        </w:rPr>
        <w:t xml:space="preserve"> מיליארדי ש"ח</w:t>
      </w:r>
      <w:r w:rsidR="009E4391" w:rsidRPr="00C856AD">
        <w:rPr>
          <w:rFonts w:hint="cs"/>
          <w:rtl/>
        </w:rPr>
        <w:t xml:space="preserve"> (תרשים 4)</w:t>
      </w:r>
      <w:r w:rsidR="00C86FD9" w:rsidRPr="00C856AD">
        <w:rPr>
          <w:rFonts w:hint="cs"/>
          <w:rtl/>
        </w:rPr>
        <w:t xml:space="preserve">. </w:t>
      </w:r>
      <w:r w:rsidR="005A0045" w:rsidRPr="00C856AD">
        <w:rPr>
          <w:rFonts w:hint="cs"/>
          <w:rtl/>
        </w:rPr>
        <w:t xml:space="preserve">בפילוח לפי מחזיקים </w:t>
      </w:r>
      <w:r w:rsidR="00DD21B7" w:rsidRPr="00C856AD">
        <w:rPr>
          <w:rFonts w:hint="cs"/>
          <w:rtl/>
        </w:rPr>
        <w:t>באג"ח הממשלתיות</w:t>
      </w:r>
      <w:r w:rsidR="005A0045" w:rsidRPr="00C856AD">
        <w:rPr>
          <w:rFonts w:hint="cs"/>
          <w:rtl/>
        </w:rPr>
        <w:t>,</w:t>
      </w:r>
      <w:r w:rsidR="000B6ACD" w:rsidRPr="00C856AD">
        <w:rPr>
          <w:rFonts w:hint="cs"/>
          <w:rtl/>
        </w:rPr>
        <w:t xml:space="preserve"> </w:t>
      </w:r>
      <w:r w:rsidR="001C7231" w:rsidRPr="00C856AD">
        <w:rPr>
          <w:rFonts w:hint="cs"/>
          <w:rtl/>
        </w:rPr>
        <w:t xml:space="preserve">יתרת </w:t>
      </w:r>
      <w:r w:rsidR="00DD21B7" w:rsidRPr="00C856AD">
        <w:rPr>
          <w:rFonts w:hint="cs"/>
          <w:rtl/>
        </w:rPr>
        <w:t>אחזקותיהם</w:t>
      </w:r>
      <w:r w:rsidR="000B6ACD" w:rsidRPr="00C856AD">
        <w:rPr>
          <w:rFonts w:hint="cs"/>
          <w:rtl/>
        </w:rPr>
        <w:t xml:space="preserve"> של הגופים המוסדיים</w:t>
      </w:r>
      <w:r w:rsidR="00DD21B7" w:rsidRPr="00C856AD">
        <w:rPr>
          <w:rFonts w:hint="cs"/>
          <w:rtl/>
        </w:rPr>
        <w:t xml:space="preserve"> </w:t>
      </w:r>
      <w:r w:rsidR="000B6ACD" w:rsidRPr="00C856AD">
        <w:rPr>
          <w:rFonts w:hint="cs"/>
          <w:rtl/>
        </w:rPr>
        <w:t>ירדה</w:t>
      </w:r>
      <w:r w:rsidR="001A58DC" w:rsidRPr="00C856AD">
        <w:rPr>
          <w:rFonts w:hint="cs"/>
          <w:rtl/>
        </w:rPr>
        <w:t xml:space="preserve"> </w:t>
      </w:r>
      <w:r w:rsidR="00DD21B7" w:rsidRPr="00C856AD">
        <w:rPr>
          <w:rFonts w:hint="cs"/>
          <w:rtl/>
        </w:rPr>
        <w:t xml:space="preserve">במהלך </w:t>
      </w:r>
      <w:r w:rsidR="00FB3C86" w:rsidRPr="00C856AD">
        <w:rPr>
          <w:rFonts w:hint="cs"/>
          <w:rtl/>
        </w:rPr>
        <w:t>הרבעון</w:t>
      </w:r>
      <w:r w:rsidR="00DD21B7" w:rsidRPr="00C856AD">
        <w:rPr>
          <w:rFonts w:hint="cs"/>
          <w:rtl/>
        </w:rPr>
        <w:t xml:space="preserve"> בכ-</w:t>
      </w:r>
      <w:r w:rsidR="000B6ACD" w:rsidRPr="00C856AD">
        <w:rPr>
          <w:rFonts w:hint="cs"/>
          <w:rtl/>
        </w:rPr>
        <w:t>12.2</w:t>
      </w:r>
      <w:r w:rsidR="00DD21B7" w:rsidRPr="00C856AD">
        <w:rPr>
          <w:rFonts w:hint="cs"/>
          <w:rtl/>
        </w:rPr>
        <w:t xml:space="preserve"> מיליארדי ש"ח</w:t>
      </w:r>
      <w:r w:rsidR="00D90058" w:rsidRPr="00C856AD">
        <w:rPr>
          <w:rFonts w:hint="cs"/>
          <w:rtl/>
        </w:rPr>
        <w:t xml:space="preserve"> לרמה של כ-</w:t>
      </w:r>
      <w:r w:rsidR="00C33EC1" w:rsidRPr="00C856AD">
        <w:rPr>
          <w:rFonts w:hint="cs"/>
          <w:rtl/>
        </w:rPr>
        <w:t>3</w:t>
      </w:r>
      <w:r w:rsidR="000B6ACD" w:rsidRPr="00C856AD">
        <w:rPr>
          <w:rFonts w:hint="cs"/>
          <w:rtl/>
        </w:rPr>
        <w:t>57</w:t>
      </w:r>
      <w:r w:rsidR="00D90058" w:rsidRPr="00C856AD">
        <w:rPr>
          <w:rFonts w:hint="cs"/>
          <w:rtl/>
        </w:rPr>
        <w:t xml:space="preserve"> מיליארדי ש"ח</w:t>
      </w:r>
      <w:r w:rsidR="000B6ACD" w:rsidRPr="00C856AD">
        <w:rPr>
          <w:rFonts w:hint="cs"/>
          <w:rtl/>
        </w:rPr>
        <w:t>. מנגד, יתרת האחזקות של קרנות הנאמנות עלתה במהלך הרביע בכ-5.6 מיליארדי ש"ח לרמה של כ-63.5 מיליארדי ש"ח.</w:t>
      </w:r>
    </w:p>
    <w:p w:rsidR="00DE0DB7" w:rsidRDefault="00DE0DB7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0B6ACD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margin">
              <wp:posOffset>1703070</wp:posOffset>
            </wp:positionH>
            <wp:positionV relativeFrom="paragraph">
              <wp:posOffset>609</wp:posOffset>
            </wp:positionV>
            <wp:extent cx="3240000" cy="2087132"/>
            <wp:effectExtent l="0" t="0" r="0" b="8890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8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830715" w:rsidRDefault="00830715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830715" w:rsidRDefault="00830715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830715" w:rsidRDefault="00830715" w:rsidP="00DE0DB7">
      <w:pPr>
        <w:pStyle w:val="af"/>
        <w:spacing w:before="240" w:line="360" w:lineRule="auto"/>
        <w:jc w:val="both"/>
        <w:rPr>
          <w:noProof/>
          <w:rtl/>
          <w:lang w:eastAsia="en-US"/>
        </w:rPr>
      </w:pPr>
    </w:p>
    <w:p w:rsidR="004C5D83" w:rsidRDefault="004C5D83" w:rsidP="00DE0DB7">
      <w:pPr>
        <w:pStyle w:val="af"/>
        <w:spacing w:before="240" w:line="360" w:lineRule="auto"/>
        <w:jc w:val="both"/>
        <w:rPr>
          <w:rtl/>
        </w:rPr>
      </w:pPr>
    </w:p>
    <w:p w:rsidR="000B6ACD" w:rsidRDefault="000B6ACD" w:rsidP="000B6ACD">
      <w:pPr>
        <w:spacing w:before="240" w:line="360" w:lineRule="auto"/>
        <w:jc w:val="both"/>
        <w:rPr>
          <w:rtl/>
        </w:rPr>
      </w:pPr>
    </w:p>
    <w:p w:rsidR="00247F73" w:rsidRDefault="009F64A1" w:rsidP="006204D4">
      <w:pPr>
        <w:spacing w:before="240" w:line="360" w:lineRule="auto"/>
        <w:ind w:left="360"/>
        <w:jc w:val="both"/>
        <w:rPr>
          <w:rtl/>
        </w:rPr>
      </w:pPr>
      <w:r w:rsidRPr="000F279F">
        <w:rPr>
          <w:rFonts w:hint="cs"/>
          <w:rtl/>
        </w:rPr>
        <w:t>יתרת ההשקעות בחו"ל</w:t>
      </w:r>
      <w:r w:rsidR="00247F73" w:rsidRPr="000F279F">
        <w:rPr>
          <w:rFonts w:hint="cs"/>
          <w:rtl/>
        </w:rPr>
        <w:t xml:space="preserve"> </w:t>
      </w:r>
      <w:r w:rsidR="006204D4">
        <w:rPr>
          <w:rFonts w:hint="cs"/>
          <w:rtl/>
        </w:rPr>
        <w:t>ירדה</w:t>
      </w:r>
      <w:r w:rsidR="001C7231">
        <w:rPr>
          <w:rFonts w:hint="cs"/>
          <w:rtl/>
        </w:rPr>
        <w:t xml:space="preserve"> </w:t>
      </w:r>
      <w:r w:rsidR="00A767CF">
        <w:rPr>
          <w:rFonts w:hint="cs"/>
          <w:rtl/>
        </w:rPr>
        <w:t>בכ-</w:t>
      </w:r>
      <w:r w:rsidR="006204D4">
        <w:rPr>
          <w:rFonts w:hint="cs"/>
          <w:rtl/>
        </w:rPr>
        <w:t>36.3</w:t>
      </w:r>
      <w:r w:rsidR="00A767CF">
        <w:rPr>
          <w:rFonts w:hint="cs"/>
          <w:rtl/>
        </w:rPr>
        <w:t xml:space="preserve"> </w:t>
      </w:r>
      <w:r w:rsidR="00626275">
        <w:rPr>
          <w:rFonts w:hint="cs"/>
          <w:rtl/>
        </w:rPr>
        <w:t xml:space="preserve">מיליארדי ש"ח </w:t>
      </w:r>
      <w:r w:rsidR="00247F73" w:rsidRPr="000F279F">
        <w:rPr>
          <w:rFonts w:hint="cs"/>
          <w:rtl/>
        </w:rPr>
        <w:t>ועמד</w:t>
      </w:r>
      <w:r w:rsidRPr="000F279F">
        <w:rPr>
          <w:rFonts w:hint="cs"/>
          <w:rtl/>
        </w:rPr>
        <w:t>ה</w:t>
      </w:r>
      <w:r w:rsidR="00247F73" w:rsidRPr="000F279F">
        <w:rPr>
          <w:rFonts w:hint="cs"/>
          <w:rtl/>
        </w:rPr>
        <w:t xml:space="preserve"> </w:t>
      </w:r>
      <w:r w:rsidR="00626275">
        <w:rPr>
          <w:rFonts w:hint="cs"/>
          <w:rtl/>
        </w:rPr>
        <w:t xml:space="preserve">בסוף </w:t>
      </w:r>
      <w:r w:rsidR="00FB3C86">
        <w:rPr>
          <w:rFonts w:hint="cs"/>
          <w:rtl/>
        </w:rPr>
        <w:t>הרבעון</w:t>
      </w:r>
      <w:r w:rsidR="00247F73" w:rsidRPr="000F279F">
        <w:rPr>
          <w:rFonts w:hint="cs"/>
          <w:rtl/>
        </w:rPr>
        <w:t xml:space="preserve"> על כ-</w:t>
      </w:r>
      <w:r w:rsidR="003417DA">
        <w:rPr>
          <w:rFonts w:hint="cs"/>
          <w:rtl/>
        </w:rPr>
        <w:t>1.</w:t>
      </w:r>
      <w:r w:rsidR="006204D4">
        <w:rPr>
          <w:rFonts w:hint="cs"/>
          <w:rtl/>
        </w:rPr>
        <w:t>29</w:t>
      </w:r>
      <w:r w:rsidR="008215F8" w:rsidRPr="000F279F">
        <w:rPr>
          <w:rFonts w:hint="cs"/>
          <w:rtl/>
        </w:rPr>
        <w:t xml:space="preserve"> </w:t>
      </w:r>
      <w:r w:rsidR="003417DA">
        <w:rPr>
          <w:rFonts w:hint="cs"/>
          <w:rtl/>
        </w:rPr>
        <w:t>טריליוני</w:t>
      </w:r>
      <w:r w:rsidR="008215F8" w:rsidRPr="000F279F">
        <w:rPr>
          <w:rFonts w:hint="cs"/>
          <w:rtl/>
        </w:rPr>
        <w:t xml:space="preserve"> ש"ח,</w:t>
      </w:r>
      <w:r w:rsidR="00247F73" w:rsidRPr="000F279F">
        <w:rPr>
          <w:rFonts w:hint="cs"/>
          <w:rtl/>
        </w:rPr>
        <w:t xml:space="preserve"> המהווים</w:t>
      </w:r>
      <w:r w:rsidR="006814E4">
        <w:rPr>
          <w:rFonts w:hint="cs"/>
          <w:rtl/>
        </w:rPr>
        <w:t xml:space="preserve"> </w:t>
      </w:r>
      <w:r w:rsidR="006814E4" w:rsidRPr="00B700AB">
        <w:rPr>
          <w:rFonts w:hint="cs"/>
          <w:rtl/>
        </w:rPr>
        <w:t>כ-</w:t>
      </w:r>
      <w:r w:rsidR="00A767CF">
        <w:rPr>
          <w:rFonts w:hint="cs"/>
          <w:rtl/>
        </w:rPr>
        <w:t>1</w:t>
      </w:r>
      <w:r w:rsidR="006204D4">
        <w:rPr>
          <w:rFonts w:hint="cs"/>
          <w:rtl/>
        </w:rPr>
        <w:t>8</w:t>
      </w:r>
      <w:r w:rsidR="00247F73" w:rsidRPr="00B700AB">
        <w:rPr>
          <w:rFonts w:hint="cs"/>
          <w:rtl/>
        </w:rPr>
        <w:t>% מסך תיק הנכסים</w:t>
      </w:r>
      <w:r w:rsidR="00301497">
        <w:rPr>
          <w:rFonts w:hint="cs"/>
          <w:rtl/>
        </w:rPr>
        <w:t xml:space="preserve">. </w:t>
      </w:r>
      <w:r w:rsidR="003417DA">
        <w:rPr>
          <w:rFonts w:hint="cs"/>
          <w:rtl/>
        </w:rPr>
        <w:t>ההתפתחות ביתרת ההשקעות בחו"ל</w:t>
      </w:r>
      <w:r w:rsidR="003417DA" w:rsidRPr="000C151E">
        <w:rPr>
          <w:rFonts w:hint="cs"/>
          <w:rtl/>
        </w:rPr>
        <w:t xml:space="preserve"> נבעה</w:t>
      </w:r>
      <w:r w:rsidR="004B3605">
        <w:rPr>
          <w:rFonts w:hint="cs"/>
          <w:rtl/>
        </w:rPr>
        <w:t xml:space="preserve"> </w:t>
      </w:r>
      <w:r w:rsidR="0010063A">
        <w:rPr>
          <w:rFonts w:hint="cs"/>
          <w:rtl/>
        </w:rPr>
        <w:t xml:space="preserve">בעיקר </w:t>
      </w:r>
      <w:r w:rsidR="003417DA">
        <w:rPr>
          <w:rFonts w:hint="cs"/>
          <w:rtl/>
        </w:rPr>
        <w:t>מ</w:t>
      </w:r>
      <w:r w:rsidR="003417DA" w:rsidRPr="000C151E">
        <w:rPr>
          <w:rFonts w:hint="cs"/>
          <w:rtl/>
        </w:rPr>
        <w:t>הרכיבים הבאים</w:t>
      </w:r>
      <w:r w:rsidR="00247F73" w:rsidRPr="000F279F">
        <w:rPr>
          <w:rFonts w:hint="cs"/>
          <w:rtl/>
        </w:rPr>
        <w:t>:</w:t>
      </w:r>
    </w:p>
    <w:p w:rsidR="00623089" w:rsidRDefault="00623089" w:rsidP="00120033">
      <w:pPr>
        <w:pStyle w:val="af"/>
        <w:numPr>
          <w:ilvl w:val="0"/>
          <w:numId w:val="19"/>
        </w:numPr>
        <w:spacing w:before="240" w:line="360" w:lineRule="auto"/>
        <w:jc w:val="both"/>
        <w:rPr>
          <w:rtl/>
        </w:rPr>
      </w:pPr>
      <w:r w:rsidRPr="00123502">
        <w:rPr>
          <w:rFonts w:hint="cs"/>
          <w:rtl/>
        </w:rPr>
        <w:t xml:space="preserve">יתרת </w:t>
      </w:r>
      <w:r w:rsidRPr="00123502">
        <w:rPr>
          <w:rFonts w:hint="cs"/>
          <w:b/>
          <w:bCs/>
          <w:rtl/>
        </w:rPr>
        <w:t>האג"ח הסחירות (חברות וממשלתיות)</w:t>
      </w:r>
      <w:r w:rsidRPr="00123502">
        <w:rPr>
          <w:rFonts w:hint="cs"/>
          <w:rtl/>
        </w:rPr>
        <w:t xml:space="preserve"> </w:t>
      </w:r>
      <w:r w:rsidRPr="00123502">
        <w:rPr>
          <w:rFonts w:hint="cs"/>
          <w:b/>
          <w:bCs/>
          <w:rtl/>
        </w:rPr>
        <w:t>בחו"ל</w:t>
      </w:r>
      <w:r w:rsidRPr="00123502">
        <w:rPr>
          <w:rFonts w:hint="cs"/>
          <w:rtl/>
        </w:rPr>
        <w:t xml:space="preserve"> </w:t>
      </w:r>
      <w:r>
        <w:rPr>
          <w:rFonts w:hint="cs"/>
          <w:rtl/>
        </w:rPr>
        <w:t>ירדה</w:t>
      </w:r>
      <w:r w:rsidRPr="00123502">
        <w:rPr>
          <w:rFonts w:hint="cs"/>
          <w:rtl/>
        </w:rPr>
        <w:t xml:space="preserve"> בכ-</w:t>
      </w:r>
      <w:r>
        <w:rPr>
          <w:rFonts w:hint="cs"/>
          <w:rtl/>
        </w:rPr>
        <w:t>47</w:t>
      </w:r>
      <w:r w:rsidRPr="00123502">
        <w:rPr>
          <w:rFonts w:hint="cs"/>
          <w:rtl/>
        </w:rPr>
        <w:t xml:space="preserve"> מיליארדי ש"ח (</w:t>
      </w:r>
      <w:r>
        <w:rPr>
          <w:rFonts w:hint="cs"/>
          <w:rtl/>
        </w:rPr>
        <w:t>17.2</w:t>
      </w:r>
      <w:r w:rsidRPr="00123502">
        <w:rPr>
          <w:rFonts w:hint="cs"/>
          <w:rtl/>
        </w:rPr>
        <w:t>%) ועמדה בסופו על כ-</w:t>
      </w:r>
      <w:r>
        <w:rPr>
          <w:rFonts w:hint="cs"/>
          <w:rtl/>
        </w:rPr>
        <w:t>227</w:t>
      </w:r>
      <w:r w:rsidRPr="00123502">
        <w:rPr>
          <w:rFonts w:hint="cs"/>
          <w:rtl/>
        </w:rPr>
        <w:t xml:space="preserve"> מיליארדי ש"ח</w:t>
      </w:r>
      <w:r w:rsidRPr="000F312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20033">
        <w:rPr>
          <w:rFonts w:hint="cs"/>
          <w:rtl/>
        </w:rPr>
        <w:t xml:space="preserve">הירידה נבעה </w:t>
      </w:r>
      <w:r w:rsidR="00D12B9C">
        <w:rPr>
          <w:rFonts w:hint="cs"/>
          <w:rtl/>
        </w:rPr>
        <w:t>בעיקר מ</w:t>
      </w:r>
      <w:r w:rsidR="00120033">
        <w:rPr>
          <w:rFonts w:hint="cs"/>
          <w:rtl/>
        </w:rPr>
        <w:t>מימושים נטו וכן מירידות מחירים.</w:t>
      </w:r>
    </w:p>
    <w:p w:rsidR="00DD79F4" w:rsidRDefault="00623089" w:rsidP="00623089">
      <w:pPr>
        <w:pStyle w:val="af"/>
        <w:numPr>
          <w:ilvl w:val="0"/>
          <w:numId w:val="19"/>
        </w:numPr>
        <w:spacing w:before="240" w:line="360" w:lineRule="auto"/>
        <w:jc w:val="both"/>
      </w:pPr>
      <w:r>
        <w:rPr>
          <w:rFonts w:hint="cs"/>
          <w:rtl/>
        </w:rPr>
        <w:t xml:space="preserve">יתרת </w:t>
      </w:r>
      <w:r>
        <w:rPr>
          <w:b/>
          <w:bCs/>
          <w:rtl/>
        </w:rPr>
        <w:t xml:space="preserve">המניות </w:t>
      </w:r>
      <w:r w:rsidR="00DD79F4" w:rsidRPr="006F0592">
        <w:rPr>
          <w:rFonts w:hint="cs"/>
          <w:b/>
          <w:bCs/>
          <w:rtl/>
        </w:rPr>
        <w:t xml:space="preserve"> בחו"ל</w:t>
      </w:r>
      <w:r w:rsidR="00DD79F4" w:rsidRPr="006F0592">
        <w:rPr>
          <w:rFonts w:hint="cs"/>
          <w:rtl/>
        </w:rPr>
        <w:t xml:space="preserve"> </w:t>
      </w:r>
      <w:r>
        <w:rPr>
          <w:rFonts w:hint="cs"/>
          <w:rtl/>
        </w:rPr>
        <w:t>ירדה</w:t>
      </w:r>
      <w:r w:rsidR="00DD79F4" w:rsidRPr="006F0592">
        <w:rPr>
          <w:rFonts w:hint="cs"/>
          <w:rtl/>
        </w:rPr>
        <w:t xml:space="preserve"> בכ-</w:t>
      </w:r>
      <w:r w:rsidR="00431829">
        <w:rPr>
          <w:rFonts w:hint="cs"/>
          <w:rtl/>
        </w:rPr>
        <w:t>2</w:t>
      </w:r>
      <w:r>
        <w:rPr>
          <w:rFonts w:hint="cs"/>
          <w:rtl/>
        </w:rPr>
        <w:t>7.6</w:t>
      </w:r>
      <w:r w:rsidR="00DD79F4" w:rsidRPr="006F0592">
        <w:rPr>
          <w:rFonts w:hint="cs"/>
          <w:rtl/>
        </w:rPr>
        <w:t xml:space="preserve"> מיליארדי ש"ח </w:t>
      </w:r>
      <w:r w:rsidR="00DD79F4" w:rsidRPr="006F0592">
        <w:rPr>
          <w:rtl/>
        </w:rPr>
        <w:t>(</w:t>
      </w:r>
      <w:r>
        <w:rPr>
          <w:rFonts w:hint="cs"/>
          <w:rtl/>
        </w:rPr>
        <w:t>3.5</w:t>
      </w:r>
      <w:r w:rsidR="00DD79F4" w:rsidRPr="006F0592">
        <w:rPr>
          <w:rtl/>
        </w:rPr>
        <w:t>%)</w:t>
      </w:r>
      <w:r w:rsidR="00DD79F4" w:rsidRPr="006F0592">
        <w:rPr>
          <w:rFonts w:hint="cs"/>
          <w:rtl/>
        </w:rPr>
        <w:t xml:space="preserve"> ועמדה בסוף </w:t>
      </w:r>
      <w:r w:rsidR="00FB3C86">
        <w:rPr>
          <w:rFonts w:hint="cs"/>
          <w:rtl/>
        </w:rPr>
        <w:t>הרבעון</w:t>
      </w:r>
      <w:r w:rsidR="00DD79F4" w:rsidRPr="006F0592">
        <w:rPr>
          <w:rFonts w:hint="cs"/>
          <w:rtl/>
        </w:rPr>
        <w:t xml:space="preserve"> על כ-</w:t>
      </w:r>
      <w:r>
        <w:rPr>
          <w:rFonts w:hint="cs"/>
          <w:rtl/>
        </w:rPr>
        <w:t>771</w:t>
      </w:r>
      <w:r w:rsidR="00DD79F4">
        <w:rPr>
          <w:rFonts w:hint="cs"/>
          <w:rtl/>
        </w:rPr>
        <w:t xml:space="preserve"> </w:t>
      </w:r>
      <w:r w:rsidR="00DD79F4" w:rsidRPr="006F0592">
        <w:rPr>
          <w:rFonts w:hint="cs"/>
          <w:rtl/>
        </w:rPr>
        <w:t>מיליארדי ש</w:t>
      </w:r>
      <w:r w:rsidR="00DD79F4">
        <w:rPr>
          <w:rFonts w:hint="cs"/>
          <w:rtl/>
        </w:rPr>
        <w:t xml:space="preserve">"ח. </w:t>
      </w:r>
      <w:r>
        <w:rPr>
          <w:rFonts w:hint="cs"/>
          <w:rtl/>
        </w:rPr>
        <w:t>כתוצאה משילוב של ירידות מחירים ומימושים</w:t>
      </w:r>
      <w:r w:rsidR="00DD79F4" w:rsidRPr="0006215D">
        <w:rPr>
          <w:rFonts w:hint="cs"/>
          <w:rtl/>
        </w:rPr>
        <w:t xml:space="preserve"> נטו</w:t>
      </w:r>
      <w:r w:rsidR="00F70BE0" w:rsidRPr="0006215D">
        <w:rPr>
          <w:rFonts w:hint="cs"/>
          <w:rtl/>
        </w:rPr>
        <w:t>.</w:t>
      </w:r>
    </w:p>
    <w:p w:rsidR="00623089" w:rsidRDefault="00623089" w:rsidP="00623089">
      <w:pPr>
        <w:pStyle w:val="af"/>
        <w:numPr>
          <w:ilvl w:val="0"/>
          <w:numId w:val="19"/>
        </w:numPr>
        <w:spacing w:before="240" w:line="360" w:lineRule="auto"/>
        <w:jc w:val="both"/>
      </w:pPr>
      <w:r>
        <w:rPr>
          <w:rFonts w:hint="cs"/>
          <w:rtl/>
        </w:rPr>
        <w:t xml:space="preserve">יתרת </w:t>
      </w:r>
      <w:r w:rsidRPr="000F2EB7">
        <w:rPr>
          <w:rFonts w:hint="cs"/>
          <w:b/>
          <w:bCs/>
          <w:rtl/>
        </w:rPr>
        <w:t>הפיקדונות בחו"ל</w:t>
      </w:r>
      <w:r>
        <w:rPr>
          <w:rFonts w:hint="cs"/>
          <w:rtl/>
        </w:rPr>
        <w:t xml:space="preserve"> עלתה בכ-35.7 מיליארדי ש"ח ועמדה בסוף הרבעון על כ-47 מיליארדי ש"ח.</w:t>
      </w:r>
    </w:p>
    <w:p w:rsidR="00164CBB" w:rsidRPr="00123502" w:rsidRDefault="00164CBB" w:rsidP="00C17D57">
      <w:pPr>
        <w:spacing w:before="240" w:after="240" w:line="360" w:lineRule="auto"/>
        <w:ind w:left="360"/>
        <w:jc w:val="both"/>
      </w:pPr>
      <w:r w:rsidRPr="00C478D4">
        <w:rPr>
          <w:rFonts w:hint="cs"/>
          <w:rtl/>
        </w:rPr>
        <w:t xml:space="preserve">כתוצאה מההתפתחויות במהלך </w:t>
      </w:r>
      <w:r w:rsidR="00FB3C86">
        <w:rPr>
          <w:rFonts w:hint="cs"/>
          <w:rtl/>
        </w:rPr>
        <w:t>הרבעון</w:t>
      </w:r>
      <w:r w:rsidRPr="00C478D4">
        <w:rPr>
          <w:rFonts w:hint="cs"/>
          <w:rtl/>
        </w:rPr>
        <w:t>, חלה</w:t>
      </w:r>
      <w:r w:rsidRPr="00D95111">
        <w:rPr>
          <w:rFonts w:hint="cs"/>
          <w:rtl/>
        </w:rPr>
        <w:t xml:space="preserve"> </w:t>
      </w:r>
      <w:r w:rsidR="00380B10">
        <w:rPr>
          <w:rFonts w:hint="cs"/>
          <w:rtl/>
        </w:rPr>
        <w:t>ירידה</w:t>
      </w:r>
      <w:r>
        <w:rPr>
          <w:rFonts w:hint="cs"/>
          <w:rtl/>
        </w:rPr>
        <w:t xml:space="preserve"> </w:t>
      </w:r>
      <w:r w:rsidR="00C17D57">
        <w:rPr>
          <w:rFonts w:hint="cs"/>
          <w:rtl/>
        </w:rPr>
        <w:t xml:space="preserve">בשיעור </w:t>
      </w:r>
      <w:r w:rsidR="00C17D57" w:rsidRPr="00C478D4">
        <w:rPr>
          <w:rFonts w:hint="cs"/>
          <w:rtl/>
        </w:rPr>
        <w:t>הנכסים</w:t>
      </w:r>
      <w:r w:rsidR="00C17D57">
        <w:rPr>
          <w:rFonts w:hint="cs"/>
          <w:rtl/>
        </w:rPr>
        <w:t xml:space="preserve"> הזרים</w:t>
      </w:r>
      <w:r w:rsidR="00C17D57" w:rsidRPr="00C478D4">
        <w:rPr>
          <w:rFonts w:hint="cs"/>
          <w:rtl/>
        </w:rPr>
        <w:t xml:space="preserve"> </w:t>
      </w:r>
      <w:r w:rsidR="00C17D57">
        <w:rPr>
          <w:rFonts w:hint="cs"/>
          <w:rtl/>
        </w:rPr>
        <w:t xml:space="preserve">של </w:t>
      </w:r>
      <w:r w:rsidR="00C17D57" w:rsidRPr="00C478D4">
        <w:rPr>
          <w:rFonts w:hint="cs"/>
          <w:rtl/>
        </w:rPr>
        <w:t>כ-</w:t>
      </w:r>
      <w:r w:rsidR="00C17D57">
        <w:rPr>
          <w:rFonts w:hint="cs"/>
          <w:rtl/>
        </w:rPr>
        <w:t>0.7</w:t>
      </w:r>
      <w:r w:rsidR="00C17D57" w:rsidRPr="00C478D4">
        <w:rPr>
          <w:rFonts w:hint="cs"/>
          <w:rtl/>
        </w:rPr>
        <w:t xml:space="preserve"> נקודות אחוז (מ-</w:t>
      </w:r>
      <w:r w:rsidR="00C17D57">
        <w:rPr>
          <w:rFonts w:hint="cs"/>
          <w:rtl/>
        </w:rPr>
        <w:t>18.5</w:t>
      </w:r>
      <w:r w:rsidR="00C17D57" w:rsidRPr="00C478D4">
        <w:rPr>
          <w:rFonts w:hint="cs"/>
          <w:rtl/>
        </w:rPr>
        <w:t>% ל-</w:t>
      </w:r>
      <w:r w:rsidR="00C17D57">
        <w:rPr>
          <w:rFonts w:hint="cs"/>
          <w:rtl/>
        </w:rPr>
        <w:t>17.8</w:t>
      </w:r>
      <w:r w:rsidR="00C17D57" w:rsidRPr="00C478D4">
        <w:rPr>
          <w:rFonts w:hint="cs"/>
          <w:rtl/>
        </w:rPr>
        <w:t>%)</w:t>
      </w:r>
      <w:r w:rsidRPr="00C478D4">
        <w:rPr>
          <w:rFonts w:hint="cs"/>
          <w:rtl/>
        </w:rPr>
        <w:t xml:space="preserve"> </w:t>
      </w:r>
      <w:r w:rsidR="00C17D57">
        <w:rPr>
          <w:rFonts w:hint="cs"/>
          <w:rtl/>
        </w:rPr>
        <w:t xml:space="preserve">וירידה בשיעור </w:t>
      </w:r>
      <w:r w:rsidRPr="00C478D4">
        <w:rPr>
          <w:rFonts w:hint="cs"/>
          <w:rtl/>
        </w:rPr>
        <w:t>הנכסים</w:t>
      </w:r>
      <w:r w:rsidR="00380B10">
        <w:rPr>
          <w:rFonts w:hint="cs"/>
          <w:rtl/>
        </w:rPr>
        <w:t xml:space="preserve"> במט"ח</w:t>
      </w:r>
      <w:r w:rsidRPr="00C478D4">
        <w:rPr>
          <w:rFonts w:hint="cs"/>
          <w:rtl/>
        </w:rPr>
        <w:t xml:space="preserve"> </w:t>
      </w:r>
      <w:r w:rsidR="0029421D">
        <w:rPr>
          <w:rFonts w:hint="cs"/>
          <w:rtl/>
        </w:rPr>
        <w:t>של כ-0.</w:t>
      </w:r>
      <w:r w:rsidR="00C17D57">
        <w:rPr>
          <w:rFonts w:hint="cs"/>
          <w:rtl/>
        </w:rPr>
        <w:t>6</w:t>
      </w:r>
      <w:r w:rsidR="0029421D">
        <w:rPr>
          <w:rFonts w:hint="cs"/>
          <w:rtl/>
        </w:rPr>
        <w:t xml:space="preserve"> נקודות אחוז (מ-</w:t>
      </w:r>
      <w:r w:rsidR="00B237A0">
        <w:rPr>
          <w:rFonts w:hint="cs"/>
          <w:rtl/>
        </w:rPr>
        <w:t>24</w:t>
      </w:r>
      <w:r w:rsidR="0029421D">
        <w:rPr>
          <w:rFonts w:hint="cs"/>
          <w:rtl/>
        </w:rPr>
        <w:t>.</w:t>
      </w:r>
      <w:r w:rsidR="00C17D57">
        <w:rPr>
          <w:rFonts w:hint="cs"/>
          <w:rtl/>
        </w:rPr>
        <w:t>2</w:t>
      </w:r>
      <w:r w:rsidR="0029421D">
        <w:rPr>
          <w:rFonts w:hint="cs"/>
          <w:rtl/>
        </w:rPr>
        <w:t>% ל-</w:t>
      </w:r>
      <w:r w:rsidR="00B237A0">
        <w:rPr>
          <w:rFonts w:hint="cs"/>
          <w:rtl/>
        </w:rPr>
        <w:t>2</w:t>
      </w:r>
      <w:r w:rsidR="00C17D57">
        <w:rPr>
          <w:rFonts w:hint="cs"/>
          <w:rtl/>
        </w:rPr>
        <w:t>3</w:t>
      </w:r>
      <w:r w:rsidR="00B237A0">
        <w:rPr>
          <w:rFonts w:hint="cs"/>
          <w:rtl/>
        </w:rPr>
        <w:t>.</w:t>
      </w:r>
      <w:r w:rsidR="00C17D57">
        <w:rPr>
          <w:rFonts w:hint="cs"/>
          <w:rtl/>
        </w:rPr>
        <w:t>6%).</w:t>
      </w:r>
    </w:p>
    <w:p w:rsidR="00283B13" w:rsidRPr="00103EC2" w:rsidRDefault="00283B13" w:rsidP="009709E0">
      <w:pPr>
        <w:pStyle w:val="1"/>
        <w:numPr>
          <w:ilvl w:val="0"/>
          <w:numId w:val="18"/>
        </w:numPr>
        <w:spacing w:before="240"/>
        <w:rPr>
          <w:rtl/>
        </w:rPr>
      </w:pPr>
      <w:r w:rsidRPr="00103EC2">
        <w:rPr>
          <w:rFonts w:hint="cs"/>
          <w:rtl/>
        </w:rPr>
        <w:t xml:space="preserve">התיק המנוהל </w:t>
      </w:r>
      <w:r w:rsidR="00C46ABC" w:rsidRPr="00103EC2">
        <w:rPr>
          <w:rFonts w:hint="cs"/>
          <w:rtl/>
        </w:rPr>
        <w:t>בידי</w:t>
      </w:r>
      <w:r w:rsidRPr="00103EC2">
        <w:rPr>
          <w:rFonts w:hint="cs"/>
          <w:rtl/>
        </w:rPr>
        <w:t xml:space="preserve"> המשקיעים המוסדיים</w:t>
      </w:r>
      <w:r w:rsidR="0053162E" w:rsidRPr="00103EC2">
        <w:rPr>
          <w:rStyle w:val="a5"/>
          <w:rtl/>
        </w:rPr>
        <w:footnoteReference w:id="2"/>
      </w:r>
    </w:p>
    <w:p w:rsidR="003A7AE6" w:rsidRDefault="00D12B9C" w:rsidP="00F364AF">
      <w:pPr>
        <w:pStyle w:val="af"/>
        <w:spacing w:before="240" w:line="360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45858</wp:posOffset>
            </wp:positionV>
            <wp:extent cx="5400000" cy="2275062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Default="00DE0DB7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Default="00D12B9C" w:rsidP="00F05FF8">
      <w:pPr>
        <w:spacing w:line="360" w:lineRule="auto"/>
        <w:jc w:val="both"/>
        <w:rPr>
          <w:rtl/>
        </w:rPr>
      </w:pPr>
    </w:p>
    <w:p w:rsidR="00D12B9C" w:rsidRPr="00DE0DB7" w:rsidRDefault="00D12B9C" w:rsidP="00F05FF8">
      <w:pPr>
        <w:spacing w:line="360" w:lineRule="auto"/>
        <w:jc w:val="both"/>
      </w:pPr>
    </w:p>
    <w:p w:rsidR="00AF57C3" w:rsidRPr="00507BD9" w:rsidRDefault="003B425F" w:rsidP="00D12B9C">
      <w:pPr>
        <w:pStyle w:val="af"/>
        <w:numPr>
          <w:ilvl w:val="0"/>
          <w:numId w:val="21"/>
        </w:numPr>
        <w:spacing w:line="360" w:lineRule="auto"/>
        <w:jc w:val="both"/>
        <w:rPr>
          <w:rtl/>
        </w:rPr>
      </w:pPr>
      <w:r w:rsidRPr="00D12B9C">
        <w:rPr>
          <w:rFonts w:hint="cs"/>
          <w:b/>
          <w:bCs/>
          <w:rtl/>
        </w:rPr>
        <w:t>יתרת הנכסים המנוהלים בידי כלל המשקיעים המוסדיים</w:t>
      </w:r>
      <w:r w:rsidRPr="00D12B9C">
        <w:rPr>
          <w:rFonts w:hint="cs"/>
          <w:rtl/>
        </w:rPr>
        <w:t xml:space="preserve"> </w:t>
      </w:r>
      <w:r w:rsidR="00301497" w:rsidRPr="00D12B9C">
        <w:rPr>
          <w:rFonts w:hint="cs"/>
          <w:rtl/>
        </w:rPr>
        <w:t>עלתה</w:t>
      </w:r>
      <w:r w:rsidRPr="00D12B9C">
        <w:rPr>
          <w:rFonts w:hint="cs"/>
          <w:rtl/>
        </w:rPr>
        <w:t xml:space="preserve"> </w:t>
      </w:r>
      <w:r w:rsidR="00D12B9C" w:rsidRPr="00D12B9C">
        <w:rPr>
          <w:rFonts w:hint="cs"/>
          <w:rtl/>
        </w:rPr>
        <w:t xml:space="preserve">קלות </w:t>
      </w:r>
      <w:r w:rsidR="00FB3C86" w:rsidRPr="00D12B9C">
        <w:rPr>
          <w:rFonts w:hint="cs"/>
          <w:rtl/>
        </w:rPr>
        <w:t>ברבעון</w:t>
      </w:r>
      <w:r w:rsidRPr="00D12B9C">
        <w:rPr>
          <w:rFonts w:hint="cs"/>
          <w:rtl/>
        </w:rPr>
        <w:t xml:space="preserve"> </w:t>
      </w:r>
      <w:r w:rsidR="00D12B9C" w:rsidRPr="00D12B9C">
        <w:rPr>
          <w:rFonts w:hint="cs"/>
          <w:rtl/>
        </w:rPr>
        <w:t>הראשון</w:t>
      </w:r>
      <w:r w:rsidRPr="00D12B9C">
        <w:rPr>
          <w:rFonts w:hint="cs"/>
          <w:rtl/>
        </w:rPr>
        <w:t xml:space="preserve"> </w:t>
      </w:r>
      <w:r w:rsidR="00D12B9C" w:rsidRPr="00D12B9C">
        <w:rPr>
          <w:rFonts w:hint="cs"/>
          <w:rtl/>
        </w:rPr>
        <w:t>בשיעור של כ-0.5%</w:t>
      </w:r>
      <w:r w:rsidRPr="00D12B9C">
        <w:rPr>
          <w:rFonts w:hint="cs"/>
          <w:rtl/>
        </w:rPr>
        <w:t xml:space="preserve"> </w:t>
      </w:r>
      <w:r w:rsidR="002542D9" w:rsidRPr="00D12B9C">
        <w:rPr>
          <w:rFonts w:hint="cs"/>
          <w:rtl/>
        </w:rPr>
        <w:t>ועמדה בסופו על</w:t>
      </w:r>
      <w:r w:rsidRPr="00D12B9C">
        <w:rPr>
          <w:rFonts w:hint="cs"/>
          <w:rtl/>
        </w:rPr>
        <w:t xml:space="preserve"> כ-</w:t>
      </w:r>
      <w:r w:rsidR="00E65447" w:rsidRPr="00D12B9C">
        <w:rPr>
          <w:rFonts w:hint="cs"/>
          <w:rtl/>
        </w:rPr>
        <w:t>3.</w:t>
      </w:r>
      <w:r w:rsidR="00AF57C3" w:rsidRPr="00D12B9C">
        <w:rPr>
          <w:rFonts w:hint="cs"/>
          <w:rtl/>
        </w:rPr>
        <w:t>3</w:t>
      </w:r>
      <w:r w:rsidR="001C65EB" w:rsidRPr="00D12B9C">
        <w:rPr>
          <w:rFonts w:hint="cs"/>
          <w:rtl/>
        </w:rPr>
        <w:t xml:space="preserve"> </w:t>
      </w:r>
      <w:r w:rsidRPr="00D12B9C">
        <w:rPr>
          <w:rFonts w:hint="cs"/>
          <w:rtl/>
        </w:rPr>
        <w:t xml:space="preserve">טריליוני </w:t>
      </w:r>
      <w:r w:rsidR="003B0AE5" w:rsidRPr="00D12B9C">
        <w:rPr>
          <w:rFonts w:hint="cs"/>
          <w:rtl/>
        </w:rPr>
        <w:t>ש"ח</w:t>
      </w:r>
      <w:r w:rsidR="0068061A" w:rsidRPr="00D12B9C">
        <w:rPr>
          <w:rFonts w:hint="cs"/>
          <w:rtl/>
        </w:rPr>
        <w:t xml:space="preserve"> (כ-</w:t>
      </w:r>
      <w:r w:rsidR="002B2418" w:rsidRPr="00D12B9C">
        <w:rPr>
          <w:rFonts w:hint="cs"/>
          <w:rtl/>
        </w:rPr>
        <w:t>4</w:t>
      </w:r>
      <w:r w:rsidR="00011ADE" w:rsidRPr="00D12B9C">
        <w:rPr>
          <w:rFonts w:hint="cs"/>
          <w:rtl/>
        </w:rPr>
        <w:t>6</w:t>
      </w:r>
      <w:r w:rsidR="003F7B6C" w:rsidRPr="00D12B9C">
        <w:rPr>
          <w:rFonts w:hint="cs"/>
          <w:rtl/>
        </w:rPr>
        <w:t>%</w:t>
      </w:r>
      <w:r w:rsidR="0068061A" w:rsidRPr="00D12B9C">
        <w:rPr>
          <w:rFonts w:hint="cs"/>
          <w:rtl/>
        </w:rPr>
        <w:t xml:space="preserve"> מסך התיק הנכסים הפיננסים של הציבור).</w:t>
      </w:r>
      <w:r w:rsidRPr="00D12B9C">
        <w:rPr>
          <w:rFonts w:hint="cs"/>
          <w:rtl/>
        </w:rPr>
        <w:t xml:space="preserve"> </w:t>
      </w:r>
      <w:r w:rsidR="00301497" w:rsidRPr="00D12B9C">
        <w:rPr>
          <w:rFonts w:hint="cs"/>
          <w:rtl/>
        </w:rPr>
        <w:t>העלייה</w:t>
      </w:r>
      <w:r w:rsidRPr="00D12B9C">
        <w:rPr>
          <w:rFonts w:hint="cs"/>
          <w:rtl/>
        </w:rPr>
        <w:t xml:space="preserve"> ביתרת התיק המנוהל ב</w:t>
      </w:r>
      <w:r w:rsidR="00407054" w:rsidRPr="00D12B9C">
        <w:rPr>
          <w:rFonts w:hint="cs"/>
          <w:rtl/>
        </w:rPr>
        <w:t xml:space="preserve">מהלך </w:t>
      </w:r>
      <w:r w:rsidR="00FB3C86" w:rsidRPr="00D12B9C">
        <w:rPr>
          <w:rFonts w:hint="cs"/>
          <w:rtl/>
        </w:rPr>
        <w:t>הרבעון</w:t>
      </w:r>
      <w:r w:rsidRPr="00D12B9C">
        <w:rPr>
          <w:rFonts w:hint="cs"/>
          <w:rtl/>
        </w:rPr>
        <w:t xml:space="preserve"> </w:t>
      </w:r>
      <w:r w:rsidR="00916879" w:rsidRPr="00D12B9C">
        <w:rPr>
          <w:rFonts w:hint="cs"/>
          <w:rtl/>
        </w:rPr>
        <w:t>באה לידי ביטוי</w:t>
      </w:r>
      <w:r w:rsidR="00E7516E" w:rsidRPr="00D12B9C">
        <w:rPr>
          <w:rFonts w:hint="cs"/>
          <w:rtl/>
        </w:rPr>
        <w:t xml:space="preserve"> </w:t>
      </w:r>
      <w:r w:rsidR="00916879" w:rsidRPr="00D12B9C">
        <w:rPr>
          <w:rFonts w:hint="cs"/>
          <w:rtl/>
        </w:rPr>
        <w:t xml:space="preserve">ברכיבים </w:t>
      </w:r>
      <w:r w:rsidR="00AD1A3E" w:rsidRPr="00D12B9C">
        <w:rPr>
          <w:rFonts w:hint="cs"/>
          <w:rtl/>
        </w:rPr>
        <w:t>הבאים</w:t>
      </w:r>
      <w:r w:rsidRPr="00D12B9C">
        <w:rPr>
          <w:rFonts w:hint="cs"/>
          <w:rtl/>
        </w:rPr>
        <w:t>:</w:t>
      </w:r>
      <w:r w:rsidR="007543AA" w:rsidRPr="00D12B9C">
        <w:rPr>
          <w:rFonts w:hint="cs"/>
          <w:rtl/>
        </w:rPr>
        <w:t xml:space="preserve"> </w:t>
      </w:r>
      <w:r w:rsidR="00CC0745" w:rsidRPr="00D12B9C">
        <w:rPr>
          <w:rFonts w:hint="cs"/>
          <w:rtl/>
        </w:rPr>
        <w:t xml:space="preserve">מניות בארץ </w:t>
      </w:r>
      <w:r w:rsidR="00CC0745" w:rsidRPr="00D12B9C">
        <w:rPr>
          <w:rtl/>
        </w:rPr>
        <w:t>–</w:t>
      </w:r>
      <w:r w:rsidR="00CC0745" w:rsidRPr="00D12B9C">
        <w:rPr>
          <w:rFonts w:hint="cs"/>
          <w:rtl/>
        </w:rPr>
        <w:t xml:space="preserve"> עלייה של כ-</w:t>
      </w:r>
      <w:r w:rsidR="00D12B9C" w:rsidRPr="00D12B9C">
        <w:rPr>
          <w:rFonts w:hint="cs"/>
          <w:rtl/>
        </w:rPr>
        <w:t>36</w:t>
      </w:r>
      <w:r w:rsidR="00CC0745" w:rsidRPr="00D12B9C">
        <w:rPr>
          <w:rFonts w:hint="cs"/>
          <w:rtl/>
        </w:rPr>
        <w:t xml:space="preserve"> מיליארדי ש"ח (</w:t>
      </w:r>
      <w:r w:rsidR="00D12B9C" w:rsidRPr="00D12B9C">
        <w:rPr>
          <w:rFonts w:hint="cs"/>
          <w:rtl/>
        </w:rPr>
        <w:t>8.9</w:t>
      </w:r>
      <w:r w:rsidR="00CC0745" w:rsidRPr="00D12B9C">
        <w:rPr>
          <w:rFonts w:hint="cs"/>
          <w:rtl/>
        </w:rPr>
        <w:t xml:space="preserve">%), </w:t>
      </w:r>
      <w:r w:rsidR="00A60F73">
        <w:rPr>
          <w:rFonts w:hint="cs"/>
          <w:rtl/>
        </w:rPr>
        <w:t>כתוצאה מ</w:t>
      </w:r>
      <w:r w:rsidR="00D12B9C" w:rsidRPr="00D12B9C">
        <w:rPr>
          <w:rFonts w:hint="cs"/>
          <w:rtl/>
        </w:rPr>
        <w:t>שילוב של עליות מחירים ורכישות נטו</w:t>
      </w:r>
      <w:r w:rsidR="00CC0745" w:rsidRPr="00D12B9C">
        <w:rPr>
          <w:rFonts w:hint="cs"/>
          <w:rtl/>
        </w:rPr>
        <w:t xml:space="preserve">; </w:t>
      </w:r>
      <w:r w:rsidR="004C3E0C">
        <w:rPr>
          <w:rFonts w:hint="cs"/>
          <w:rtl/>
        </w:rPr>
        <w:t>וכן ברכיב ההחזקות באג"ח וב</w:t>
      </w:r>
      <w:r w:rsidR="00D12B9C" w:rsidRPr="00D12B9C">
        <w:rPr>
          <w:rFonts w:hint="cs"/>
          <w:rtl/>
        </w:rPr>
        <w:t xml:space="preserve">מניות בחו"ל </w:t>
      </w:r>
      <w:r w:rsidR="00D12B9C" w:rsidRPr="00D12B9C">
        <w:rPr>
          <w:rtl/>
        </w:rPr>
        <w:t>–</w:t>
      </w:r>
      <w:r w:rsidR="00D12B9C" w:rsidRPr="00D12B9C">
        <w:rPr>
          <w:rFonts w:hint="cs"/>
          <w:rtl/>
        </w:rPr>
        <w:t xml:space="preserve"> עלייה של כ-26 מיליארדי ש"ח (10%), שנבעה מרכישות נטו. השפעות אלו קוזזו ברובן מירידה ברכיב ה</w:t>
      </w:r>
      <w:r w:rsidR="00AF57C3" w:rsidRPr="00D12B9C">
        <w:rPr>
          <w:rFonts w:hint="cs"/>
          <w:rtl/>
        </w:rPr>
        <w:t>מזומן ו</w:t>
      </w:r>
      <w:r w:rsidR="00D12B9C" w:rsidRPr="00D12B9C">
        <w:rPr>
          <w:rFonts w:hint="cs"/>
          <w:rtl/>
        </w:rPr>
        <w:t>ה</w:t>
      </w:r>
      <w:r w:rsidR="00AF57C3" w:rsidRPr="00D12B9C">
        <w:rPr>
          <w:rFonts w:hint="cs"/>
          <w:rtl/>
        </w:rPr>
        <w:t>פיקדונות בארץ</w:t>
      </w:r>
      <w:r w:rsidR="004C5E29" w:rsidRPr="00D12B9C">
        <w:rPr>
          <w:rFonts w:hint="cs"/>
          <w:rtl/>
        </w:rPr>
        <w:t xml:space="preserve"> </w:t>
      </w:r>
      <w:r w:rsidR="00D12B9C" w:rsidRPr="00D12B9C">
        <w:rPr>
          <w:rFonts w:hint="cs"/>
          <w:rtl/>
        </w:rPr>
        <w:t>(כ-17 מיליארדי ש"ח, 4.8%-) וכן מירידה בנכסים אחרים.</w:t>
      </w:r>
    </w:p>
    <w:p w:rsidR="00C85BE5" w:rsidRPr="00BF3AA9" w:rsidRDefault="009B2E23" w:rsidP="00D745AC">
      <w:pPr>
        <w:pStyle w:val="1"/>
        <w:numPr>
          <w:ilvl w:val="0"/>
          <w:numId w:val="18"/>
        </w:numPr>
        <w:autoSpaceDE w:val="0"/>
        <w:autoSpaceDN w:val="0"/>
        <w:adjustRightInd w:val="0"/>
        <w:spacing w:before="240"/>
      </w:pPr>
      <w:r w:rsidRPr="00BF3AA9">
        <w:rPr>
          <w:rFonts w:hint="eastAsia"/>
          <w:rtl/>
        </w:rPr>
        <w:t>התיק</w:t>
      </w:r>
      <w:r w:rsidRPr="00BF3AA9">
        <w:rPr>
          <w:rtl/>
        </w:rPr>
        <w:t xml:space="preserve"> המנוהל באמצעות </w:t>
      </w:r>
      <w:r w:rsidR="0094399B" w:rsidRPr="00BF3AA9">
        <w:rPr>
          <w:rFonts w:hint="eastAsia"/>
          <w:rtl/>
        </w:rPr>
        <w:t>קרנות</w:t>
      </w:r>
      <w:r w:rsidR="0094399B" w:rsidRPr="00BF3AA9">
        <w:rPr>
          <w:rtl/>
        </w:rPr>
        <w:t xml:space="preserve"> </w:t>
      </w:r>
      <w:r w:rsidR="0027681B" w:rsidRPr="00BF3AA9">
        <w:rPr>
          <w:rFonts w:hint="eastAsia"/>
          <w:rtl/>
        </w:rPr>
        <w:t>ה</w:t>
      </w:r>
      <w:r w:rsidR="0094399B" w:rsidRPr="00BF3AA9">
        <w:rPr>
          <w:rFonts w:hint="eastAsia"/>
          <w:rtl/>
        </w:rPr>
        <w:t>נאמנות</w:t>
      </w:r>
      <w:r w:rsidR="00E72EC4" w:rsidRPr="00BF3AA9">
        <w:rPr>
          <w:rFonts w:hint="cs"/>
          <w:rtl/>
        </w:rPr>
        <w:t xml:space="preserve"> </w:t>
      </w:r>
    </w:p>
    <w:p w:rsidR="00C309C0" w:rsidRPr="00B76E5C" w:rsidRDefault="00D320B3" w:rsidP="00FD2FA9">
      <w:pPr>
        <w:pStyle w:val="1"/>
        <w:autoSpaceDE w:val="0"/>
        <w:autoSpaceDN w:val="0"/>
        <w:adjustRightInd w:val="0"/>
        <w:spacing w:before="240"/>
        <w:ind w:left="360"/>
        <w:rPr>
          <w:rFonts w:ascii="David" w:hAnsi="David"/>
          <w:b w:val="0"/>
          <w:bCs w:val="0"/>
          <w:rtl/>
        </w:rPr>
      </w:pPr>
      <w:r w:rsidRPr="00B76E5C">
        <w:rPr>
          <w:rFonts w:ascii="David" w:hAnsi="David"/>
          <w:b w:val="0"/>
          <w:bCs w:val="0"/>
          <w:rtl/>
        </w:rPr>
        <w:t xml:space="preserve">היקף התיק המנוהל באמצעות קרנות נאמנות בארץ </w:t>
      </w:r>
      <w:r w:rsidR="004446C0" w:rsidRPr="00B76E5C">
        <w:rPr>
          <w:rFonts w:ascii="David" w:hAnsi="David" w:hint="cs"/>
          <w:b w:val="0"/>
          <w:bCs w:val="0"/>
          <w:rtl/>
        </w:rPr>
        <w:t>עלה</w:t>
      </w:r>
      <w:r w:rsidRPr="00B76E5C">
        <w:rPr>
          <w:rFonts w:ascii="David" w:hAnsi="David"/>
          <w:b w:val="0"/>
          <w:bCs w:val="0"/>
          <w:rtl/>
        </w:rPr>
        <w:t xml:space="preserve"> </w:t>
      </w:r>
      <w:r w:rsidR="00FB3C86">
        <w:rPr>
          <w:rFonts w:ascii="David" w:hAnsi="David" w:hint="cs"/>
          <w:b w:val="0"/>
          <w:bCs w:val="0"/>
          <w:rtl/>
        </w:rPr>
        <w:t>ברבעון</w:t>
      </w:r>
      <w:r w:rsidRPr="00B76E5C">
        <w:rPr>
          <w:rFonts w:ascii="David" w:hAnsi="David"/>
          <w:b w:val="0"/>
          <w:bCs w:val="0"/>
          <w:rtl/>
        </w:rPr>
        <w:t xml:space="preserve"> </w:t>
      </w:r>
      <w:r w:rsidR="00FD2FA9">
        <w:rPr>
          <w:rFonts w:ascii="David" w:hAnsi="David" w:hint="cs"/>
          <w:b w:val="0"/>
          <w:bCs w:val="0"/>
          <w:rtl/>
        </w:rPr>
        <w:t>הראשון</w:t>
      </w:r>
      <w:r w:rsidRPr="00B76E5C">
        <w:rPr>
          <w:rFonts w:ascii="David" w:hAnsi="David"/>
          <w:b w:val="0"/>
          <w:bCs w:val="0"/>
          <w:rtl/>
        </w:rPr>
        <w:t xml:space="preserve"> של השנה בכ-</w:t>
      </w:r>
      <w:r w:rsidR="00956E89">
        <w:rPr>
          <w:rFonts w:ascii="David" w:hAnsi="David" w:hint="cs"/>
          <w:b w:val="0"/>
          <w:bCs w:val="0"/>
          <w:rtl/>
        </w:rPr>
        <w:t>23.4</w:t>
      </w:r>
      <w:r w:rsidR="00BF0C7B" w:rsidRPr="00B76E5C">
        <w:rPr>
          <w:rFonts w:ascii="David" w:hAnsi="David" w:hint="cs"/>
          <w:b w:val="0"/>
          <w:bCs w:val="0"/>
          <w:rtl/>
        </w:rPr>
        <w:t xml:space="preserve"> </w:t>
      </w:r>
      <w:r w:rsidRPr="00B76E5C">
        <w:rPr>
          <w:rFonts w:ascii="David" w:hAnsi="David"/>
          <w:b w:val="0"/>
          <w:bCs w:val="0"/>
          <w:rtl/>
        </w:rPr>
        <w:t>מיליארדי ש"ח (</w:t>
      </w:r>
      <w:r w:rsidR="00956E89">
        <w:rPr>
          <w:rFonts w:ascii="David" w:hAnsi="David" w:hint="cs"/>
          <w:b w:val="0"/>
          <w:bCs w:val="0"/>
          <w:rtl/>
        </w:rPr>
        <w:t>3.1</w:t>
      </w:r>
      <w:r w:rsidRPr="00B76E5C">
        <w:rPr>
          <w:rFonts w:ascii="David" w:hAnsi="David"/>
          <w:b w:val="0"/>
          <w:bCs w:val="0"/>
          <w:rtl/>
        </w:rPr>
        <w:t>%) ועמד בסופו על כ-</w:t>
      </w:r>
      <w:r w:rsidR="00956E89">
        <w:rPr>
          <w:rFonts w:ascii="David" w:hAnsi="David" w:hint="cs"/>
          <w:b w:val="0"/>
          <w:bCs w:val="0"/>
          <w:rtl/>
        </w:rPr>
        <w:t xml:space="preserve">780 </w:t>
      </w:r>
      <w:r w:rsidRPr="00B76E5C">
        <w:rPr>
          <w:rFonts w:ascii="David" w:hAnsi="David"/>
          <w:b w:val="0"/>
          <w:bCs w:val="0"/>
          <w:rtl/>
        </w:rPr>
        <w:t>מיליארדי ש"ח</w:t>
      </w:r>
      <w:r w:rsidR="00811543" w:rsidRPr="0058412E">
        <w:rPr>
          <w:rFonts w:ascii="David" w:hAnsi="David" w:hint="cs"/>
          <w:b w:val="0"/>
          <w:bCs w:val="0"/>
          <w:rtl/>
        </w:rPr>
        <w:t>, המהווים כ-</w:t>
      </w:r>
      <w:r w:rsidR="0058412E">
        <w:rPr>
          <w:rFonts w:ascii="David" w:hAnsi="David" w:hint="cs"/>
          <w:b w:val="0"/>
          <w:bCs w:val="0"/>
          <w:rtl/>
        </w:rPr>
        <w:t>11</w:t>
      </w:r>
      <w:r w:rsidR="004D7A88" w:rsidRPr="0058412E">
        <w:rPr>
          <w:rFonts w:ascii="David" w:hAnsi="David" w:hint="cs"/>
          <w:b w:val="0"/>
          <w:bCs w:val="0"/>
          <w:rtl/>
        </w:rPr>
        <w:t>%</w:t>
      </w:r>
      <w:r w:rsidR="00811543" w:rsidRPr="0058412E">
        <w:rPr>
          <w:rFonts w:ascii="David" w:hAnsi="David" w:hint="cs"/>
          <w:b w:val="0"/>
          <w:bCs w:val="0"/>
          <w:rtl/>
        </w:rPr>
        <w:t xml:space="preserve"> מסך תיק הנכסים של הציבור.</w:t>
      </w:r>
    </w:p>
    <w:p w:rsidR="009162D0" w:rsidRPr="00F33C8F" w:rsidRDefault="004446C0" w:rsidP="00956E89">
      <w:pPr>
        <w:pStyle w:val="af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David" w:hAnsi="David"/>
          <w:rtl/>
        </w:rPr>
      </w:pPr>
      <w:r w:rsidRPr="000C6BD9">
        <w:rPr>
          <w:rFonts w:ascii="David" w:hAnsi="David" w:hint="cs"/>
          <w:rtl/>
        </w:rPr>
        <w:t>העלי</w:t>
      </w:r>
      <w:r w:rsidR="00BF254F" w:rsidRPr="000C6BD9">
        <w:rPr>
          <w:rFonts w:ascii="David" w:hAnsi="David" w:hint="cs"/>
          <w:rtl/>
        </w:rPr>
        <w:t>י</w:t>
      </w:r>
      <w:r w:rsidRPr="000C6BD9">
        <w:rPr>
          <w:rFonts w:ascii="David" w:hAnsi="David" w:hint="cs"/>
          <w:rtl/>
        </w:rPr>
        <w:t>ה</w:t>
      </w:r>
      <w:r w:rsidR="002116DF" w:rsidRPr="000C6BD9">
        <w:rPr>
          <w:rFonts w:ascii="David" w:hAnsi="David"/>
          <w:rtl/>
        </w:rPr>
        <w:t xml:space="preserve"> </w:t>
      </w:r>
      <w:r w:rsidR="00FB3C86">
        <w:rPr>
          <w:rFonts w:ascii="David" w:hAnsi="David" w:hint="cs"/>
          <w:rtl/>
        </w:rPr>
        <w:t>ברבעון</w:t>
      </w:r>
      <w:r w:rsidR="002116DF" w:rsidRPr="000C6BD9">
        <w:rPr>
          <w:rFonts w:ascii="David" w:hAnsi="David"/>
          <w:rtl/>
        </w:rPr>
        <w:t xml:space="preserve"> </w:t>
      </w:r>
      <w:r w:rsidR="00956E89">
        <w:rPr>
          <w:rFonts w:ascii="David" w:hAnsi="David" w:hint="cs"/>
          <w:rtl/>
        </w:rPr>
        <w:t>הראשון</w:t>
      </w:r>
      <w:r w:rsidR="00B766FD" w:rsidRPr="000C6BD9">
        <w:rPr>
          <w:rFonts w:ascii="David" w:hAnsi="David" w:hint="cs"/>
          <w:rtl/>
        </w:rPr>
        <w:t xml:space="preserve"> </w:t>
      </w:r>
      <w:r w:rsidR="00440C54" w:rsidRPr="000C6BD9">
        <w:rPr>
          <w:rFonts w:ascii="David" w:hAnsi="David"/>
          <w:rtl/>
        </w:rPr>
        <w:t>נבעה</w:t>
      </w:r>
      <w:r w:rsidR="00440C54" w:rsidRPr="000C6BD9">
        <w:rPr>
          <w:rFonts w:ascii="David" w:hAnsi="David" w:hint="cs"/>
          <w:rtl/>
        </w:rPr>
        <w:t xml:space="preserve"> </w:t>
      </w:r>
      <w:r w:rsidR="000C6BD9" w:rsidRPr="000C6BD9">
        <w:rPr>
          <w:rFonts w:ascii="David" w:hAnsi="David" w:hint="cs"/>
          <w:rtl/>
        </w:rPr>
        <w:t xml:space="preserve">בעיקר </w:t>
      </w:r>
      <w:r w:rsidRPr="000C6BD9">
        <w:rPr>
          <w:rFonts w:ascii="David" w:hAnsi="David" w:hint="cs"/>
          <w:rtl/>
        </w:rPr>
        <w:t>מצבירות נטו בקרנות בהיקף של כ-</w:t>
      </w:r>
      <w:r w:rsidR="00125309">
        <w:rPr>
          <w:rFonts w:ascii="David" w:hAnsi="David" w:hint="cs"/>
          <w:rtl/>
        </w:rPr>
        <w:t>1</w:t>
      </w:r>
      <w:r w:rsidR="00956E89">
        <w:rPr>
          <w:rFonts w:ascii="David" w:hAnsi="David" w:hint="cs"/>
          <w:rtl/>
        </w:rPr>
        <w:t>8</w:t>
      </w:r>
      <w:r w:rsidR="00125309">
        <w:rPr>
          <w:rFonts w:ascii="David" w:hAnsi="David" w:hint="cs"/>
          <w:rtl/>
        </w:rPr>
        <w:t>.</w:t>
      </w:r>
      <w:r w:rsidR="00956E89">
        <w:rPr>
          <w:rFonts w:ascii="David" w:hAnsi="David" w:hint="cs"/>
          <w:rtl/>
        </w:rPr>
        <w:t>8</w:t>
      </w:r>
      <w:r w:rsidR="00E84FA0" w:rsidRPr="000C6BD9">
        <w:rPr>
          <w:rFonts w:ascii="David" w:hAnsi="David" w:hint="cs"/>
          <w:rtl/>
        </w:rPr>
        <w:t xml:space="preserve"> מיליארדי ש"ח</w:t>
      </w:r>
      <w:r w:rsidR="00E84FA0" w:rsidRPr="00B76E5C">
        <w:rPr>
          <w:rFonts w:ascii="David" w:hAnsi="David" w:hint="cs"/>
          <w:rtl/>
        </w:rPr>
        <w:t xml:space="preserve">. </w:t>
      </w:r>
      <w:r w:rsidR="002116DF" w:rsidRPr="00B76E5C">
        <w:rPr>
          <w:rFonts w:ascii="David" w:hAnsi="David"/>
          <w:rtl/>
        </w:rPr>
        <w:t xml:space="preserve">עיקר </w:t>
      </w:r>
      <w:r w:rsidR="00BF254F" w:rsidRPr="00B76E5C">
        <w:rPr>
          <w:rFonts w:ascii="David" w:hAnsi="David" w:hint="cs"/>
          <w:rtl/>
        </w:rPr>
        <w:t>הצבירות</w:t>
      </w:r>
      <w:r w:rsidR="002116DF" w:rsidRPr="00B76E5C">
        <w:rPr>
          <w:rFonts w:ascii="David" w:hAnsi="David"/>
          <w:rtl/>
        </w:rPr>
        <w:t xml:space="preserve"> נרשמו</w:t>
      </w:r>
      <w:r w:rsidR="00481A77">
        <w:rPr>
          <w:rFonts w:ascii="David" w:hAnsi="David" w:hint="cs"/>
          <w:rtl/>
        </w:rPr>
        <w:t xml:space="preserve"> </w:t>
      </w:r>
      <w:r w:rsidR="00ED6E0E">
        <w:rPr>
          <w:rFonts w:ascii="David" w:hAnsi="David" w:hint="cs"/>
          <w:rtl/>
        </w:rPr>
        <w:t xml:space="preserve">בקרנות </w:t>
      </w:r>
      <w:r w:rsidR="00ED6E0E" w:rsidRPr="00FF38B8">
        <w:rPr>
          <w:rFonts w:ascii="David" w:hAnsi="David" w:hint="cs"/>
          <w:rtl/>
        </w:rPr>
        <w:t>המתמחות באג"ח בארץ בהיקף</w:t>
      </w:r>
      <w:r w:rsidR="00ED6E0E">
        <w:rPr>
          <w:rFonts w:ascii="David" w:hAnsi="David" w:hint="cs"/>
          <w:rtl/>
        </w:rPr>
        <w:t xml:space="preserve"> של כ-</w:t>
      </w:r>
      <w:r w:rsidR="00956E89">
        <w:rPr>
          <w:rFonts w:ascii="David" w:hAnsi="David" w:hint="cs"/>
          <w:rtl/>
        </w:rPr>
        <w:t>10.4</w:t>
      </w:r>
      <w:r w:rsidR="00ED6E0E">
        <w:rPr>
          <w:rFonts w:ascii="David" w:hAnsi="David" w:hint="cs"/>
          <w:rtl/>
        </w:rPr>
        <w:t xml:space="preserve"> מיליארדי ש"ח</w:t>
      </w:r>
      <w:r w:rsidR="00956E89">
        <w:rPr>
          <w:rFonts w:ascii="David" w:hAnsi="David" w:hint="cs"/>
          <w:rtl/>
        </w:rPr>
        <w:t xml:space="preserve">, בקרנות הכספיות השקליות בהיקף של כ-7 מיליארדי ש"ח </w:t>
      </w:r>
      <w:r w:rsidR="004E45AD" w:rsidRPr="00B76E5C">
        <w:rPr>
          <w:rFonts w:ascii="David" w:hAnsi="David" w:hint="cs"/>
          <w:rtl/>
        </w:rPr>
        <w:t>ו</w:t>
      </w:r>
      <w:r w:rsidR="002116DF" w:rsidRPr="00B76E5C">
        <w:rPr>
          <w:rFonts w:ascii="David" w:hAnsi="David"/>
          <w:rtl/>
        </w:rPr>
        <w:t xml:space="preserve">בקרנות </w:t>
      </w:r>
      <w:r w:rsidR="00B913FB" w:rsidRPr="00B76E5C">
        <w:rPr>
          <w:rFonts w:ascii="David" w:hAnsi="David" w:hint="cs"/>
          <w:rtl/>
        </w:rPr>
        <w:t xml:space="preserve">המתמחות במניות </w:t>
      </w:r>
      <w:r w:rsidR="00BF0C7B" w:rsidRPr="00B76E5C">
        <w:rPr>
          <w:rFonts w:ascii="David" w:hAnsi="David" w:hint="cs"/>
          <w:rtl/>
        </w:rPr>
        <w:t>בארץ</w:t>
      </w:r>
      <w:r w:rsidR="00B913FB" w:rsidRPr="00B76E5C">
        <w:rPr>
          <w:rFonts w:ascii="David" w:hAnsi="David" w:hint="cs"/>
          <w:rtl/>
        </w:rPr>
        <w:t xml:space="preserve"> בהיקף של כ-</w:t>
      </w:r>
      <w:r w:rsidR="00125309">
        <w:rPr>
          <w:rFonts w:ascii="David" w:hAnsi="David" w:hint="cs"/>
          <w:rtl/>
        </w:rPr>
        <w:t>4.5</w:t>
      </w:r>
      <w:r w:rsidR="00B913FB" w:rsidRPr="00B76E5C">
        <w:rPr>
          <w:rFonts w:ascii="David" w:hAnsi="David" w:hint="cs"/>
          <w:rtl/>
        </w:rPr>
        <w:t xml:space="preserve"> מיליארדי ש"ח</w:t>
      </w:r>
      <w:r w:rsidR="00956E89">
        <w:rPr>
          <w:rFonts w:ascii="David" w:hAnsi="David" w:hint="cs"/>
          <w:rtl/>
        </w:rPr>
        <w:t>. מנגד, נרשמה צבירה נטו שלילית בקרנות המתמחות במניות בחו"ל בהיקף של כ-5.5 מיליארדי ש"ח.</w:t>
      </w:r>
    </w:p>
    <w:p w:rsidR="009162D0" w:rsidRPr="00474AA2" w:rsidRDefault="00C04666" w:rsidP="003E69E6">
      <w:pPr>
        <w:autoSpaceDE w:val="0"/>
        <w:autoSpaceDN w:val="0"/>
        <w:adjustRightInd w:val="0"/>
        <w:spacing w:before="240" w:line="360" w:lineRule="auto"/>
        <w:jc w:val="both"/>
        <w:rPr>
          <w:rtl/>
        </w:rPr>
      </w:pPr>
      <w:bookmarkStart w:id="0" w:name="_GoBack"/>
      <w:r>
        <w:rPr>
          <w:noProof/>
          <w:lang w:eastAsia="en-US"/>
        </w:rPr>
        <w:lastRenderedPageBreak/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5400000" cy="2167708"/>
            <wp:effectExtent l="0" t="0" r="0" b="444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7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CA3E19" w:rsidRPr="002207F1" w:rsidRDefault="009444D3" w:rsidP="002116DF">
      <w:pPr>
        <w:pStyle w:val="af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b/>
          <w:bCs/>
          <w:u w:val="single"/>
          <w:rtl/>
        </w:rPr>
      </w:pPr>
      <w:r w:rsidRPr="002207F1">
        <w:rPr>
          <w:rFonts w:hint="cs"/>
          <w:b/>
          <w:bCs/>
          <w:u w:val="single"/>
          <w:rtl/>
        </w:rPr>
        <w:t>למידע נוסף:</w:t>
      </w:r>
    </w:p>
    <w:p w:rsidR="00436816" w:rsidRPr="00436816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tl/>
        </w:rPr>
      </w:pPr>
      <w:r>
        <w:rPr>
          <w:rFonts w:hint="cs"/>
          <w:rtl/>
        </w:rPr>
        <w:t>ללוחות ארוכי טווח</w:t>
      </w:r>
      <w:r w:rsidRPr="00436816">
        <w:rPr>
          <w:rFonts w:hint="cs"/>
          <w:rtl/>
        </w:rPr>
        <w:t xml:space="preserve"> בנושא </w:t>
      </w:r>
      <w:r w:rsidR="006D3812" w:rsidRPr="00436816">
        <w:rPr>
          <w:rFonts w:hint="cs"/>
          <w:rtl/>
        </w:rPr>
        <w:t>תיק הנכסים</w:t>
      </w:r>
      <w:r w:rsidRPr="00436816">
        <w:rPr>
          <w:rFonts w:hint="cs"/>
          <w:rtl/>
        </w:rPr>
        <w:t xml:space="preserve"> לחץ </w:t>
      </w:r>
      <w:hyperlink r:id="rId18" w:anchor="mainContent" w:tooltip="התפתחויות בתיק הנכסים הפיננסיים של הציבור" w:history="1">
        <w:r w:rsidRPr="00436816">
          <w:rPr>
            <w:rStyle w:val="Hyperlink"/>
            <w:rFonts w:hint="cs"/>
            <w:rtl/>
          </w:rPr>
          <w:t>כאן</w:t>
        </w:r>
      </w:hyperlink>
      <w:r w:rsidR="006D3812" w:rsidRPr="00436816">
        <w:rPr>
          <w:rFonts w:hint="cs"/>
          <w:rtl/>
        </w:rPr>
        <w:t xml:space="preserve">. </w:t>
      </w:r>
    </w:p>
    <w:p w:rsidR="00436816" w:rsidRPr="00436816" w:rsidRDefault="00436816" w:rsidP="002116DF">
      <w:pPr>
        <w:spacing w:before="240" w:line="360" w:lineRule="auto"/>
        <w:ind w:left="720"/>
        <w:jc w:val="both"/>
        <w:rPr>
          <w:rtl/>
        </w:rPr>
      </w:pPr>
      <w:r>
        <w:rPr>
          <w:rFonts w:hint="cs"/>
          <w:rtl/>
        </w:rPr>
        <w:t>ללוחות ארוכי טווח</w:t>
      </w:r>
      <w:r w:rsidRPr="00436816">
        <w:rPr>
          <w:rFonts w:hint="cs"/>
          <w:rtl/>
        </w:rPr>
        <w:t xml:space="preserve"> בנושא נתוני חשיפה למט"ח ולזרים של המשקיעים המוסדיים לחץ </w:t>
      </w:r>
      <w:hyperlink r:id="rId19" w:anchor="mainContent" w:tooltip="התפתחויות בתיק הנכסים הפיננסיים של הציבור" w:history="1">
        <w:r w:rsidRPr="00436816">
          <w:rPr>
            <w:rStyle w:val="Hyperlink"/>
            <w:rFonts w:hint="cs"/>
            <w:rtl/>
          </w:rPr>
          <w:t>כאן</w:t>
        </w:r>
      </w:hyperlink>
      <w:r w:rsidRPr="00436816">
        <w:rPr>
          <w:rFonts w:hint="cs"/>
          <w:rtl/>
        </w:rPr>
        <w:t xml:space="preserve">. </w:t>
      </w:r>
    </w:p>
    <w:p w:rsidR="00BF0A57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</w:pPr>
      <w:r>
        <w:rPr>
          <w:rFonts w:hint="cs"/>
          <w:rtl/>
        </w:rPr>
        <w:t>ללוחות ארוכי טווח</w:t>
      </w:r>
      <w:r w:rsidRPr="00436816">
        <w:rPr>
          <w:rFonts w:hint="cs"/>
          <w:rtl/>
        </w:rPr>
        <w:t xml:space="preserve"> בנושא קרנות הנאמנות לחץ </w:t>
      </w:r>
      <w:hyperlink r:id="rId20" w:anchor="mainContent" w:tooltip="התפתחויות בתיק הנכסים הפיננסיים של הציבור" w:history="1">
        <w:r w:rsidRPr="00436816">
          <w:rPr>
            <w:rStyle w:val="Hyperlink"/>
            <w:rFonts w:hint="cs"/>
            <w:rtl/>
          </w:rPr>
          <w:t>כאן</w:t>
        </w:r>
      </w:hyperlink>
      <w:r w:rsidRPr="00436816">
        <w:rPr>
          <w:rFonts w:hint="cs"/>
          <w:rtl/>
        </w:rPr>
        <w:t>.</w:t>
      </w:r>
    </w:p>
    <w:sectPr w:rsidR="00BF0A57" w:rsidSect="003F7C50">
      <w:headerReference w:type="default" r:id="rId21"/>
      <w:footerReference w:type="even" r:id="rId22"/>
      <w:footerReference w:type="default" r:id="rId23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C5" w:rsidRDefault="009F20C5">
      <w:r>
        <w:separator/>
      </w:r>
    </w:p>
  </w:endnote>
  <w:endnote w:type="continuationSeparator" w:id="0">
    <w:p w:rsidR="009F20C5" w:rsidRDefault="009F20C5">
      <w:r>
        <w:continuationSeparator/>
      </w:r>
    </w:p>
  </w:endnote>
  <w:endnote w:type="continuationNotice" w:id="1">
    <w:p w:rsidR="009F20C5" w:rsidRDefault="009F2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4530BD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E23BA" w:rsidRDefault="002E23BA" w:rsidP="005F72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Pr="002E2C04" w:rsidRDefault="002E23BA" w:rsidP="002F5E09">
    <w:pPr>
      <w:spacing w:line="360" w:lineRule="auto"/>
      <w:ind w:left="90"/>
      <w:rPr>
        <w:rtl/>
        <w:cs/>
      </w:rPr>
    </w:pPr>
    <w:r w:rsidRPr="002E2C04">
      <w:rPr>
        <w:rFonts w:hint="cs"/>
        <w:rtl/>
      </w:rPr>
      <w:t xml:space="preserve">בנק ישראל </w:t>
    </w:r>
    <w:r>
      <w:rPr>
        <w:rFonts w:hint="cs"/>
        <w:rtl/>
      </w:rPr>
      <w:t>-</w:t>
    </w:r>
    <w:r w:rsidRPr="002E2C04">
      <w:rPr>
        <w:rFonts w:hint="cs"/>
        <w:rtl/>
      </w:rPr>
      <w:t xml:space="preserve"> תיק  הנכסים</w:t>
    </w:r>
    <w:r>
      <w:rPr>
        <w:rFonts w:hint="cs"/>
        <w:rtl/>
      </w:rPr>
      <w:t xml:space="preserve"> הפיננסים של הציבור</w:t>
    </w:r>
    <w:r w:rsidRPr="002E2C04">
      <w:rPr>
        <w:rFonts w:hint="cs"/>
        <w:rtl/>
      </w:rPr>
      <w:t xml:space="preserve">, </w:t>
    </w:r>
    <w:r w:rsidR="00FB3C86">
      <w:rPr>
        <w:rFonts w:hint="cs"/>
        <w:rtl/>
      </w:rPr>
      <w:t>רבעון</w:t>
    </w:r>
    <w:r w:rsidRPr="002E2C04">
      <w:rPr>
        <w:rFonts w:hint="cs"/>
        <w:rtl/>
      </w:rPr>
      <w:t xml:space="preserve"> </w:t>
    </w:r>
    <w:r w:rsidR="002F5E09">
      <w:rPr>
        <w:rFonts w:hint="cs"/>
        <w:rtl/>
      </w:rPr>
      <w:t>ראשון</w:t>
    </w:r>
    <w:r w:rsidRPr="002E2C04">
      <w:rPr>
        <w:rFonts w:hint="cs"/>
        <w:rtl/>
      </w:rPr>
      <w:t xml:space="preserve"> </w:t>
    </w:r>
    <w:r w:rsidR="002F5E09">
      <w:rPr>
        <w:rFonts w:hint="cs"/>
        <w:rtl/>
      </w:rPr>
      <w:t>2026</w:t>
    </w:r>
    <w:r w:rsidRPr="002E2C04">
      <w:rPr>
        <w:rFonts w:hint="cs"/>
        <w:rtl/>
        <w:cs/>
        <w:lang w:val="he-IL"/>
      </w:rPr>
      <w:tab/>
    </w:r>
    <w:r w:rsidR="009B08D5">
      <w:rPr>
        <w:rFonts w:hint="cs"/>
        <w:rtl/>
        <w:cs/>
        <w:lang w:val="he-IL"/>
      </w:rPr>
      <w:t xml:space="preserve">  </w:t>
    </w:r>
    <w:r w:rsidRPr="002E2C04">
      <w:rPr>
        <w:rFonts w:hint="cs"/>
        <w:rtl/>
        <w:cs/>
        <w:lang w:val="he-IL"/>
      </w:rPr>
      <w:tab/>
    </w:r>
    <w:r w:rsidRPr="002E2C04">
      <w:rPr>
        <w:rFonts w:hint="cs"/>
        <w:rtl/>
        <w:cs/>
        <w:lang w:val="he-IL"/>
      </w:rPr>
      <w:tab/>
    </w:r>
    <w:r>
      <w:rPr>
        <w:rFonts w:hint="cs"/>
        <w:rtl/>
        <w:cs/>
        <w:lang w:val="he-IL"/>
      </w:rPr>
      <w:t xml:space="preserve">        </w:t>
    </w:r>
    <w:r w:rsidRPr="002E2C04">
      <w:rPr>
        <w:rtl/>
        <w:cs/>
        <w:lang w:val="he-IL"/>
      </w:rPr>
      <w:t xml:space="preserve">עמוד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PAGE</w:instrText>
    </w:r>
    <w:r w:rsidRPr="002E2C04">
      <w:rPr>
        <w:b/>
        <w:bCs/>
      </w:rPr>
      <w:fldChar w:fldCharType="separate"/>
    </w:r>
    <w:r w:rsidR="00D62CFD">
      <w:rPr>
        <w:b/>
        <w:bCs/>
        <w:noProof/>
        <w:rtl/>
      </w:rPr>
      <w:t>4</w:t>
    </w:r>
    <w:r w:rsidRPr="002E2C04">
      <w:rPr>
        <w:b/>
        <w:bCs/>
      </w:rPr>
      <w:fldChar w:fldCharType="end"/>
    </w:r>
    <w:r w:rsidRPr="002E2C04">
      <w:rPr>
        <w:rtl/>
        <w:cs/>
        <w:lang w:val="he-IL"/>
      </w:rPr>
      <w:t xml:space="preserve"> מתוך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NUMPAGES</w:instrText>
    </w:r>
    <w:r w:rsidRPr="002E2C04">
      <w:rPr>
        <w:b/>
        <w:bCs/>
      </w:rPr>
      <w:fldChar w:fldCharType="separate"/>
    </w:r>
    <w:r w:rsidR="00D62CFD">
      <w:rPr>
        <w:b/>
        <w:bCs/>
        <w:noProof/>
        <w:rtl/>
      </w:rPr>
      <w:t>4</w:t>
    </w:r>
    <w:r w:rsidRPr="002E2C04">
      <w:rPr>
        <w:b/>
        <w:bCs/>
      </w:rPr>
      <w:fldChar w:fldCharType="end"/>
    </w:r>
  </w:p>
  <w:p w:rsidR="002E23BA" w:rsidRDefault="002E23BA" w:rsidP="005F72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C5" w:rsidRDefault="009F20C5">
      <w:r>
        <w:separator/>
      </w:r>
    </w:p>
  </w:footnote>
  <w:footnote w:type="continuationSeparator" w:id="0">
    <w:p w:rsidR="009F20C5" w:rsidRDefault="009F20C5">
      <w:r>
        <w:continuationSeparator/>
      </w:r>
    </w:p>
  </w:footnote>
  <w:footnote w:type="continuationNotice" w:id="1">
    <w:p w:rsidR="009F20C5" w:rsidRDefault="009F20C5"/>
  </w:footnote>
  <w:footnote w:id="2">
    <w:p w:rsidR="002E23BA" w:rsidRDefault="002E23BA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ללא קרנות הנאמנות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057FBC">
    <w:pPr>
      <w:pStyle w:val="aa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63541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38F2EF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7128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78BE9A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A942DF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6354191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79E4C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C44894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A7725B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76E6E104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15D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A93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6ACD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2EB7"/>
    <w:rsid w:val="000F3129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033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30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0E8A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9CF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9C8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8DC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40F"/>
    <w:rsid w:val="001C46CF"/>
    <w:rsid w:val="001C61A4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162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9BA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21D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09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A1E"/>
    <w:rsid w:val="00327B56"/>
    <w:rsid w:val="00327E2A"/>
    <w:rsid w:val="00327E8E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C9C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B10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06"/>
    <w:rsid w:val="00384733"/>
    <w:rsid w:val="00384784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69F4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532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C1E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1F08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349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1829"/>
    <w:rsid w:val="00432302"/>
    <w:rsid w:val="00432446"/>
    <w:rsid w:val="004324AC"/>
    <w:rsid w:val="004328C5"/>
    <w:rsid w:val="00432AAF"/>
    <w:rsid w:val="00433461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1A77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1AD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4467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E0C"/>
    <w:rsid w:val="004C3F4C"/>
    <w:rsid w:val="004C4E9A"/>
    <w:rsid w:val="004C4ECE"/>
    <w:rsid w:val="004C513E"/>
    <w:rsid w:val="004C5B0F"/>
    <w:rsid w:val="004C5C86"/>
    <w:rsid w:val="004C5D83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12E"/>
    <w:rsid w:val="004D5904"/>
    <w:rsid w:val="004D5F39"/>
    <w:rsid w:val="004D64DB"/>
    <w:rsid w:val="004D6685"/>
    <w:rsid w:val="004D68FA"/>
    <w:rsid w:val="004D696A"/>
    <w:rsid w:val="004D6CCC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1A27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C4C"/>
    <w:rsid w:val="00506D22"/>
    <w:rsid w:val="0050774D"/>
    <w:rsid w:val="00507A39"/>
    <w:rsid w:val="00507BD9"/>
    <w:rsid w:val="00507C60"/>
    <w:rsid w:val="005105FC"/>
    <w:rsid w:val="005106C8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2892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BE6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12E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24D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36A5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4D4"/>
    <w:rsid w:val="00620D7A"/>
    <w:rsid w:val="0062149E"/>
    <w:rsid w:val="006214FA"/>
    <w:rsid w:val="00621B5B"/>
    <w:rsid w:val="0062301A"/>
    <w:rsid w:val="00623089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1F6D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BB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E78FD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770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84C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4EC7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CE1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0BF5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4EF9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D7C33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15"/>
    <w:rsid w:val="0083079A"/>
    <w:rsid w:val="00830930"/>
    <w:rsid w:val="00830F9A"/>
    <w:rsid w:val="0083120C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45F"/>
    <w:rsid w:val="00837615"/>
    <w:rsid w:val="00837871"/>
    <w:rsid w:val="00837943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01E"/>
    <w:rsid w:val="00873C27"/>
    <w:rsid w:val="0087428E"/>
    <w:rsid w:val="00874FDB"/>
    <w:rsid w:val="0087554B"/>
    <w:rsid w:val="008764B5"/>
    <w:rsid w:val="008766CB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1CEC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6CD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1C25"/>
    <w:rsid w:val="008F22E6"/>
    <w:rsid w:val="008F2D5A"/>
    <w:rsid w:val="008F3576"/>
    <w:rsid w:val="008F3D19"/>
    <w:rsid w:val="008F3F68"/>
    <w:rsid w:val="008F48E6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0086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5FB0"/>
    <w:rsid w:val="00956118"/>
    <w:rsid w:val="00956494"/>
    <w:rsid w:val="009569DD"/>
    <w:rsid w:val="00956E89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56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95F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3841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D13"/>
    <w:rsid w:val="00996E50"/>
    <w:rsid w:val="0099709A"/>
    <w:rsid w:val="009972C3"/>
    <w:rsid w:val="0099737F"/>
    <w:rsid w:val="009A0294"/>
    <w:rsid w:val="009A1298"/>
    <w:rsid w:val="009A1775"/>
    <w:rsid w:val="009A228F"/>
    <w:rsid w:val="009A298F"/>
    <w:rsid w:val="009A2B88"/>
    <w:rsid w:val="009A339E"/>
    <w:rsid w:val="009A35A4"/>
    <w:rsid w:val="009A394F"/>
    <w:rsid w:val="009A3F0A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34D"/>
    <w:rsid w:val="009B77FB"/>
    <w:rsid w:val="009B784C"/>
    <w:rsid w:val="009B7851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064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0F73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EFA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0D53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67E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12E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7C3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7A0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195F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BE4"/>
    <w:rsid w:val="00B86F71"/>
    <w:rsid w:val="00B905A5"/>
    <w:rsid w:val="00B908E4"/>
    <w:rsid w:val="00B90F1B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9B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9A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666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4ED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17D57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3EC1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6AD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5F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00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73C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B9C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2CFD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5F9E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84A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9A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DB3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35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57EE7"/>
    <w:rsid w:val="00E60790"/>
    <w:rsid w:val="00E60874"/>
    <w:rsid w:val="00E610DE"/>
    <w:rsid w:val="00E612AD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0E87"/>
    <w:rsid w:val="00EB24D4"/>
    <w:rsid w:val="00EB2557"/>
    <w:rsid w:val="00EB25C3"/>
    <w:rsid w:val="00EB3067"/>
    <w:rsid w:val="00EB3110"/>
    <w:rsid w:val="00EB38EE"/>
    <w:rsid w:val="00EB418A"/>
    <w:rsid w:val="00EB44B3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6E0E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4F07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5FF8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36C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25B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496"/>
    <w:rsid w:val="00F659C9"/>
    <w:rsid w:val="00F65CC4"/>
    <w:rsid w:val="00F6638D"/>
    <w:rsid w:val="00F6648C"/>
    <w:rsid w:val="00F6709D"/>
    <w:rsid w:val="00F672E3"/>
    <w:rsid w:val="00F70BE0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3C86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2FA9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86A"/>
    <w:rsid w:val="00FF1E74"/>
    <w:rsid w:val="00FF20AA"/>
    <w:rsid w:val="00FF21A5"/>
    <w:rsid w:val="00FF2B95"/>
    <w:rsid w:val="00FF2FA1"/>
    <w:rsid w:val="00FF38B8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142E"/>
    <w:rPr>
      <w:sz w:val="20"/>
      <w:szCs w:val="20"/>
    </w:rPr>
  </w:style>
  <w:style w:type="character" w:styleId="a5">
    <w:name w:val="footnote reference"/>
    <w:uiPriority w:val="99"/>
    <w:semiHidden/>
    <w:rsid w:val="008E142E"/>
    <w:rPr>
      <w:vertAlign w:val="superscript"/>
    </w:rPr>
  </w:style>
  <w:style w:type="paragraph" w:styleId="a6">
    <w:name w:val="footer"/>
    <w:basedOn w:val="a"/>
    <w:link w:val="a7"/>
    <w:uiPriority w:val="99"/>
    <w:rsid w:val="005F725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F7255"/>
  </w:style>
  <w:style w:type="paragraph" w:styleId="a9">
    <w:name w:val="Balloon Text"/>
    <w:basedOn w:val="a"/>
    <w:semiHidden/>
    <w:rsid w:val="00140F79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4530BD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3606FD"/>
    <w:rPr>
      <w:sz w:val="16"/>
      <w:szCs w:val="16"/>
    </w:rPr>
  </w:style>
  <w:style w:type="paragraph" w:styleId="ac">
    <w:name w:val="annotation text"/>
    <w:basedOn w:val="a"/>
    <w:semiHidden/>
    <w:rsid w:val="003606FD"/>
    <w:rPr>
      <w:sz w:val="20"/>
      <w:szCs w:val="20"/>
    </w:rPr>
  </w:style>
  <w:style w:type="paragraph" w:styleId="ad">
    <w:name w:val="annotation subject"/>
    <w:basedOn w:val="ac"/>
    <w:next w:val="ac"/>
    <w:semiHidden/>
    <w:rsid w:val="003606FD"/>
    <w:rPr>
      <w:b/>
      <w:bCs/>
    </w:rPr>
  </w:style>
  <w:style w:type="table" w:styleId="ae">
    <w:name w:val="Table Grid"/>
    <w:basedOn w:val="a1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a7">
    <w:name w:val="כותרת תחתונה תו"/>
    <w:link w:val="a6"/>
    <w:uiPriority w:val="99"/>
    <w:rsid w:val="00D921A2"/>
    <w:rPr>
      <w:rFonts w:cs="David"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ED7FDF"/>
    <w:pPr>
      <w:ind w:left="720"/>
      <w:contextualSpacing/>
    </w:pPr>
  </w:style>
  <w:style w:type="paragraph" w:styleId="af0">
    <w:name w:val="Plain Text"/>
    <w:basedOn w:val="a"/>
    <w:link w:val="af1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טקסט רגיל תו"/>
    <w:basedOn w:val="a0"/>
    <w:link w:val="af0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a0"/>
    <w:rsid w:val="00CA4805"/>
    <w:rPr>
      <w:color w:val="800080" w:themeColor="followedHyperlink"/>
      <w:u w:val="single"/>
    </w:rPr>
  </w:style>
  <w:style w:type="paragraph" w:styleId="af2">
    <w:name w:val="Title"/>
    <w:basedOn w:val="a"/>
    <w:next w:val="a"/>
    <w:link w:val="af3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af3">
    <w:name w:val="כותרת טקסט תו"/>
    <w:basedOn w:val="a0"/>
    <w:link w:val="af2"/>
    <w:rsid w:val="002E5159"/>
    <w:rPr>
      <w:rFonts w:cs="David"/>
      <w:sz w:val="28"/>
      <w:szCs w:val="28"/>
      <w:lang w:eastAsia="he-IL"/>
    </w:rPr>
  </w:style>
  <w:style w:type="character" w:customStyle="1" w:styleId="10">
    <w:name w:val="כותרת 1 תו"/>
    <w:basedOn w:val="a0"/>
    <w:link w:val="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a4">
    <w:name w:val="טקסט הערת שוליים תו"/>
    <w:basedOn w:val="a0"/>
    <w:link w:val="a3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EC7C-E8D8-4F74-B97B-8E2C6FAFF44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db6e88e-0de5-4e5b-87ce-a7594edf2a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19343-3FDB-4283-BCD3-086F93E8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5585</CharactersWithSpaces>
  <SharedDoc>false</SharedDoc>
  <HLinks>
    <vt:vector size="6" baseType="variant">
      <vt:variant>
        <vt:i4>2097185</vt:i4>
      </vt:variant>
      <vt:variant>
        <vt:i4>9</vt:i4>
      </vt:variant>
      <vt:variant>
        <vt:i4>0</vt:i4>
      </vt:variant>
      <vt:variant>
        <vt:i4>5</vt:i4>
      </vt:variant>
      <vt:variant>
        <vt:lpwstr>http://www.boi.org.il/he/DataAndStatistics/Pages/MainPage.aspx?Level=3&amp;Sid=47&amp;SubjectType=2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2026-06-29T09:05:00Z</dcterms:created>
  <dcterms:modified xsi:type="dcterms:W3CDTF">2026-06-29T09:05:00Z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