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DCAB" w14:textId="5763BD02" w:rsidR="00F4339F" w:rsidRDefault="00F4339F" w:rsidP="005D7882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F4339F" w:rsidRPr="00343C95" w14:paraId="2CEC7646" w14:textId="77777777" w:rsidTr="00312728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D433" w14:textId="77777777" w:rsidR="00F4339F" w:rsidRPr="00343C95" w:rsidRDefault="00F4339F" w:rsidP="005D7882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43C95">
              <w:rPr>
                <w:rFonts w:ascii="David" w:hAnsi="David" w:cs="David"/>
                <w:sz w:val="24"/>
                <w:szCs w:val="24"/>
                <w:rtl/>
              </w:rPr>
              <w:t>בנ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 xml:space="preserve">ק </w:t>
            </w:r>
            <w:r w:rsidRPr="00343C95">
              <w:rPr>
                <w:rFonts w:ascii="David" w:hAnsi="David" w:cs="David"/>
                <w:sz w:val="24"/>
                <w:szCs w:val="24"/>
                <w:rtl/>
              </w:rPr>
              <w:t>יש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>ראל</w:t>
            </w:r>
          </w:p>
          <w:p w14:paraId="30D3734F" w14:textId="77777777" w:rsidR="00F4339F" w:rsidRPr="00343C95" w:rsidRDefault="00F4339F" w:rsidP="005D7882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43C95">
              <w:rPr>
                <w:rFonts w:ascii="David" w:hAnsi="David" w:cs="David"/>
                <w:sz w:val="24"/>
                <w:szCs w:val="24"/>
                <w:rtl/>
              </w:rPr>
              <w:t>דו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>בר</w:t>
            </w:r>
            <w:r w:rsidRPr="00343C95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B5BD1" w14:textId="77777777" w:rsidR="00F4339F" w:rsidRPr="00343C95" w:rsidRDefault="00F4339F" w:rsidP="005D7882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43C95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49F24461" wp14:editId="6E361B92">
                  <wp:extent cx="945515" cy="945515"/>
                  <wp:effectExtent l="0" t="0" r="6985" b="6985"/>
                  <wp:docPr id="7" name="תמונה 7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2AA7" w14:textId="77777777" w:rsidR="00F4339F" w:rsidRPr="00343C95" w:rsidRDefault="00F4339F" w:rsidP="005D7882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43C95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>ירושלים</w:t>
            </w:r>
            <w:r w:rsidRPr="00343C95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י' אלול </w:t>
            </w:r>
            <w:r w:rsidRPr="00343C9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>תשפ"ב</w:t>
            </w:r>
          </w:p>
          <w:p w14:paraId="4CB73EAE" w14:textId="77777777" w:rsidR="00F4339F" w:rsidRPr="00343C95" w:rsidRDefault="00F4339F" w:rsidP="005D7882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43C95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343C9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ספטמבר </w:t>
            </w:r>
            <w:r w:rsidRPr="00343C95">
              <w:rPr>
                <w:rFonts w:ascii="David" w:hAnsi="David" w:cs="David"/>
                <w:sz w:val="24"/>
                <w:szCs w:val="24"/>
                <w:rtl/>
              </w:rPr>
              <w:t>202</w:t>
            </w:r>
            <w:r w:rsidRPr="00343C95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</w:tr>
    </w:tbl>
    <w:p w14:paraId="7E0EC0FD" w14:textId="3546DCEB" w:rsidR="00F4339F" w:rsidRPr="00F4339F" w:rsidRDefault="00F4339F" w:rsidP="00F4339F">
      <w:pPr>
        <w:shd w:val="clear" w:color="auto" w:fill="FFFFFF"/>
        <w:tabs>
          <w:tab w:val="left" w:pos="4256"/>
        </w:tabs>
        <w:spacing w:after="150"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343C95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14:paraId="5D3D881F" w14:textId="2F45265C" w:rsidR="00450DA7" w:rsidRDefault="002E4CFF" w:rsidP="00F4339F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D81864">
        <w:rPr>
          <w:rFonts w:cs="David" w:hint="cs"/>
          <w:b/>
          <w:bCs/>
          <w:sz w:val="28"/>
          <w:szCs w:val="28"/>
          <w:rtl/>
        </w:rPr>
        <w:t>השני</w:t>
      </w:r>
      <w:r w:rsidR="008C1D87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B53CE">
        <w:rPr>
          <w:rFonts w:cs="David" w:hint="cs"/>
          <w:b/>
          <w:bCs/>
          <w:sz w:val="28"/>
          <w:szCs w:val="28"/>
          <w:rtl/>
        </w:rPr>
        <w:t>202</w:t>
      </w:r>
      <w:r w:rsidR="003F13D5">
        <w:rPr>
          <w:rFonts w:cs="David" w:hint="cs"/>
          <w:b/>
          <w:bCs/>
          <w:sz w:val="28"/>
          <w:szCs w:val="28"/>
          <w:rtl/>
        </w:rPr>
        <w:t>2</w:t>
      </w:r>
    </w:p>
    <w:bookmarkEnd w:id="0"/>
    <w:p w14:paraId="1C9BE5FB" w14:textId="77777777" w:rsidR="00E44207" w:rsidRDefault="00E44207" w:rsidP="00D8186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9C4F3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D818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החלשות </w:t>
      </w:r>
      <w:r w:rsidR="006E2EA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השקל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63604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צד </w:t>
      </w:r>
      <w:r w:rsidR="00D81864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5332F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רוחבית</w:t>
      </w:r>
      <w:r w:rsidR="0063604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של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הדולר בעולם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>.</w:t>
      </w:r>
    </w:p>
    <w:p w14:paraId="23D2840F" w14:textId="77777777" w:rsidR="00404881" w:rsidRPr="00404881" w:rsidRDefault="00404881" w:rsidP="00404881">
      <w:pPr>
        <w:bidi/>
        <w:rPr>
          <w:rtl/>
        </w:rPr>
      </w:pPr>
    </w:p>
    <w:p w14:paraId="5E20FDED" w14:textId="77777777" w:rsidR="000D2936" w:rsidRDefault="0036171D" w:rsidP="005332FA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</w:t>
      </w:r>
      <w:r w:rsidR="00BA637B">
        <w:rPr>
          <w:rFonts w:cs="David" w:hint="cs"/>
          <w:sz w:val="24"/>
          <w:szCs w:val="24"/>
          <w:rtl/>
        </w:rPr>
        <w:t xml:space="preserve"> </w:t>
      </w:r>
      <w:r w:rsidR="00D81864">
        <w:rPr>
          <w:rFonts w:cs="David" w:hint="cs"/>
          <w:sz w:val="24"/>
          <w:szCs w:val="24"/>
          <w:rtl/>
        </w:rPr>
        <w:t>השני</w:t>
      </w:r>
      <w:r w:rsidR="00BA637B">
        <w:rPr>
          <w:rFonts w:cs="David" w:hint="cs"/>
          <w:sz w:val="24"/>
          <w:szCs w:val="24"/>
          <w:rtl/>
        </w:rPr>
        <w:t>,</w:t>
      </w:r>
      <w:r w:rsidR="005332FA">
        <w:rPr>
          <w:rFonts w:cs="David" w:hint="cs"/>
          <w:sz w:val="24"/>
          <w:szCs w:val="24"/>
          <w:rtl/>
        </w:rPr>
        <w:t xml:space="preserve"> </w:t>
      </w:r>
      <w:r w:rsidR="00D14CF8" w:rsidRPr="000D2936">
        <w:rPr>
          <w:rFonts w:cs="David" w:hint="cs"/>
          <w:sz w:val="24"/>
          <w:szCs w:val="24"/>
          <w:rtl/>
        </w:rPr>
        <w:t>השקל</w:t>
      </w:r>
      <w:r w:rsidR="005332FA">
        <w:rPr>
          <w:rFonts w:cs="David" w:hint="cs"/>
          <w:sz w:val="24"/>
          <w:szCs w:val="24"/>
          <w:rtl/>
        </w:rPr>
        <w:t xml:space="preserve"> המשיך להיחלש</w:t>
      </w:r>
      <w:r w:rsidRPr="000D2936">
        <w:rPr>
          <w:rFonts w:cs="David" w:hint="cs"/>
          <w:sz w:val="24"/>
          <w:szCs w:val="24"/>
          <w:rtl/>
        </w:rPr>
        <w:t xml:space="preserve"> </w:t>
      </w:r>
      <w:r w:rsidR="003F163D" w:rsidRPr="000D2936">
        <w:rPr>
          <w:rFonts w:cs="David" w:hint="cs"/>
          <w:sz w:val="24"/>
          <w:szCs w:val="24"/>
          <w:rtl/>
        </w:rPr>
        <w:t>מול הדולר</w:t>
      </w:r>
      <w:r w:rsidR="002044D2" w:rsidRPr="000D2936">
        <w:rPr>
          <w:rFonts w:cs="David" w:hint="cs"/>
          <w:sz w:val="24"/>
          <w:szCs w:val="24"/>
          <w:rtl/>
        </w:rPr>
        <w:t xml:space="preserve"> והאירו</w:t>
      </w:r>
      <w:r w:rsidR="00D14CF8" w:rsidRPr="000D2936">
        <w:rPr>
          <w:rFonts w:cs="David" w:hint="cs"/>
          <w:sz w:val="24"/>
          <w:szCs w:val="24"/>
          <w:rtl/>
        </w:rPr>
        <w:t xml:space="preserve"> </w:t>
      </w:r>
      <w:r w:rsidR="009C1CC8" w:rsidRPr="000D2936">
        <w:rPr>
          <w:rFonts w:cs="David" w:hint="cs"/>
          <w:sz w:val="24"/>
          <w:szCs w:val="24"/>
          <w:rtl/>
        </w:rPr>
        <w:t>בשיעור של כ-</w:t>
      </w:r>
      <w:r w:rsidR="00D81864">
        <w:rPr>
          <w:rFonts w:cs="David" w:hint="cs"/>
          <w:sz w:val="24"/>
          <w:szCs w:val="24"/>
          <w:rtl/>
        </w:rPr>
        <w:t>10</w:t>
      </w:r>
      <w:r w:rsidR="00A041AE">
        <w:rPr>
          <w:rFonts w:cs="David" w:hint="cs"/>
          <w:sz w:val="24"/>
          <w:szCs w:val="24"/>
          <w:rtl/>
        </w:rPr>
        <w:t>.</w:t>
      </w:r>
      <w:r w:rsidR="00D81864">
        <w:rPr>
          <w:rFonts w:cs="David" w:hint="cs"/>
          <w:sz w:val="24"/>
          <w:szCs w:val="24"/>
          <w:rtl/>
        </w:rPr>
        <w:t>2</w:t>
      </w:r>
      <w:r w:rsidR="00474B79" w:rsidRPr="000D2936">
        <w:rPr>
          <w:rFonts w:cs="David" w:hint="cs"/>
          <w:sz w:val="24"/>
          <w:szCs w:val="24"/>
          <w:rtl/>
        </w:rPr>
        <w:t xml:space="preserve">% </w:t>
      </w:r>
      <w:r w:rsidR="006E2EAE" w:rsidRPr="000D2936">
        <w:rPr>
          <w:rFonts w:cs="David" w:hint="cs"/>
          <w:sz w:val="24"/>
          <w:szCs w:val="24"/>
          <w:rtl/>
        </w:rPr>
        <w:t>ו-</w:t>
      </w:r>
      <w:r w:rsidR="00D81864">
        <w:rPr>
          <w:rFonts w:cs="David" w:hint="cs"/>
          <w:sz w:val="24"/>
          <w:szCs w:val="24"/>
          <w:rtl/>
        </w:rPr>
        <w:t>3</w:t>
      </w:r>
      <w:r w:rsidR="00A041AE">
        <w:rPr>
          <w:rFonts w:cs="David" w:hint="cs"/>
          <w:sz w:val="24"/>
          <w:szCs w:val="24"/>
          <w:rtl/>
        </w:rPr>
        <w:t>.</w:t>
      </w:r>
      <w:r w:rsidR="00D81864">
        <w:rPr>
          <w:rFonts w:cs="David" w:hint="cs"/>
          <w:sz w:val="24"/>
          <w:szCs w:val="24"/>
          <w:rtl/>
        </w:rPr>
        <w:t>2</w:t>
      </w:r>
      <w:r w:rsidR="006E2EAE" w:rsidRPr="000D2936">
        <w:rPr>
          <w:rFonts w:cs="David" w:hint="cs"/>
          <w:sz w:val="24"/>
          <w:szCs w:val="24"/>
          <w:rtl/>
        </w:rPr>
        <w:t>%</w:t>
      </w:r>
      <w:r w:rsidR="002044D2" w:rsidRPr="000D2936">
        <w:rPr>
          <w:rFonts w:cs="David" w:hint="cs"/>
          <w:sz w:val="24"/>
          <w:szCs w:val="24"/>
          <w:rtl/>
        </w:rPr>
        <w:t xml:space="preserve"> בהתאמה</w:t>
      </w:r>
      <w:r w:rsidR="00BA637B">
        <w:rPr>
          <w:rFonts w:cs="David" w:hint="cs"/>
          <w:sz w:val="24"/>
          <w:szCs w:val="24"/>
          <w:rtl/>
        </w:rPr>
        <w:t>.</w:t>
      </w:r>
    </w:p>
    <w:p w14:paraId="32BA5C11" w14:textId="77777777" w:rsidR="00CE2913" w:rsidRPr="000D2936" w:rsidRDefault="001F40C2" w:rsidP="00D81864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כמו כן, </w:t>
      </w:r>
      <w:r w:rsidR="003102B4">
        <w:rPr>
          <w:rFonts w:cs="David" w:hint="cs"/>
          <w:sz w:val="24"/>
          <w:szCs w:val="24"/>
          <w:rtl/>
        </w:rPr>
        <w:t>נחלש</w:t>
      </w:r>
      <w:r>
        <w:rPr>
          <w:rFonts w:cs="David" w:hint="cs"/>
          <w:sz w:val="24"/>
          <w:szCs w:val="24"/>
          <w:rtl/>
        </w:rPr>
        <w:t xml:space="preserve"> השקל ב</w:t>
      </w:r>
      <w:r w:rsidRPr="003D208A">
        <w:rPr>
          <w:rFonts w:cs="David" w:hint="cs"/>
          <w:sz w:val="24"/>
          <w:szCs w:val="24"/>
          <w:rtl/>
        </w:rPr>
        <w:t xml:space="preserve">- </w:t>
      </w:r>
      <w:r w:rsidR="00D81864">
        <w:rPr>
          <w:rFonts w:cs="David" w:hint="cs"/>
          <w:sz w:val="24"/>
          <w:szCs w:val="24"/>
          <w:rtl/>
        </w:rPr>
        <w:t>6</w:t>
      </w:r>
      <w:r w:rsidR="00A041AE">
        <w:rPr>
          <w:rFonts w:cs="David" w:hint="cs"/>
          <w:sz w:val="24"/>
          <w:szCs w:val="24"/>
          <w:rtl/>
        </w:rPr>
        <w:t>.6</w:t>
      </w:r>
      <w:r>
        <w:rPr>
          <w:rFonts w:cs="David" w:hint="cs"/>
          <w:sz w:val="24"/>
          <w:szCs w:val="24"/>
          <w:rtl/>
        </w:rPr>
        <w:t xml:space="preserve">% </w:t>
      </w:r>
      <w:r w:rsidR="00EC1B42"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>שער החליפין הנומינאלי האפקטיבי</w:t>
      </w:r>
      <w:r w:rsidR="000D2936" w:rsidRPr="000D2936">
        <w:rPr>
          <w:rFonts w:cs="David" w:hint="cs"/>
          <w:sz w:val="24"/>
          <w:szCs w:val="24"/>
          <w:rtl/>
        </w:rPr>
        <w:t>.</w:t>
      </w:r>
    </w:p>
    <w:p w14:paraId="326AD264" w14:textId="55649329" w:rsidR="00F4339F" w:rsidRDefault="00382716" w:rsidP="00932376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382716">
        <w:rPr>
          <w:rFonts w:cs="David"/>
          <w:sz w:val="24"/>
          <w:szCs w:val="24"/>
          <w:rtl/>
        </w:rPr>
        <w:t>בשערו של הדולר מול מטבעות עיקריים (תרשים 2) נרשמה</w:t>
      </w:r>
      <w:r w:rsidR="000A1C56">
        <w:rPr>
          <w:rFonts w:cs="David" w:hint="cs"/>
          <w:sz w:val="24"/>
          <w:szCs w:val="24"/>
          <w:rtl/>
        </w:rPr>
        <w:t xml:space="preserve"> במהלך הרביע</w:t>
      </w:r>
      <w:r w:rsidRPr="00382716">
        <w:rPr>
          <w:rFonts w:cs="David"/>
          <w:sz w:val="24"/>
          <w:szCs w:val="24"/>
          <w:rtl/>
        </w:rPr>
        <w:t xml:space="preserve"> מגמ</w:t>
      </w:r>
      <w:r w:rsidR="00D81864">
        <w:rPr>
          <w:rFonts w:cs="David" w:hint="cs"/>
          <w:sz w:val="24"/>
          <w:szCs w:val="24"/>
          <w:rtl/>
        </w:rPr>
        <w:t>ת</w:t>
      </w:r>
      <w:r w:rsidRPr="00382716">
        <w:rPr>
          <w:rFonts w:cs="David"/>
          <w:sz w:val="24"/>
          <w:szCs w:val="24"/>
          <w:rtl/>
        </w:rPr>
        <w:t xml:space="preserve"> </w:t>
      </w:r>
      <w:r w:rsidR="00D81864">
        <w:rPr>
          <w:rFonts w:cs="David" w:hint="cs"/>
          <w:sz w:val="24"/>
          <w:szCs w:val="24"/>
          <w:rtl/>
        </w:rPr>
        <w:t>התחזקות</w:t>
      </w:r>
      <w:r w:rsidR="00F02399">
        <w:rPr>
          <w:rFonts w:cs="David" w:hint="cs"/>
          <w:sz w:val="24"/>
          <w:szCs w:val="24"/>
          <w:rtl/>
        </w:rPr>
        <w:t xml:space="preserve"> רוחבית</w:t>
      </w:r>
      <w:r w:rsidR="00D81864">
        <w:rPr>
          <w:rFonts w:cs="David" w:hint="cs"/>
          <w:sz w:val="24"/>
          <w:szCs w:val="24"/>
          <w:rtl/>
        </w:rPr>
        <w:t xml:space="preserve"> </w:t>
      </w:r>
      <w:r w:rsidR="00F02399">
        <w:rPr>
          <w:rFonts w:cs="David" w:hint="cs"/>
          <w:sz w:val="24"/>
          <w:szCs w:val="24"/>
          <w:rtl/>
        </w:rPr>
        <w:t>ו</w:t>
      </w:r>
      <w:r w:rsidR="000A1C56">
        <w:rPr>
          <w:rFonts w:cs="David" w:hint="cs"/>
          <w:sz w:val="24"/>
          <w:szCs w:val="24"/>
          <w:rtl/>
        </w:rPr>
        <w:t xml:space="preserve">חריגה ברמתה </w:t>
      </w:r>
      <w:r w:rsidR="000A1C56" w:rsidRPr="00CD2631">
        <w:rPr>
          <w:rFonts w:cs="David" w:hint="cs"/>
          <w:sz w:val="24"/>
          <w:szCs w:val="24"/>
          <w:rtl/>
        </w:rPr>
        <w:t>ביחס לעשור האחרון</w:t>
      </w:r>
      <w:r w:rsidR="00932376">
        <w:rPr>
          <w:rFonts w:cs="David"/>
          <w:sz w:val="24"/>
          <w:szCs w:val="24"/>
        </w:rPr>
        <w:t>;</w:t>
      </w:r>
      <w:r w:rsidR="000A1C56">
        <w:rPr>
          <w:rFonts w:cs="David" w:hint="cs"/>
          <w:sz w:val="24"/>
          <w:szCs w:val="24"/>
          <w:rtl/>
        </w:rPr>
        <w:t xml:space="preserve"> </w:t>
      </w:r>
      <w:r w:rsidR="00932376">
        <w:rPr>
          <w:rFonts w:cs="David" w:hint="cs"/>
          <w:sz w:val="24"/>
          <w:szCs w:val="24"/>
          <w:rtl/>
        </w:rPr>
        <w:t xml:space="preserve">התחזקות </w:t>
      </w:r>
      <w:r w:rsidR="00F02399">
        <w:rPr>
          <w:rFonts w:cs="David" w:hint="cs"/>
          <w:sz w:val="24"/>
          <w:szCs w:val="24"/>
          <w:rtl/>
        </w:rPr>
        <w:t>ב</w:t>
      </w:r>
      <w:r w:rsidR="000A1C56">
        <w:rPr>
          <w:rFonts w:cs="David" w:hint="cs"/>
          <w:sz w:val="24"/>
          <w:szCs w:val="24"/>
          <w:rtl/>
        </w:rPr>
        <w:t>שיעור</w:t>
      </w:r>
      <w:r w:rsidR="005332FA">
        <w:rPr>
          <w:rFonts w:cs="David" w:hint="cs"/>
          <w:sz w:val="24"/>
          <w:szCs w:val="24"/>
          <w:rtl/>
        </w:rPr>
        <w:t xml:space="preserve"> של</w:t>
      </w:r>
      <w:r w:rsidR="00C63209">
        <w:rPr>
          <w:rFonts w:cs="David" w:hint="cs"/>
          <w:sz w:val="24"/>
          <w:szCs w:val="24"/>
          <w:rtl/>
        </w:rPr>
        <w:t xml:space="preserve"> </w:t>
      </w:r>
      <w:r w:rsidRPr="00382716">
        <w:rPr>
          <w:rFonts w:cs="David"/>
          <w:sz w:val="24"/>
          <w:szCs w:val="24"/>
          <w:rtl/>
        </w:rPr>
        <w:t xml:space="preserve">כ- </w:t>
      </w:r>
      <w:r w:rsidR="00D81864">
        <w:rPr>
          <w:rFonts w:cs="David" w:hint="cs"/>
          <w:sz w:val="24"/>
          <w:szCs w:val="24"/>
          <w:rtl/>
        </w:rPr>
        <w:t>6.8</w:t>
      </w:r>
      <w:r w:rsidR="00D81864">
        <w:rPr>
          <w:rFonts w:cs="David"/>
          <w:sz w:val="24"/>
          <w:szCs w:val="24"/>
          <w:rtl/>
        </w:rPr>
        <w:t>% מול האירו</w:t>
      </w:r>
      <w:r w:rsidR="00932376">
        <w:rPr>
          <w:rFonts w:cs="David" w:hint="cs"/>
          <w:sz w:val="24"/>
          <w:szCs w:val="24"/>
          <w:rtl/>
        </w:rPr>
        <w:t>,</w:t>
      </w:r>
      <w:r w:rsidR="00D81864">
        <w:rPr>
          <w:rFonts w:cs="David"/>
          <w:sz w:val="24"/>
          <w:szCs w:val="24"/>
          <w:rtl/>
        </w:rPr>
        <w:t xml:space="preserve"> </w:t>
      </w:r>
      <w:r w:rsidRPr="00382716">
        <w:rPr>
          <w:rFonts w:cs="David"/>
          <w:sz w:val="24"/>
          <w:szCs w:val="24"/>
          <w:rtl/>
        </w:rPr>
        <w:t>בכ-</w:t>
      </w:r>
      <w:r w:rsidR="00D81864">
        <w:rPr>
          <w:rFonts w:cs="David" w:hint="cs"/>
          <w:sz w:val="24"/>
          <w:szCs w:val="24"/>
          <w:rtl/>
        </w:rPr>
        <w:t>12</w:t>
      </w:r>
      <w:r w:rsidRPr="00382716">
        <w:rPr>
          <w:rFonts w:cs="David"/>
          <w:sz w:val="24"/>
          <w:szCs w:val="24"/>
          <w:rtl/>
        </w:rPr>
        <w:t>% מול היין היפני</w:t>
      </w:r>
      <w:r w:rsidR="00D81864">
        <w:rPr>
          <w:rFonts w:cs="David" w:hint="cs"/>
          <w:sz w:val="24"/>
          <w:szCs w:val="24"/>
          <w:rtl/>
        </w:rPr>
        <w:t xml:space="preserve"> ובכ-8.5% מול הפאונד הבריטי</w:t>
      </w:r>
      <w:r w:rsidRPr="00382716">
        <w:rPr>
          <w:rFonts w:cs="David"/>
          <w:sz w:val="24"/>
          <w:szCs w:val="24"/>
          <w:rtl/>
        </w:rPr>
        <w:t>.</w:t>
      </w:r>
      <w:r w:rsidR="00D81864">
        <w:rPr>
          <w:rFonts w:cs="David" w:hint="cs"/>
          <w:sz w:val="24"/>
          <w:szCs w:val="24"/>
          <w:rtl/>
        </w:rPr>
        <w:t xml:space="preserve"> </w:t>
      </w:r>
    </w:p>
    <w:p w14:paraId="7614FCFB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34C91560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0F57B2AA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3E0EA621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77B158BF" w14:textId="3EFBE766" w:rsidR="00F4339F" w:rsidRPr="00F4339F" w:rsidRDefault="00F4339F" w:rsidP="005D7882">
      <w:pPr>
        <w:bidi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60E914B6" wp14:editId="68CC8718">
            <wp:extent cx="4559935" cy="27374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3B843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009328B9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6A637E90" w14:textId="77777777" w:rsidR="00F4339F" w:rsidRPr="00F4339F" w:rsidRDefault="00F4339F" w:rsidP="00F4339F">
      <w:pPr>
        <w:bidi/>
        <w:rPr>
          <w:rFonts w:cs="David"/>
          <w:sz w:val="24"/>
          <w:szCs w:val="24"/>
          <w:rtl/>
        </w:rPr>
      </w:pPr>
    </w:p>
    <w:p w14:paraId="7CA51975" w14:textId="1E6F6CD5" w:rsidR="00741A31" w:rsidRPr="00F4339F" w:rsidRDefault="005D7882" w:rsidP="005D7882">
      <w:pPr>
        <w:tabs>
          <w:tab w:val="left" w:pos="4097"/>
        </w:tabs>
        <w:bidi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inline distT="0" distB="0" distL="0" distR="0" wp14:anchorId="33AEE725" wp14:editId="57E64005">
            <wp:extent cx="4559935" cy="273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6147A" w14:textId="1E4CF829" w:rsidR="00D61539" w:rsidRDefault="00D61539" w:rsidP="00741A31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</w:p>
    <w:p w14:paraId="351C7778" w14:textId="77777777"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14:paraId="202006B2" w14:textId="77777777" w:rsidR="000346A8" w:rsidRDefault="000346A8" w:rsidP="007978A1">
      <w:pPr>
        <w:rPr>
          <w:rtl/>
        </w:rPr>
      </w:pPr>
    </w:p>
    <w:p w14:paraId="07AD94D0" w14:textId="77777777" w:rsidR="00804DD2" w:rsidRDefault="00804DD2" w:rsidP="007C017E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6600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286F6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עלייה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A8511A">
        <w:rPr>
          <w:rFonts w:eastAsia="Times New Roman" w:cs="David" w:hint="cs"/>
          <w:color w:val="1F497D" w:themeColor="text2"/>
          <w:sz w:val="24"/>
          <w:szCs w:val="24"/>
          <w:rtl/>
        </w:rPr>
        <w:t>לעומת אי שינוי בסטיית תקן הגלומה</w:t>
      </w:r>
    </w:p>
    <w:p w14:paraId="2932A13E" w14:textId="77777777" w:rsidR="00404881" w:rsidRPr="00404881" w:rsidRDefault="00404881" w:rsidP="00404881">
      <w:pPr>
        <w:bidi/>
        <w:rPr>
          <w:rtl/>
        </w:rPr>
      </w:pPr>
    </w:p>
    <w:p w14:paraId="16608B69" w14:textId="77777777" w:rsidR="00E474AB" w:rsidRDefault="00E474AB" w:rsidP="00C872C2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>סטיית התקן של השינוי בשער החליפין</w:t>
      </w:r>
      <w:r>
        <w:rPr>
          <w:rFonts w:cs="David" w:hint="cs"/>
          <w:sz w:val="24"/>
          <w:szCs w:val="24"/>
          <w:rtl/>
        </w:rPr>
        <w:t xml:space="preserve"> שקל/דולר</w:t>
      </w:r>
      <w:r w:rsidRPr="00E61FB7">
        <w:rPr>
          <w:rFonts w:cs="David" w:hint="cs"/>
          <w:sz w:val="24"/>
          <w:szCs w:val="24"/>
          <w:rtl/>
        </w:rPr>
        <w:t xml:space="preserve"> </w:t>
      </w:r>
      <w:r w:rsidRPr="00E61FB7">
        <w:rPr>
          <w:rFonts w:cs="David"/>
          <w:sz w:val="24"/>
          <w:szCs w:val="24"/>
          <w:rtl/>
        </w:rPr>
        <w:t>–</w:t>
      </w:r>
      <w:r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Pr="00E61FB7">
        <w:rPr>
          <w:rFonts w:cs="David" w:hint="cs"/>
          <w:sz w:val="24"/>
          <w:szCs w:val="24"/>
          <w:rtl/>
        </w:rPr>
        <w:t xml:space="preserve"> בשער החליפין </w:t>
      </w:r>
      <w:r w:rsidRPr="00E61FB7">
        <w:rPr>
          <w:rFonts w:cs="David"/>
          <w:sz w:val="24"/>
          <w:szCs w:val="24"/>
          <w:rtl/>
        </w:rPr>
        <w:t>–</w:t>
      </w:r>
      <w:r w:rsidR="009C48BC">
        <w:rPr>
          <w:rFonts w:cs="David" w:hint="cs"/>
          <w:sz w:val="24"/>
          <w:szCs w:val="24"/>
          <w:rtl/>
        </w:rPr>
        <w:t>המשיכה לעלות</w:t>
      </w:r>
      <w:r>
        <w:rPr>
          <w:rFonts w:cs="David" w:hint="cs"/>
          <w:sz w:val="24"/>
          <w:szCs w:val="24"/>
          <w:rtl/>
        </w:rPr>
        <w:t xml:space="preserve"> במהלך הרביע לרמה ממוצעת של </w:t>
      </w:r>
      <w:r w:rsidR="00C872C2">
        <w:rPr>
          <w:rFonts w:cs="David" w:hint="cs"/>
          <w:sz w:val="24"/>
          <w:szCs w:val="24"/>
          <w:rtl/>
        </w:rPr>
        <w:t>12</w:t>
      </w:r>
      <w:r>
        <w:rPr>
          <w:rFonts w:cs="David" w:hint="cs"/>
          <w:sz w:val="24"/>
          <w:szCs w:val="24"/>
          <w:rtl/>
        </w:rPr>
        <w:t>.5</w:t>
      </w:r>
      <w:r w:rsidR="009C48BC">
        <w:rPr>
          <w:rFonts w:cs="David" w:hint="cs"/>
          <w:sz w:val="24"/>
          <w:szCs w:val="24"/>
          <w:rtl/>
        </w:rPr>
        <w:t>%</w:t>
      </w:r>
      <w:r>
        <w:rPr>
          <w:rFonts w:cs="David" w:hint="cs"/>
          <w:sz w:val="24"/>
          <w:szCs w:val="24"/>
          <w:rtl/>
        </w:rPr>
        <w:t>.</w:t>
      </w:r>
    </w:p>
    <w:p w14:paraId="10D1045A" w14:textId="77777777" w:rsidR="00E474AB" w:rsidRPr="00F82F27" w:rsidRDefault="00E474AB" w:rsidP="003E3051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3E3051">
        <w:rPr>
          <w:rFonts w:cs="David" w:hint="cs"/>
          <w:sz w:val="24"/>
          <w:szCs w:val="24"/>
          <w:rtl/>
        </w:rPr>
        <w:t>עמדה בסוף הרביע על רמה ממוצעת של כ- 8.1%, רמה דומה לסוף הרביע הקודם.</w:t>
      </w:r>
    </w:p>
    <w:p w14:paraId="3DA0B5EE" w14:textId="77777777" w:rsidR="00E474AB" w:rsidRPr="00404881" w:rsidRDefault="00A8511A" w:rsidP="00BA5425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לצורך השוואה, </w:t>
      </w:r>
      <w:r w:rsidR="00E474AB">
        <w:rPr>
          <w:rFonts w:cs="David" w:hint="cs"/>
          <w:sz w:val="24"/>
          <w:szCs w:val="24"/>
          <w:rtl/>
        </w:rPr>
        <w:t xml:space="preserve">רמתה הממוצעת של </w:t>
      </w:r>
      <w:r w:rsidR="00E474AB" w:rsidRPr="00F82F27">
        <w:rPr>
          <w:rFonts w:cs="David" w:hint="eastAsia"/>
          <w:sz w:val="24"/>
          <w:szCs w:val="24"/>
          <w:rtl/>
        </w:rPr>
        <w:t>סטיית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התקן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הגלומה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באופציות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על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מט</w:t>
      </w:r>
      <w:r w:rsidR="00E474AB" w:rsidRPr="00F82F27">
        <w:rPr>
          <w:rFonts w:cs="David"/>
          <w:sz w:val="24"/>
          <w:szCs w:val="24"/>
          <w:rtl/>
        </w:rPr>
        <w:t xml:space="preserve">"ח </w:t>
      </w:r>
      <w:r w:rsidR="00E474AB" w:rsidRPr="00F82F27">
        <w:rPr>
          <w:rFonts w:cs="David" w:hint="eastAsia"/>
          <w:sz w:val="24"/>
          <w:szCs w:val="24"/>
          <w:rtl/>
        </w:rPr>
        <w:t>בשווקים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מתעוררים</w:t>
      </w:r>
      <w:r w:rsidR="00E474AB" w:rsidRPr="00F82F27">
        <w:rPr>
          <w:rFonts w:cs="David" w:hint="cs"/>
          <w:sz w:val="24"/>
          <w:szCs w:val="24"/>
          <w:rtl/>
        </w:rPr>
        <w:t xml:space="preserve"> עמדה </w:t>
      </w:r>
      <w:r w:rsidR="00E474AB">
        <w:rPr>
          <w:rFonts w:cs="David" w:hint="cs"/>
          <w:sz w:val="24"/>
          <w:szCs w:val="24"/>
          <w:rtl/>
        </w:rPr>
        <w:t>בסוף הרביע על</w:t>
      </w:r>
      <w:r w:rsidR="00E474AB" w:rsidRPr="00F82F27">
        <w:rPr>
          <w:rFonts w:cs="David" w:hint="cs"/>
          <w:sz w:val="24"/>
          <w:szCs w:val="24"/>
          <w:rtl/>
        </w:rPr>
        <w:t xml:space="preserve"> </w:t>
      </w:r>
      <w:r w:rsidR="00E474AB">
        <w:rPr>
          <w:rFonts w:cs="David" w:hint="cs"/>
          <w:sz w:val="24"/>
          <w:szCs w:val="24"/>
          <w:rtl/>
        </w:rPr>
        <w:t>1</w:t>
      </w:r>
      <w:r w:rsidR="00BA5425">
        <w:rPr>
          <w:rFonts w:cs="David" w:hint="cs"/>
          <w:sz w:val="24"/>
          <w:szCs w:val="24"/>
          <w:rtl/>
        </w:rPr>
        <w:t>3</w:t>
      </w:r>
      <w:r w:rsidR="00E474AB">
        <w:rPr>
          <w:rFonts w:cs="David" w:hint="cs"/>
          <w:sz w:val="24"/>
          <w:szCs w:val="24"/>
          <w:rtl/>
        </w:rPr>
        <w:t>.</w:t>
      </w:r>
      <w:r w:rsidR="00BA5425">
        <w:rPr>
          <w:rFonts w:cs="David" w:hint="cs"/>
          <w:sz w:val="24"/>
          <w:szCs w:val="24"/>
          <w:rtl/>
        </w:rPr>
        <w:t>4</w:t>
      </w:r>
      <w:r w:rsidR="00E474AB" w:rsidRPr="00F82F27">
        <w:rPr>
          <w:rFonts w:cs="David" w:hint="cs"/>
          <w:sz w:val="24"/>
          <w:szCs w:val="24"/>
          <w:rtl/>
        </w:rPr>
        <w:t>%</w:t>
      </w:r>
      <w:r w:rsidR="00E474AB">
        <w:rPr>
          <w:rFonts w:cs="David" w:hint="cs"/>
          <w:sz w:val="24"/>
          <w:szCs w:val="24"/>
          <w:rtl/>
        </w:rPr>
        <w:t>, עליה של 0.</w:t>
      </w:r>
      <w:r w:rsidR="00643D21">
        <w:rPr>
          <w:rFonts w:cs="David" w:hint="cs"/>
          <w:sz w:val="24"/>
          <w:szCs w:val="24"/>
          <w:rtl/>
        </w:rPr>
        <w:t>8</w:t>
      </w:r>
      <w:r w:rsidR="00E474AB">
        <w:rPr>
          <w:rFonts w:cs="David" w:hint="cs"/>
          <w:sz w:val="24"/>
          <w:szCs w:val="24"/>
          <w:rtl/>
        </w:rPr>
        <w:t xml:space="preserve"> נקודות האחוז בהשוואה לרביע הקודם. רמתה הממוצעת של סטיית תקן זו בשווקים מפותחים</w:t>
      </w:r>
      <w:r w:rsidR="00E474AB" w:rsidRPr="00AB68FB">
        <w:rPr>
          <w:rFonts w:cs="David" w:hint="cs"/>
          <w:sz w:val="24"/>
          <w:szCs w:val="24"/>
          <w:rtl/>
        </w:rPr>
        <w:t xml:space="preserve"> </w:t>
      </w:r>
      <w:r w:rsidR="00E474AB" w:rsidRPr="00F82F27">
        <w:rPr>
          <w:rFonts w:cs="David" w:hint="cs"/>
          <w:sz w:val="24"/>
          <w:szCs w:val="24"/>
          <w:rtl/>
        </w:rPr>
        <w:t xml:space="preserve">עמדה </w:t>
      </w:r>
      <w:r w:rsidR="00E474AB">
        <w:rPr>
          <w:rFonts w:cs="David" w:hint="cs"/>
          <w:sz w:val="24"/>
          <w:szCs w:val="24"/>
          <w:rtl/>
        </w:rPr>
        <w:t>במהלך הרביע על</w:t>
      </w:r>
      <w:r w:rsidR="00E474AB" w:rsidRPr="00F82F27">
        <w:rPr>
          <w:rFonts w:cs="David" w:hint="cs"/>
          <w:sz w:val="24"/>
          <w:szCs w:val="24"/>
          <w:rtl/>
        </w:rPr>
        <w:t xml:space="preserve"> </w:t>
      </w:r>
      <w:r w:rsidR="00BA5425">
        <w:rPr>
          <w:rFonts w:cs="David" w:hint="cs"/>
          <w:sz w:val="24"/>
          <w:szCs w:val="24"/>
          <w:rtl/>
        </w:rPr>
        <w:t>9</w:t>
      </w:r>
      <w:r w:rsidR="00643D21">
        <w:rPr>
          <w:rFonts w:cs="David" w:hint="cs"/>
          <w:sz w:val="24"/>
          <w:szCs w:val="24"/>
          <w:rtl/>
        </w:rPr>
        <w:t>.5</w:t>
      </w:r>
      <w:r w:rsidR="00E474AB">
        <w:rPr>
          <w:rFonts w:cs="David" w:hint="cs"/>
          <w:sz w:val="24"/>
          <w:szCs w:val="24"/>
          <w:rtl/>
        </w:rPr>
        <w:t xml:space="preserve">%, עליה של </w:t>
      </w:r>
      <w:r w:rsidR="00BA5425">
        <w:rPr>
          <w:rFonts w:cs="David" w:hint="cs"/>
          <w:sz w:val="24"/>
          <w:szCs w:val="24"/>
          <w:rtl/>
        </w:rPr>
        <w:t>כ- 2%</w:t>
      </w:r>
      <w:r w:rsidR="006657A5">
        <w:rPr>
          <w:rFonts w:cs="David" w:hint="cs"/>
          <w:sz w:val="24"/>
          <w:szCs w:val="24"/>
          <w:rtl/>
        </w:rPr>
        <w:t xml:space="preserve"> </w:t>
      </w:r>
      <w:r w:rsidR="00E474AB">
        <w:rPr>
          <w:rFonts w:cs="David" w:hint="cs"/>
          <w:sz w:val="24"/>
          <w:szCs w:val="24"/>
          <w:rtl/>
        </w:rPr>
        <w:t xml:space="preserve">בהשוואה לרביע הקודם </w:t>
      </w:r>
      <w:r w:rsidR="00E474AB" w:rsidRPr="00F82F27">
        <w:rPr>
          <w:rFonts w:cs="David" w:hint="cs"/>
          <w:sz w:val="24"/>
          <w:szCs w:val="24"/>
          <w:rtl/>
        </w:rPr>
        <w:t>(תרשים 4).</w:t>
      </w:r>
      <w:r w:rsidR="00E474AB">
        <w:rPr>
          <w:rFonts w:cs="David" w:hint="cs"/>
          <w:sz w:val="24"/>
          <w:szCs w:val="24"/>
          <w:rtl/>
        </w:rPr>
        <w:t xml:space="preserve"> </w:t>
      </w:r>
    </w:p>
    <w:p w14:paraId="59703F01" w14:textId="77777777" w:rsidR="009D757B" w:rsidRDefault="00C872C2" w:rsidP="001245F9">
      <w:pPr>
        <w:bidi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4E481BF8" wp14:editId="3F65D64E">
            <wp:extent cx="4559935" cy="27374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DF782" w14:textId="77777777" w:rsidR="001245F9" w:rsidRDefault="00217436" w:rsidP="00CC2B6B">
      <w:pPr>
        <w:bidi/>
        <w:jc w:val="center"/>
      </w:pPr>
      <w:r>
        <w:rPr>
          <w:noProof/>
          <w:lang w:eastAsia="en-US"/>
        </w:rPr>
        <w:lastRenderedPageBreak/>
        <w:t xml:space="preserve"> </w:t>
      </w:r>
      <w:r>
        <w:rPr>
          <w:noProof/>
          <w:lang w:eastAsia="en-US"/>
        </w:rPr>
        <w:drawing>
          <wp:inline distT="0" distB="0" distL="0" distR="0" wp14:anchorId="40DB46AD" wp14:editId="37333A9B">
            <wp:extent cx="4559935" cy="27374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D1083" w14:textId="77777777" w:rsidR="00404881" w:rsidRDefault="00404881" w:rsidP="00404881">
      <w:pPr>
        <w:bidi/>
        <w:rPr>
          <w:rtl/>
        </w:rPr>
      </w:pPr>
    </w:p>
    <w:p w14:paraId="70EF6D12" w14:textId="77777777"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14:paraId="2C383291" w14:textId="77777777" w:rsidR="000346A8" w:rsidRDefault="000346A8" w:rsidP="007978A1">
      <w:pPr>
        <w:rPr>
          <w:rtl/>
        </w:rPr>
      </w:pPr>
    </w:p>
    <w:p w14:paraId="02F8B53A" w14:textId="77777777"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</w:t>
      </w:r>
      <w:proofErr w:type="spellStart"/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proofErr w:type="spellEnd"/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14:paraId="1A4D2FAA" w14:textId="77777777"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tab/>
      </w:r>
    </w:p>
    <w:p w14:paraId="1E2A4C14" w14:textId="73816125" w:rsidR="00D302EC" w:rsidRPr="00D302EC" w:rsidRDefault="000A3F1A" w:rsidP="00FB4A95">
      <w:pPr>
        <w:bidi/>
        <w:spacing w:line="48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</w:t>
      </w:r>
      <w:proofErr w:type="spellStart"/>
      <w:r w:rsidR="003D7D42">
        <w:rPr>
          <w:rFonts w:cs="David"/>
          <w:sz w:val="24"/>
          <w:szCs w:val="24"/>
          <w:rtl/>
        </w:rPr>
        <w:t>המט"ח</w:t>
      </w:r>
      <w:proofErr w:type="spellEnd"/>
      <w:r w:rsidR="003D7D42">
        <w:rPr>
          <w:rFonts w:cs="David"/>
          <w:sz w:val="24"/>
          <w:szCs w:val="24"/>
          <w:rtl/>
        </w:rPr>
        <w:t xml:space="preserve">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במהלך הרביע</w:t>
      </w:r>
      <w:r w:rsidR="005D4477">
        <w:rPr>
          <w:rFonts w:cs="David" w:hint="cs"/>
          <w:sz w:val="24"/>
          <w:szCs w:val="24"/>
          <w:rtl/>
        </w:rPr>
        <w:t xml:space="preserve"> </w:t>
      </w:r>
      <w:r w:rsidR="00FB4A95">
        <w:rPr>
          <w:rFonts w:cs="David" w:hint="cs"/>
          <w:sz w:val="24"/>
          <w:szCs w:val="24"/>
          <w:rtl/>
        </w:rPr>
        <w:t>השני</w:t>
      </w:r>
      <w:r w:rsidR="00A436A3" w:rsidRPr="00BF5F48">
        <w:rPr>
          <w:rFonts w:cs="David" w:hint="cs"/>
          <w:sz w:val="24"/>
          <w:szCs w:val="24"/>
          <w:rtl/>
        </w:rPr>
        <w:t xml:space="preserve"> </w:t>
      </w:r>
      <w:r w:rsidR="00BF5F48" w:rsidRPr="000F3FC4">
        <w:rPr>
          <w:rFonts w:cs="David"/>
          <w:b/>
          <w:bCs/>
          <w:sz w:val="24"/>
          <w:szCs w:val="24"/>
          <w:rtl/>
        </w:rPr>
        <w:t xml:space="preserve">הגופים המוסדיים (קרנות פנסיה, </w:t>
      </w:r>
      <w:proofErr w:type="spellStart"/>
      <w:r w:rsidR="00BF5F48" w:rsidRPr="000F3FC4">
        <w:rPr>
          <w:rFonts w:cs="David"/>
          <w:b/>
          <w:bCs/>
          <w:sz w:val="24"/>
          <w:szCs w:val="24"/>
          <w:rtl/>
        </w:rPr>
        <w:t>קופ"ג</w:t>
      </w:r>
      <w:proofErr w:type="spellEnd"/>
      <w:r w:rsidR="00BF5F48" w:rsidRPr="000F3FC4">
        <w:rPr>
          <w:rFonts w:cs="David"/>
          <w:b/>
          <w:bCs/>
          <w:sz w:val="24"/>
          <w:szCs w:val="24"/>
          <w:rtl/>
        </w:rPr>
        <w:t xml:space="preserve"> וחברות ביטוח)</w:t>
      </w:r>
      <w:r w:rsidR="00BF5F48" w:rsidRPr="00BF5F48">
        <w:rPr>
          <w:rFonts w:cs="David"/>
          <w:sz w:val="24"/>
          <w:szCs w:val="24"/>
          <w:rtl/>
        </w:rPr>
        <w:t xml:space="preserve"> </w:t>
      </w:r>
      <w:r w:rsidR="00244B81">
        <w:rPr>
          <w:rFonts w:cs="David" w:hint="cs"/>
          <w:sz w:val="24"/>
          <w:szCs w:val="24"/>
          <w:rtl/>
        </w:rPr>
        <w:t>רכשו</w:t>
      </w:r>
      <w:r w:rsidR="000F3FC4">
        <w:rPr>
          <w:rFonts w:cs="David" w:hint="cs"/>
          <w:sz w:val="24"/>
          <w:szCs w:val="24"/>
          <w:rtl/>
        </w:rPr>
        <w:t xml:space="preserve"> מט"ח נטו בהיקף של כ-</w:t>
      </w:r>
      <w:r w:rsidR="00FA1BB2">
        <w:rPr>
          <w:rFonts w:cs="David" w:hint="cs"/>
          <w:sz w:val="24"/>
          <w:szCs w:val="24"/>
          <w:rtl/>
        </w:rPr>
        <w:t>4.2</w:t>
      </w:r>
      <w:r w:rsidR="002F7CDC">
        <w:rPr>
          <w:rFonts w:cs="David" w:hint="cs"/>
          <w:sz w:val="24"/>
          <w:szCs w:val="24"/>
          <w:rtl/>
        </w:rPr>
        <w:t xml:space="preserve"> </w:t>
      </w:r>
      <w:r w:rsidR="000F3FC4">
        <w:rPr>
          <w:rFonts w:cs="David" w:hint="cs"/>
          <w:sz w:val="24"/>
          <w:szCs w:val="24"/>
          <w:rtl/>
        </w:rPr>
        <w:t>מיליארד דולר</w:t>
      </w:r>
      <w:r w:rsidR="00B8616E">
        <w:rPr>
          <w:rFonts w:cs="David" w:hint="cs"/>
          <w:sz w:val="24"/>
          <w:szCs w:val="24"/>
          <w:rtl/>
        </w:rPr>
        <w:t>.</w:t>
      </w:r>
      <w:r w:rsidR="00BF5F48" w:rsidRPr="00BF5F48">
        <w:rPr>
          <w:rFonts w:cs="David" w:hint="cs"/>
          <w:sz w:val="24"/>
          <w:szCs w:val="24"/>
          <w:rtl/>
        </w:rPr>
        <w:t xml:space="preserve"> </w:t>
      </w:r>
      <w:r w:rsidR="00BA637B">
        <w:rPr>
          <w:rFonts w:cs="David" w:hint="cs"/>
          <w:b/>
          <w:bCs/>
          <w:sz w:val="24"/>
          <w:szCs w:val="24"/>
          <w:rtl/>
        </w:rPr>
        <w:t xml:space="preserve"> </w:t>
      </w:r>
      <w:r w:rsidR="00BA637B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FA1BB2">
        <w:rPr>
          <w:rFonts w:cs="David" w:hint="cs"/>
          <w:b/>
          <w:bCs/>
          <w:sz w:val="24"/>
          <w:szCs w:val="24"/>
          <w:rtl/>
        </w:rPr>
        <w:t xml:space="preserve"> </w:t>
      </w:r>
      <w:r w:rsidR="00FA1BB2">
        <w:rPr>
          <w:rFonts w:cs="David" w:hint="cs"/>
          <w:sz w:val="24"/>
          <w:szCs w:val="24"/>
          <w:rtl/>
        </w:rPr>
        <w:t>ו</w:t>
      </w:r>
      <w:r w:rsidR="00FA1BB2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BA637B">
        <w:rPr>
          <w:rFonts w:cs="David" w:hint="cs"/>
          <w:sz w:val="24"/>
          <w:szCs w:val="24"/>
          <w:rtl/>
        </w:rPr>
        <w:t xml:space="preserve"> מכר</w:t>
      </w:r>
      <w:r w:rsidR="00FA1BB2">
        <w:rPr>
          <w:rFonts w:cs="David" w:hint="cs"/>
          <w:sz w:val="24"/>
          <w:szCs w:val="24"/>
          <w:rtl/>
        </w:rPr>
        <w:t>ו</w:t>
      </w:r>
      <w:r w:rsidR="00BA637B">
        <w:rPr>
          <w:rFonts w:cs="David" w:hint="cs"/>
          <w:sz w:val="24"/>
          <w:szCs w:val="24"/>
          <w:rtl/>
        </w:rPr>
        <w:t xml:space="preserve"> מט"ח נטו בהיקף של כ-</w:t>
      </w:r>
      <w:r w:rsidR="00090B40">
        <w:rPr>
          <w:rFonts w:cs="David" w:hint="cs"/>
          <w:sz w:val="24"/>
          <w:szCs w:val="24"/>
          <w:rtl/>
        </w:rPr>
        <w:t>4.</w:t>
      </w:r>
      <w:r w:rsidR="00FA1BB2">
        <w:rPr>
          <w:rFonts w:cs="David" w:hint="cs"/>
          <w:sz w:val="24"/>
          <w:szCs w:val="24"/>
          <w:rtl/>
        </w:rPr>
        <w:t xml:space="preserve">7 </w:t>
      </w:r>
      <w:r w:rsidR="00BA637B">
        <w:rPr>
          <w:rFonts w:cs="David" w:hint="cs"/>
          <w:sz w:val="24"/>
          <w:szCs w:val="24"/>
          <w:rtl/>
        </w:rPr>
        <w:t>מיליארד דולר,  ו</w:t>
      </w:r>
      <w:r w:rsidR="001256D3">
        <w:rPr>
          <w:rFonts w:cs="David" w:hint="cs"/>
          <w:sz w:val="24"/>
          <w:szCs w:val="24"/>
          <w:rtl/>
        </w:rPr>
        <w:t>כ-</w:t>
      </w:r>
      <w:r w:rsidR="00FA1BB2">
        <w:rPr>
          <w:rFonts w:cs="David" w:hint="cs"/>
          <w:sz w:val="24"/>
          <w:szCs w:val="24"/>
          <w:rtl/>
        </w:rPr>
        <w:t>0.9</w:t>
      </w:r>
      <w:r w:rsidR="00511ADE">
        <w:rPr>
          <w:rFonts w:cs="David" w:hint="cs"/>
          <w:sz w:val="24"/>
          <w:szCs w:val="24"/>
          <w:rtl/>
        </w:rPr>
        <w:t xml:space="preserve"> </w:t>
      </w:r>
      <w:r w:rsidR="00EA79B2">
        <w:rPr>
          <w:rFonts w:cs="David" w:hint="cs"/>
          <w:sz w:val="24"/>
          <w:szCs w:val="24"/>
          <w:rtl/>
        </w:rPr>
        <w:t>מיליארדי דולרים</w:t>
      </w:r>
      <w:r w:rsidR="00FA1BB2">
        <w:rPr>
          <w:rFonts w:cs="David" w:hint="cs"/>
          <w:sz w:val="24"/>
          <w:szCs w:val="24"/>
          <w:rtl/>
        </w:rPr>
        <w:t xml:space="preserve"> בהתאמה</w:t>
      </w:r>
      <w:r w:rsidR="00BF5F48">
        <w:rPr>
          <w:rFonts w:cs="David" w:hint="cs"/>
          <w:sz w:val="24"/>
          <w:szCs w:val="24"/>
          <w:rtl/>
        </w:rPr>
        <w:t>.</w:t>
      </w:r>
      <w:r w:rsidR="005E7897">
        <w:rPr>
          <w:rFonts w:cs="David" w:hint="cs"/>
          <w:sz w:val="24"/>
          <w:szCs w:val="24"/>
          <w:rtl/>
        </w:rPr>
        <w:t xml:space="preserve"> </w:t>
      </w:r>
    </w:p>
    <w:p w14:paraId="57B55209" w14:textId="06DF648B" w:rsidR="00726672" w:rsidRDefault="008015A8" w:rsidP="005E789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 w:rsidRPr="008015A8">
        <w:rPr>
          <w:noProof/>
          <w:lang w:eastAsia="en-US"/>
        </w:rPr>
        <w:t xml:space="preserve"> </w:t>
      </w:r>
      <w:r w:rsidR="00FA1BB2"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2FA8AC1A" wp14:editId="100022B0">
            <wp:extent cx="4450715" cy="2627630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91B01" w14:textId="77777777" w:rsidR="00640FA2" w:rsidRDefault="00090B40" w:rsidP="00640FA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1CF3830F" wp14:editId="44F79889">
            <wp:extent cx="4559935" cy="27374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DD93D" w14:textId="77777777" w:rsidR="00AC78F7" w:rsidRDefault="00AC78F7" w:rsidP="00AC78F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1F3FE3C" w14:textId="77777777" w:rsidR="00AC78F7" w:rsidRDefault="00AC78F7" w:rsidP="00AC78F7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14:paraId="586D0E0D" w14:textId="77777777" w:rsidR="000346A8" w:rsidRDefault="000346A8" w:rsidP="00403161">
      <w:pPr>
        <w:rPr>
          <w:rtl/>
        </w:rPr>
      </w:pPr>
    </w:p>
    <w:p w14:paraId="6AC0E2C9" w14:textId="77777777" w:rsidR="000D2936" w:rsidRDefault="000D2936">
      <w:pPr>
        <w:spacing w:after="200" w:line="276" w:lineRule="auto"/>
        <w:rPr>
          <w:rFonts w:asciiTheme="majorHAnsi" w:hAnsiTheme="majorHAnsi" w:cs="David"/>
          <w:b/>
          <w:bCs/>
          <w:color w:val="1F497D" w:themeColor="text2"/>
          <w:sz w:val="24"/>
          <w:szCs w:val="24"/>
          <w:rtl/>
        </w:rPr>
      </w:pPr>
      <w:r>
        <w:rPr>
          <w:rFonts w:cs="David"/>
          <w:color w:val="1F497D" w:themeColor="text2"/>
          <w:sz w:val="24"/>
          <w:szCs w:val="24"/>
          <w:rtl/>
        </w:rPr>
        <w:br w:type="page"/>
      </w:r>
    </w:p>
    <w:p w14:paraId="04C91F9A" w14:textId="77777777" w:rsidR="00B95C8B" w:rsidRDefault="00635EAE" w:rsidP="00024B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14:paraId="32CDFD9C" w14:textId="77777777" w:rsidR="00024BD1" w:rsidRPr="00024BD1" w:rsidRDefault="00024BD1" w:rsidP="00024BD1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נפח המסחר מול מערכת הבנקאות המקומית</w:t>
      </w:r>
      <w:r w:rsidRPr="00024BD1">
        <w:rPr>
          <w:rFonts w:ascii="David" w:hAnsi="David"/>
          <w:vertAlign w:val="superscript"/>
          <w:rtl/>
        </w:rPr>
        <w:footnoteReference w:id="2"/>
      </w:r>
    </w:p>
    <w:p w14:paraId="23871906" w14:textId="77777777" w:rsidR="00024BD1" w:rsidRPr="00024BD1" w:rsidRDefault="00024BD1" w:rsidP="00024BD1">
      <w:pPr>
        <w:bidi/>
        <w:rPr>
          <w:rtl/>
        </w:rPr>
      </w:pPr>
    </w:p>
    <w:p w14:paraId="10D7BC5F" w14:textId="77777777" w:rsidR="00412AF2" w:rsidRPr="00AB2B74" w:rsidRDefault="00412AF2" w:rsidP="00A8511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נפח המסחר היומי </w:t>
      </w:r>
      <w:r w:rsidRPr="009C4F37">
        <w:rPr>
          <w:rFonts w:cs="David" w:hint="cs"/>
          <w:b/>
          <w:bCs/>
          <w:sz w:val="24"/>
          <w:szCs w:val="24"/>
          <w:rtl/>
        </w:rPr>
        <w:t>הממוצע</w:t>
      </w:r>
      <w:r w:rsidRPr="009C4F37">
        <w:rPr>
          <w:rFonts w:hint="cs"/>
          <w:rtl/>
        </w:rPr>
        <w:t xml:space="preserve"> </w:t>
      </w:r>
      <w:r w:rsidR="006704C8">
        <w:rPr>
          <w:rFonts w:cs="David" w:hint="cs"/>
          <w:sz w:val="24"/>
          <w:szCs w:val="24"/>
          <w:rtl/>
        </w:rPr>
        <w:t>ירד</w:t>
      </w:r>
      <w:r w:rsidRPr="009C4F37">
        <w:rPr>
          <w:rFonts w:cs="David" w:hint="cs"/>
          <w:sz w:val="24"/>
          <w:szCs w:val="24"/>
          <w:rtl/>
        </w:rPr>
        <w:t xml:space="preserve"> במהלך הרביע בכ-</w:t>
      </w:r>
      <w:r w:rsidR="006704C8">
        <w:rPr>
          <w:rFonts w:cs="David" w:hint="cs"/>
          <w:sz w:val="24"/>
          <w:szCs w:val="24"/>
          <w:rtl/>
        </w:rPr>
        <w:t>4</w:t>
      </w:r>
      <w:r w:rsidR="00B8170E">
        <w:rPr>
          <w:rFonts w:cs="David" w:hint="cs"/>
          <w:sz w:val="24"/>
          <w:szCs w:val="24"/>
          <w:rtl/>
        </w:rPr>
        <w:t>.</w:t>
      </w:r>
      <w:r w:rsidR="006704C8">
        <w:rPr>
          <w:rFonts w:cs="David" w:hint="cs"/>
          <w:sz w:val="24"/>
          <w:szCs w:val="24"/>
          <w:rtl/>
        </w:rPr>
        <w:t>2</w:t>
      </w:r>
      <w:r w:rsidR="003D7D42" w:rsidRPr="009C4F37">
        <w:rPr>
          <w:rFonts w:cs="David" w:hint="cs"/>
          <w:sz w:val="24"/>
          <w:szCs w:val="24"/>
          <w:rtl/>
        </w:rPr>
        <w:t>% לרמה של כ-</w:t>
      </w:r>
      <w:r w:rsidR="003C19EB">
        <w:rPr>
          <w:rFonts w:cs="David" w:hint="cs"/>
          <w:sz w:val="24"/>
          <w:szCs w:val="24"/>
          <w:rtl/>
        </w:rPr>
        <w:t>1</w:t>
      </w:r>
      <w:r w:rsidR="006704C8">
        <w:rPr>
          <w:rFonts w:cs="David" w:hint="cs"/>
          <w:sz w:val="24"/>
          <w:szCs w:val="24"/>
          <w:rtl/>
        </w:rPr>
        <w:t>0</w:t>
      </w:r>
      <w:r w:rsidR="00FF7C6C">
        <w:rPr>
          <w:rFonts w:cs="David" w:hint="cs"/>
          <w:sz w:val="24"/>
          <w:szCs w:val="24"/>
          <w:rtl/>
        </w:rPr>
        <w:t>.</w:t>
      </w:r>
      <w:r w:rsidR="006704C8">
        <w:rPr>
          <w:rFonts w:cs="David" w:hint="cs"/>
          <w:sz w:val="24"/>
          <w:szCs w:val="24"/>
          <w:rtl/>
        </w:rPr>
        <w:t>5</w:t>
      </w:r>
      <w:r w:rsidR="00FF7C6C">
        <w:rPr>
          <w:rFonts w:cs="David" w:hint="cs"/>
          <w:sz w:val="24"/>
          <w:szCs w:val="24"/>
          <w:rtl/>
        </w:rPr>
        <w:t xml:space="preserve"> </w:t>
      </w:r>
      <w:r w:rsidR="003D7D42" w:rsidRPr="009C4F37">
        <w:rPr>
          <w:rFonts w:cs="David" w:hint="cs"/>
          <w:sz w:val="24"/>
          <w:szCs w:val="24"/>
          <w:rtl/>
        </w:rPr>
        <w:t>מיליארדי</w:t>
      </w:r>
      <w:r w:rsidR="003D7D42">
        <w:rPr>
          <w:rFonts w:cs="David" w:hint="cs"/>
          <w:sz w:val="24"/>
          <w:szCs w:val="24"/>
          <w:rtl/>
        </w:rPr>
        <w:t xml:space="preserve"> דולרים</w:t>
      </w:r>
      <w:r w:rsidR="00191526">
        <w:rPr>
          <w:rFonts w:cs="David" w:hint="cs"/>
          <w:sz w:val="24"/>
          <w:szCs w:val="24"/>
          <w:rtl/>
        </w:rPr>
        <w:t xml:space="preserve">, כאשר עיקר </w:t>
      </w:r>
      <w:r w:rsidR="006704C8">
        <w:rPr>
          <w:rFonts w:cs="David" w:hint="cs"/>
          <w:sz w:val="24"/>
          <w:szCs w:val="24"/>
          <w:rtl/>
        </w:rPr>
        <w:t>הירידה</w:t>
      </w:r>
      <w:r w:rsidR="001F40C2">
        <w:rPr>
          <w:rFonts w:cs="David" w:hint="cs"/>
          <w:sz w:val="24"/>
          <w:szCs w:val="24"/>
          <w:rtl/>
        </w:rPr>
        <w:t xml:space="preserve"> </w:t>
      </w:r>
      <w:r w:rsidR="00191526">
        <w:rPr>
          <w:rFonts w:cs="David" w:hint="cs"/>
          <w:sz w:val="24"/>
          <w:szCs w:val="24"/>
          <w:rtl/>
        </w:rPr>
        <w:t>נובעת</w:t>
      </w:r>
      <w:r w:rsidR="00A8511A">
        <w:rPr>
          <w:rFonts w:cs="David" w:hint="cs"/>
          <w:sz w:val="24"/>
          <w:szCs w:val="24"/>
          <w:rtl/>
        </w:rPr>
        <w:t xml:space="preserve"> מירידה בנפח המסחר היומי בעסקאות </w:t>
      </w:r>
      <w:r w:rsidR="009550D7">
        <w:rPr>
          <w:rFonts w:cs="David" w:hint="cs"/>
          <w:sz w:val="24"/>
          <w:szCs w:val="24"/>
          <w:rtl/>
        </w:rPr>
        <w:t>החלף.</w:t>
      </w:r>
      <w:r w:rsidR="00191526">
        <w:rPr>
          <w:rFonts w:cs="David" w:hint="cs"/>
          <w:sz w:val="24"/>
          <w:szCs w:val="24"/>
          <w:rtl/>
        </w:rPr>
        <w:t xml:space="preserve"> </w:t>
      </w:r>
    </w:p>
    <w:p w14:paraId="3F623D09" w14:textId="77777777"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14:paraId="36CC68C6" w14:textId="34A52352" w:rsidR="00CE0BD3" w:rsidRDefault="00515A13" w:rsidP="0093237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CD50D8">
        <w:rPr>
          <w:rFonts w:cs="David" w:hint="cs"/>
          <w:b/>
          <w:bCs/>
          <w:sz w:val="24"/>
          <w:szCs w:val="24"/>
          <w:rtl/>
        </w:rPr>
        <w:t xml:space="preserve">מול מערכת הבנקאות המקומית </w:t>
      </w:r>
      <w:r w:rsidRPr="00AB2B74">
        <w:rPr>
          <w:rFonts w:cs="David" w:hint="cs"/>
          <w:sz w:val="24"/>
          <w:szCs w:val="24"/>
          <w:rtl/>
        </w:rPr>
        <w:t>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6704C8">
        <w:rPr>
          <w:rFonts w:cs="David" w:hint="cs"/>
          <w:sz w:val="24"/>
          <w:szCs w:val="24"/>
          <w:rtl/>
        </w:rPr>
        <w:t>עלה</w:t>
      </w:r>
      <w:r w:rsidR="00B8170E" w:rsidRPr="00AB2B7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2B74">
        <w:rPr>
          <w:rFonts w:cs="David" w:hint="cs"/>
          <w:sz w:val="24"/>
          <w:szCs w:val="24"/>
          <w:rtl/>
        </w:rPr>
        <w:t>ב</w:t>
      </w:r>
      <w:r w:rsidR="00D302EC">
        <w:rPr>
          <w:rFonts w:cs="David" w:hint="cs"/>
          <w:sz w:val="24"/>
          <w:szCs w:val="24"/>
          <w:rtl/>
        </w:rPr>
        <w:t>כ</w:t>
      </w:r>
      <w:proofErr w:type="spellEnd"/>
      <w:r w:rsidRPr="00AB2B74">
        <w:rPr>
          <w:rFonts w:cs="David" w:hint="cs"/>
          <w:sz w:val="24"/>
          <w:szCs w:val="24"/>
          <w:rtl/>
        </w:rPr>
        <w:t xml:space="preserve">- </w:t>
      </w:r>
      <w:r w:rsidR="006704C8">
        <w:rPr>
          <w:rFonts w:cs="David" w:hint="cs"/>
          <w:sz w:val="24"/>
          <w:szCs w:val="24"/>
          <w:rtl/>
        </w:rPr>
        <w:t>2.2%</w:t>
      </w:r>
      <w:r w:rsidRPr="00AB2B74">
        <w:rPr>
          <w:rFonts w:cs="David" w:hint="cs"/>
          <w:sz w:val="24"/>
          <w:szCs w:val="24"/>
          <w:rtl/>
        </w:rPr>
        <w:t xml:space="preserve"> ועמ</w:t>
      </w:r>
      <w:r w:rsidR="00932376">
        <w:rPr>
          <w:rFonts w:cs="David" w:hint="cs"/>
          <w:sz w:val="24"/>
          <w:szCs w:val="24"/>
          <w:rtl/>
        </w:rPr>
        <w:t>ד</w:t>
      </w:r>
      <w:r w:rsidRPr="00AB2B74">
        <w:rPr>
          <w:rFonts w:cs="David" w:hint="cs"/>
          <w:sz w:val="24"/>
          <w:szCs w:val="24"/>
          <w:rtl/>
        </w:rPr>
        <w:t xml:space="preserve"> בסוף הרביע </w:t>
      </w:r>
      <w:r w:rsidR="009E7412">
        <w:rPr>
          <w:rFonts w:cs="David" w:hint="cs"/>
          <w:sz w:val="24"/>
          <w:szCs w:val="24"/>
          <w:rtl/>
        </w:rPr>
        <w:t>השני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FF7C6C">
        <w:rPr>
          <w:rFonts w:cs="David" w:hint="cs"/>
          <w:sz w:val="24"/>
          <w:szCs w:val="24"/>
          <w:rtl/>
        </w:rPr>
        <w:t xml:space="preserve"> כ- </w:t>
      </w:r>
      <w:r w:rsidR="00B8170E">
        <w:rPr>
          <w:rFonts w:cs="David" w:hint="cs"/>
          <w:sz w:val="24"/>
          <w:szCs w:val="24"/>
          <w:rtl/>
        </w:rPr>
        <w:t>4</w:t>
      </w:r>
      <w:r w:rsidR="006704C8">
        <w:rPr>
          <w:rFonts w:cs="David" w:hint="cs"/>
          <w:sz w:val="24"/>
          <w:szCs w:val="24"/>
          <w:rtl/>
        </w:rPr>
        <w:t>6</w:t>
      </w:r>
      <w:r w:rsidR="00B8170E">
        <w:rPr>
          <w:rFonts w:cs="David" w:hint="cs"/>
          <w:sz w:val="24"/>
          <w:szCs w:val="24"/>
          <w:rtl/>
        </w:rPr>
        <w:t>.</w:t>
      </w:r>
      <w:r w:rsidR="006704C8">
        <w:rPr>
          <w:rFonts w:cs="David" w:hint="cs"/>
          <w:sz w:val="24"/>
          <w:szCs w:val="24"/>
          <w:rtl/>
        </w:rPr>
        <w:t>1</w:t>
      </w:r>
      <w:r w:rsidR="00FF7C6C">
        <w:rPr>
          <w:rFonts w:cs="David" w:hint="cs"/>
          <w:sz w:val="24"/>
          <w:szCs w:val="24"/>
          <w:rtl/>
        </w:rPr>
        <w:t>%.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C84391" w:rsidRPr="00C84391" w14:paraId="605FEBA2" w14:textId="77777777" w:rsidTr="00853663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9FD" w14:textId="77777777" w:rsidR="00343917" w:rsidRDefault="006704C8" w:rsidP="001819DD">
            <w:pPr>
              <w:spacing w:after="200"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9A3A18C" wp14:editId="457979A3">
                  <wp:extent cx="4468495" cy="2639695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95" cy="263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A97261" w14:textId="77777777" w:rsidR="0094220E" w:rsidRDefault="0094220E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7895DA69" w14:textId="77777777" w:rsidR="0094220E" w:rsidRDefault="0094220E" w:rsidP="0094220E">
            <w:pPr>
              <w:bidi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27E8F2EB" w14:textId="77777777" w:rsidR="00C84391" w:rsidRDefault="00C84391" w:rsidP="0094220E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68"/>
              <w:gridCol w:w="3352"/>
              <w:gridCol w:w="896"/>
              <w:gridCol w:w="799"/>
              <w:gridCol w:w="1230"/>
              <w:gridCol w:w="892"/>
              <w:gridCol w:w="1303"/>
            </w:tblGrid>
            <w:tr w:rsidR="00853663" w:rsidRPr="00853663" w14:paraId="716DA4B4" w14:textId="77777777" w:rsidTr="0094220E">
              <w:trPr>
                <w:trHeight w:val="79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BBF61E" w14:textId="77777777" w:rsidR="00853663" w:rsidRPr="00853663" w:rsidRDefault="00853663" w:rsidP="00853663">
                  <w:pPr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DA114" w14:textId="77777777"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987B6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עסקאות המרה (1) 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805F1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החלף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</w:t>
                  </w:r>
                  <w:proofErr w:type="spellStart"/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סוופ</w:t>
                  </w:r>
                  <w:proofErr w:type="spellEnd"/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) (2)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8CA91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עסקאות החלף 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FDDB6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באופציות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9826E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נפח המסחר הכולל (1)+(2)+(3)+(4)</w:t>
                  </w:r>
                </w:p>
              </w:tc>
            </w:tr>
            <w:tr w:rsidR="004D18BA" w:rsidRPr="00853663" w14:paraId="0EDF5E1B" w14:textId="77777777" w:rsidTr="0094220E">
              <w:trPr>
                <w:trHeight w:val="210"/>
              </w:trPr>
              <w:tc>
                <w:tcPr>
                  <w:tcW w:w="9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47911" w14:textId="77777777" w:rsidR="004D18BA" w:rsidRDefault="004D18BA" w:rsidP="004D18BA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רביע שני 2022  (נתון ארעי)</w:t>
                  </w: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1B53567" w14:textId="77777777" w:rsidR="004D18BA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CE7B0C" w14:textId="2C4F3A88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179,047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F5351E8" w14:textId="7061D90B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424,694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A79DCE5" w14:textId="7A1C476A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2,494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01BE5BB" w14:textId="751F0FE6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21,380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48F4AD" w14:textId="1B400989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627,615 </w:t>
                  </w:r>
                </w:p>
              </w:tc>
            </w:tr>
            <w:tr w:rsidR="004D18BA" w:rsidRPr="00853663" w14:paraId="5D191418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9D7B9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245AA9A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 (ממוצע יומי לפי 60 ימי מסחר)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AE99FA" w14:textId="480D601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2,984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6560952" w14:textId="7E99FFA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7,078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DB09881" w14:textId="220CE710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42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AD787AB" w14:textId="4AA58928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bookmarkStart w:id="1" w:name="RANGE!F7"/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356 </w:t>
                  </w:r>
                  <w:bookmarkEnd w:id="1"/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97CA029" w14:textId="45691F76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10,460 </w:t>
                  </w:r>
                </w:p>
              </w:tc>
            </w:tr>
            <w:tr w:rsidR="004D18BA" w:rsidRPr="00853663" w14:paraId="1C9D213D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4B656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E02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D387B" w14:textId="3912797B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57,107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C93C8" w14:textId="512FAFF1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228,878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E5C55" w14:textId="44892C1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1,668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932AC" w14:textId="711C75A2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6,741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9CBD3" w14:textId="1C2A5AD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294,393 </w:t>
                  </w:r>
                </w:p>
              </w:tc>
            </w:tr>
            <w:tr w:rsidR="004D18BA" w:rsidRPr="00853663" w14:paraId="5CC460B6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0F4DB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E4B47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AB4D8" w14:textId="4310F110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55,957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871FA" w14:textId="2D91655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228,640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93D72" w14:textId="423ECA20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1,668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6E5AE" w14:textId="2221012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6,741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5FE95" w14:textId="2F3B6100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293,006 </w:t>
                  </w:r>
                </w:p>
              </w:tc>
            </w:tr>
            <w:tr w:rsidR="004D18BA" w:rsidRPr="00853663" w14:paraId="59ACAB3E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F0400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964B1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8BB56" w14:textId="1F366B3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121,940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78E55" w14:textId="13A5CE3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195,817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C46A5" w14:textId="428661A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826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EF3D8" w14:textId="1420511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14,639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D7F61" w14:textId="14664966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333,222 </w:t>
                  </w:r>
                </w:p>
              </w:tc>
            </w:tr>
            <w:tr w:rsidR="004D18BA" w:rsidRPr="00853663" w14:paraId="6CACDFB9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23EDE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2A038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94875" w14:textId="19D41C7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44,028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D6840" w14:textId="715DEFC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23,867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53E7D" w14:textId="101CA8F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386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AEFB7" w14:textId="0D7B56D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6,776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B2310" w14:textId="72047DC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75,057 </w:t>
                  </w:r>
                </w:p>
              </w:tc>
            </w:tr>
            <w:tr w:rsidR="004D18BA" w:rsidRPr="00853663" w14:paraId="10F328DC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F9DEA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9EE73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DA6D1" w14:textId="1A6265DB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34,243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56F20" w14:textId="75F9487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87,673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4F83E" w14:textId="7D34F4AB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41F4A" w14:textId="244310C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502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13FA2" w14:textId="5A4788C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122,449 </w:t>
                  </w:r>
                </w:p>
              </w:tc>
            </w:tr>
            <w:tr w:rsidR="004D18BA" w:rsidRPr="00853663" w14:paraId="5F342EE7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32EE7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B297C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36485" w14:textId="2487F4E1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19,817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4207F" w14:textId="7B00E84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71,669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FB4B4" w14:textId="3B27691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344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42DF0" w14:textId="5FC1099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2,988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33424" w14:textId="302059C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94,818 </w:t>
                  </w:r>
                </w:p>
              </w:tc>
            </w:tr>
            <w:tr w:rsidR="004D18BA" w:rsidRPr="00853663" w14:paraId="6673E4C6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84E59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2A4E5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CA2B5" w14:textId="060F5E9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3,325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AD876" w14:textId="63170AB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524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F177C" w14:textId="62E0BC6B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4CA1D" w14:textId="11F5B0D3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519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A7AC0" w14:textId="5AC18293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4,367 </w:t>
                  </w:r>
                </w:p>
              </w:tc>
            </w:tr>
            <w:tr w:rsidR="004D18BA" w:rsidRPr="00853663" w14:paraId="313E9CF7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C75A5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FC20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A58E0" w14:textId="4178668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1,150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06FE1" w14:textId="55F27B1C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237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0D0CD" w14:textId="3F1B1E0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6F595" w14:textId="7DE5DCB8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15F1" w14:textId="30BA332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1,388 </w:t>
                  </w:r>
                </w:p>
              </w:tc>
            </w:tr>
            <w:tr w:rsidR="004D18BA" w:rsidRPr="00853663" w14:paraId="1FB01C61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8751D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1BB05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06E5C" w14:textId="6A65367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11,054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67419" w14:textId="3B5A8453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8,655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0B129" w14:textId="1B84E48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92FB6" w14:textId="56CFD96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3,162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2D56" w14:textId="3ABF21A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22,886 </w:t>
                  </w:r>
                </w:p>
              </w:tc>
            </w:tr>
            <w:tr w:rsidR="004D18BA" w:rsidRPr="00853663" w14:paraId="2532C6A7" w14:textId="77777777" w:rsidTr="0094220E">
              <w:trPr>
                <w:trHeight w:val="210"/>
              </w:trPr>
              <w:tc>
                <w:tcPr>
                  <w:tcW w:w="9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D6A70" w14:textId="77777777" w:rsidR="004D18BA" w:rsidRDefault="004D18BA" w:rsidP="004D18BA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רביע ראשון 2022</w:t>
                  </w: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29232D" w14:textId="77777777" w:rsidR="004D18BA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A37630B" w14:textId="1705E678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bookmarkStart w:id="2" w:name="RANGE!C17"/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191,691 </w:t>
                  </w:r>
                  <w:bookmarkEnd w:id="2"/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DF73D6" w14:textId="0F3C4392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444,004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6BC697" w14:textId="0BBA5E3F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998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DAE4D45" w14:textId="2AA4DE8B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29,088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2D735AB" w14:textId="4AF83F1F" w:rsidR="004D18BA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665,781 </w:t>
                  </w:r>
                </w:p>
              </w:tc>
            </w:tr>
            <w:tr w:rsidR="004D18BA" w:rsidRPr="00853663" w14:paraId="42D3F199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BACDE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D237CF6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 (ממוצע יומי לפי 61 ימי מסחר)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57DF209" w14:textId="2E87078C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bookmarkStart w:id="3" w:name="RANGE!C18"/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3,142 </w:t>
                  </w:r>
                  <w:bookmarkEnd w:id="3"/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BB2919" w14:textId="6D52A51C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7,279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247827" w14:textId="718F363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022425E" w14:textId="52AEA5B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477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D58CD97" w14:textId="0C879DE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10,914 </w:t>
                  </w:r>
                </w:p>
              </w:tc>
            </w:tr>
            <w:tr w:rsidR="004D18BA" w:rsidRPr="00853663" w14:paraId="67AE1507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848F5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3B8B2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14867" w14:textId="3A2610B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60,342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352B0" w14:textId="4B07015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226,314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7F76A" w14:textId="436DDD3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287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B704D" w14:textId="0518398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10,667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02F29" w14:textId="55C0F97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297,610 </w:t>
                  </w:r>
                </w:p>
              </w:tc>
            </w:tr>
            <w:tr w:rsidR="004D18BA" w:rsidRPr="00853663" w14:paraId="1FCE0AC4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9A548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678AD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03D31" w14:textId="0523008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59,004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8716B" w14:textId="4C5BB5D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226,138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3EFEF" w14:textId="05F6BB9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287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88A66" w14:textId="1A193ED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10,667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5E71" w14:textId="342BB542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296,096 </w:t>
                  </w:r>
                </w:p>
              </w:tc>
            </w:tr>
            <w:tr w:rsidR="004D18BA" w:rsidRPr="00853663" w14:paraId="0B6FFB89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FC277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43116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FB60" w14:textId="16F93A6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131,348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7584F" w14:textId="01EE435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217,690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39EA7" w14:textId="1A499E6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711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A18E1" w14:textId="022B5C41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18,421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929A9" w14:textId="211736F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368,171 </w:t>
                  </w:r>
                </w:p>
              </w:tc>
            </w:tr>
            <w:tr w:rsidR="004D18BA" w:rsidRPr="00853663" w14:paraId="73D0DF7D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160A7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5D51D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D8956" w14:textId="6CD4DDBB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44,868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A6CE1" w14:textId="0B8F95D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24,082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FB5E7" w14:textId="56440C61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406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2214D" w14:textId="74E3A70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8,434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484A1" w14:textId="236C4D5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77,790 </w:t>
                  </w:r>
                </w:p>
              </w:tc>
            </w:tr>
            <w:tr w:rsidR="004D18BA" w:rsidRPr="00853663" w14:paraId="3CE1CB48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AB7CC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9CA7A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97B18" w14:textId="13133B0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37,373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41A36" w14:textId="59ED6A5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99,792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E894B" w14:textId="6668AA68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5EFDE" w14:textId="3476A656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1,268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FE785" w14:textId="657C40D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138,448 </w:t>
                  </w:r>
                </w:p>
              </w:tc>
            </w:tr>
            <w:tr w:rsidR="004D18BA" w:rsidRPr="00853663" w14:paraId="7A2BCA16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06D90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F012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1DCAD" w14:textId="6249C84C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24,936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B8F52" w14:textId="6D5E8718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78,661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618A6" w14:textId="48BBA5B4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202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C8CAC" w14:textId="240A1A52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4,203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D5968" w14:textId="50606F4C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108,001 </w:t>
                  </w:r>
                </w:p>
              </w:tc>
            </w:tr>
            <w:tr w:rsidR="004D18BA" w:rsidRPr="00853663" w14:paraId="03B71EBA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4AFFD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082CE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70974" w14:textId="2A4B4176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3,559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28135" w14:textId="3C972F90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540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38E78" w14:textId="5150095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D5E9F" w14:textId="1CCB933A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694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3C91C" w14:textId="33EE621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4,793 </w:t>
                  </w:r>
                </w:p>
              </w:tc>
            </w:tr>
            <w:tr w:rsidR="004D18BA" w:rsidRPr="00853663" w14:paraId="642DD5ED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27A19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D138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13DC3" w14:textId="3EA47423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1,339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B5BBF" w14:textId="44A349C9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175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B9C9B" w14:textId="41406347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C7A3" w14:textId="0FFD26B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EB68B" w14:textId="652852BE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1,514 </w:t>
                  </w:r>
                </w:p>
              </w:tc>
            </w:tr>
            <w:tr w:rsidR="004D18BA" w:rsidRPr="00853663" w14:paraId="1226906B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4C05C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46C68" w14:textId="77777777" w:rsidR="004D18BA" w:rsidRPr="00853663" w:rsidRDefault="004D18BA" w:rsidP="004D18BA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F833C" w14:textId="7FA8213D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11,808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6A23" w14:textId="371EB00C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11,742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6BCA6" w14:textId="5BE1EAE3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FF090" w14:textId="75AB9131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2,891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CB05C" w14:textId="3365478F" w:rsidR="004D18BA" w:rsidRPr="00853663" w:rsidRDefault="004D18BA" w:rsidP="004D18BA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26,453 </w:t>
                  </w:r>
                </w:p>
              </w:tc>
            </w:tr>
          </w:tbl>
          <w:p w14:paraId="6C7F07EC" w14:textId="77777777" w:rsidR="00853663" w:rsidRPr="00C84391" w:rsidRDefault="00853663" w:rsidP="00853663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391" w:rsidRPr="00C84391" w14:paraId="28C00AC5" w14:textId="77777777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C47" w14:textId="77777777"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653F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F97A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41F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1B31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039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A6D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C84391" w:rsidRPr="00C84391" w14:paraId="4BD12F39" w14:textId="77777777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F2DE" w14:textId="77777777"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1D8A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30BE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BBB5F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FF6E4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5854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5DA5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</w:tr>
      <w:tr w:rsidR="00C84391" w:rsidRPr="00C84391" w14:paraId="6559D039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4F6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062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C84391" w:rsidRPr="00C84391" w14:paraId="714739DD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05A1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D30C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C84391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C84391" w:rsidRPr="00C84391" w14:paraId="7301C148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D090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920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C84391" w:rsidRPr="00C84391" w14:paraId="5F1B3A3F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CD23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7370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C84391" w:rsidRPr="00C84391" w14:paraId="4953134A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352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11DC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C84391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14:paraId="1317ED14" w14:textId="77777777" w:rsidR="00AE755B" w:rsidRPr="00C84391" w:rsidRDefault="00AE755B" w:rsidP="00AE755B">
      <w:pPr>
        <w:pStyle w:val="2"/>
        <w:bidi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</w:p>
    <w:p w14:paraId="17EEE106" w14:textId="77777777" w:rsidR="00792855" w:rsidRPr="0094220E" w:rsidRDefault="00792855" w:rsidP="00792855">
      <w:pPr>
        <w:bidi/>
        <w:rPr>
          <w:highlight w:val="yellow"/>
          <w:rtl/>
        </w:rPr>
      </w:pPr>
    </w:p>
    <w:p w14:paraId="423B64F8" w14:textId="77777777" w:rsidR="00792855" w:rsidRPr="00792855" w:rsidRDefault="00792855" w:rsidP="00792855">
      <w:pPr>
        <w:bidi/>
        <w:rPr>
          <w:highlight w:val="yellow"/>
          <w:rtl/>
        </w:rPr>
      </w:pPr>
    </w:p>
    <w:p w14:paraId="7B9D4400" w14:textId="77777777" w:rsidR="007306CA" w:rsidRPr="00024BD1" w:rsidRDefault="007306CA" w:rsidP="007306CA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אומדן של נפח המסחר הכולל</w:t>
      </w:r>
      <w:r w:rsidRPr="00024BD1">
        <w:rPr>
          <w:rStyle w:val="ab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 xml:space="preserve"> - מערכת הבנקאות המקומית ומדווחים זרים</w:t>
      </w:r>
    </w:p>
    <w:p w14:paraId="5B469FE5" w14:textId="77777777" w:rsidR="007306CA" w:rsidRDefault="007306CA" w:rsidP="007306C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14:paraId="3F71039C" w14:textId="500210A2" w:rsidR="00AC78F7" w:rsidRDefault="007306CA" w:rsidP="00A9323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855">
        <w:rPr>
          <w:rFonts w:ascii="David" w:hAnsi="David" w:cs="David" w:hint="cs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</w:t>
      </w:r>
      <w:r w:rsidRPr="00792855">
        <w:rPr>
          <w:rFonts w:ascii="David" w:hAnsi="David" w:cs="David"/>
          <w:sz w:val="24"/>
          <w:szCs w:val="24"/>
          <w:rtl/>
        </w:rPr>
        <w:t xml:space="preserve">חלקם היחסי של תושבי חוץ בנפח המסחר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בעסקאות המרה  (ללא עסקאות החלף ואופציות) </w:t>
      </w:r>
      <w:r w:rsidRPr="00792855">
        <w:rPr>
          <w:rFonts w:ascii="David" w:hAnsi="David" w:cs="David"/>
          <w:sz w:val="24"/>
          <w:szCs w:val="24"/>
          <w:rtl/>
        </w:rPr>
        <w:t xml:space="preserve">עמד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ברביע </w:t>
      </w:r>
      <w:r w:rsidR="00A93232">
        <w:rPr>
          <w:rFonts w:ascii="David" w:hAnsi="David" w:cs="David" w:hint="cs"/>
          <w:sz w:val="24"/>
          <w:szCs w:val="24"/>
          <w:rtl/>
        </w:rPr>
        <w:t>השני</w:t>
      </w:r>
      <w:r w:rsidR="00E71394"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Pr="00792855">
        <w:rPr>
          <w:rFonts w:ascii="David" w:hAnsi="David" w:cs="David"/>
          <w:sz w:val="24"/>
          <w:szCs w:val="24"/>
          <w:rtl/>
        </w:rPr>
        <w:t xml:space="preserve">על </w:t>
      </w:r>
      <w:r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="00DD57F6">
        <w:rPr>
          <w:rFonts w:ascii="David" w:hAnsi="David" w:cs="David"/>
          <w:sz w:val="24"/>
          <w:szCs w:val="24"/>
        </w:rPr>
        <w:t>7</w:t>
      </w:r>
      <w:r w:rsidR="00A93232">
        <w:rPr>
          <w:rFonts w:ascii="David" w:hAnsi="David" w:cs="David"/>
          <w:sz w:val="24"/>
          <w:szCs w:val="24"/>
        </w:rPr>
        <w:t>9.2</w:t>
      </w:r>
      <w:r w:rsidR="00DD57F6">
        <w:rPr>
          <w:rFonts w:ascii="David" w:hAnsi="David" w:cs="David"/>
          <w:sz w:val="24"/>
          <w:szCs w:val="24"/>
        </w:rPr>
        <w:t>%</w:t>
      </w:r>
      <w:r w:rsidR="00AE755B" w:rsidRPr="00792855">
        <w:rPr>
          <w:rFonts w:ascii="David" w:hAnsi="David" w:cs="David"/>
          <w:sz w:val="24"/>
          <w:szCs w:val="24"/>
          <w:rtl/>
        </w:rPr>
        <w:t>,</w:t>
      </w:r>
      <w:r w:rsidR="00AE755B" w:rsidRPr="00AE755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E755B" w:rsidRPr="00AE755B">
        <w:rPr>
          <w:rFonts w:ascii="David" w:hAnsi="David" w:cs="David"/>
          <w:sz w:val="24"/>
          <w:szCs w:val="24"/>
          <w:rtl/>
        </w:rPr>
        <w:t xml:space="preserve">כאשר המסחר בין זרים מהווה </w:t>
      </w:r>
      <w:r w:rsidR="00E71394" w:rsidRPr="00AE755B">
        <w:rPr>
          <w:rFonts w:ascii="David" w:hAnsi="David" w:cs="David"/>
          <w:sz w:val="24"/>
          <w:szCs w:val="24"/>
          <w:rtl/>
        </w:rPr>
        <w:t>6</w:t>
      </w:r>
      <w:r w:rsidR="00A93232">
        <w:rPr>
          <w:rFonts w:ascii="David" w:hAnsi="David" w:cs="David" w:hint="cs"/>
          <w:sz w:val="24"/>
          <w:szCs w:val="24"/>
          <w:rtl/>
        </w:rPr>
        <w:t>6</w:t>
      </w:r>
      <w:r w:rsidR="00AE755B" w:rsidRPr="00AE755B">
        <w:rPr>
          <w:rFonts w:ascii="David" w:hAnsi="David" w:cs="David"/>
          <w:sz w:val="24"/>
          <w:szCs w:val="24"/>
          <w:rtl/>
        </w:rPr>
        <w:t>% מהנפח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, שעמד על ממוצע יומי של </w:t>
      </w:r>
      <w:r w:rsidR="00A93232">
        <w:rPr>
          <w:rFonts w:ascii="David" w:hAnsi="David" w:cs="David"/>
          <w:sz w:val="24"/>
          <w:szCs w:val="24"/>
        </w:rPr>
        <w:t>9</w:t>
      </w:r>
      <w:r w:rsidR="00DD57F6">
        <w:rPr>
          <w:rFonts w:ascii="David" w:hAnsi="David" w:cs="David"/>
          <w:sz w:val="24"/>
          <w:szCs w:val="24"/>
        </w:rPr>
        <w:t>.</w:t>
      </w:r>
      <w:r w:rsidR="00A93232">
        <w:rPr>
          <w:rFonts w:ascii="David" w:hAnsi="David" w:cs="David"/>
          <w:sz w:val="24"/>
          <w:szCs w:val="24"/>
        </w:rPr>
        <w:t>4</w:t>
      </w:r>
      <w:r w:rsidR="006657A5">
        <w:rPr>
          <w:rFonts w:ascii="David" w:hAnsi="David" w:cs="David" w:hint="cs"/>
          <w:sz w:val="24"/>
          <w:szCs w:val="24"/>
          <w:rtl/>
        </w:rPr>
        <w:t xml:space="preserve"> מיליארדי דולרים</w:t>
      </w:r>
      <w:r w:rsidR="00AE755B" w:rsidRPr="00D2268D">
        <w:rPr>
          <w:rFonts w:ascii="David" w:hAnsi="David" w:cs="David"/>
          <w:sz w:val="24"/>
          <w:szCs w:val="24"/>
          <w:rtl/>
        </w:rPr>
        <w:t>.</w:t>
      </w:r>
      <w:r w:rsidR="00AC78F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DA45554" w14:textId="77777777" w:rsidR="00AE755B" w:rsidRPr="00AE755B" w:rsidRDefault="00AE755B" w:rsidP="00AE755B">
      <w:pPr>
        <w:bidi/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AE755B" w14:paraId="2BEB8D49" w14:textId="77777777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546A79AA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13CA5C3B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055F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3A77E15B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240D43B7" w14:textId="77777777" w:rsidR="0050666E" w:rsidRPr="007F4B87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ממוצע יומי </w:t>
            </w: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(במיליוני $)</w:t>
            </w:r>
          </w:p>
        </w:tc>
      </w:tr>
      <w:tr w:rsidR="0050666E" w:rsidRPr="00AE755B" w14:paraId="1BCFCC43" w14:textId="77777777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06980024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104A17A8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52D0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B3AE" w14:textId="77777777" w:rsidR="0050666E" w:rsidRPr="007F4B87" w:rsidRDefault="0050666E" w:rsidP="005534E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>
              <w:rPr>
                <w:rStyle w:val="ab"/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E3F1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15E96434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35B5D597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A93232" w:rsidRPr="00AE755B" w14:paraId="2A55C0A8" w14:textId="77777777" w:rsidTr="00BD2DE4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14:paraId="0DDBE7FB" w14:textId="77777777" w:rsidR="00A93232" w:rsidRPr="00DD57F6" w:rsidRDefault="00A93232" w:rsidP="00A93232">
            <w:pPr>
              <w:jc w:val="center"/>
              <w:rPr>
                <w:rFonts w:ascii="David" w:hAnsi="David" w:cs="David"/>
              </w:rPr>
            </w:pPr>
            <w:r w:rsidRPr="00DD57F6">
              <w:rPr>
                <w:rFonts w:ascii="David" w:hAnsi="David" w:cs="David"/>
                <w:rtl/>
              </w:rPr>
              <w:t xml:space="preserve">רביע </w:t>
            </w:r>
            <w:r>
              <w:rPr>
                <w:rFonts w:ascii="David" w:hAnsi="David" w:cs="David" w:hint="cs"/>
                <w:rtl/>
              </w:rPr>
              <w:t>שני</w:t>
            </w:r>
            <w:r w:rsidRPr="00DD57F6">
              <w:rPr>
                <w:rFonts w:ascii="David" w:hAnsi="David" w:cs="David"/>
                <w:rtl/>
              </w:rPr>
              <w:t xml:space="preserve"> 2022  (נתון ארעי)</w:t>
            </w:r>
          </w:p>
          <w:p w14:paraId="485F4028" w14:textId="77777777" w:rsidR="00A93232" w:rsidRPr="00DD57F6" w:rsidRDefault="00A93232" w:rsidP="00A93232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14:paraId="092D0C4F" w14:textId="77777777" w:rsidR="00A93232" w:rsidRDefault="00A93232" w:rsidP="00A9323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FB02" w14:textId="59F75C9F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lang w:eastAsia="en-US"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6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>
              <w:rPr>
                <w:rFonts w:ascii="David" w:hAnsi="David" w:cs="David"/>
                <w:sz w:val="22"/>
                <w:szCs w:val="22"/>
                <w:rtl/>
              </w:rPr>
              <w:t>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0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3A12" w14:textId="11A1AFEF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13.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7CD0" w14:textId="3D4E6DA0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20.8%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3B2BFAD9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561,466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21433505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9,358</w:t>
            </w:r>
          </w:p>
        </w:tc>
      </w:tr>
      <w:tr w:rsidR="00A93232" w:rsidRPr="00AE755B" w14:paraId="55038C3C" w14:textId="77777777" w:rsidTr="00BD2DE4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14:paraId="36CCBD94" w14:textId="77777777" w:rsidR="00A93232" w:rsidRDefault="00A93232" w:rsidP="00A9323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14:paraId="6791BAB8" w14:textId="77777777" w:rsidR="00A93232" w:rsidRDefault="00A93232" w:rsidP="00A9323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0A85" w14:textId="200C8D22" w:rsidR="00A93232" w:rsidRDefault="00A0458F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4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="00A93232">
              <w:rPr>
                <w:rFonts w:ascii="David" w:hAnsi="David" w:cs="David"/>
                <w:sz w:val="22"/>
                <w:szCs w:val="22"/>
                <w:rtl/>
              </w:rPr>
              <w:t>.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0</w:t>
            </w:r>
            <w:r w:rsidR="00A93232"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7CD0" w14:textId="6CD155FA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30.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1200" w14:textId="08E55D34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23.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14:paraId="34056D0E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889,881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14:paraId="4F3590DF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14,831</w:t>
            </w:r>
          </w:p>
        </w:tc>
      </w:tr>
      <w:tr w:rsidR="00A93232" w:rsidRPr="00AE755B" w14:paraId="01E6271B" w14:textId="77777777" w:rsidTr="00BD2DE4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14:paraId="0427AFBE" w14:textId="77777777" w:rsidR="00A93232" w:rsidRPr="00DD57F6" w:rsidRDefault="00A93232" w:rsidP="00A93232">
            <w:pPr>
              <w:jc w:val="center"/>
              <w:rPr>
                <w:rFonts w:ascii="David" w:hAnsi="David" w:cs="David"/>
              </w:rPr>
            </w:pPr>
            <w:r w:rsidRPr="00DD57F6">
              <w:rPr>
                <w:rFonts w:ascii="David" w:hAnsi="David" w:cs="David"/>
                <w:rtl/>
              </w:rPr>
              <w:t xml:space="preserve">רביע </w:t>
            </w:r>
            <w:r>
              <w:rPr>
                <w:rFonts w:ascii="David" w:hAnsi="David" w:cs="David" w:hint="cs"/>
                <w:rtl/>
              </w:rPr>
              <w:t>ראשון</w:t>
            </w:r>
            <w:r w:rsidRPr="00DD57F6">
              <w:rPr>
                <w:rFonts w:ascii="David" w:hAnsi="David" w:cs="David"/>
                <w:rtl/>
              </w:rPr>
              <w:t xml:space="preserve"> 202</w:t>
            </w:r>
            <w:r>
              <w:rPr>
                <w:rFonts w:ascii="David" w:hAnsi="David" w:cs="David" w:hint="cs"/>
                <w:rtl/>
              </w:rPr>
              <w:t>2</w:t>
            </w:r>
          </w:p>
          <w:p w14:paraId="018DCC9E" w14:textId="77777777" w:rsidR="00A93232" w:rsidRPr="00DD57F6" w:rsidRDefault="00A93232" w:rsidP="00A93232">
            <w:pPr>
              <w:rPr>
                <w:rFonts w:ascii="David" w:hAnsi="David" w:cs="David"/>
              </w:rPr>
            </w:pPr>
          </w:p>
          <w:p w14:paraId="37EF6C8A" w14:textId="77777777" w:rsidR="00A93232" w:rsidRPr="00DD57F6" w:rsidRDefault="00A93232" w:rsidP="00A93232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14:paraId="7723CB3D" w14:textId="77777777" w:rsidR="00A93232" w:rsidRDefault="00A93232" w:rsidP="00A9323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D80D" w14:textId="51E3BEE3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62.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8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2BFD" w14:textId="3A04FFC0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14.0%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4466" w14:textId="0189FB8D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23.2%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178E05CD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543,296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3E814FFB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8,906</w:t>
            </w:r>
          </w:p>
        </w:tc>
      </w:tr>
      <w:tr w:rsidR="00A93232" w:rsidRPr="00AE755B" w14:paraId="14D896A3" w14:textId="77777777" w:rsidTr="00BD2DE4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14:paraId="7576DEE4" w14:textId="77777777" w:rsidR="00A93232" w:rsidRDefault="00A93232" w:rsidP="00A9323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14:paraId="6C51D7D9" w14:textId="77777777" w:rsidR="00A93232" w:rsidRDefault="00A93232" w:rsidP="00A9323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9CE4" w14:textId="79600068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4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>
              <w:rPr>
                <w:rFonts w:ascii="David" w:hAnsi="David" w:cs="David"/>
                <w:sz w:val="22"/>
                <w:szCs w:val="22"/>
                <w:rtl/>
              </w:rPr>
              <w:t>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0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9073" w14:textId="311E4F61" w:rsidR="00A93232" w:rsidRDefault="00A0458F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29.7</w:t>
            </w:r>
            <w:r w:rsidR="00A93232"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5967" w14:textId="11B26342" w:rsidR="00A93232" w:rsidRDefault="00A93232" w:rsidP="00A0458F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25.</w:t>
            </w:r>
            <w:r w:rsidR="00A0458F">
              <w:rPr>
                <w:rFonts w:ascii="David" w:hAnsi="David" w:cs="David" w:hint="cs"/>
                <w:sz w:val="22"/>
                <w:szCs w:val="22"/>
                <w:rtl/>
              </w:rPr>
              <w:t>4%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vAlign w:val="center"/>
          </w:tcPr>
          <w:p w14:paraId="207DA527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927,729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vAlign w:val="center"/>
          </w:tcPr>
          <w:p w14:paraId="0F358FC1" w14:textId="77777777" w:rsidR="00A93232" w:rsidRDefault="00A93232" w:rsidP="00A9323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15,209</w:t>
            </w:r>
          </w:p>
        </w:tc>
      </w:tr>
    </w:tbl>
    <w:p w14:paraId="5417B58B" w14:textId="77777777" w:rsidR="00AE755B" w:rsidRDefault="00AE755B" w:rsidP="00DD57F6">
      <w:pPr>
        <w:bidi/>
        <w:spacing w:line="360" w:lineRule="auto"/>
        <w:jc w:val="center"/>
        <w:rPr>
          <w:rFonts w:ascii="David" w:eastAsiaTheme="minorHAnsi" w:hAnsi="David" w:cs="David"/>
          <w:sz w:val="22"/>
          <w:szCs w:val="22"/>
          <w:rtl/>
        </w:rPr>
      </w:pPr>
    </w:p>
    <w:p w14:paraId="2C9C7688" w14:textId="77777777" w:rsidR="00AE755B" w:rsidRDefault="00AE755B" w:rsidP="00E91AA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sectPr w:rsidR="00AE755B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5AEB" w14:textId="77777777" w:rsidR="003D66E8" w:rsidRDefault="003D66E8" w:rsidP="00C04A6B">
      <w:r>
        <w:separator/>
      </w:r>
    </w:p>
  </w:endnote>
  <w:endnote w:type="continuationSeparator" w:id="0">
    <w:p w14:paraId="19D1E598" w14:textId="77777777" w:rsidR="003D66E8" w:rsidRDefault="003D66E8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14:paraId="22ACF08A" w14:textId="0F1F1314" w:rsidR="00C04A6B" w:rsidRPr="002168C6" w:rsidRDefault="006E1923" w:rsidP="00A93232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A93232">
              <w:rPr>
                <w:rFonts w:cs="David" w:hint="cs"/>
                <w:rtl/>
                <w:lang w:val="he-IL"/>
              </w:rPr>
              <w:t>השני</w:t>
            </w:r>
            <w:r w:rsidR="007A1EC6">
              <w:rPr>
                <w:rFonts w:cs="David" w:hint="cs"/>
                <w:rtl/>
                <w:lang w:val="he-IL"/>
              </w:rPr>
              <w:t xml:space="preserve">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2022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5D7882">
              <w:rPr>
                <w:rFonts w:cs="David"/>
                <w:b/>
                <w:bCs/>
                <w:noProof/>
                <w:rtl/>
              </w:rPr>
              <w:t>6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5D7882">
              <w:rPr>
                <w:rFonts w:cs="David"/>
                <w:b/>
                <w:bCs/>
                <w:noProof/>
                <w:rtl/>
              </w:rPr>
              <w:t>6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BBC9" w14:textId="77777777" w:rsidR="003D66E8" w:rsidRDefault="003D66E8" w:rsidP="00C04A6B">
      <w:r>
        <w:separator/>
      </w:r>
    </w:p>
  </w:footnote>
  <w:footnote w:type="continuationSeparator" w:id="0">
    <w:p w14:paraId="79E3A3FB" w14:textId="77777777" w:rsidR="003D66E8" w:rsidRDefault="003D66E8" w:rsidP="00C04A6B">
      <w:r>
        <w:continuationSeparator/>
      </w:r>
    </w:p>
  </w:footnote>
  <w:footnote w:id="1">
    <w:p w14:paraId="29DEC545" w14:textId="77777777"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14:paraId="62429EB0" w14:textId="77777777" w:rsidR="00193994" w:rsidRPr="0028134B" w:rsidRDefault="003D66E8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14:paraId="30CEAFBD" w14:textId="77777777"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14:paraId="0438AB6C" w14:textId="77777777"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14:paraId="0D1505D6" w14:textId="77777777"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14:paraId="7A8D8DAC" w14:textId="77777777"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    (2) דיווחים של בנקים מקומיים על עסקאות מול זרים </w:t>
      </w:r>
    </w:p>
    <w:p w14:paraId="238102C3" w14:textId="77777777"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1B0D"/>
    <w:rsid w:val="0001222D"/>
    <w:rsid w:val="000133CD"/>
    <w:rsid w:val="00014BDC"/>
    <w:rsid w:val="00015825"/>
    <w:rsid w:val="00016D86"/>
    <w:rsid w:val="000214DB"/>
    <w:rsid w:val="00024BD1"/>
    <w:rsid w:val="000261BE"/>
    <w:rsid w:val="00027C8A"/>
    <w:rsid w:val="00027F15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B40"/>
    <w:rsid w:val="00090D2F"/>
    <w:rsid w:val="000916E4"/>
    <w:rsid w:val="00095A9E"/>
    <w:rsid w:val="00096E44"/>
    <w:rsid w:val="0009769A"/>
    <w:rsid w:val="00097EFB"/>
    <w:rsid w:val="000A1C56"/>
    <w:rsid w:val="000A3731"/>
    <w:rsid w:val="000A3F1A"/>
    <w:rsid w:val="000A4006"/>
    <w:rsid w:val="000A4E46"/>
    <w:rsid w:val="000A624C"/>
    <w:rsid w:val="000A72C5"/>
    <w:rsid w:val="000B0E16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5480"/>
    <w:rsid w:val="000D7291"/>
    <w:rsid w:val="000D7DB9"/>
    <w:rsid w:val="000E4486"/>
    <w:rsid w:val="000E4B36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590E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3E11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578A"/>
    <w:rsid w:val="001D7646"/>
    <w:rsid w:val="001E47BB"/>
    <w:rsid w:val="001E4F8E"/>
    <w:rsid w:val="001E5A00"/>
    <w:rsid w:val="001E5D7D"/>
    <w:rsid w:val="001E6258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44D2"/>
    <w:rsid w:val="002101D4"/>
    <w:rsid w:val="00210869"/>
    <w:rsid w:val="00211627"/>
    <w:rsid w:val="00214A25"/>
    <w:rsid w:val="002168C6"/>
    <w:rsid w:val="0021743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B81"/>
    <w:rsid w:val="002455A4"/>
    <w:rsid w:val="0024679B"/>
    <w:rsid w:val="002473F2"/>
    <w:rsid w:val="00253DB1"/>
    <w:rsid w:val="0025601B"/>
    <w:rsid w:val="00256361"/>
    <w:rsid w:val="00260180"/>
    <w:rsid w:val="002603C3"/>
    <w:rsid w:val="00262224"/>
    <w:rsid w:val="002646A1"/>
    <w:rsid w:val="00265CDB"/>
    <w:rsid w:val="00266A17"/>
    <w:rsid w:val="00273A91"/>
    <w:rsid w:val="00273B38"/>
    <w:rsid w:val="002806D2"/>
    <w:rsid w:val="002811E6"/>
    <w:rsid w:val="0028134B"/>
    <w:rsid w:val="00283F56"/>
    <w:rsid w:val="00285A84"/>
    <w:rsid w:val="00286F6D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2903"/>
    <w:rsid w:val="002B3FB0"/>
    <w:rsid w:val="002B4D76"/>
    <w:rsid w:val="002B57EF"/>
    <w:rsid w:val="002B6B7C"/>
    <w:rsid w:val="002B7BF9"/>
    <w:rsid w:val="002C0E72"/>
    <w:rsid w:val="002D01AB"/>
    <w:rsid w:val="002D11B6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2F7CDC"/>
    <w:rsid w:val="00300B3A"/>
    <w:rsid w:val="00303916"/>
    <w:rsid w:val="003044F6"/>
    <w:rsid w:val="003102B4"/>
    <w:rsid w:val="003132E4"/>
    <w:rsid w:val="00313810"/>
    <w:rsid w:val="00315053"/>
    <w:rsid w:val="003159CF"/>
    <w:rsid w:val="0031697F"/>
    <w:rsid w:val="00317F88"/>
    <w:rsid w:val="00322023"/>
    <w:rsid w:val="00322500"/>
    <w:rsid w:val="003241A7"/>
    <w:rsid w:val="003270FE"/>
    <w:rsid w:val="00327B60"/>
    <w:rsid w:val="0033209D"/>
    <w:rsid w:val="003329C4"/>
    <w:rsid w:val="00332CFE"/>
    <w:rsid w:val="003364E6"/>
    <w:rsid w:val="00337E33"/>
    <w:rsid w:val="00342EDF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070"/>
    <w:rsid w:val="00374756"/>
    <w:rsid w:val="003752B3"/>
    <w:rsid w:val="00375D59"/>
    <w:rsid w:val="003773AA"/>
    <w:rsid w:val="0038002F"/>
    <w:rsid w:val="00380894"/>
    <w:rsid w:val="003822B2"/>
    <w:rsid w:val="00382320"/>
    <w:rsid w:val="00382716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19EB"/>
    <w:rsid w:val="003C5812"/>
    <w:rsid w:val="003C638D"/>
    <w:rsid w:val="003C74AE"/>
    <w:rsid w:val="003D0678"/>
    <w:rsid w:val="003D208A"/>
    <w:rsid w:val="003D66E8"/>
    <w:rsid w:val="003D7A36"/>
    <w:rsid w:val="003D7D42"/>
    <w:rsid w:val="003E0C33"/>
    <w:rsid w:val="003E1908"/>
    <w:rsid w:val="003E3051"/>
    <w:rsid w:val="003E4452"/>
    <w:rsid w:val="003F13D5"/>
    <w:rsid w:val="003F163D"/>
    <w:rsid w:val="003F1E6B"/>
    <w:rsid w:val="003F4C15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771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4C02"/>
    <w:rsid w:val="004C4CE6"/>
    <w:rsid w:val="004C5FB1"/>
    <w:rsid w:val="004C7344"/>
    <w:rsid w:val="004D18BA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5A13"/>
    <w:rsid w:val="00531A5D"/>
    <w:rsid w:val="00532368"/>
    <w:rsid w:val="005332FA"/>
    <w:rsid w:val="00533D14"/>
    <w:rsid w:val="00534660"/>
    <w:rsid w:val="005346CA"/>
    <w:rsid w:val="005356A3"/>
    <w:rsid w:val="00535E2E"/>
    <w:rsid w:val="005366CB"/>
    <w:rsid w:val="005411C6"/>
    <w:rsid w:val="00541291"/>
    <w:rsid w:val="005414DC"/>
    <w:rsid w:val="00541D5A"/>
    <w:rsid w:val="00542D66"/>
    <w:rsid w:val="00543C49"/>
    <w:rsid w:val="00543F25"/>
    <w:rsid w:val="00544963"/>
    <w:rsid w:val="00544C37"/>
    <w:rsid w:val="00550E8E"/>
    <w:rsid w:val="005534E9"/>
    <w:rsid w:val="0055353D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D7882"/>
    <w:rsid w:val="005E1369"/>
    <w:rsid w:val="005E143B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3EBF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2C25"/>
    <w:rsid w:val="00643919"/>
    <w:rsid w:val="00643D21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A54"/>
    <w:rsid w:val="00666126"/>
    <w:rsid w:val="00666CC6"/>
    <w:rsid w:val="006704C8"/>
    <w:rsid w:val="0067168F"/>
    <w:rsid w:val="00675031"/>
    <w:rsid w:val="00675922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6A5A"/>
    <w:rsid w:val="006A6BEE"/>
    <w:rsid w:val="006B06E8"/>
    <w:rsid w:val="006B1087"/>
    <w:rsid w:val="006B48A9"/>
    <w:rsid w:val="006B4F6C"/>
    <w:rsid w:val="006B7530"/>
    <w:rsid w:val="006B7C5E"/>
    <w:rsid w:val="006B7E33"/>
    <w:rsid w:val="006C01FB"/>
    <w:rsid w:val="006C039C"/>
    <w:rsid w:val="006C0A5C"/>
    <w:rsid w:val="006C138C"/>
    <w:rsid w:val="006C19B2"/>
    <w:rsid w:val="006C1D47"/>
    <w:rsid w:val="006C3931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F17"/>
    <w:rsid w:val="00732F95"/>
    <w:rsid w:val="0073315E"/>
    <w:rsid w:val="00733497"/>
    <w:rsid w:val="00736E4D"/>
    <w:rsid w:val="00741A31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7991"/>
    <w:rsid w:val="007C017E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222"/>
    <w:rsid w:val="00834569"/>
    <w:rsid w:val="008459EE"/>
    <w:rsid w:val="00846BA1"/>
    <w:rsid w:val="00846F03"/>
    <w:rsid w:val="008515DC"/>
    <w:rsid w:val="00851D49"/>
    <w:rsid w:val="00852D44"/>
    <w:rsid w:val="00853663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2169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8F7BEA"/>
    <w:rsid w:val="00901C3E"/>
    <w:rsid w:val="00902867"/>
    <w:rsid w:val="00905C1D"/>
    <w:rsid w:val="0091030B"/>
    <w:rsid w:val="00910D2D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2376"/>
    <w:rsid w:val="009338DB"/>
    <w:rsid w:val="00935F4F"/>
    <w:rsid w:val="009415E1"/>
    <w:rsid w:val="00941794"/>
    <w:rsid w:val="00942098"/>
    <w:rsid w:val="0094220E"/>
    <w:rsid w:val="00942809"/>
    <w:rsid w:val="009450DE"/>
    <w:rsid w:val="00953147"/>
    <w:rsid w:val="009533C0"/>
    <w:rsid w:val="009550D7"/>
    <w:rsid w:val="00956534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920"/>
    <w:rsid w:val="009B6D22"/>
    <w:rsid w:val="009B6EA0"/>
    <w:rsid w:val="009C16BD"/>
    <w:rsid w:val="009C1CC8"/>
    <w:rsid w:val="009C48BC"/>
    <w:rsid w:val="009C4F37"/>
    <w:rsid w:val="009C5AB0"/>
    <w:rsid w:val="009D113D"/>
    <w:rsid w:val="009D15FB"/>
    <w:rsid w:val="009D1F98"/>
    <w:rsid w:val="009D2400"/>
    <w:rsid w:val="009D2543"/>
    <w:rsid w:val="009D5237"/>
    <w:rsid w:val="009D757B"/>
    <w:rsid w:val="009E2546"/>
    <w:rsid w:val="009E6006"/>
    <w:rsid w:val="009E62A7"/>
    <w:rsid w:val="009E7412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458F"/>
    <w:rsid w:val="00A07211"/>
    <w:rsid w:val="00A128EA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41537"/>
    <w:rsid w:val="00A41EEC"/>
    <w:rsid w:val="00A436A3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511A"/>
    <w:rsid w:val="00A860A0"/>
    <w:rsid w:val="00A93232"/>
    <w:rsid w:val="00A9385F"/>
    <w:rsid w:val="00A943A8"/>
    <w:rsid w:val="00A94AEC"/>
    <w:rsid w:val="00AA0BBA"/>
    <w:rsid w:val="00AA1546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755B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77226"/>
    <w:rsid w:val="00B81117"/>
    <w:rsid w:val="00B8170E"/>
    <w:rsid w:val="00B84370"/>
    <w:rsid w:val="00B84BD7"/>
    <w:rsid w:val="00B855E7"/>
    <w:rsid w:val="00B85EDB"/>
    <w:rsid w:val="00B8616E"/>
    <w:rsid w:val="00B87681"/>
    <w:rsid w:val="00B907E8"/>
    <w:rsid w:val="00B90F2C"/>
    <w:rsid w:val="00B94EF2"/>
    <w:rsid w:val="00B95C8B"/>
    <w:rsid w:val="00BA19E5"/>
    <w:rsid w:val="00BA3D2E"/>
    <w:rsid w:val="00BA4B74"/>
    <w:rsid w:val="00BA5425"/>
    <w:rsid w:val="00BA637B"/>
    <w:rsid w:val="00BB17CB"/>
    <w:rsid w:val="00BB23A9"/>
    <w:rsid w:val="00BB3EDB"/>
    <w:rsid w:val="00BB4339"/>
    <w:rsid w:val="00BB5416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45D8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3209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863C7"/>
    <w:rsid w:val="00C872C2"/>
    <w:rsid w:val="00C91239"/>
    <w:rsid w:val="00C925E7"/>
    <w:rsid w:val="00C9548A"/>
    <w:rsid w:val="00C9582F"/>
    <w:rsid w:val="00C961BC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2B6B"/>
    <w:rsid w:val="00CC52F8"/>
    <w:rsid w:val="00CC559E"/>
    <w:rsid w:val="00CC7597"/>
    <w:rsid w:val="00CD2631"/>
    <w:rsid w:val="00CD331B"/>
    <w:rsid w:val="00CD41D6"/>
    <w:rsid w:val="00CD6462"/>
    <w:rsid w:val="00CD6ECD"/>
    <w:rsid w:val="00CE0BD3"/>
    <w:rsid w:val="00CE15BB"/>
    <w:rsid w:val="00CE2913"/>
    <w:rsid w:val="00CE2AC0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1864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5096"/>
    <w:rsid w:val="00DB53CE"/>
    <w:rsid w:val="00DB6496"/>
    <w:rsid w:val="00DB64D6"/>
    <w:rsid w:val="00DB7252"/>
    <w:rsid w:val="00DB73BD"/>
    <w:rsid w:val="00DB7A3C"/>
    <w:rsid w:val="00DD0FD9"/>
    <w:rsid w:val="00DD1996"/>
    <w:rsid w:val="00DD21B3"/>
    <w:rsid w:val="00DD2482"/>
    <w:rsid w:val="00DD27BE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5CB5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5F96"/>
    <w:rsid w:val="00E616AE"/>
    <w:rsid w:val="00E6191A"/>
    <w:rsid w:val="00E61FB7"/>
    <w:rsid w:val="00E62567"/>
    <w:rsid w:val="00E62C87"/>
    <w:rsid w:val="00E64B16"/>
    <w:rsid w:val="00E66007"/>
    <w:rsid w:val="00E70911"/>
    <w:rsid w:val="00E71394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034D"/>
    <w:rsid w:val="00EC1B42"/>
    <w:rsid w:val="00EC3344"/>
    <w:rsid w:val="00EC3994"/>
    <w:rsid w:val="00EC44BF"/>
    <w:rsid w:val="00EC6657"/>
    <w:rsid w:val="00EC7226"/>
    <w:rsid w:val="00ED153D"/>
    <w:rsid w:val="00ED1AA1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5051"/>
    <w:rsid w:val="00EF53F6"/>
    <w:rsid w:val="00F02399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39F"/>
    <w:rsid w:val="00F43F2B"/>
    <w:rsid w:val="00F44585"/>
    <w:rsid w:val="00F44ED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1138"/>
    <w:rsid w:val="00F82884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1BB2"/>
    <w:rsid w:val="00FA255C"/>
    <w:rsid w:val="00FA270F"/>
    <w:rsid w:val="00FA348D"/>
    <w:rsid w:val="00FA6893"/>
    <w:rsid w:val="00FB032D"/>
    <w:rsid w:val="00FB1D08"/>
    <w:rsid w:val="00FB3590"/>
    <w:rsid w:val="00FB36DE"/>
    <w:rsid w:val="00FB4A95"/>
    <w:rsid w:val="00FB4C31"/>
    <w:rsid w:val="00FB4D5A"/>
    <w:rsid w:val="00FB5B76"/>
    <w:rsid w:val="00FB697B"/>
    <w:rsid w:val="00FB7FE2"/>
    <w:rsid w:val="00FC311A"/>
    <w:rsid w:val="00FC572C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2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1F17A7-6723-47FD-B70C-C0F965E84D21}"/>
</file>

<file path=customXml/itemProps2.xml><?xml version="1.0" encoding="utf-8"?>
<ds:datastoreItem xmlns:ds="http://schemas.openxmlformats.org/officeDocument/2006/customXml" ds:itemID="{DCA8DD0C-7F11-4F9A-BEAB-0214BBBC4AC3}"/>
</file>

<file path=customXml/itemProps3.xml><?xml version="1.0" encoding="utf-8"?>
<ds:datastoreItem xmlns:ds="http://schemas.openxmlformats.org/officeDocument/2006/customXml" ds:itemID="{CE672BC6-DC1B-40AC-8DA4-B4FA71DC7C70}"/>
</file>

<file path=customXml/itemProps4.xml><?xml version="1.0" encoding="utf-8"?>
<ds:datastoreItem xmlns:ds="http://schemas.openxmlformats.org/officeDocument/2006/customXml" ds:itemID="{ED287067-A4CA-4565-9853-5A510ADA0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2022-09-06T08:03:00Z</dcterms:created>
  <dcterms:modified xsi:type="dcterms:W3CDTF">2022-09-06T08:06:00Z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