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3274"/>
        <w:gridCol w:w="2977"/>
        <w:gridCol w:w="3025"/>
      </w:tblGrid>
      <w:tr w:rsidR="000B7D42" w:rsidRPr="00DB1CBC" w:rsidTr="000B7D42">
        <w:trPr>
          <w:jc w:val="center"/>
        </w:trPr>
        <w:tc>
          <w:tcPr>
            <w:tcW w:w="3274" w:type="dxa"/>
            <w:tcBorders>
              <w:top w:val="nil"/>
              <w:left w:val="nil"/>
              <w:bottom w:val="nil"/>
              <w:right w:val="nil"/>
            </w:tcBorders>
            <w:vAlign w:val="center"/>
          </w:tcPr>
          <w:p w:rsidR="000B7D42" w:rsidRPr="00520BB4" w:rsidRDefault="000B7D42" w:rsidP="00873774">
            <w:pPr>
              <w:jc w:val="center"/>
              <w:rPr>
                <w:b/>
                <w:bCs/>
                <w:sz w:val="28"/>
                <w:szCs w:val="28"/>
              </w:rPr>
            </w:pPr>
            <w:r w:rsidRPr="00520BB4">
              <w:rPr>
                <w:b/>
                <w:bCs/>
                <w:sz w:val="28"/>
                <w:szCs w:val="28"/>
                <w:rtl/>
              </w:rPr>
              <w:t>בנ</w:t>
            </w:r>
            <w:r w:rsidRPr="00520BB4">
              <w:rPr>
                <w:rFonts w:hint="cs"/>
                <w:b/>
                <w:bCs/>
                <w:sz w:val="28"/>
                <w:szCs w:val="28"/>
                <w:rtl/>
              </w:rPr>
              <w:t xml:space="preserve">ק </w:t>
            </w:r>
            <w:r w:rsidRPr="00520BB4">
              <w:rPr>
                <w:b/>
                <w:bCs/>
                <w:sz w:val="28"/>
                <w:szCs w:val="28"/>
                <w:rtl/>
              </w:rPr>
              <w:t>יש</w:t>
            </w:r>
            <w:r w:rsidRPr="00520BB4">
              <w:rPr>
                <w:rFonts w:hint="cs"/>
                <w:b/>
                <w:bCs/>
                <w:sz w:val="28"/>
                <w:szCs w:val="28"/>
                <w:rtl/>
              </w:rPr>
              <w:t>ראל</w:t>
            </w:r>
          </w:p>
          <w:p w:rsidR="000B7D42" w:rsidRDefault="000B7D42" w:rsidP="00873774">
            <w:pPr>
              <w:ind w:right="-101"/>
              <w:jc w:val="center"/>
            </w:pPr>
            <w:r w:rsidRPr="00520BB4">
              <w:rPr>
                <w:rtl/>
              </w:rPr>
              <w:t>דו</w:t>
            </w:r>
            <w:r w:rsidRPr="00520BB4">
              <w:rPr>
                <w:rFonts w:hint="cs"/>
                <w:rtl/>
              </w:rPr>
              <w:t>בר</w:t>
            </w:r>
            <w:r w:rsidRPr="00520BB4">
              <w:rPr>
                <w:rtl/>
              </w:rPr>
              <w:t>ות</w:t>
            </w:r>
            <w:r w:rsidRPr="00520BB4">
              <w:rPr>
                <w:rFonts w:hint="cs"/>
                <w:rtl/>
              </w:rPr>
              <w:t xml:space="preserve"> והסברה כלכלית</w:t>
            </w:r>
          </w:p>
        </w:tc>
        <w:tc>
          <w:tcPr>
            <w:tcW w:w="2977" w:type="dxa"/>
            <w:tcBorders>
              <w:top w:val="nil"/>
              <w:left w:val="nil"/>
              <w:bottom w:val="nil"/>
              <w:right w:val="nil"/>
            </w:tcBorders>
          </w:tcPr>
          <w:p w:rsidR="000B7D42" w:rsidRDefault="000B7D42" w:rsidP="00873774">
            <w:pPr>
              <w:jc w:val="center"/>
            </w:pPr>
            <w:r>
              <w:rPr>
                <w:noProof/>
              </w:rPr>
              <w:drawing>
                <wp:inline distT="0" distB="0" distL="0" distR="0" wp14:anchorId="3E201B82" wp14:editId="70CC293C">
                  <wp:extent cx="1200150" cy="666750"/>
                  <wp:effectExtent l="0" t="0" r="0" b="0"/>
                  <wp:docPr id="1" name="תמונה 1" descr="60Y+bank_Color_RGB_300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Y+bank_Color_RGB_300DPI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noFill/>
                          <a:ln>
                            <a:noFill/>
                          </a:ln>
                        </pic:spPr>
                      </pic:pic>
                    </a:graphicData>
                  </a:graphic>
                </wp:inline>
              </w:drawing>
            </w:r>
          </w:p>
        </w:tc>
        <w:tc>
          <w:tcPr>
            <w:tcW w:w="3025" w:type="dxa"/>
            <w:tcBorders>
              <w:top w:val="nil"/>
              <w:left w:val="nil"/>
              <w:bottom w:val="nil"/>
              <w:right w:val="nil"/>
            </w:tcBorders>
            <w:vAlign w:val="center"/>
          </w:tcPr>
          <w:p w:rsidR="000B7D42" w:rsidRDefault="000B7D42" w:rsidP="00873774">
            <w:pPr>
              <w:spacing w:line="480" w:lineRule="auto"/>
              <w:jc w:val="right"/>
            </w:pPr>
            <w:r>
              <w:rPr>
                <w:rFonts w:hint="eastAsia"/>
                <w:rtl/>
              </w:rPr>
              <w:t>‏</w:t>
            </w:r>
            <w:r>
              <w:rPr>
                <w:rFonts w:hint="cs"/>
                <w:rtl/>
              </w:rPr>
              <w:t>ירושלים, י"ט באלול ה</w:t>
            </w:r>
            <w:r>
              <w:rPr>
                <w:rtl/>
              </w:rPr>
              <w:t>תשע"</w:t>
            </w:r>
            <w:r>
              <w:rPr>
                <w:rFonts w:hint="cs"/>
                <w:rtl/>
              </w:rPr>
              <w:t>ד</w:t>
            </w:r>
          </w:p>
          <w:p w:rsidR="000B7D42" w:rsidRPr="00DF107C" w:rsidRDefault="000B7D42" w:rsidP="00873774">
            <w:pPr>
              <w:spacing w:line="480" w:lineRule="auto"/>
              <w:jc w:val="right"/>
            </w:pPr>
            <w:r>
              <w:rPr>
                <w:rFonts w:hint="eastAsia"/>
                <w:rtl/>
              </w:rPr>
              <w:t>‏‏</w:t>
            </w:r>
            <w:r>
              <w:rPr>
                <w:rFonts w:hint="cs"/>
                <w:rtl/>
              </w:rPr>
              <w:t>14 בספטמבר 2014</w:t>
            </w:r>
          </w:p>
        </w:tc>
      </w:tr>
    </w:tbl>
    <w:p w:rsidR="000B7D42" w:rsidRDefault="000B7D42" w:rsidP="000B7D42">
      <w:pPr>
        <w:rPr>
          <w:rtl/>
        </w:rPr>
      </w:pPr>
    </w:p>
    <w:p w:rsidR="000B7D42" w:rsidRDefault="000B7D42" w:rsidP="000B7D42">
      <w:pPr>
        <w:ind w:right="-101"/>
        <w:rPr>
          <w:rtl/>
        </w:rPr>
      </w:pPr>
      <w:r w:rsidRPr="007E18EE">
        <w:rPr>
          <w:rFonts w:hint="cs"/>
          <w:rtl/>
        </w:rPr>
        <w:t>הודעה לעיתונות:</w:t>
      </w:r>
    </w:p>
    <w:p w:rsidR="007A1C4C" w:rsidRDefault="007A1C4C" w:rsidP="008E5B8C">
      <w:pPr>
        <w:jc w:val="center"/>
        <w:rPr>
          <w:b/>
          <w:bCs/>
          <w:u w:val="single"/>
          <w:rtl/>
        </w:rPr>
      </w:pPr>
    </w:p>
    <w:p w:rsidR="002C352D" w:rsidRPr="002B26EC" w:rsidRDefault="002C352D" w:rsidP="000B7D42">
      <w:pPr>
        <w:jc w:val="center"/>
        <w:rPr>
          <w:b/>
          <w:bCs/>
          <w:sz w:val="28"/>
          <w:szCs w:val="28"/>
          <w:u w:val="single"/>
          <w:rtl/>
        </w:rPr>
      </w:pPr>
      <w:r w:rsidRPr="000B7D42">
        <w:rPr>
          <w:rFonts w:hint="cs"/>
          <w:b/>
          <w:bCs/>
          <w:u w:val="single"/>
          <w:rtl/>
        </w:rPr>
        <w:t>שאלות ותשובות:</w:t>
      </w:r>
      <w:r w:rsidR="000B7D42" w:rsidRPr="000B7D42">
        <w:rPr>
          <w:rFonts w:hint="cs"/>
          <w:b/>
          <w:bCs/>
          <w:u w:val="single"/>
          <w:rtl/>
        </w:rPr>
        <w:t xml:space="preserve"> </w:t>
      </w:r>
      <w:r w:rsidRPr="002B26EC">
        <w:rPr>
          <w:rFonts w:hint="cs"/>
          <w:b/>
          <w:bCs/>
          <w:sz w:val="28"/>
          <w:szCs w:val="28"/>
          <w:u w:val="single"/>
          <w:rtl/>
        </w:rPr>
        <w:t xml:space="preserve">טיוטת </w:t>
      </w:r>
      <w:r w:rsidR="00B424DE" w:rsidRPr="002B26EC">
        <w:rPr>
          <w:rFonts w:hint="cs"/>
          <w:b/>
          <w:bCs/>
          <w:sz w:val="28"/>
          <w:szCs w:val="28"/>
          <w:u w:val="single"/>
          <w:rtl/>
        </w:rPr>
        <w:t>הוראה</w:t>
      </w:r>
      <w:r w:rsidRPr="002B26EC">
        <w:rPr>
          <w:rFonts w:hint="cs"/>
          <w:b/>
          <w:bCs/>
          <w:sz w:val="28"/>
          <w:szCs w:val="28"/>
          <w:u w:val="single"/>
          <w:rtl/>
        </w:rPr>
        <w:t xml:space="preserve"> בנושא הקצאת הון בגין תיק האשראי לדיור</w:t>
      </w:r>
    </w:p>
    <w:p w:rsidR="002C352D" w:rsidRDefault="002C352D" w:rsidP="002C352D">
      <w:pPr>
        <w:rPr>
          <w:rtl/>
        </w:rPr>
      </w:pPr>
    </w:p>
    <w:p w:rsidR="002C352D" w:rsidRPr="00B424DE" w:rsidRDefault="002C352D" w:rsidP="00B424DE">
      <w:pPr>
        <w:pStyle w:val="af1"/>
        <w:numPr>
          <w:ilvl w:val="0"/>
          <w:numId w:val="33"/>
        </w:numPr>
        <w:tabs>
          <w:tab w:val="clear" w:pos="567"/>
          <w:tab w:val="clear" w:pos="1134"/>
          <w:tab w:val="clear" w:pos="1814"/>
          <w:tab w:val="clear" w:pos="2665"/>
        </w:tabs>
        <w:ind w:left="391" w:hanging="425"/>
        <w:rPr>
          <w:b/>
          <w:bCs/>
        </w:rPr>
      </w:pPr>
      <w:r w:rsidRPr="00B424DE">
        <w:rPr>
          <w:rFonts w:hint="cs"/>
          <w:b/>
          <w:bCs/>
          <w:rtl/>
        </w:rPr>
        <w:t xml:space="preserve">שאלה: </w:t>
      </w:r>
      <w:r w:rsidR="00B424DE" w:rsidRPr="00B424DE">
        <w:rPr>
          <w:rFonts w:hint="cs"/>
          <w:b/>
          <w:bCs/>
          <w:rtl/>
        </w:rPr>
        <w:t>מהי מטרת הצעד בו נוקט בנק ישראל?</w:t>
      </w:r>
    </w:p>
    <w:p w:rsidR="00B424DE" w:rsidRDefault="00B424DE" w:rsidP="00B424DE">
      <w:pPr>
        <w:pStyle w:val="af1"/>
        <w:tabs>
          <w:tab w:val="clear" w:pos="567"/>
          <w:tab w:val="clear" w:pos="1134"/>
          <w:tab w:val="clear" w:pos="1814"/>
          <w:tab w:val="clear" w:pos="2665"/>
        </w:tabs>
        <w:ind w:left="391"/>
        <w:rPr>
          <w:b/>
          <w:bCs/>
          <w:rtl/>
        </w:rPr>
      </w:pPr>
      <w:r w:rsidRPr="00B424DE">
        <w:rPr>
          <w:rFonts w:hint="cs"/>
          <w:b/>
          <w:bCs/>
          <w:rtl/>
        </w:rPr>
        <w:t xml:space="preserve">תשובה: </w:t>
      </w:r>
    </w:p>
    <w:p w:rsidR="00B424DE" w:rsidRDefault="00B424DE" w:rsidP="003D34F6">
      <w:pPr>
        <w:pStyle w:val="af1"/>
        <w:tabs>
          <w:tab w:val="clear" w:pos="567"/>
          <w:tab w:val="clear" w:pos="1134"/>
          <w:tab w:val="clear" w:pos="1814"/>
          <w:tab w:val="clear" w:pos="2665"/>
        </w:tabs>
        <w:ind w:left="391"/>
        <w:rPr>
          <w:rtl/>
        </w:rPr>
      </w:pPr>
      <w:r w:rsidRPr="00B424DE">
        <w:rPr>
          <w:rFonts w:hint="cs"/>
          <w:rtl/>
        </w:rPr>
        <w:t>מטר</w:t>
      </w:r>
      <w:r w:rsidR="003D34F6">
        <w:rPr>
          <w:rFonts w:hint="cs"/>
          <w:rtl/>
        </w:rPr>
        <w:t xml:space="preserve">ת ההוראה </w:t>
      </w:r>
      <w:r w:rsidRPr="00B424DE">
        <w:rPr>
          <w:rFonts w:hint="cs"/>
          <w:rtl/>
        </w:rPr>
        <w:t xml:space="preserve">היא לוודא שהמערכת הבנקאית מקצה כריות הון מספקות ומתאימות כנגד הסיכונים הגלומים בתיק </w:t>
      </w:r>
      <w:r w:rsidR="003D34F6">
        <w:rPr>
          <w:rFonts w:hint="cs"/>
          <w:rtl/>
        </w:rPr>
        <w:t>האשראי</w:t>
      </w:r>
      <w:r w:rsidR="00985E4C">
        <w:rPr>
          <w:rFonts w:hint="cs"/>
          <w:rtl/>
        </w:rPr>
        <w:t xml:space="preserve"> לדיור ולמשקלו בסך תיק האשראי הבנקאי</w:t>
      </w:r>
      <w:r>
        <w:rPr>
          <w:rFonts w:hint="cs"/>
          <w:rtl/>
        </w:rPr>
        <w:t>, ובכך להביא לחיזוק יכולתם של התאגידים הבנקאיים לספוג הפסדים בלתי צפויים ולחיזוק היציבות הפיננסית בכללותה.</w:t>
      </w:r>
    </w:p>
    <w:p w:rsidR="00985E4C" w:rsidRDefault="00985E4C" w:rsidP="00985E4C">
      <w:pPr>
        <w:pStyle w:val="af1"/>
        <w:tabs>
          <w:tab w:val="clear" w:pos="567"/>
          <w:tab w:val="clear" w:pos="1134"/>
          <w:tab w:val="clear" w:pos="1814"/>
          <w:tab w:val="clear" w:pos="2665"/>
        </w:tabs>
        <w:ind w:left="391"/>
        <w:rPr>
          <w:rtl/>
        </w:rPr>
      </w:pPr>
      <w:r w:rsidRPr="00B424DE">
        <w:rPr>
          <w:rFonts w:hint="cs"/>
          <w:rtl/>
        </w:rPr>
        <w:t xml:space="preserve">הגידול </w:t>
      </w:r>
      <w:r>
        <w:rPr>
          <w:rFonts w:hint="cs"/>
          <w:rtl/>
        </w:rPr>
        <w:t>המתמשך</w:t>
      </w:r>
      <w:r w:rsidRPr="00B424DE">
        <w:rPr>
          <w:rFonts w:hint="cs"/>
          <w:rtl/>
        </w:rPr>
        <w:t xml:space="preserve"> </w:t>
      </w:r>
      <w:r>
        <w:rPr>
          <w:rFonts w:hint="cs"/>
          <w:rtl/>
        </w:rPr>
        <w:t>בתיק האשראי</w:t>
      </w:r>
      <w:r w:rsidRPr="00B424DE">
        <w:rPr>
          <w:rFonts w:hint="cs"/>
          <w:rtl/>
        </w:rPr>
        <w:t xml:space="preserve"> לדיור </w:t>
      </w:r>
      <w:r>
        <w:rPr>
          <w:rFonts w:hint="cs"/>
          <w:rtl/>
        </w:rPr>
        <w:t>בתאגידים הבנקאיים, ובמשקלו של תיק האשראי לדיור בסך תיק האשראי הבנקאי, בשנים האחרונות, מלווה</w:t>
      </w:r>
      <w:r w:rsidRPr="00B424DE">
        <w:rPr>
          <w:rFonts w:hint="cs"/>
          <w:rtl/>
        </w:rPr>
        <w:t xml:space="preserve"> בעלייה בסיכון הגלום בתיק </w:t>
      </w:r>
      <w:r>
        <w:rPr>
          <w:rFonts w:hint="cs"/>
          <w:rtl/>
        </w:rPr>
        <w:t xml:space="preserve">זה, בעיקר נוכח המתאם בין הסיכונים הגלומים בתיק האשראי לדיור לבין תיק האשראי לענף הבינוי והנדל"ן ובין תיק האשראי לדיור לבין האשראי הצרכני שניתן למשקי הבית. </w:t>
      </w:r>
    </w:p>
    <w:p w:rsidR="00B424DE" w:rsidRDefault="00B424DE" w:rsidP="00B424DE">
      <w:pPr>
        <w:pStyle w:val="af1"/>
        <w:tabs>
          <w:tab w:val="clear" w:pos="567"/>
          <w:tab w:val="clear" w:pos="1134"/>
          <w:tab w:val="clear" w:pos="1814"/>
          <w:tab w:val="clear" w:pos="2665"/>
        </w:tabs>
        <w:ind w:left="391"/>
        <w:rPr>
          <w:rtl/>
        </w:rPr>
      </w:pPr>
    </w:p>
    <w:p w:rsidR="003D34F6" w:rsidRDefault="003D34F6" w:rsidP="003D34F6">
      <w:pPr>
        <w:pStyle w:val="af1"/>
        <w:numPr>
          <w:ilvl w:val="0"/>
          <w:numId w:val="33"/>
        </w:numPr>
        <w:tabs>
          <w:tab w:val="clear" w:pos="567"/>
          <w:tab w:val="clear" w:pos="1134"/>
          <w:tab w:val="clear" w:pos="1814"/>
          <w:tab w:val="clear" w:pos="2665"/>
        </w:tabs>
        <w:ind w:left="391" w:hanging="425"/>
        <w:rPr>
          <w:b/>
          <w:bCs/>
        </w:rPr>
      </w:pPr>
      <w:r>
        <w:rPr>
          <w:rFonts w:hint="cs"/>
          <w:b/>
          <w:bCs/>
          <w:rtl/>
        </w:rPr>
        <w:t>בנק ישראל נקט בעבר בצעדים הדורשים הקצאת הון נוספת. האם צעד נוסף בתחום זה אינו מעיד על כך שהצעדים הקודמים של בנק ישראל בנושא נכשלו במטרתם להגדיל את כריות ההון?</w:t>
      </w:r>
    </w:p>
    <w:p w:rsidR="003D34F6" w:rsidRDefault="003D34F6" w:rsidP="003D34F6">
      <w:pPr>
        <w:pStyle w:val="af1"/>
        <w:tabs>
          <w:tab w:val="clear" w:pos="567"/>
          <w:tab w:val="clear" w:pos="1134"/>
          <w:tab w:val="clear" w:pos="1814"/>
          <w:tab w:val="clear" w:pos="2665"/>
        </w:tabs>
        <w:ind w:left="391"/>
        <w:rPr>
          <w:b/>
          <w:bCs/>
          <w:rtl/>
        </w:rPr>
      </w:pPr>
      <w:r>
        <w:rPr>
          <w:rFonts w:hint="cs"/>
          <w:b/>
          <w:bCs/>
          <w:rtl/>
        </w:rPr>
        <w:t>תשובה:</w:t>
      </w:r>
    </w:p>
    <w:p w:rsidR="005569A4" w:rsidRDefault="00D47650" w:rsidP="003C178A">
      <w:pPr>
        <w:pStyle w:val="af1"/>
        <w:tabs>
          <w:tab w:val="clear" w:pos="567"/>
          <w:tab w:val="clear" w:pos="1134"/>
          <w:tab w:val="clear" w:pos="1814"/>
          <w:tab w:val="clear" w:pos="2665"/>
        </w:tabs>
        <w:ind w:left="391"/>
        <w:rPr>
          <w:rtl/>
        </w:rPr>
      </w:pPr>
      <w:r>
        <w:rPr>
          <w:rFonts w:hint="cs"/>
          <w:rtl/>
        </w:rPr>
        <w:t xml:space="preserve">חלק </w:t>
      </w:r>
      <w:r w:rsidR="003C178A">
        <w:rPr>
          <w:rFonts w:hint="cs"/>
          <w:rtl/>
        </w:rPr>
        <w:t>מ</w:t>
      </w:r>
      <w:r>
        <w:rPr>
          <w:rFonts w:hint="cs"/>
          <w:rtl/>
        </w:rPr>
        <w:t xml:space="preserve">הצעדים הקודמים בתחום האשראי לדיור נועד להגדיל את כרית ההון של התאגידים הבנקאיים להפסדים בלתי צפויים, </w:t>
      </w:r>
      <w:r w:rsidR="003C178A">
        <w:rPr>
          <w:rFonts w:hint="cs"/>
          <w:rtl/>
        </w:rPr>
        <w:t xml:space="preserve">וביטאו את </w:t>
      </w:r>
      <w:r w:rsidR="005569A4">
        <w:rPr>
          <w:rFonts w:hint="cs"/>
          <w:rtl/>
        </w:rPr>
        <w:t xml:space="preserve">הערכות </w:t>
      </w:r>
      <w:r w:rsidR="003C178A">
        <w:rPr>
          <w:rFonts w:hint="cs"/>
          <w:rtl/>
        </w:rPr>
        <w:t>הסיכון במועדים בהם הם ננקטו.</w:t>
      </w:r>
      <w:r w:rsidR="005569A4">
        <w:rPr>
          <w:rFonts w:hint="cs"/>
          <w:rtl/>
        </w:rPr>
        <w:t xml:space="preserve"> </w:t>
      </w:r>
    </w:p>
    <w:p w:rsidR="003D34F6" w:rsidRPr="002622E3" w:rsidRDefault="00D47650" w:rsidP="00985E4C">
      <w:pPr>
        <w:pStyle w:val="af1"/>
        <w:tabs>
          <w:tab w:val="clear" w:pos="567"/>
          <w:tab w:val="clear" w:pos="1134"/>
          <w:tab w:val="clear" w:pos="1814"/>
          <w:tab w:val="clear" w:pos="2665"/>
        </w:tabs>
        <w:ind w:left="391"/>
        <w:rPr>
          <w:highlight w:val="yellow"/>
          <w:rtl/>
        </w:rPr>
      </w:pPr>
      <w:r>
        <w:rPr>
          <w:rFonts w:hint="cs"/>
          <w:rtl/>
        </w:rPr>
        <w:t xml:space="preserve">לנוכח </w:t>
      </w:r>
      <w:r w:rsidR="00797015">
        <w:rPr>
          <w:rFonts w:hint="cs"/>
          <w:rtl/>
        </w:rPr>
        <w:t>ה</w:t>
      </w:r>
      <w:r>
        <w:rPr>
          <w:rFonts w:hint="cs"/>
          <w:rtl/>
        </w:rPr>
        <w:t xml:space="preserve">גידול </w:t>
      </w:r>
      <w:r w:rsidR="00797015">
        <w:rPr>
          <w:rFonts w:hint="cs"/>
          <w:rtl/>
        </w:rPr>
        <w:t>ה</w:t>
      </w:r>
      <w:r>
        <w:rPr>
          <w:rFonts w:hint="cs"/>
          <w:rtl/>
        </w:rPr>
        <w:t>מתמשך באשראי לדיור</w:t>
      </w:r>
      <w:r w:rsidR="00905E4E">
        <w:rPr>
          <w:rFonts w:hint="cs"/>
          <w:rtl/>
        </w:rPr>
        <w:t xml:space="preserve">, </w:t>
      </w:r>
      <w:r w:rsidR="00985E4C">
        <w:rPr>
          <w:rFonts w:hint="cs"/>
          <w:rtl/>
        </w:rPr>
        <w:t xml:space="preserve">ובפרט </w:t>
      </w:r>
      <w:r>
        <w:rPr>
          <w:rFonts w:hint="cs"/>
          <w:rtl/>
        </w:rPr>
        <w:t>בחלקו בסך תיק האשראי הבנקאי</w:t>
      </w:r>
      <w:r w:rsidR="00797015">
        <w:rPr>
          <w:rFonts w:hint="cs"/>
          <w:rtl/>
        </w:rPr>
        <w:t xml:space="preserve"> והחשש לגידול הסיכונים בתיק זה, עולה הצורך להמשיך ולפעול להגדל</w:t>
      </w:r>
      <w:r w:rsidR="00985E4C">
        <w:rPr>
          <w:rFonts w:hint="cs"/>
          <w:rtl/>
        </w:rPr>
        <w:t>ה הדרגתית של</w:t>
      </w:r>
      <w:r w:rsidR="00797015">
        <w:rPr>
          <w:rFonts w:hint="cs"/>
          <w:rtl/>
        </w:rPr>
        <w:t xml:space="preserve"> כריות ההון </w:t>
      </w:r>
      <w:r w:rsidR="00797015" w:rsidRPr="00797015">
        <w:rPr>
          <w:rFonts w:hint="cs"/>
          <w:rtl/>
        </w:rPr>
        <w:t xml:space="preserve">בתאגידים הבנקאיים. </w:t>
      </w:r>
    </w:p>
    <w:p w:rsidR="00D47650" w:rsidRPr="00CC21FB" w:rsidRDefault="00D47650" w:rsidP="003D34F6">
      <w:pPr>
        <w:pStyle w:val="af1"/>
        <w:tabs>
          <w:tab w:val="clear" w:pos="567"/>
          <w:tab w:val="clear" w:pos="1134"/>
          <w:tab w:val="clear" w:pos="1814"/>
          <w:tab w:val="clear" w:pos="2665"/>
        </w:tabs>
        <w:ind w:left="391"/>
        <w:rPr>
          <w:rtl/>
        </w:rPr>
      </w:pPr>
    </w:p>
    <w:p w:rsidR="00D47650" w:rsidRDefault="00D47650" w:rsidP="00D47650">
      <w:pPr>
        <w:pStyle w:val="af1"/>
        <w:numPr>
          <w:ilvl w:val="0"/>
          <w:numId w:val="33"/>
        </w:numPr>
        <w:tabs>
          <w:tab w:val="clear" w:pos="567"/>
          <w:tab w:val="clear" w:pos="1134"/>
          <w:tab w:val="clear" w:pos="1814"/>
          <w:tab w:val="clear" w:pos="2665"/>
        </w:tabs>
        <w:ind w:left="391" w:hanging="425"/>
        <w:rPr>
          <w:b/>
          <w:bCs/>
        </w:rPr>
      </w:pPr>
      <w:r>
        <w:rPr>
          <w:rFonts w:hint="cs"/>
          <w:b/>
          <w:bCs/>
          <w:rtl/>
        </w:rPr>
        <w:t>שאלה: רק לפני שנתיים הודיע הפיקוח על מתווה להתאמת יחס הלימות ההון. האם אין בהוראה זו חוסר עקביות של הרגולציה כלפי המערכת הבנקאית?</w:t>
      </w:r>
    </w:p>
    <w:p w:rsidR="00D47650" w:rsidRPr="00D47650" w:rsidRDefault="00D47650" w:rsidP="00D47650">
      <w:pPr>
        <w:tabs>
          <w:tab w:val="clear" w:pos="567"/>
          <w:tab w:val="clear" w:pos="1134"/>
          <w:tab w:val="clear" w:pos="1814"/>
          <w:tab w:val="clear" w:pos="2665"/>
        </w:tabs>
        <w:ind w:left="391"/>
        <w:rPr>
          <w:b/>
          <w:bCs/>
        </w:rPr>
      </w:pPr>
      <w:r w:rsidRPr="00D47650">
        <w:rPr>
          <w:rFonts w:hint="cs"/>
          <w:b/>
          <w:bCs/>
          <w:rtl/>
        </w:rPr>
        <w:t>תשובה:</w:t>
      </w:r>
    </w:p>
    <w:p w:rsidR="000E26AF" w:rsidRDefault="00985E4C" w:rsidP="00791660">
      <w:pPr>
        <w:tabs>
          <w:tab w:val="clear" w:pos="567"/>
          <w:tab w:val="clear" w:pos="1134"/>
          <w:tab w:val="clear" w:pos="1814"/>
          <w:tab w:val="clear" w:pos="2665"/>
        </w:tabs>
        <w:ind w:left="391"/>
        <w:rPr>
          <w:rtl/>
        </w:rPr>
      </w:pPr>
      <w:r>
        <w:rPr>
          <w:rFonts w:hint="cs"/>
          <w:rtl/>
        </w:rPr>
        <w:t xml:space="preserve">התאמת יחסי </w:t>
      </w:r>
      <w:r w:rsidR="00090556">
        <w:rPr>
          <w:rFonts w:hint="cs"/>
          <w:rtl/>
        </w:rPr>
        <w:t xml:space="preserve">ההון </w:t>
      </w:r>
      <w:r w:rsidR="000E26AF">
        <w:rPr>
          <w:rFonts w:hint="cs"/>
          <w:rtl/>
        </w:rPr>
        <w:t>ה</w:t>
      </w:r>
      <w:r>
        <w:rPr>
          <w:rFonts w:hint="cs"/>
          <w:rtl/>
        </w:rPr>
        <w:t>נדרשים</w:t>
      </w:r>
      <w:r w:rsidR="000E26AF">
        <w:rPr>
          <w:rFonts w:hint="cs"/>
          <w:rtl/>
        </w:rPr>
        <w:t xml:space="preserve"> </w:t>
      </w:r>
      <w:r>
        <w:rPr>
          <w:rFonts w:hint="cs"/>
          <w:rtl/>
        </w:rPr>
        <w:t>מ</w:t>
      </w:r>
      <w:r w:rsidR="000E26AF">
        <w:rPr>
          <w:rFonts w:hint="cs"/>
          <w:rtl/>
        </w:rPr>
        <w:t xml:space="preserve">התאגידים הבנקאיים </w:t>
      </w:r>
      <w:r>
        <w:rPr>
          <w:rFonts w:hint="cs"/>
          <w:rtl/>
        </w:rPr>
        <w:t xml:space="preserve">והלימותם </w:t>
      </w:r>
      <w:r w:rsidR="00791660">
        <w:rPr>
          <w:rFonts w:hint="cs"/>
          <w:rtl/>
        </w:rPr>
        <w:t xml:space="preserve">לסיכונים הגלומים בפעילות הבנקאית, </w:t>
      </w:r>
      <w:r>
        <w:rPr>
          <w:rFonts w:hint="cs"/>
          <w:rtl/>
        </w:rPr>
        <w:t>לשינויים ולהתפתחויות בסביבה העסקית נבדקת באופן רציף</w:t>
      </w:r>
      <w:r w:rsidR="000E26AF">
        <w:rPr>
          <w:rFonts w:hint="cs"/>
          <w:rtl/>
        </w:rPr>
        <w:t xml:space="preserve">. </w:t>
      </w:r>
      <w:r w:rsidR="00791660">
        <w:rPr>
          <w:rFonts w:hint="cs"/>
          <w:rtl/>
        </w:rPr>
        <w:t>לפיכך</w:t>
      </w:r>
      <w:r w:rsidR="000E26AF">
        <w:rPr>
          <w:rFonts w:hint="cs"/>
          <w:rtl/>
        </w:rPr>
        <w:t xml:space="preserve">, </w:t>
      </w:r>
      <w:r w:rsidR="003A677E">
        <w:rPr>
          <w:rFonts w:hint="cs"/>
          <w:rtl/>
        </w:rPr>
        <w:t>ה</w:t>
      </w:r>
      <w:r w:rsidR="000E26AF">
        <w:rPr>
          <w:rFonts w:hint="cs"/>
          <w:rtl/>
        </w:rPr>
        <w:t xml:space="preserve">צעד הנוכחי </w:t>
      </w:r>
      <w:r w:rsidR="003A677E">
        <w:rPr>
          <w:rFonts w:hint="cs"/>
          <w:rtl/>
        </w:rPr>
        <w:t xml:space="preserve">מהווה </w:t>
      </w:r>
      <w:r w:rsidR="00D47650">
        <w:rPr>
          <w:rFonts w:hint="cs"/>
          <w:rtl/>
        </w:rPr>
        <w:t xml:space="preserve">המשך </w:t>
      </w:r>
      <w:r w:rsidR="003A677E">
        <w:rPr>
          <w:rFonts w:hint="cs"/>
          <w:rtl/>
        </w:rPr>
        <w:t xml:space="preserve">עקבי </w:t>
      </w:r>
      <w:r w:rsidR="00D47650">
        <w:rPr>
          <w:rFonts w:hint="cs"/>
          <w:rtl/>
        </w:rPr>
        <w:t xml:space="preserve">לצעדים קודמים שננקטו על ידי הפיקוח על הבנקים בנושא </w:t>
      </w:r>
      <w:r w:rsidR="00791660">
        <w:rPr>
          <w:rFonts w:hint="cs"/>
          <w:rtl/>
        </w:rPr>
        <w:t>דרישות</w:t>
      </w:r>
      <w:r w:rsidR="00D47650">
        <w:rPr>
          <w:rFonts w:hint="cs"/>
          <w:rtl/>
        </w:rPr>
        <w:t xml:space="preserve"> ההון</w:t>
      </w:r>
      <w:r w:rsidR="00791660">
        <w:rPr>
          <w:rFonts w:hint="cs"/>
          <w:rtl/>
        </w:rPr>
        <w:t xml:space="preserve"> </w:t>
      </w:r>
      <w:r w:rsidR="00791660">
        <w:rPr>
          <w:rtl/>
        </w:rPr>
        <w:t>–</w:t>
      </w:r>
      <w:r w:rsidR="00791660">
        <w:rPr>
          <w:rFonts w:hint="cs"/>
          <w:rtl/>
        </w:rPr>
        <w:t xml:space="preserve"> הן באזל 3 והן צעדים ספציפיים שננקטו בקשר עם ההלוואות לדיור</w:t>
      </w:r>
      <w:r w:rsidR="000E26AF">
        <w:rPr>
          <w:rFonts w:hint="cs"/>
          <w:rtl/>
        </w:rPr>
        <w:t>.</w:t>
      </w:r>
    </w:p>
    <w:p w:rsidR="000B7D42" w:rsidRDefault="000B7D42">
      <w:pPr>
        <w:tabs>
          <w:tab w:val="clear" w:pos="567"/>
          <w:tab w:val="clear" w:pos="1134"/>
          <w:tab w:val="clear" w:pos="1814"/>
          <w:tab w:val="clear" w:pos="2665"/>
        </w:tabs>
        <w:bidi w:val="0"/>
        <w:spacing w:line="240" w:lineRule="auto"/>
        <w:jc w:val="left"/>
        <w:rPr>
          <w:b/>
          <w:bCs/>
          <w:rtl/>
        </w:rPr>
      </w:pPr>
      <w:r>
        <w:rPr>
          <w:b/>
          <w:bCs/>
          <w:rtl/>
        </w:rPr>
        <w:br w:type="page"/>
      </w:r>
    </w:p>
    <w:p w:rsidR="001156C5" w:rsidRDefault="001156C5" w:rsidP="00CC21FB">
      <w:pPr>
        <w:pStyle w:val="af1"/>
        <w:numPr>
          <w:ilvl w:val="0"/>
          <w:numId w:val="33"/>
        </w:numPr>
        <w:tabs>
          <w:tab w:val="clear" w:pos="567"/>
          <w:tab w:val="clear" w:pos="1134"/>
          <w:tab w:val="clear" w:pos="1814"/>
          <w:tab w:val="clear" w:pos="2665"/>
        </w:tabs>
        <w:ind w:left="391" w:hanging="425"/>
        <w:rPr>
          <w:b/>
          <w:bCs/>
        </w:rPr>
      </w:pPr>
      <w:r>
        <w:rPr>
          <w:rFonts w:hint="cs"/>
          <w:b/>
          <w:bCs/>
          <w:rtl/>
        </w:rPr>
        <w:lastRenderedPageBreak/>
        <w:t>תרחישי הקיצון של הפיקוח על הבנקים הראו כי המערכת הבנקאית עמידה ויציבה וגם בתרחישי קיצון לא צפויה להתערער היציבות. מדוע אם כן נדרשים צעדים אלה?</w:t>
      </w:r>
    </w:p>
    <w:p w:rsidR="001156C5" w:rsidRDefault="001156C5" w:rsidP="001156C5">
      <w:pPr>
        <w:tabs>
          <w:tab w:val="clear" w:pos="567"/>
          <w:tab w:val="clear" w:pos="1134"/>
          <w:tab w:val="clear" w:pos="1814"/>
          <w:tab w:val="clear" w:pos="2665"/>
        </w:tabs>
        <w:ind w:left="391"/>
        <w:rPr>
          <w:b/>
          <w:bCs/>
          <w:rtl/>
        </w:rPr>
      </w:pPr>
      <w:r>
        <w:rPr>
          <w:rFonts w:hint="cs"/>
          <w:b/>
          <w:bCs/>
          <w:rtl/>
        </w:rPr>
        <w:t>תשובה:</w:t>
      </w:r>
    </w:p>
    <w:p w:rsidR="008E35D8" w:rsidRDefault="00187613" w:rsidP="00AE0D37">
      <w:pPr>
        <w:tabs>
          <w:tab w:val="clear" w:pos="567"/>
          <w:tab w:val="clear" w:pos="1134"/>
          <w:tab w:val="clear" w:pos="1814"/>
          <w:tab w:val="clear" w:pos="2665"/>
        </w:tabs>
        <w:ind w:left="391"/>
        <w:rPr>
          <w:rtl/>
        </w:rPr>
      </w:pPr>
      <w:r>
        <w:rPr>
          <w:rFonts w:hint="cs"/>
          <w:rtl/>
        </w:rPr>
        <w:t xml:space="preserve">תרחישי הקיצון שהפיקוח על הבנקים ערך </w:t>
      </w:r>
      <w:r w:rsidR="00AE0D37">
        <w:rPr>
          <w:rFonts w:hint="cs"/>
          <w:rtl/>
        </w:rPr>
        <w:t xml:space="preserve">אכן </w:t>
      </w:r>
      <w:r>
        <w:rPr>
          <w:rFonts w:hint="cs"/>
          <w:rtl/>
        </w:rPr>
        <w:t xml:space="preserve">הראו שהמערכת הבנקאית בישראל מסוגלת לעמוד בפני זעזועים כלכליים משמעותיים. עם זאת, התרחישים הראו שאחד ממוקדי הסיכון העיקריים נובע מרמת החשיפה הגבוהה להלוואות לדיור. </w:t>
      </w:r>
      <w:r w:rsidR="00AE0D37">
        <w:rPr>
          <w:rFonts w:hint="cs"/>
          <w:rtl/>
        </w:rPr>
        <w:t>מכיוון שרמת החשיפה נמצאת במגמת גידול נמשכת, הצעד הנוכחי נועד לשמר רמה גבוהה של איתנות גם בעתיד הקרוב.</w:t>
      </w:r>
    </w:p>
    <w:p w:rsidR="001D30D2" w:rsidRPr="001156C5" w:rsidRDefault="001D30D2" w:rsidP="00DA28C2">
      <w:pPr>
        <w:tabs>
          <w:tab w:val="clear" w:pos="567"/>
          <w:tab w:val="clear" w:pos="1134"/>
          <w:tab w:val="clear" w:pos="1814"/>
          <w:tab w:val="clear" w:pos="2665"/>
        </w:tabs>
        <w:ind w:left="391"/>
      </w:pPr>
    </w:p>
    <w:p w:rsidR="00B71FF0" w:rsidRPr="00CA57AD" w:rsidRDefault="00400F4D" w:rsidP="008E5B8C">
      <w:pPr>
        <w:pStyle w:val="af1"/>
        <w:numPr>
          <w:ilvl w:val="0"/>
          <w:numId w:val="33"/>
        </w:numPr>
        <w:tabs>
          <w:tab w:val="clear" w:pos="567"/>
          <w:tab w:val="clear" w:pos="1134"/>
          <w:tab w:val="clear" w:pos="1814"/>
          <w:tab w:val="clear" w:pos="2665"/>
        </w:tabs>
        <w:ind w:left="391" w:hanging="425"/>
        <w:rPr>
          <w:b/>
          <w:bCs/>
          <w:rtl/>
        </w:rPr>
      </w:pPr>
      <w:r>
        <w:rPr>
          <w:rFonts w:hint="cs"/>
          <w:b/>
          <w:bCs/>
          <w:rtl/>
        </w:rPr>
        <w:t xml:space="preserve">שאלה: </w:t>
      </w:r>
      <w:r w:rsidR="00B71FF0">
        <w:rPr>
          <w:rFonts w:hint="cs"/>
          <w:b/>
          <w:bCs/>
          <w:rtl/>
        </w:rPr>
        <w:t xml:space="preserve">מה קובעת </w:t>
      </w:r>
      <w:r w:rsidR="00A7555F">
        <w:rPr>
          <w:rFonts w:hint="cs"/>
          <w:b/>
          <w:bCs/>
          <w:rtl/>
        </w:rPr>
        <w:t xml:space="preserve">טיוטת </w:t>
      </w:r>
      <w:r w:rsidR="008E5B8C">
        <w:rPr>
          <w:rFonts w:hint="cs"/>
          <w:b/>
          <w:bCs/>
          <w:rtl/>
        </w:rPr>
        <w:t xml:space="preserve">ההוראה </w:t>
      </w:r>
      <w:r w:rsidR="00CC21FB">
        <w:rPr>
          <w:rFonts w:hint="cs"/>
          <w:b/>
          <w:bCs/>
          <w:rtl/>
        </w:rPr>
        <w:t>החדשה</w:t>
      </w:r>
      <w:r w:rsidR="00B71FF0">
        <w:rPr>
          <w:rFonts w:hint="cs"/>
          <w:b/>
          <w:bCs/>
          <w:rtl/>
        </w:rPr>
        <w:t>?</w:t>
      </w:r>
    </w:p>
    <w:p w:rsidR="00B71FF0" w:rsidRPr="00417725" w:rsidRDefault="00B71FF0" w:rsidP="00B71FF0">
      <w:pPr>
        <w:pStyle w:val="af1"/>
        <w:tabs>
          <w:tab w:val="clear" w:pos="567"/>
          <w:tab w:val="clear" w:pos="1134"/>
          <w:tab w:val="clear" w:pos="1814"/>
          <w:tab w:val="clear" w:pos="2665"/>
        </w:tabs>
        <w:ind w:left="391"/>
        <w:rPr>
          <w:b/>
          <w:bCs/>
          <w:rtl/>
        </w:rPr>
      </w:pPr>
      <w:r w:rsidRPr="00417725">
        <w:rPr>
          <w:rFonts w:hint="cs"/>
          <w:b/>
          <w:bCs/>
          <w:rtl/>
        </w:rPr>
        <w:t>תשובה</w:t>
      </w:r>
      <w:r>
        <w:rPr>
          <w:rFonts w:hint="cs"/>
          <w:b/>
          <w:bCs/>
          <w:rtl/>
        </w:rPr>
        <w:t>:</w:t>
      </w:r>
    </w:p>
    <w:p w:rsidR="00B71FF0" w:rsidRDefault="00A7555F" w:rsidP="00A7555F">
      <w:pPr>
        <w:pStyle w:val="af1"/>
        <w:tabs>
          <w:tab w:val="clear" w:pos="567"/>
          <w:tab w:val="clear" w:pos="1134"/>
          <w:tab w:val="clear" w:pos="1814"/>
          <w:tab w:val="clear" w:pos="2665"/>
        </w:tabs>
        <w:ind w:left="391"/>
        <w:rPr>
          <w:rtl/>
        </w:rPr>
      </w:pPr>
      <w:r>
        <w:rPr>
          <w:rFonts w:hint="cs"/>
          <w:rtl/>
        </w:rPr>
        <w:t xml:space="preserve">טיוטת </w:t>
      </w:r>
      <w:r w:rsidR="0067450F">
        <w:rPr>
          <w:rFonts w:hint="cs"/>
          <w:rtl/>
        </w:rPr>
        <w:t>ההוראה קובעת, שמעבר ליעדים שקבע המפקח ליחס הון הליבה עבור התאגידים הבנקאיים (9% עד שנת 2015, ו-10% עד 2017 לשני הבנקים הגדולים), יהיה על התאגידים הבנקאיים להגדיל</w:t>
      </w:r>
      <w:r w:rsidR="00791660">
        <w:rPr>
          <w:rFonts w:hint="cs"/>
          <w:rtl/>
        </w:rPr>
        <w:t>, באופן הדרגתי</w:t>
      </w:r>
      <w:r w:rsidR="0067450F">
        <w:rPr>
          <w:rFonts w:hint="cs"/>
          <w:rtl/>
        </w:rPr>
        <w:t xml:space="preserve"> את יעד הון הליבה בשיעור המבטא 1% מיתרת תיק האשראי לדיור. </w:t>
      </w:r>
    </w:p>
    <w:p w:rsidR="001D30D2" w:rsidRDefault="001D30D2" w:rsidP="0067450F">
      <w:pPr>
        <w:pStyle w:val="af1"/>
        <w:tabs>
          <w:tab w:val="clear" w:pos="567"/>
          <w:tab w:val="clear" w:pos="1134"/>
          <w:tab w:val="clear" w:pos="1814"/>
          <w:tab w:val="clear" w:pos="2665"/>
        </w:tabs>
        <w:ind w:left="391"/>
        <w:rPr>
          <w:rtl/>
        </w:rPr>
      </w:pPr>
    </w:p>
    <w:p w:rsidR="0067450F" w:rsidRDefault="0067450F" w:rsidP="008E5B8C">
      <w:pPr>
        <w:pStyle w:val="af1"/>
        <w:numPr>
          <w:ilvl w:val="0"/>
          <w:numId w:val="33"/>
        </w:numPr>
        <w:tabs>
          <w:tab w:val="clear" w:pos="567"/>
          <w:tab w:val="clear" w:pos="1134"/>
          <w:tab w:val="clear" w:pos="1814"/>
          <w:tab w:val="clear" w:pos="2665"/>
        </w:tabs>
        <w:ind w:left="391" w:hanging="425"/>
        <w:rPr>
          <w:b/>
          <w:bCs/>
        </w:rPr>
      </w:pPr>
      <w:r>
        <w:rPr>
          <w:rFonts w:hint="cs"/>
          <w:b/>
          <w:bCs/>
          <w:rtl/>
        </w:rPr>
        <w:t xml:space="preserve">שאלה: מתי </w:t>
      </w:r>
      <w:r w:rsidR="008E5B8C">
        <w:rPr>
          <w:rFonts w:hint="cs"/>
          <w:b/>
          <w:bCs/>
          <w:rtl/>
        </w:rPr>
        <w:t xml:space="preserve">מיועדת </w:t>
      </w:r>
      <w:r>
        <w:rPr>
          <w:rFonts w:hint="cs"/>
          <w:b/>
          <w:bCs/>
          <w:rtl/>
        </w:rPr>
        <w:t>ההוראה</w:t>
      </w:r>
      <w:r w:rsidR="008E5B8C">
        <w:rPr>
          <w:rFonts w:hint="cs"/>
          <w:b/>
          <w:bCs/>
          <w:rtl/>
        </w:rPr>
        <w:t xml:space="preserve"> להיכנס</w:t>
      </w:r>
      <w:r>
        <w:rPr>
          <w:rFonts w:hint="cs"/>
          <w:b/>
          <w:bCs/>
          <w:rtl/>
        </w:rPr>
        <w:t xml:space="preserve"> לתוקף? ומה משמעות היישום ההדרגתי עד 2017?</w:t>
      </w:r>
    </w:p>
    <w:p w:rsidR="0067450F" w:rsidRDefault="0067450F" w:rsidP="0067450F">
      <w:pPr>
        <w:tabs>
          <w:tab w:val="clear" w:pos="567"/>
          <w:tab w:val="clear" w:pos="1134"/>
          <w:tab w:val="clear" w:pos="1814"/>
          <w:tab w:val="clear" w:pos="2665"/>
        </w:tabs>
        <w:ind w:left="391"/>
        <w:rPr>
          <w:b/>
          <w:bCs/>
          <w:rtl/>
        </w:rPr>
      </w:pPr>
      <w:r>
        <w:rPr>
          <w:rFonts w:hint="cs"/>
          <w:b/>
          <w:bCs/>
          <w:rtl/>
        </w:rPr>
        <w:t>תשובה:</w:t>
      </w:r>
    </w:p>
    <w:p w:rsidR="0067450F" w:rsidRDefault="0067450F" w:rsidP="00090556">
      <w:pPr>
        <w:tabs>
          <w:tab w:val="clear" w:pos="567"/>
          <w:tab w:val="clear" w:pos="1134"/>
          <w:tab w:val="clear" w:pos="1814"/>
          <w:tab w:val="clear" w:pos="2665"/>
        </w:tabs>
        <w:ind w:left="391"/>
        <w:rPr>
          <w:rtl/>
        </w:rPr>
      </w:pPr>
      <w:r>
        <w:rPr>
          <w:rFonts w:hint="cs"/>
          <w:rtl/>
        </w:rPr>
        <w:t xml:space="preserve">מועד התחולה לעמידה ביעד ההון שנקבע בטיוטת ההוראה הוא 1 בינואר 2017, כאשר היישום יהיה הדרגתי. היישום ההדרגתי מאפשר לבנקים לבצע תכנון הון </w:t>
      </w:r>
      <w:r w:rsidR="00D47650">
        <w:rPr>
          <w:rFonts w:hint="cs"/>
          <w:rtl/>
        </w:rPr>
        <w:t xml:space="preserve">נאות להשגת היעד, </w:t>
      </w:r>
      <w:r w:rsidR="00090556">
        <w:rPr>
          <w:rFonts w:hint="cs"/>
          <w:rtl/>
        </w:rPr>
        <w:t>וליישם את ההנחיה מבלי לבצע שינויים חדים בהתנהלותם.</w:t>
      </w:r>
      <w:r>
        <w:rPr>
          <w:rFonts w:hint="cs"/>
          <w:rtl/>
        </w:rPr>
        <w:t xml:space="preserve">  </w:t>
      </w:r>
    </w:p>
    <w:p w:rsidR="001D30D2" w:rsidRPr="0067450F" w:rsidRDefault="001D30D2" w:rsidP="00D47650">
      <w:pPr>
        <w:tabs>
          <w:tab w:val="clear" w:pos="567"/>
          <w:tab w:val="clear" w:pos="1134"/>
          <w:tab w:val="clear" w:pos="1814"/>
          <w:tab w:val="clear" w:pos="2665"/>
        </w:tabs>
        <w:ind w:left="391"/>
      </w:pPr>
    </w:p>
    <w:p w:rsidR="007D5272" w:rsidRDefault="00F36E2A" w:rsidP="007D5272">
      <w:pPr>
        <w:pStyle w:val="af1"/>
        <w:numPr>
          <w:ilvl w:val="0"/>
          <w:numId w:val="33"/>
        </w:numPr>
        <w:tabs>
          <w:tab w:val="clear" w:pos="567"/>
          <w:tab w:val="clear" w:pos="1134"/>
          <w:tab w:val="clear" w:pos="1814"/>
          <w:tab w:val="clear" w:pos="2665"/>
        </w:tabs>
        <w:ind w:left="391" w:hanging="425"/>
        <w:rPr>
          <w:b/>
          <w:bCs/>
        </w:rPr>
      </w:pPr>
      <w:r>
        <w:rPr>
          <w:rFonts w:hint="cs"/>
          <w:b/>
          <w:bCs/>
          <w:rtl/>
        </w:rPr>
        <w:t xml:space="preserve">שאלה: </w:t>
      </w:r>
      <w:r w:rsidR="007D5272">
        <w:rPr>
          <w:rFonts w:hint="cs"/>
          <w:b/>
          <w:bCs/>
          <w:rtl/>
        </w:rPr>
        <w:t>כיצד הצעד צפוי להשפיע על דרישות ההון של המערכת הבנקאית?</w:t>
      </w:r>
    </w:p>
    <w:p w:rsidR="007D5272" w:rsidRDefault="007D5272" w:rsidP="007D5272">
      <w:pPr>
        <w:pStyle w:val="af1"/>
        <w:tabs>
          <w:tab w:val="clear" w:pos="567"/>
          <w:tab w:val="clear" w:pos="1134"/>
          <w:tab w:val="clear" w:pos="1814"/>
          <w:tab w:val="clear" w:pos="2665"/>
        </w:tabs>
        <w:ind w:left="391"/>
        <w:rPr>
          <w:b/>
          <w:bCs/>
          <w:rtl/>
        </w:rPr>
      </w:pPr>
      <w:r>
        <w:rPr>
          <w:rFonts w:hint="cs"/>
          <w:b/>
          <w:bCs/>
          <w:rtl/>
        </w:rPr>
        <w:t>תשובה:</w:t>
      </w:r>
    </w:p>
    <w:p w:rsidR="007D5272" w:rsidRDefault="007D5272" w:rsidP="00905E4E">
      <w:pPr>
        <w:pStyle w:val="af1"/>
        <w:tabs>
          <w:tab w:val="clear" w:pos="567"/>
          <w:tab w:val="clear" w:pos="1134"/>
          <w:tab w:val="clear" w:pos="1814"/>
          <w:tab w:val="clear" w:pos="2665"/>
        </w:tabs>
        <w:ind w:left="391"/>
        <w:rPr>
          <w:rtl/>
        </w:rPr>
      </w:pPr>
      <w:r w:rsidRPr="00D57EA7">
        <w:rPr>
          <w:rFonts w:hint="cs"/>
          <w:rtl/>
        </w:rPr>
        <w:t>הצעד צפוי להגדיל את כריות ההון של סך המערכת הבנקאית בהיקף של כ-</w:t>
      </w:r>
      <w:r>
        <w:rPr>
          <w:rFonts w:hint="cs"/>
          <w:rtl/>
        </w:rPr>
        <w:t>2.7 מיליארדי ש"ח, המהווה גידול של כ-0.3 נקודות האחוז ביחס הון עצמי רובד 1. השפעת הצעד צפויה להיות שונה בין התאגידים הבנקאיים בהתאם להיקף תיק האשראי לדיור שלהם</w:t>
      </w:r>
      <w:r w:rsidR="00905E4E">
        <w:rPr>
          <w:rFonts w:hint="cs"/>
          <w:rtl/>
        </w:rPr>
        <w:t>:</w:t>
      </w:r>
    </w:p>
    <w:p w:rsidR="0067450F" w:rsidRDefault="0067450F" w:rsidP="007D5272">
      <w:pPr>
        <w:pStyle w:val="af1"/>
        <w:tabs>
          <w:tab w:val="clear" w:pos="567"/>
          <w:tab w:val="clear" w:pos="1134"/>
          <w:tab w:val="clear" w:pos="1814"/>
          <w:tab w:val="clear" w:pos="2665"/>
        </w:tabs>
        <w:ind w:left="391"/>
        <w:rPr>
          <w:rtl/>
        </w:rPr>
      </w:pPr>
    </w:p>
    <w:tbl>
      <w:tblPr>
        <w:tblStyle w:val="ac"/>
        <w:bidiVisual/>
        <w:tblW w:w="9039" w:type="dxa"/>
        <w:tblInd w:w="391" w:type="dxa"/>
        <w:tblLook w:val="04A0" w:firstRow="1" w:lastRow="0" w:firstColumn="1" w:lastColumn="0" w:noHBand="0" w:noVBand="1"/>
      </w:tblPr>
      <w:tblGrid>
        <w:gridCol w:w="2518"/>
        <w:gridCol w:w="851"/>
        <w:gridCol w:w="991"/>
        <w:gridCol w:w="993"/>
        <w:gridCol w:w="708"/>
        <w:gridCol w:w="851"/>
        <w:gridCol w:w="1153"/>
        <w:gridCol w:w="974"/>
      </w:tblGrid>
      <w:tr w:rsidR="0067450F" w:rsidTr="002B26EC">
        <w:trPr>
          <w:trHeight w:val="454"/>
        </w:trPr>
        <w:tc>
          <w:tcPr>
            <w:tcW w:w="2518" w:type="dxa"/>
          </w:tcPr>
          <w:p w:rsidR="0067450F" w:rsidRPr="0067450F" w:rsidRDefault="0067450F" w:rsidP="0067450F">
            <w:pPr>
              <w:pStyle w:val="af1"/>
              <w:tabs>
                <w:tab w:val="clear" w:pos="567"/>
                <w:tab w:val="clear" w:pos="1134"/>
                <w:tab w:val="clear" w:pos="1814"/>
                <w:tab w:val="clear" w:pos="2665"/>
              </w:tabs>
              <w:ind w:left="0"/>
              <w:jc w:val="center"/>
              <w:rPr>
                <w:b/>
                <w:bCs/>
                <w:rtl/>
              </w:rPr>
            </w:pPr>
          </w:p>
        </w:tc>
        <w:tc>
          <w:tcPr>
            <w:tcW w:w="851" w:type="dxa"/>
            <w:vAlign w:val="center"/>
          </w:tcPr>
          <w:p w:rsidR="0067450F" w:rsidRPr="0067450F" w:rsidRDefault="0067450F" w:rsidP="000B7D42">
            <w:pPr>
              <w:pStyle w:val="af1"/>
              <w:tabs>
                <w:tab w:val="clear" w:pos="567"/>
                <w:tab w:val="clear" w:pos="1134"/>
                <w:tab w:val="clear" w:pos="1814"/>
                <w:tab w:val="clear" w:pos="2665"/>
              </w:tabs>
              <w:spacing w:line="276" w:lineRule="auto"/>
              <w:ind w:left="0"/>
              <w:jc w:val="center"/>
              <w:rPr>
                <w:b/>
                <w:bCs/>
                <w:rtl/>
              </w:rPr>
            </w:pPr>
            <w:r w:rsidRPr="0067450F">
              <w:rPr>
                <w:rFonts w:hint="cs"/>
                <w:b/>
                <w:bCs/>
                <w:rtl/>
              </w:rPr>
              <w:t>לאומי</w:t>
            </w:r>
          </w:p>
        </w:tc>
        <w:tc>
          <w:tcPr>
            <w:tcW w:w="991" w:type="dxa"/>
            <w:vAlign w:val="center"/>
          </w:tcPr>
          <w:p w:rsidR="0067450F" w:rsidRPr="0067450F" w:rsidRDefault="0067450F" w:rsidP="000B7D42">
            <w:pPr>
              <w:pStyle w:val="af1"/>
              <w:tabs>
                <w:tab w:val="clear" w:pos="567"/>
                <w:tab w:val="clear" w:pos="1134"/>
                <w:tab w:val="clear" w:pos="1814"/>
                <w:tab w:val="clear" w:pos="2665"/>
              </w:tabs>
              <w:spacing w:line="276" w:lineRule="auto"/>
              <w:ind w:left="0"/>
              <w:jc w:val="center"/>
              <w:rPr>
                <w:b/>
                <w:bCs/>
                <w:rtl/>
              </w:rPr>
            </w:pPr>
            <w:r w:rsidRPr="0067450F">
              <w:rPr>
                <w:rFonts w:hint="cs"/>
                <w:b/>
                <w:bCs/>
                <w:rtl/>
              </w:rPr>
              <w:t>דיסקונט</w:t>
            </w:r>
          </w:p>
        </w:tc>
        <w:tc>
          <w:tcPr>
            <w:tcW w:w="993" w:type="dxa"/>
            <w:vAlign w:val="center"/>
          </w:tcPr>
          <w:p w:rsidR="0067450F" w:rsidRPr="0067450F" w:rsidRDefault="00791660" w:rsidP="000B7D42">
            <w:pPr>
              <w:pStyle w:val="af1"/>
              <w:tabs>
                <w:tab w:val="clear" w:pos="567"/>
                <w:tab w:val="clear" w:pos="1134"/>
                <w:tab w:val="clear" w:pos="1814"/>
                <w:tab w:val="clear" w:pos="2665"/>
              </w:tabs>
              <w:spacing w:line="276" w:lineRule="auto"/>
              <w:ind w:left="0"/>
              <w:jc w:val="center"/>
              <w:rPr>
                <w:b/>
                <w:bCs/>
                <w:rtl/>
              </w:rPr>
            </w:pPr>
            <w:r>
              <w:rPr>
                <w:rFonts w:hint="cs"/>
                <w:b/>
                <w:bCs/>
                <w:rtl/>
              </w:rPr>
              <w:t>ה</w:t>
            </w:r>
            <w:r w:rsidR="0067450F" w:rsidRPr="0067450F">
              <w:rPr>
                <w:rFonts w:hint="cs"/>
                <w:b/>
                <w:bCs/>
                <w:rtl/>
              </w:rPr>
              <w:t>פועלים</w:t>
            </w:r>
          </w:p>
        </w:tc>
        <w:tc>
          <w:tcPr>
            <w:tcW w:w="708" w:type="dxa"/>
            <w:vAlign w:val="center"/>
          </w:tcPr>
          <w:p w:rsidR="0067450F" w:rsidRPr="0067450F" w:rsidRDefault="0067450F" w:rsidP="000B7D42">
            <w:pPr>
              <w:pStyle w:val="af1"/>
              <w:tabs>
                <w:tab w:val="clear" w:pos="567"/>
                <w:tab w:val="clear" w:pos="1134"/>
                <w:tab w:val="clear" w:pos="1814"/>
                <w:tab w:val="clear" w:pos="2665"/>
              </w:tabs>
              <w:spacing w:line="276" w:lineRule="auto"/>
              <w:ind w:left="0"/>
              <w:jc w:val="center"/>
              <w:rPr>
                <w:b/>
                <w:bCs/>
                <w:rtl/>
              </w:rPr>
            </w:pPr>
            <w:r w:rsidRPr="0067450F">
              <w:rPr>
                <w:rFonts w:hint="cs"/>
                <w:b/>
                <w:bCs/>
                <w:rtl/>
              </w:rPr>
              <w:t>אגוד</w:t>
            </w:r>
          </w:p>
        </w:tc>
        <w:tc>
          <w:tcPr>
            <w:tcW w:w="851" w:type="dxa"/>
            <w:vAlign w:val="center"/>
          </w:tcPr>
          <w:p w:rsidR="0067450F" w:rsidRPr="0067450F" w:rsidRDefault="0067450F" w:rsidP="000B7D42">
            <w:pPr>
              <w:pStyle w:val="af1"/>
              <w:tabs>
                <w:tab w:val="clear" w:pos="567"/>
                <w:tab w:val="clear" w:pos="1134"/>
                <w:tab w:val="clear" w:pos="1814"/>
                <w:tab w:val="clear" w:pos="2665"/>
              </w:tabs>
              <w:spacing w:line="276" w:lineRule="auto"/>
              <w:ind w:left="0"/>
              <w:jc w:val="center"/>
              <w:rPr>
                <w:b/>
                <w:bCs/>
                <w:rtl/>
              </w:rPr>
            </w:pPr>
            <w:r w:rsidRPr="0067450F">
              <w:rPr>
                <w:rFonts w:hint="cs"/>
                <w:b/>
                <w:bCs/>
                <w:rtl/>
              </w:rPr>
              <w:t>מזרחי</w:t>
            </w:r>
          </w:p>
        </w:tc>
        <w:tc>
          <w:tcPr>
            <w:tcW w:w="1153" w:type="dxa"/>
            <w:vAlign w:val="center"/>
          </w:tcPr>
          <w:p w:rsidR="0067450F" w:rsidRPr="0067450F" w:rsidRDefault="0067450F" w:rsidP="000B7D42">
            <w:pPr>
              <w:pStyle w:val="af1"/>
              <w:tabs>
                <w:tab w:val="clear" w:pos="567"/>
                <w:tab w:val="clear" w:pos="1134"/>
                <w:tab w:val="clear" w:pos="1814"/>
                <w:tab w:val="clear" w:pos="2665"/>
              </w:tabs>
              <w:spacing w:line="276" w:lineRule="auto"/>
              <w:ind w:left="0"/>
              <w:jc w:val="center"/>
              <w:rPr>
                <w:b/>
                <w:bCs/>
                <w:rtl/>
              </w:rPr>
            </w:pPr>
            <w:r w:rsidRPr="0067450F">
              <w:rPr>
                <w:rFonts w:hint="cs"/>
                <w:b/>
                <w:bCs/>
                <w:rtl/>
              </w:rPr>
              <w:t>הבינלאומי</w:t>
            </w:r>
          </w:p>
        </w:tc>
        <w:tc>
          <w:tcPr>
            <w:tcW w:w="974" w:type="dxa"/>
            <w:vAlign w:val="center"/>
          </w:tcPr>
          <w:p w:rsidR="0067450F" w:rsidRPr="0067450F" w:rsidRDefault="0067450F" w:rsidP="000B7D42">
            <w:pPr>
              <w:pStyle w:val="af1"/>
              <w:tabs>
                <w:tab w:val="clear" w:pos="567"/>
                <w:tab w:val="clear" w:pos="1134"/>
                <w:tab w:val="clear" w:pos="1814"/>
                <w:tab w:val="clear" w:pos="2665"/>
              </w:tabs>
              <w:spacing w:line="276" w:lineRule="auto"/>
              <w:ind w:left="0"/>
              <w:jc w:val="center"/>
              <w:rPr>
                <w:b/>
                <w:bCs/>
                <w:rtl/>
              </w:rPr>
            </w:pPr>
            <w:r w:rsidRPr="0067450F">
              <w:rPr>
                <w:rFonts w:hint="cs"/>
                <w:b/>
                <w:bCs/>
                <w:rtl/>
              </w:rPr>
              <w:t>ירושלים</w:t>
            </w:r>
          </w:p>
        </w:tc>
      </w:tr>
      <w:tr w:rsidR="00791660" w:rsidTr="002B26EC">
        <w:trPr>
          <w:trHeight w:val="454"/>
        </w:trPr>
        <w:tc>
          <w:tcPr>
            <w:tcW w:w="2518" w:type="dxa"/>
            <w:vAlign w:val="center"/>
          </w:tcPr>
          <w:p w:rsidR="002B26EC" w:rsidRDefault="00F972E1" w:rsidP="000B7D42">
            <w:pPr>
              <w:pStyle w:val="af1"/>
              <w:tabs>
                <w:tab w:val="clear" w:pos="567"/>
                <w:tab w:val="clear" w:pos="1134"/>
                <w:tab w:val="clear" w:pos="1814"/>
                <w:tab w:val="clear" w:pos="2665"/>
              </w:tabs>
              <w:spacing w:line="240" w:lineRule="auto"/>
              <w:ind w:left="0"/>
              <w:jc w:val="left"/>
              <w:rPr>
                <w:rFonts w:hint="cs"/>
                <w:sz w:val="22"/>
                <w:szCs w:val="22"/>
                <w:rtl/>
              </w:rPr>
            </w:pPr>
            <w:r w:rsidRPr="000B7D42">
              <w:rPr>
                <w:rFonts w:hint="cs"/>
                <w:sz w:val="22"/>
                <w:szCs w:val="22"/>
                <w:rtl/>
              </w:rPr>
              <w:t>אומדן ל</w:t>
            </w:r>
            <w:r w:rsidR="00791660" w:rsidRPr="000B7D42">
              <w:rPr>
                <w:rFonts w:hint="cs"/>
                <w:sz w:val="22"/>
                <w:szCs w:val="22"/>
                <w:rtl/>
              </w:rPr>
              <w:t xml:space="preserve">תוספת ההון </w:t>
            </w:r>
          </w:p>
          <w:p w:rsidR="00791660" w:rsidRPr="000B7D42" w:rsidRDefault="00791660" w:rsidP="000B7D42">
            <w:pPr>
              <w:pStyle w:val="af1"/>
              <w:tabs>
                <w:tab w:val="clear" w:pos="567"/>
                <w:tab w:val="clear" w:pos="1134"/>
                <w:tab w:val="clear" w:pos="1814"/>
                <w:tab w:val="clear" w:pos="2665"/>
              </w:tabs>
              <w:spacing w:line="240" w:lineRule="auto"/>
              <w:ind w:left="0"/>
              <w:jc w:val="left"/>
              <w:rPr>
                <w:sz w:val="22"/>
                <w:szCs w:val="22"/>
                <w:rtl/>
              </w:rPr>
            </w:pPr>
            <w:r w:rsidRPr="000B7D42">
              <w:rPr>
                <w:rFonts w:hint="cs"/>
                <w:sz w:val="22"/>
                <w:szCs w:val="22"/>
                <w:rtl/>
              </w:rPr>
              <w:t>(נק' אחוז)</w:t>
            </w:r>
          </w:p>
        </w:tc>
        <w:tc>
          <w:tcPr>
            <w:tcW w:w="851" w:type="dxa"/>
            <w:vAlign w:val="center"/>
          </w:tcPr>
          <w:p w:rsidR="00791660" w:rsidRPr="002B26EC" w:rsidRDefault="00791660" w:rsidP="002B26EC">
            <w:pPr>
              <w:pStyle w:val="af1"/>
              <w:tabs>
                <w:tab w:val="clear" w:pos="567"/>
                <w:tab w:val="clear" w:pos="1134"/>
                <w:tab w:val="clear" w:pos="1814"/>
                <w:tab w:val="clear" w:pos="2665"/>
              </w:tabs>
              <w:spacing w:line="240" w:lineRule="auto"/>
              <w:ind w:left="0"/>
              <w:jc w:val="center"/>
              <w:rPr>
                <w:rtl/>
              </w:rPr>
            </w:pPr>
            <w:r w:rsidRPr="002B26EC">
              <w:rPr>
                <w:rFonts w:hint="cs"/>
                <w:rtl/>
              </w:rPr>
              <w:t>0.</w:t>
            </w:r>
            <w:r w:rsidR="00F972E1" w:rsidRPr="002B26EC">
              <w:rPr>
                <w:rFonts w:hint="cs"/>
                <w:rtl/>
              </w:rPr>
              <w:t>3</w:t>
            </w:r>
          </w:p>
        </w:tc>
        <w:tc>
          <w:tcPr>
            <w:tcW w:w="991" w:type="dxa"/>
            <w:vAlign w:val="center"/>
          </w:tcPr>
          <w:p w:rsidR="00791660" w:rsidRPr="002B26EC" w:rsidRDefault="00791660" w:rsidP="002B26EC">
            <w:pPr>
              <w:pStyle w:val="af1"/>
              <w:tabs>
                <w:tab w:val="clear" w:pos="567"/>
                <w:tab w:val="clear" w:pos="1134"/>
                <w:tab w:val="clear" w:pos="1814"/>
                <w:tab w:val="clear" w:pos="2665"/>
              </w:tabs>
              <w:spacing w:line="240" w:lineRule="auto"/>
              <w:ind w:left="0"/>
              <w:jc w:val="center"/>
              <w:rPr>
                <w:rtl/>
              </w:rPr>
            </w:pPr>
            <w:r w:rsidRPr="002B26EC">
              <w:rPr>
                <w:rFonts w:hint="cs"/>
                <w:rtl/>
              </w:rPr>
              <w:t>0.</w:t>
            </w:r>
            <w:r w:rsidR="00F972E1" w:rsidRPr="002B26EC">
              <w:rPr>
                <w:rFonts w:hint="cs"/>
                <w:rtl/>
              </w:rPr>
              <w:t>2</w:t>
            </w:r>
          </w:p>
        </w:tc>
        <w:tc>
          <w:tcPr>
            <w:tcW w:w="993" w:type="dxa"/>
            <w:vAlign w:val="center"/>
          </w:tcPr>
          <w:p w:rsidR="00791660" w:rsidRPr="002B26EC" w:rsidRDefault="00791660" w:rsidP="002B26EC">
            <w:pPr>
              <w:pStyle w:val="af1"/>
              <w:tabs>
                <w:tab w:val="clear" w:pos="567"/>
                <w:tab w:val="clear" w:pos="1134"/>
                <w:tab w:val="clear" w:pos="1814"/>
                <w:tab w:val="clear" w:pos="2665"/>
              </w:tabs>
              <w:spacing w:line="240" w:lineRule="auto"/>
              <w:ind w:left="0"/>
              <w:jc w:val="center"/>
              <w:rPr>
                <w:rtl/>
              </w:rPr>
            </w:pPr>
            <w:r w:rsidRPr="002B26EC">
              <w:rPr>
                <w:rFonts w:hint="cs"/>
                <w:rtl/>
              </w:rPr>
              <w:t>0.</w:t>
            </w:r>
            <w:r w:rsidR="00F972E1" w:rsidRPr="002B26EC">
              <w:rPr>
                <w:rFonts w:hint="cs"/>
                <w:rtl/>
              </w:rPr>
              <w:t>2</w:t>
            </w:r>
          </w:p>
        </w:tc>
        <w:tc>
          <w:tcPr>
            <w:tcW w:w="708" w:type="dxa"/>
            <w:vAlign w:val="center"/>
          </w:tcPr>
          <w:p w:rsidR="00791660" w:rsidRPr="002B26EC" w:rsidRDefault="00791660" w:rsidP="002B26EC">
            <w:pPr>
              <w:pStyle w:val="af1"/>
              <w:tabs>
                <w:tab w:val="clear" w:pos="567"/>
                <w:tab w:val="clear" w:pos="1134"/>
                <w:tab w:val="clear" w:pos="1814"/>
                <w:tab w:val="clear" w:pos="2665"/>
              </w:tabs>
              <w:spacing w:line="240" w:lineRule="auto"/>
              <w:ind w:left="0"/>
              <w:jc w:val="center"/>
              <w:rPr>
                <w:rtl/>
              </w:rPr>
            </w:pPr>
            <w:r w:rsidRPr="002B26EC">
              <w:rPr>
                <w:rFonts w:hint="cs"/>
                <w:rtl/>
              </w:rPr>
              <w:t>0.</w:t>
            </w:r>
            <w:r w:rsidR="00F972E1" w:rsidRPr="002B26EC">
              <w:rPr>
                <w:rFonts w:hint="cs"/>
                <w:rtl/>
              </w:rPr>
              <w:t>3</w:t>
            </w:r>
          </w:p>
        </w:tc>
        <w:tc>
          <w:tcPr>
            <w:tcW w:w="851" w:type="dxa"/>
            <w:vAlign w:val="center"/>
          </w:tcPr>
          <w:p w:rsidR="00791660" w:rsidRPr="002B26EC" w:rsidRDefault="00791660" w:rsidP="002B26EC">
            <w:pPr>
              <w:pStyle w:val="af1"/>
              <w:tabs>
                <w:tab w:val="clear" w:pos="567"/>
                <w:tab w:val="clear" w:pos="1134"/>
                <w:tab w:val="clear" w:pos="1814"/>
                <w:tab w:val="clear" w:pos="2665"/>
              </w:tabs>
              <w:spacing w:line="240" w:lineRule="auto"/>
              <w:ind w:left="0"/>
              <w:jc w:val="center"/>
              <w:rPr>
                <w:rtl/>
              </w:rPr>
            </w:pPr>
            <w:r w:rsidRPr="002B26EC">
              <w:rPr>
                <w:rFonts w:hint="cs"/>
                <w:rtl/>
              </w:rPr>
              <w:t>0.</w:t>
            </w:r>
            <w:r w:rsidR="00F972E1" w:rsidRPr="002B26EC">
              <w:rPr>
                <w:rFonts w:hint="cs"/>
                <w:rtl/>
              </w:rPr>
              <w:t>8</w:t>
            </w:r>
          </w:p>
        </w:tc>
        <w:tc>
          <w:tcPr>
            <w:tcW w:w="1153" w:type="dxa"/>
            <w:vAlign w:val="center"/>
          </w:tcPr>
          <w:p w:rsidR="00791660" w:rsidRPr="002B26EC" w:rsidRDefault="00791660" w:rsidP="002B26EC">
            <w:pPr>
              <w:pStyle w:val="af1"/>
              <w:tabs>
                <w:tab w:val="clear" w:pos="567"/>
                <w:tab w:val="clear" w:pos="1134"/>
                <w:tab w:val="clear" w:pos="1814"/>
                <w:tab w:val="clear" w:pos="2665"/>
              </w:tabs>
              <w:spacing w:line="240" w:lineRule="auto"/>
              <w:ind w:left="0"/>
              <w:jc w:val="center"/>
              <w:rPr>
                <w:rtl/>
              </w:rPr>
            </w:pPr>
            <w:r w:rsidRPr="002B26EC">
              <w:rPr>
                <w:rFonts w:hint="cs"/>
                <w:rtl/>
              </w:rPr>
              <w:t>0.</w:t>
            </w:r>
            <w:r w:rsidR="00F972E1" w:rsidRPr="002B26EC">
              <w:rPr>
                <w:rFonts w:hint="cs"/>
                <w:rtl/>
              </w:rPr>
              <w:t>3</w:t>
            </w:r>
          </w:p>
        </w:tc>
        <w:tc>
          <w:tcPr>
            <w:tcW w:w="974" w:type="dxa"/>
            <w:vAlign w:val="center"/>
          </w:tcPr>
          <w:p w:rsidR="00791660" w:rsidRPr="002B26EC" w:rsidRDefault="00F972E1" w:rsidP="002B26EC">
            <w:pPr>
              <w:pStyle w:val="af1"/>
              <w:tabs>
                <w:tab w:val="clear" w:pos="567"/>
                <w:tab w:val="clear" w:pos="1134"/>
                <w:tab w:val="clear" w:pos="1814"/>
                <w:tab w:val="clear" w:pos="2665"/>
              </w:tabs>
              <w:spacing w:line="240" w:lineRule="auto"/>
              <w:ind w:left="0"/>
              <w:jc w:val="center"/>
              <w:rPr>
                <w:rtl/>
              </w:rPr>
            </w:pPr>
            <w:r w:rsidRPr="002B26EC">
              <w:rPr>
                <w:rFonts w:hint="cs"/>
                <w:rtl/>
              </w:rPr>
              <w:t>1</w:t>
            </w:r>
            <w:r w:rsidR="00791660" w:rsidRPr="002B26EC">
              <w:rPr>
                <w:rFonts w:hint="cs"/>
                <w:rtl/>
              </w:rPr>
              <w:t>.</w:t>
            </w:r>
            <w:r w:rsidRPr="002B26EC">
              <w:rPr>
                <w:rFonts w:hint="cs"/>
                <w:rtl/>
              </w:rPr>
              <w:t>0</w:t>
            </w:r>
          </w:p>
        </w:tc>
      </w:tr>
      <w:tr w:rsidR="0067450F" w:rsidTr="002B26EC">
        <w:trPr>
          <w:trHeight w:val="454"/>
        </w:trPr>
        <w:tc>
          <w:tcPr>
            <w:tcW w:w="2518" w:type="dxa"/>
            <w:vAlign w:val="center"/>
          </w:tcPr>
          <w:p w:rsidR="0067450F" w:rsidRPr="000B7D42" w:rsidRDefault="00F972E1" w:rsidP="000B7D42">
            <w:pPr>
              <w:pStyle w:val="af1"/>
              <w:tabs>
                <w:tab w:val="clear" w:pos="567"/>
                <w:tab w:val="clear" w:pos="1134"/>
                <w:tab w:val="clear" w:pos="1814"/>
                <w:tab w:val="clear" w:pos="2665"/>
              </w:tabs>
              <w:spacing w:line="240" w:lineRule="auto"/>
              <w:ind w:left="0"/>
              <w:jc w:val="left"/>
              <w:rPr>
                <w:sz w:val="22"/>
                <w:szCs w:val="22"/>
                <w:rtl/>
              </w:rPr>
            </w:pPr>
            <w:r w:rsidRPr="000B7D42">
              <w:rPr>
                <w:rFonts w:hint="cs"/>
                <w:sz w:val="22"/>
                <w:szCs w:val="22"/>
                <w:rtl/>
              </w:rPr>
              <w:t xml:space="preserve">אומדן </w:t>
            </w:r>
            <w:r w:rsidR="00791660" w:rsidRPr="000B7D42">
              <w:rPr>
                <w:rFonts w:hint="cs"/>
                <w:sz w:val="22"/>
                <w:szCs w:val="22"/>
                <w:rtl/>
              </w:rPr>
              <w:t>במיליוני ש"ח</w:t>
            </w:r>
          </w:p>
        </w:tc>
        <w:tc>
          <w:tcPr>
            <w:tcW w:w="851" w:type="dxa"/>
            <w:vAlign w:val="center"/>
          </w:tcPr>
          <w:p w:rsidR="0067450F" w:rsidRPr="002B26EC" w:rsidRDefault="00594529" w:rsidP="002B26EC">
            <w:pPr>
              <w:pStyle w:val="af1"/>
              <w:tabs>
                <w:tab w:val="clear" w:pos="567"/>
                <w:tab w:val="clear" w:pos="1134"/>
                <w:tab w:val="clear" w:pos="1814"/>
                <w:tab w:val="clear" w:pos="2665"/>
              </w:tabs>
              <w:spacing w:line="240" w:lineRule="auto"/>
              <w:ind w:left="0"/>
              <w:jc w:val="center"/>
              <w:rPr>
                <w:rtl/>
              </w:rPr>
            </w:pPr>
            <w:r w:rsidRPr="002B26EC">
              <w:rPr>
                <w:rFonts w:hint="cs"/>
                <w:rtl/>
              </w:rPr>
              <w:t>72</w:t>
            </w:r>
            <w:r w:rsidR="00F972E1" w:rsidRPr="002B26EC">
              <w:rPr>
                <w:rFonts w:hint="cs"/>
                <w:rtl/>
              </w:rPr>
              <w:t>0</w:t>
            </w:r>
          </w:p>
        </w:tc>
        <w:tc>
          <w:tcPr>
            <w:tcW w:w="991" w:type="dxa"/>
            <w:vAlign w:val="center"/>
          </w:tcPr>
          <w:p w:rsidR="0067450F" w:rsidRPr="002B26EC" w:rsidRDefault="00594529" w:rsidP="002B26EC">
            <w:pPr>
              <w:pStyle w:val="af1"/>
              <w:tabs>
                <w:tab w:val="clear" w:pos="567"/>
                <w:tab w:val="clear" w:pos="1134"/>
                <w:tab w:val="clear" w:pos="1814"/>
                <w:tab w:val="clear" w:pos="2665"/>
              </w:tabs>
              <w:spacing w:line="240" w:lineRule="auto"/>
              <w:ind w:left="0"/>
              <w:jc w:val="center"/>
              <w:rPr>
                <w:rtl/>
              </w:rPr>
            </w:pPr>
            <w:r w:rsidRPr="002B26EC">
              <w:rPr>
                <w:rFonts w:hint="cs"/>
                <w:rtl/>
              </w:rPr>
              <w:t>20</w:t>
            </w:r>
            <w:r w:rsidR="00F972E1" w:rsidRPr="002B26EC">
              <w:rPr>
                <w:rFonts w:hint="cs"/>
                <w:rtl/>
              </w:rPr>
              <w:t>0</w:t>
            </w:r>
          </w:p>
        </w:tc>
        <w:tc>
          <w:tcPr>
            <w:tcW w:w="993" w:type="dxa"/>
            <w:vAlign w:val="center"/>
          </w:tcPr>
          <w:p w:rsidR="0067450F" w:rsidRPr="002B26EC" w:rsidRDefault="00594529" w:rsidP="002B26EC">
            <w:pPr>
              <w:pStyle w:val="af1"/>
              <w:tabs>
                <w:tab w:val="clear" w:pos="567"/>
                <w:tab w:val="clear" w:pos="1134"/>
                <w:tab w:val="clear" w:pos="1814"/>
                <w:tab w:val="clear" w:pos="2665"/>
              </w:tabs>
              <w:spacing w:line="240" w:lineRule="auto"/>
              <w:ind w:left="0"/>
              <w:jc w:val="center"/>
              <w:rPr>
                <w:rtl/>
              </w:rPr>
            </w:pPr>
            <w:r w:rsidRPr="002B26EC">
              <w:rPr>
                <w:rFonts w:hint="cs"/>
                <w:rtl/>
              </w:rPr>
              <w:t>54</w:t>
            </w:r>
            <w:r w:rsidR="00F972E1" w:rsidRPr="002B26EC">
              <w:rPr>
                <w:rFonts w:hint="cs"/>
                <w:rtl/>
              </w:rPr>
              <w:t>0</w:t>
            </w:r>
          </w:p>
        </w:tc>
        <w:tc>
          <w:tcPr>
            <w:tcW w:w="708" w:type="dxa"/>
            <w:vAlign w:val="center"/>
          </w:tcPr>
          <w:p w:rsidR="0067450F" w:rsidRPr="002B26EC" w:rsidRDefault="00594529" w:rsidP="002B26EC">
            <w:pPr>
              <w:pStyle w:val="af1"/>
              <w:tabs>
                <w:tab w:val="clear" w:pos="567"/>
                <w:tab w:val="clear" w:pos="1134"/>
                <w:tab w:val="clear" w:pos="1814"/>
                <w:tab w:val="clear" w:pos="2665"/>
              </w:tabs>
              <w:spacing w:line="240" w:lineRule="auto"/>
              <w:ind w:left="0"/>
              <w:jc w:val="center"/>
              <w:rPr>
                <w:rtl/>
              </w:rPr>
            </w:pPr>
            <w:r w:rsidRPr="002B26EC">
              <w:rPr>
                <w:rFonts w:hint="cs"/>
                <w:rtl/>
              </w:rPr>
              <w:t>70</w:t>
            </w:r>
          </w:p>
        </w:tc>
        <w:tc>
          <w:tcPr>
            <w:tcW w:w="851" w:type="dxa"/>
            <w:vAlign w:val="center"/>
          </w:tcPr>
          <w:p w:rsidR="0067450F" w:rsidRPr="002B26EC" w:rsidRDefault="00594529" w:rsidP="002B26EC">
            <w:pPr>
              <w:pStyle w:val="af1"/>
              <w:tabs>
                <w:tab w:val="clear" w:pos="567"/>
                <w:tab w:val="clear" w:pos="1134"/>
                <w:tab w:val="clear" w:pos="1814"/>
                <w:tab w:val="clear" w:pos="2665"/>
              </w:tabs>
              <w:spacing w:line="240" w:lineRule="auto"/>
              <w:ind w:left="0"/>
              <w:jc w:val="center"/>
              <w:rPr>
                <w:rtl/>
              </w:rPr>
            </w:pPr>
            <w:r w:rsidRPr="002B26EC">
              <w:rPr>
                <w:rFonts w:hint="cs"/>
                <w:rtl/>
              </w:rPr>
              <w:t>940</w:t>
            </w:r>
          </w:p>
        </w:tc>
        <w:tc>
          <w:tcPr>
            <w:tcW w:w="1153" w:type="dxa"/>
            <w:vAlign w:val="center"/>
          </w:tcPr>
          <w:p w:rsidR="0067450F" w:rsidRPr="002B26EC" w:rsidRDefault="00594529" w:rsidP="002B26EC">
            <w:pPr>
              <w:pStyle w:val="af1"/>
              <w:tabs>
                <w:tab w:val="clear" w:pos="567"/>
                <w:tab w:val="clear" w:pos="1134"/>
                <w:tab w:val="clear" w:pos="1814"/>
                <w:tab w:val="clear" w:pos="2665"/>
              </w:tabs>
              <w:spacing w:line="240" w:lineRule="auto"/>
              <w:ind w:left="0"/>
              <w:jc w:val="center"/>
              <w:rPr>
                <w:rtl/>
              </w:rPr>
            </w:pPr>
            <w:r w:rsidRPr="002B26EC">
              <w:rPr>
                <w:rFonts w:hint="cs"/>
                <w:rtl/>
              </w:rPr>
              <w:t>1</w:t>
            </w:r>
            <w:r w:rsidR="00F972E1" w:rsidRPr="002B26EC">
              <w:rPr>
                <w:rFonts w:hint="cs"/>
                <w:rtl/>
              </w:rPr>
              <w:t>80</w:t>
            </w:r>
          </w:p>
        </w:tc>
        <w:tc>
          <w:tcPr>
            <w:tcW w:w="974" w:type="dxa"/>
            <w:vAlign w:val="center"/>
          </w:tcPr>
          <w:p w:rsidR="0067450F" w:rsidRPr="002B26EC" w:rsidRDefault="00F972E1" w:rsidP="002B26EC">
            <w:pPr>
              <w:pStyle w:val="af1"/>
              <w:tabs>
                <w:tab w:val="clear" w:pos="567"/>
                <w:tab w:val="clear" w:pos="1134"/>
                <w:tab w:val="clear" w:pos="1814"/>
                <w:tab w:val="clear" w:pos="2665"/>
              </w:tabs>
              <w:spacing w:line="240" w:lineRule="auto"/>
              <w:ind w:left="0"/>
              <w:jc w:val="center"/>
              <w:rPr>
                <w:rtl/>
              </w:rPr>
            </w:pPr>
            <w:r w:rsidRPr="002B26EC">
              <w:rPr>
                <w:rFonts w:hint="cs"/>
                <w:rtl/>
              </w:rPr>
              <w:t>70</w:t>
            </w:r>
          </w:p>
        </w:tc>
      </w:tr>
    </w:tbl>
    <w:p w:rsidR="00791660" w:rsidRDefault="00791660" w:rsidP="00594529">
      <w:pPr>
        <w:pStyle w:val="af1"/>
        <w:tabs>
          <w:tab w:val="clear" w:pos="567"/>
          <w:tab w:val="clear" w:pos="1134"/>
          <w:tab w:val="clear" w:pos="1814"/>
          <w:tab w:val="clear" w:pos="2665"/>
        </w:tabs>
        <w:ind w:left="391"/>
        <w:jc w:val="center"/>
        <w:rPr>
          <w:rFonts w:cs="Guttman Yad-Brush"/>
          <w:sz w:val="20"/>
          <w:szCs w:val="20"/>
          <w:rtl/>
        </w:rPr>
      </w:pPr>
    </w:p>
    <w:p w:rsidR="00DA28C2" w:rsidRDefault="00DA28C2" w:rsidP="007D5272">
      <w:pPr>
        <w:pStyle w:val="af1"/>
        <w:numPr>
          <w:ilvl w:val="0"/>
          <w:numId w:val="33"/>
        </w:numPr>
        <w:tabs>
          <w:tab w:val="clear" w:pos="567"/>
          <w:tab w:val="clear" w:pos="1134"/>
          <w:tab w:val="clear" w:pos="1814"/>
          <w:tab w:val="clear" w:pos="2665"/>
        </w:tabs>
        <w:ind w:left="391" w:hanging="425"/>
        <w:rPr>
          <w:b/>
          <w:bCs/>
        </w:rPr>
      </w:pPr>
      <w:r>
        <w:rPr>
          <w:rFonts w:hint="cs"/>
          <w:b/>
          <w:bCs/>
          <w:rtl/>
        </w:rPr>
        <w:t xml:space="preserve">שאלה: האם המשמעות של </w:t>
      </w:r>
      <w:r w:rsidR="008E5B8C">
        <w:rPr>
          <w:rFonts w:hint="cs"/>
          <w:b/>
          <w:bCs/>
          <w:rtl/>
        </w:rPr>
        <w:t xml:space="preserve">טיוטת </w:t>
      </w:r>
      <w:r>
        <w:rPr>
          <w:rFonts w:hint="cs"/>
          <w:b/>
          <w:bCs/>
          <w:rtl/>
        </w:rPr>
        <w:t>ההוראה היא שהפיקוח שוב ימנע מהתאגידים הבנקאיים לחלק דיבידנד לבעלי המניות?</w:t>
      </w:r>
    </w:p>
    <w:p w:rsidR="00DA28C2" w:rsidRDefault="00DA28C2" w:rsidP="00DA28C2">
      <w:pPr>
        <w:tabs>
          <w:tab w:val="clear" w:pos="567"/>
          <w:tab w:val="clear" w:pos="1134"/>
          <w:tab w:val="clear" w:pos="1814"/>
          <w:tab w:val="clear" w:pos="2665"/>
        </w:tabs>
        <w:ind w:left="391"/>
        <w:rPr>
          <w:b/>
          <w:bCs/>
          <w:rtl/>
        </w:rPr>
      </w:pPr>
      <w:r w:rsidRPr="00DA28C2">
        <w:rPr>
          <w:rFonts w:hint="cs"/>
          <w:b/>
          <w:bCs/>
          <w:rtl/>
        </w:rPr>
        <w:t>תשובה</w:t>
      </w:r>
      <w:r>
        <w:rPr>
          <w:rFonts w:hint="cs"/>
          <w:b/>
          <w:bCs/>
          <w:rtl/>
        </w:rPr>
        <w:t>:</w:t>
      </w:r>
    </w:p>
    <w:p w:rsidR="00DA28C2" w:rsidRDefault="00DA28C2" w:rsidP="008E5B8C">
      <w:pPr>
        <w:tabs>
          <w:tab w:val="clear" w:pos="567"/>
          <w:tab w:val="clear" w:pos="1134"/>
          <w:tab w:val="clear" w:pos="1814"/>
          <w:tab w:val="clear" w:pos="2665"/>
        </w:tabs>
        <w:ind w:left="391"/>
        <w:rPr>
          <w:rtl/>
        </w:rPr>
      </w:pPr>
      <w:r w:rsidRPr="00DA28C2">
        <w:rPr>
          <w:rFonts w:hint="cs"/>
          <w:rtl/>
        </w:rPr>
        <w:t xml:space="preserve">התאגידים הבנקאיים נדרשים לעמוד ביעדי ההון, כפי שנקבעו בהוראה זו </w:t>
      </w:r>
      <w:r>
        <w:rPr>
          <w:rFonts w:hint="cs"/>
          <w:rtl/>
        </w:rPr>
        <w:t>ו</w:t>
      </w:r>
      <w:r w:rsidRPr="00DA28C2">
        <w:rPr>
          <w:rFonts w:hint="cs"/>
          <w:rtl/>
        </w:rPr>
        <w:t xml:space="preserve">על פי מועד היישום שנקבע. </w:t>
      </w:r>
      <w:r>
        <w:rPr>
          <w:rFonts w:hint="cs"/>
          <w:rtl/>
        </w:rPr>
        <w:t xml:space="preserve">לשם כך עליהם </w:t>
      </w:r>
      <w:r w:rsidR="008E5B8C">
        <w:rPr>
          <w:rFonts w:hint="cs"/>
          <w:rtl/>
        </w:rPr>
        <w:t>לפעול בכפוף ל</w:t>
      </w:r>
      <w:r w:rsidR="001D30D2">
        <w:rPr>
          <w:rFonts w:hint="cs"/>
          <w:rtl/>
        </w:rPr>
        <w:t xml:space="preserve">תכנון הון נאות, אשר לוקח בחשבון, </w:t>
      </w:r>
      <w:r>
        <w:rPr>
          <w:rFonts w:hint="cs"/>
          <w:rtl/>
        </w:rPr>
        <w:t>בין היתר</w:t>
      </w:r>
      <w:r w:rsidR="001D30D2">
        <w:rPr>
          <w:rFonts w:hint="cs"/>
          <w:rtl/>
        </w:rPr>
        <w:t xml:space="preserve">, את השלכות חלוקת דיבידנדים על יכולתם לעמוד ביעד שנקבע. </w:t>
      </w:r>
      <w:r>
        <w:rPr>
          <w:rFonts w:hint="cs"/>
          <w:rtl/>
        </w:rPr>
        <w:t xml:space="preserve"> </w:t>
      </w:r>
    </w:p>
    <w:p w:rsidR="001D30D2" w:rsidRDefault="001D30D2" w:rsidP="001D30D2">
      <w:pPr>
        <w:tabs>
          <w:tab w:val="clear" w:pos="567"/>
          <w:tab w:val="clear" w:pos="1134"/>
          <w:tab w:val="clear" w:pos="1814"/>
          <w:tab w:val="clear" w:pos="2665"/>
        </w:tabs>
        <w:ind w:left="391"/>
        <w:rPr>
          <w:rtl/>
        </w:rPr>
      </w:pPr>
    </w:p>
    <w:p w:rsidR="002B26EC" w:rsidRDefault="002B26EC">
      <w:pPr>
        <w:tabs>
          <w:tab w:val="clear" w:pos="567"/>
          <w:tab w:val="clear" w:pos="1134"/>
          <w:tab w:val="clear" w:pos="1814"/>
          <w:tab w:val="clear" w:pos="2665"/>
        </w:tabs>
        <w:bidi w:val="0"/>
        <w:spacing w:line="240" w:lineRule="auto"/>
        <w:jc w:val="left"/>
        <w:rPr>
          <w:rtl/>
        </w:rPr>
      </w:pPr>
      <w:r>
        <w:rPr>
          <w:rtl/>
        </w:rPr>
        <w:br w:type="page"/>
      </w:r>
    </w:p>
    <w:p w:rsidR="00905E4E" w:rsidRDefault="00905E4E" w:rsidP="001D30D2">
      <w:pPr>
        <w:tabs>
          <w:tab w:val="clear" w:pos="567"/>
          <w:tab w:val="clear" w:pos="1134"/>
          <w:tab w:val="clear" w:pos="1814"/>
          <w:tab w:val="clear" w:pos="2665"/>
        </w:tabs>
        <w:ind w:left="391"/>
        <w:rPr>
          <w:rtl/>
        </w:rPr>
      </w:pPr>
    </w:p>
    <w:p w:rsidR="007D5272" w:rsidRPr="007D5272" w:rsidRDefault="007D5272" w:rsidP="00791660">
      <w:pPr>
        <w:pStyle w:val="af1"/>
        <w:numPr>
          <w:ilvl w:val="0"/>
          <w:numId w:val="33"/>
        </w:numPr>
        <w:tabs>
          <w:tab w:val="clear" w:pos="567"/>
          <w:tab w:val="clear" w:pos="1134"/>
          <w:tab w:val="clear" w:pos="1814"/>
          <w:tab w:val="clear" w:pos="2665"/>
        </w:tabs>
        <w:ind w:left="391" w:hanging="425"/>
        <w:rPr>
          <w:b/>
          <w:bCs/>
          <w:rtl/>
        </w:rPr>
      </w:pPr>
      <w:r w:rsidRPr="007D5272">
        <w:rPr>
          <w:rFonts w:hint="cs"/>
          <w:b/>
          <w:bCs/>
          <w:rtl/>
        </w:rPr>
        <w:t>שאלה: האם משמעות הצעד היא שה</w:t>
      </w:r>
      <w:r w:rsidR="000F484F">
        <w:rPr>
          <w:rFonts w:hint="cs"/>
          <w:b/>
          <w:bCs/>
          <w:rtl/>
        </w:rPr>
        <w:t>תאגידים ה</w:t>
      </w:r>
      <w:r w:rsidRPr="007D5272">
        <w:rPr>
          <w:rFonts w:hint="cs"/>
          <w:b/>
          <w:bCs/>
          <w:rtl/>
        </w:rPr>
        <w:t>בנק</w:t>
      </w:r>
      <w:r w:rsidR="000F484F">
        <w:rPr>
          <w:rFonts w:hint="cs"/>
          <w:b/>
          <w:bCs/>
          <w:rtl/>
        </w:rPr>
        <w:t>אי</w:t>
      </w:r>
      <w:r w:rsidRPr="007D5272">
        <w:rPr>
          <w:rFonts w:hint="cs"/>
          <w:b/>
          <w:bCs/>
          <w:rtl/>
        </w:rPr>
        <w:t>ים אינם מנהלים בצורה מושכלת את תיק ההלוואות לדיור? בפרט, האם הם אינם מחזיקים כריות הון מספקות בגין הסיכונים הגלומים בתיק ההלוואות לדיור?</w:t>
      </w:r>
      <w:r w:rsidR="009F7028">
        <w:rPr>
          <w:rFonts w:hint="cs"/>
          <w:b/>
          <w:bCs/>
          <w:rtl/>
        </w:rPr>
        <w:t xml:space="preserve"> </w:t>
      </w:r>
    </w:p>
    <w:p w:rsidR="007D5272" w:rsidRPr="0065449F" w:rsidRDefault="007D5272" w:rsidP="007D5272">
      <w:pPr>
        <w:pStyle w:val="af1"/>
        <w:tabs>
          <w:tab w:val="clear" w:pos="567"/>
          <w:tab w:val="clear" w:pos="1134"/>
          <w:tab w:val="clear" w:pos="1814"/>
          <w:tab w:val="clear" w:pos="2665"/>
        </w:tabs>
        <w:ind w:left="391"/>
        <w:rPr>
          <w:b/>
          <w:bCs/>
          <w:rtl/>
        </w:rPr>
      </w:pPr>
      <w:r w:rsidRPr="0065449F">
        <w:rPr>
          <w:rFonts w:hint="cs"/>
          <w:b/>
          <w:bCs/>
          <w:rtl/>
        </w:rPr>
        <w:t>תשובה</w:t>
      </w:r>
      <w:r>
        <w:rPr>
          <w:rFonts w:hint="cs"/>
          <w:b/>
          <w:bCs/>
          <w:rtl/>
        </w:rPr>
        <w:t>:</w:t>
      </w:r>
    </w:p>
    <w:p w:rsidR="007D5272" w:rsidRDefault="007D5272" w:rsidP="00C7051F">
      <w:pPr>
        <w:pStyle w:val="af1"/>
        <w:tabs>
          <w:tab w:val="clear" w:pos="567"/>
          <w:tab w:val="clear" w:pos="1134"/>
          <w:tab w:val="clear" w:pos="1814"/>
          <w:tab w:val="clear" w:pos="2665"/>
        </w:tabs>
        <w:ind w:left="391"/>
        <w:rPr>
          <w:rtl/>
        </w:rPr>
      </w:pPr>
      <w:r>
        <w:rPr>
          <w:rFonts w:hint="cs"/>
          <w:rtl/>
        </w:rPr>
        <w:t xml:space="preserve">התאגידים הבנקאיים </w:t>
      </w:r>
      <w:r w:rsidR="00C7051F">
        <w:rPr>
          <w:rFonts w:hint="cs"/>
          <w:rtl/>
        </w:rPr>
        <w:t xml:space="preserve">פועלים בהתאם להערכות הסיכון </w:t>
      </w:r>
      <w:r w:rsidR="00FE42E5">
        <w:rPr>
          <w:rFonts w:hint="cs"/>
          <w:rtl/>
        </w:rPr>
        <w:t xml:space="preserve">הפנימיות </w:t>
      </w:r>
      <w:r w:rsidR="00C7051F">
        <w:rPr>
          <w:rFonts w:hint="cs"/>
          <w:rtl/>
        </w:rPr>
        <w:t>שלהם ולהוראות הפיקוח על הבנקים.</w:t>
      </w:r>
      <w:r w:rsidR="00791660">
        <w:rPr>
          <w:rFonts w:hint="cs"/>
          <w:rtl/>
        </w:rPr>
        <w:t xml:space="preserve"> </w:t>
      </w:r>
      <w:r>
        <w:rPr>
          <w:rFonts w:hint="cs"/>
          <w:rtl/>
        </w:rPr>
        <w:t xml:space="preserve">הניסיון בעולם מלמד כי משברים במערכות בנקאות מתפתחים פעמים רבות כתוצאה מחשיפת תאגידים בנקאיים להלוואות לדיור ולענף הנדל"ן, ובעיקר על רקע התרחבות מואצת של היקפי ההלוואות לדיור. עוד עולה כי הערכת הסיכונים הגלומים בחשיפות אלה מורכבת במיוחד וזאת בעיקר על רקע </w:t>
      </w:r>
      <w:r w:rsidRPr="007C207C">
        <w:rPr>
          <w:rFonts w:hint="cs"/>
          <w:rtl/>
        </w:rPr>
        <w:t>העובדה שמשברים בשוק הדיור</w:t>
      </w:r>
      <w:r>
        <w:rPr>
          <w:rFonts w:hint="cs"/>
          <w:rtl/>
        </w:rPr>
        <w:t xml:space="preserve"> מתרחשים בתדירות נמוכה יחסית והיסטוריית ההחזרים של לווי האשראי לדיור טובה בהשוואה לתיקי הלוואות אחרים. </w:t>
      </w:r>
    </w:p>
    <w:p w:rsidR="007D5272" w:rsidRDefault="007D5272" w:rsidP="00B424DE">
      <w:pPr>
        <w:pStyle w:val="af1"/>
        <w:tabs>
          <w:tab w:val="clear" w:pos="567"/>
          <w:tab w:val="clear" w:pos="1134"/>
          <w:tab w:val="clear" w:pos="1814"/>
          <w:tab w:val="clear" w:pos="2665"/>
        </w:tabs>
        <w:ind w:left="391"/>
        <w:rPr>
          <w:rtl/>
        </w:rPr>
      </w:pPr>
    </w:p>
    <w:p w:rsidR="00DA28C2" w:rsidRDefault="00DA28C2" w:rsidP="00DA28C2">
      <w:pPr>
        <w:pStyle w:val="af1"/>
        <w:numPr>
          <w:ilvl w:val="0"/>
          <w:numId w:val="33"/>
        </w:numPr>
        <w:tabs>
          <w:tab w:val="clear" w:pos="567"/>
          <w:tab w:val="clear" w:pos="1134"/>
          <w:tab w:val="clear" w:pos="1814"/>
          <w:tab w:val="clear" w:pos="2665"/>
        </w:tabs>
        <w:ind w:left="391" w:hanging="425"/>
        <w:rPr>
          <w:b/>
          <w:bCs/>
        </w:rPr>
      </w:pPr>
      <w:r>
        <w:rPr>
          <w:rFonts w:hint="cs"/>
          <w:b/>
          <w:bCs/>
          <w:rtl/>
        </w:rPr>
        <w:t>שאלה: מצב ההפרשות להפסדי אשראי הוא טוב מאוד בראייה היסטורית ובהשוואה בינלאומית. מדוע דווקא עכשיו חוששים מההלוואות הללו?</w:t>
      </w:r>
    </w:p>
    <w:p w:rsidR="00DA28C2" w:rsidRDefault="00DA28C2" w:rsidP="00DA28C2">
      <w:pPr>
        <w:tabs>
          <w:tab w:val="clear" w:pos="567"/>
          <w:tab w:val="clear" w:pos="1134"/>
          <w:tab w:val="clear" w:pos="1814"/>
          <w:tab w:val="clear" w:pos="2665"/>
        </w:tabs>
        <w:ind w:left="391"/>
        <w:rPr>
          <w:b/>
          <w:bCs/>
          <w:rtl/>
        </w:rPr>
      </w:pPr>
      <w:r>
        <w:rPr>
          <w:rFonts w:hint="cs"/>
          <w:b/>
          <w:bCs/>
          <w:rtl/>
        </w:rPr>
        <w:t>תשובה:</w:t>
      </w:r>
    </w:p>
    <w:p w:rsidR="00DA28C2" w:rsidRDefault="00DA28C2" w:rsidP="00C7051F">
      <w:pPr>
        <w:tabs>
          <w:tab w:val="clear" w:pos="567"/>
          <w:tab w:val="clear" w:pos="1134"/>
          <w:tab w:val="clear" w:pos="1814"/>
          <w:tab w:val="clear" w:pos="2665"/>
        </w:tabs>
        <w:ind w:left="391"/>
        <w:rPr>
          <w:rtl/>
        </w:rPr>
      </w:pPr>
      <w:r w:rsidRPr="00DA28C2">
        <w:rPr>
          <w:rFonts w:hint="cs"/>
          <w:rtl/>
        </w:rPr>
        <w:t>הגידול בתיק האשראי לדיור בשנים האחרונות לא לווה בגידול מ</w:t>
      </w:r>
      <w:r w:rsidR="00C7051F">
        <w:rPr>
          <w:rFonts w:hint="cs"/>
          <w:rtl/>
        </w:rPr>
        <w:t>קביל</w:t>
      </w:r>
      <w:r w:rsidRPr="00DA28C2">
        <w:rPr>
          <w:rFonts w:hint="cs"/>
          <w:rtl/>
        </w:rPr>
        <w:t xml:space="preserve"> בהפרשות להפסדי אשראי. צעד זה מהווה </w:t>
      </w:r>
      <w:r w:rsidR="00905E4E">
        <w:rPr>
          <w:rFonts w:hint="cs"/>
          <w:rtl/>
        </w:rPr>
        <w:t xml:space="preserve">המשך לצעדים קודמים, </w:t>
      </w:r>
      <w:r w:rsidRPr="00DA28C2">
        <w:rPr>
          <w:rFonts w:hint="cs"/>
          <w:rtl/>
        </w:rPr>
        <w:t>שננקטו על ידי הפיקוח על הבנקים בנושא הפרש</w:t>
      </w:r>
      <w:r w:rsidR="00C7051F">
        <w:rPr>
          <w:rFonts w:hint="cs"/>
          <w:rtl/>
        </w:rPr>
        <w:t>ות</w:t>
      </w:r>
      <w:r w:rsidRPr="00DA28C2">
        <w:rPr>
          <w:rFonts w:hint="cs"/>
          <w:rtl/>
        </w:rPr>
        <w:t xml:space="preserve"> להפסדי אשראי ובדומה להם פועל בכיוון של התאמת ההפרש</w:t>
      </w:r>
      <w:r w:rsidR="00C7051F">
        <w:rPr>
          <w:rFonts w:hint="cs"/>
          <w:rtl/>
        </w:rPr>
        <w:t>ות</w:t>
      </w:r>
      <w:r w:rsidRPr="00DA28C2">
        <w:rPr>
          <w:rFonts w:hint="cs"/>
          <w:rtl/>
        </w:rPr>
        <w:t xml:space="preserve"> ל</w:t>
      </w:r>
      <w:r w:rsidR="007102AE">
        <w:rPr>
          <w:rFonts w:hint="cs"/>
          <w:rtl/>
        </w:rPr>
        <w:t>גידול ב</w:t>
      </w:r>
      <w:r w:rsidRPr="00DA28C2">
        <w:rPr>
          <w:rFonts w:hint="cs"/>
          <w:rtl/>
        </w:rPr>
        <w:t xml:space="preserve">סיכונים הגלומים בתיק האשראי לדיור. </w:t>
      </w:r>
    </w:p>
    <w:p w:rsidR="001D30D2" w:rsidRPr="00DA28C2" w:rsidRDefault="001D30D2" w:rsidP="00DA28C2">
      <w:pPr>
        <w:tabs>
          <w:tab w:val="clear" w:pos="567"/>
          <w:tab w:val="clear" w:pos="1134"/>
          <w:tab w:val="clear" w:pos="1814"/>
          <w:tab w:val="clear" w:pos="2665"/>
        </w:tabs>
        <w:ind w:left="391"/>
      </w:pPr>
    </w:p>
    <w:p w:rsidR="0058745F" w:rsidRPr="0058745F" w:rsidRDefault="0058745F" w:rsidP="0058745F">
      <w:pPr>
        <w:pStyle w:val="af1"/>
        <w:numPr>
          <w:ilvl w:val="0"/>
          <w:numId w:val="33"/>
        </w:numPr>
        <w:tabs>
          <w:tab w:val="clear" w:pos="567"/>
          <w:tab w:val="clear" w:pos="1134"/>
          <w:tab w:val="clear" w:pos="1814"/>
          <w:tab w:val="clear" w:pos="2665"/>
        </w:tabs>
        <w:ind w:left="391" w:hanging="425"/>
        <w:rPr>
          <w:b/>
          <w:bCs/>
          <w:rtl/>
        </w:rPr>
      </w:pPr>
      <w:r w:rsidRPr="0058745F">
        <w:rPr>
          <w:rFonts w:hint="cs"/>
          <w:b/>
          <w:bCs/>
          <w:rtl/>
        </w:rPr>
        <w:t>שאלה: כיצד צעד זה צפוי להשפיע על ציבור רוכשי הדירות? האם הצעד צפוי לייקר נטילת משכנתאות חדשות? אם כן אז בכמה?</w:t>
      </w:r>
    </w:p>
    <w:p w:rsidR="0058745F" w:rsidRDefault="0058745F" w:rsidP="0058745F">
      <w:pPr>
        <w:pStyle w:val="af1"/>
        <w:tabs>
          <w:tab w:val="clear" w:pos="567"/>
          <w:tab w:val="clear" w:pos="1134"/>
          <w:tab w:val="clear" w:pos="1814"/>
          <w:tab w:val="clear" w:pos="2665"/>
        </w:tabs>
        <w:ind w:left="391"/>
        <w:rPr>
          <w:b/>
          <w:bCs/>
          <w:rtl/>
        </w:rPr>
      </w:pPr>
      <w:r>
        <w:rPr>
          <w:rFonts w:hint="cs"/>
          <w:b/>
          <w:bCs/>
          <w:rtl/>
        </w:rPr>
        <w:t>תשובה:</w:t>
      </w:r>
    </w:p>
    <w:p w:rsidR="0058745F" w:rsidRDefault="0058745F" w:rsidP="00F90A31">
      <w:pPr>
        <w:pStyle w:val="af1"/>
        <w:tabs>
          <w:tab w:val="clear" w:pos="567"/>
          <w:tab w:val="clear" w:pos="1134"/>
          <w:tab w:val="clear" w:pos="1814"/>
          <w:tab w:val="clear" w:pos="2665"/>
        </w:tabs>
        <w:ind w:left="391"/>
        <w:rPr>
          <w:rtl/>
        </w:rPr>
      </w:pPr>
      <w:r w:rsidRPr="00601B41">
        <w:rPr>
          <w:rFonts w:hint="cs"/>
          <w:rtl/>
        </w:rPr>
        <w:t>מטרתו של הצעד היא לחזק את עמידות המערכת הבנקאית ויכולתה לעמוד בפני התממשות סיכונים, וזאת לטובת ציבור המפקידים, המשקיעים והציבור כולו. השפעת הצעד על ציבור נוטלי המשכנתאות תלויה במספר ר</w:t>
      </w:r>
      <w:r>
        <w:rPr>
          <w:rFonts w:hint="cs"/>
          <w:rtl/>
        </w:rPr>
        <w:t>ב</w:t>
      </w:r>
      <w:r w:rsidRPr="00601B41">
        <w:rPr>
          <w:rFonts w:hint="cs"/>
          <w:rtl/>
        </w:rPr>
        <w:t xml:space="preserve"> של גורמים ובהם: יכולת הבנק לספוג את עלות ייקור המשכנתאות מבלי לגלגל אותה על הלקוחות, יכולת המיקוח של הלקוח מול הבנק ועוד. </w:t>
      </w:r>
      <w:r w:rsidR="00791660">
        <w:rPr>
          <w:rFonts w:hint="cs"/>
          <w:rtl/>
        </w:rPr>
        <w:t>כך למשל</w:t>
      </w:r>
      <w:r w:rsidR="00F90A31">
        <w:rPr>
          <w:rFonts w:hint="cs"/>
          <w:rtl/>
        </w:rPr>
        <w:t>, הבנקים דיסקונט, אגוד והבינלאומי, עומדים כ</w:t>
      </w:r>
      <w:r w:rsidR="007A1C4C">
        <w:rPr>
          <w:rFonts w:hint="cs"/>
          <w:rtl/>
        </w:rPr>
        <w:t>בר כיום בדרישות תוספת ההון.</w:t>
      </w:r>
      <w:r w:rsidR="00791660">
        <w:rPr>
          <w:rFonts w:hint="cs"/>
          <w:rtl/>
        </w:rPr>
        <w:t xml:space="preserve"> </w:t>
      </w:r>
      <w:r w:rsidRPr="00601B41">
        <w:rPr>
          <w:rFonts w:hint="cs"/>
          <w:rtl/>
        </w:rPr>
        <w:t>בהקשר זה נציין כי שוק ההלוואות לדיור מאופיין בתחרותיות גבוהה יחסית.</w:t>
      </w:r>
      <w:r w:rsidR="00B71FF0">
        <w:rPr>
          <w:rFonts w:hint="cs"/>
          <w:rtl/>
        </w:rPr>
        <w:t xml:space="preserve"> </w:t>
      </w:r>
      <w:r w:rsidR="009F7028">
        <w:rPr>
          <w:rFonts w:hint="cs"/>
          <w:rtl/>
        </w:rPr>
        <w:t>בכל מקרה, הצעד אינו מפלה לרעה קבוצות מסוימות באוכלוסי</w:t>
      </w:r>
      <w:r w:rsidR="0095036C">
        <w:rPr>
          <w:rFonts w:hint="cs"/>
          <w:rtl/>
        </w:rPr>
        <w:t>י</w:t>
      </w:r>
      <w:r w:rsidR="009F7028">
        <w:rPr>
          <w:rFonts w:hint="cs"/>
          <w:rtl/>
        </w:rPr>
        <w:t>ה.</w:t>
      </w:r>
    </w:p>
    <w:p w:rsidR="007D5272" w:rsidRDefault="007D5272" w:rsidP="00B424DE">
      <w:pPr>
        <w:pStyle w:val="af1"/>
        <w:tabs>
          <w:tab w:val="clear" w:pos="567"/>
          <w:tab w:val="clear" w:pos="1134"/>
          <w:tab w:val="clear" w:pos="1814"/>
          <w:tab w:val="clear" w:pos="2665"/>
        </w:tabs>
        <w:ind w:left="391"/>
        <w:rPr>
          <w:rtl/>
        </w:rPr>
      </w:pPr>
    </w:p>
    <w:p w:rsidR="0058745F" w:rsidRPr="0058745F" w:rsidRDefault="0058745F" w:rsidP="00BD7D52">
      <w:pPr>
        <w:pStyle w:val="af1"/>
        <w:numPr>
          <w:ilvl w:val="0"/>
          <w:numId w:val="33"/>
        </w:numPr>
        <w:tabs>
          <w:tab w:val="clear" w:pos="567"/>
          <w:tab w:val="clear" w:pos="1134"/>
          <w:tab w:val="clear" w:pos="1814"/>
          <w:tab w:val="clear" w:pos="2665"/>
        </w:tabs>
        <w:ind w:left="391" w:hanging="425"/>
        <w:rPr>
          <w:b/>
          <w:bCs/>
          <w:rtl/>
        </w:rPr>
      </w:pPr>
      <w:r w:rsidRPr="0058745F">
        <w:rPr>
          <w:rFonts w:hint="cs"/>
          <w:b/>
          <w:bCs/>
          <w:rtl/>
        </w:rPr>
        <w:t>שאלה: האם הצעד צפוי להשפיע על לקוחות שנטלו משכנתה לפני פרסום ה</w:t>
      </w:r>
      <w:r w:rsidR="00BD7D52">
        <w:rPr>
          <w:rFonts w:hint="cs"/>
          <w:b/>
          <w:bCs/>
          <w:rtl/>
        </w:rPr>
        <w:t>הוראה</w:t>
      </w:r>
      <w:r w:rsidRPr="0058745F">
        <w:rPr>
          <w:rFonts w:hint="cs"/>
          <w:b/>
          <w:bCs/>
          <w:rtl/>
        </w:rPr>
        <w:t>?</w:t>
      </w:r>
    </w:p>
    <w:p w:rsidR="0058745F" w:rsidRPr="00417725" w:rsidRDefault="0058745F" w:rsidP="0058745F">
      <w:pPr>
        <w:pStyle w:val="af1"/>
        <w:tabs>
          <w:tab w:val="clear" w:pos="567"/>
          <w:tab w:val="clear" w:pos="1134"/>
          <w:tab w:val="clear" w:pos="1814"/>
          <w:tab w:val="clear" w:pos="2665"/>
        </w:tabs>
        <w:ind w:left="391"/>
        <w:rPr>
          <w:b/>
          <w:bCs/>
          <w:rtl/>
        </w:rPr>
      </w:pPr>
      <w:r w:rsidRPr="00417725">
        <w:rPr>
          <w:rFonts w:hint="cs"/>
          <w:b/>
          <w:bCs/>
          <w:rtl/>
        </w:rPr>
        <w:t>תשובה</w:t>
      </w:r>
      <w:r>
        <w:rPr>
          <w:rFonts w:hint="cs"/>
          <w:b/>
          <w:bCs/>
          <w:rtl/>
        </w:rPr>
        <w:t>:</w:t>
      </w:r>
    </w:p>
    <w:p w:rsidR="0058745F" w:rsidRDefault="0058745F" w:rsidP="00BD7D52">
      <w:pPr>
        <w:pStyle w:val="af1"/>
        <w:tabs>
          <w:tab w:val="clear" w:pos="567"/>
          <w:tab w:val="clear" w:pos="1134"/>
          <w:tab w:val="clear" w:pos="1814"/>
          <w:tab w:val="clear" w:pos="2665"/>
        </w:tabs>
        <w:ind w:left="391"/>
        <w:rPr>
          <w:rtl/>
        </w:rPr>
      </w:pPr>
      <w:r>
        <w:rPr>
          <w:rFonts w:hint="cs"/>
          <w:rtl/>
        </w:rPr>
        <w:t xml:space="preserve">הצעד אינו צפוי להשפיע על לקוחות שנטלו משכנתה לפני מועד פרסום </w:t>
      </w:r>
      <w:r w:rsidR="00BD7D52">
        <w:rPr>
          <w:rFonts w:hint="cs"/>
          <w:rtl/>
        </w:rPr>
        <w:t>ההוראה</w:t>
      </w:r>
      <w:r w:rsidRPr="001A4A77">
        <w:rPr>
          <w:rFonts w:hint="cs"/>
          <w:rtl/>
        </w:rPr>
        <w:t>.</w:t>
      </w:r>
      <w:r w:rsidRPr="009C1249">
        <w:rPr>
          <w:rFonts w:hint="cs"/>
          <w:rtl/>
        </w:rPr>
        <w:t xml:space="preserve"> </w:t>
      </w:r>
    </w:p>
    <w:p w:rsidR="0058745F" w:rsidRPr="0058745F" w:rsidRDefault="0058745F" w:rsidP="00B424DE">
      <w:pPr>
        <w:pStyle w:val="af1"/>
        <w:tabs>
          <w:tab w:val="clear" w:pos="567"/>
          <w:tab w:val="clear" w:pos="1134"/>
          <w:tab w:val="clear" w:pos="1814"/>
          <w:tab w:val="clear" w:pos="2665"/>
        </w:tabs>
        <w:ind w:left="391"/>
        <w:rPr>
          <w:rtl/>
        </w:rPr>
      </w:pPr>
    </w:p>
    <w:p w:rsidR="001156C5" w:rsidRPr="0058745F" w:rsidRDefault="001156C5" w:rsidP="001156C5">
      <w:pPr>
        <w:pStyle w:val="af1"/>
        <w:numPr>
          <w:ilvl w:val="0"/>
          <w:numId w:val="33"/>
        </w:numPr>
        <w:tabs>
          <w:tab w:val="clear" w:pos="567"/>
          <w:tab w:val="clear" w:pos="1134"/>
          <w:tab w:val="clear" w:pos="1814"/>
          <w:tab w:val="clear" w:pos="2665"/>
        </w:tabs>
        <w:ind w:left="391" w:hanging="425"/>
        <w:rPr>
          <w:b/>
          <w:bCs/>
          <w:rtl/>
        </w:rPr>
      </w:pPr>
      <w:r>
        <w:rPr>
          <w:rFonts w:hint="cs"/>
          <w:b/>
          <w:bCs/>
          <w:rtl/>
        </w:rPr>
        <w:t>שאלה: האם מתוכננות מגבלות נוספות על האשראי לדיור</w:t>
      </w:r>
      <w:r w:rsidRPr="0058745F">
        <w:rPr>
          <w:rFonts w:hint="cs"/>
          <w:b/>
          <w:bCs/>
          <w:rtl/>
        </w:rPr>
        <w:t>?</w:t>
      </w:r>
    </w:p>
    <w:p w:rsidR="001156C5" w:rsidRPr="00417725" w:rsidRDefault="001156C5" w:rsidP="001156C5">
      <w:pPr>
        <w:pStyle w:val="af1"/>
        <w:tabs>
          <w:tab w:val="clear" w:pos="567"/>
          <w:tab w:val="clear" w:pos="1134"/>
          <w:tab w:val="clear" w:pos="1814"/>
          <w:tab w:val="clear" w:pos="2665"/>
        </w:tabs>
        <w:ind w:left="391"/>
        <w:rPr>
          <w:b/>
          <w:bCs/>
          <w:rtl/>
        </w:rPr>
      </w:pPr>
      <w:r w:rsidRPr="00417725">
        <w:rPr>
          <w:rFonts w:hint="cs"/>
          <w:b/>
          <w:bCs/>
          <w:rtl/>
        </w:rPr>
        <w:t>תשובה</w:t>
      </w:r>
      <w:r>
        <w:rPr>
          <w:rFonts w:hint="cs"/>
          <w:b/>
          <w:bCs/>
          <w:rtl/>
        </w:rPr>
        <w:t>:</w:t>
      </w:r>
    </w:p>
    <w:p w:rsidR="001156C5" w:rsidRDefault="001156C5" w:rsidP="001156C5">
      <w:pPr>
        <w:pStyle w:val="af1"/>
        <w:tabs>
          <w:tab w:val="clear" w:pos="567"/>
          <w:tab w:val="clear" w:pos="1134"/>
          <w:tab w:val="clear" w:pos="1814"/>
          <w:tab w:val="clear" w:pos="2665"/>
        </w:tabs>
        <w:ind w:left="391"/>
        <w:rPr>
          <w:rtl/>
        </w:rPr>
      </w:pPr>
      <w:r>
        <w:rPr>
          <w:rFonts w:hint="cs"/>
          <w:rtl/>
        </w:rPr>
        <w:t xml:space="preserve">הפיקוח על הבנקים ממשיך לעקוב אחר התפתחויות תיק האשראי לדיור במערכת הבנקאית. במידת הצורך יבחנו צעדים נוספים. </w:t>
      </w:r>
    </w:p>
    <w:p w:rsidR="007A1C4C" w:rsidRPr="007A1C4C" w:rsidRDefault="007A1C4C" w:rsidP="007A1C4C">
      <w:pPr>
        <w:tabs>
          <w:tab w:val="clear" w:pos="567"/>
          <w:tab w:val="clear" w:pos="1134"/>
          <w:tab w:val="clear" w:pos="1814"/>
          <w:tab w:val="clear" w:pos="2665"/>
        </w:tabs>
        <w:ind w:left="-34"/>
        <w:rPr>
          <w:b/>
          <w:bCs/>
        </w:rPr>
      </w:pPr>
    </w:p>
    <w:p w:rsidR="002B26EC" w:rsidRDefault="002B26EC">
      <w:pPr>
        <w:tabs>
          <w:tab w:val="clear" w:pos="567"/>
          <w:tab w:val="clear" w:pos="1134"/>
          <w:tab w:val="clear" w:pos="1814"/>
          <w:tab w:val="clear" w:pos="2665"/>
        </w:tabs>
        <w:bidi w:val="0"/>
        <w:spacing w:line="240" w:lineRule="auto"/>
        <w:jc w:val="left"/>
        <w:rPr>
          <w:b/>
          <w:bCs/>
          <w:rtl/>
        </w:rPr>
      </w:pPr>
      <w:r>
        <w:rPr>
          <w:b/>
          <w:bCs/>
          <w:rtl/>
        </w:rPr>
        <w:br w:type="page"/>
      </w:r>
    </w:p>
    <w:p w:rsidR="007A1C4C" w:rsidRPr="007A1C4C" w:rsidRDefault="007A1C4C" w:rsidP="007A1C4C">
      <w:pPr>
        <w:tabs>
          <w:tab w:val="clear" w:pos="567"/>
          <w:tab w:val="clear" w:pos="1134"/>
          <w:tab w:val="clear" w:pos="1814"/>
          <w:tab w:val="clear" w:pos="2665"/>
        </w:tabs>
        <w:ind w:left="-34"/>
        <w:rPr>
          <w:b/>
          <w:bCs/>
        </w:rPr>
      </w:pPr>
      <w:bookmarkStart w:id="0" w:name="_GoBack"/>
      <w:bookmarkEnd w:id="0"/>
    </w:p>
    <w:p w:rsidR="007A1C4C" w:rsidRPr="007A1C4C" w:rsidRDefault="007A1C4C" w:rsidP="007A1C4C">
      <w:pPr>
        <w:tabs>
          <w:tab w:val="clear" w:pos="567"/>
          <w:tab w:val="clear" w:pos="1134"/>
          <w:tab w:val="clear" w:pos="1814"/>
          <w:tab w:val="clear" w:pos="2665"/>
        </w:tabs>
        <w:ind w:left="-34"/>
        <w:rPr>
          <w:b/>
          <w:bCs/>
        </w:rPr>
      </w:pPr>
    </w:p>
    <w:p w:rsidR="001D30D2" w:rsidRPr="0058745F" w:rsidRDefault="001D30D2" w:rsidP="00BD7D52">
      <w:pPr>
        <w:pStyle w:val="af1"/>
        <w:numPr>
          <w:ilvl w:val="0"/>
          <w:numId w:val="33"/>
        </w:numPr>
        <w:tabs>
          <w:tab w:val="clear" w:pos="567"/>
          <w:tab w:val="clear" w:pos="1134"/>
          <w:tab w:val="clear" w:pos="1814"/>
          <w:tab w:val="clear" w:pos="2665"/>
        </w:tabs>
        <w:ind w:left="391" w:hanging="425"/>
        <w:rPr>
          <w:b/>
          <w:bCs/>
          <w:rtl/>
        </w:rPr>
      </w:pPr>
      <w:r>
        <w:rPr>
          <w:rFonts w:hint="cs"/>
          <w:b/>
          <w:bCs/>
          <w:rtl/>
        </w:rPr>
        <w:t>שאלה: האם הפיקוח על הבנקים רואה התפתחות של סיכונים ליציבות בהקשר של הגידול של האשראי  לאנשים פרטיים שלא לדיור, כפי שהוזכר ב</w:t>
      </w:r>
      <w:r w:rsidR="00BD7D52">
        <w:rPr>
          <w:rFonts w:hint="cs"/>
          <w:b/>
          <w:bCs/>
          <w:rtl/>
        </w:rPr>
        <w:t>טיוטת ה</w:t>
      </w:r>
      <w:r>
        <w:rPr>
          <w:rFonts w:hint="cs"/>
          <w:b/>
          <w:bCs/>
          <w:rtl/>
        </w:rPr>
        <w:t>הוראה?</w:t>
      </w:r>
    </w:p>
    <w:p w:rsidR="001D30D2" w:rsidRPr="00417725" w:rsidRDefault="001D30D2" w:rsidP="001D30D2">
      <w:pPr>
        <w:pStyle w:val="af1"/>
        <w:tabs>
          <w:tab w:val="clear" w:pos="567"/>
          <w:tab w:val="clear" w:pos="1134"/>
          <w:tab w:val="clear" w:pos="1814"/>
          <w:tab w:val="clear" w:pos="2665"/>
        </w:tabs>
        <w:ind w:left="391"/>
        <w:rPr>
          <w:b/>
          <w:bCs/>
          <w:rtl/>
        </w:rPr>
      </w:pPr>
      <w:r w:rsidRPr="00417725">
        <w:rPr>
          <w:rFonts w:hint="cs"/>
          <w:b/>
          <w:bCs/>
          <w:rtl/>
        </w:rPr>
        <w:t>תשובה</w:t>
      </w:r>
      <w:r>
        <w:rPr>
          <w:rFonts w:hint="cs"/>
          <w:b/>
          <w:bCs/>
          <w:rtl/>
        </w:rPr>
        <w:t>:</w:t>
      </w:r>
    </w:p>
    <w:p w:rsidR="001D30D2" w:rsidRDefault="001D30D2" w:rsidP="00BD7D52">
      <w:pPr>
        <w:pStyle w:val="af1"/>
        <w:tabs>
          <w:tab w:val="clear" w:pos="567"/>
          <w:tab w:val="clear" w:pos="1134"/>
          <w:tab w:val="clear" w:pos="1814"/>
          <w:tab w:val="clear" w:pos="2665"/>
        </w:tabs>
        <w:ind w:left="391"/>
        <w:rPr>
          <w:rtl/>
        </w:rPr>
      </w:pPr>
      <w:r>
        <w:rPr>
          <w:rFonts w:hint="cs"/>
          <w:rtl/>
        </w:rPr>
        <w:t xml:space="preserve">שיעורי הצמיחה של האשראי לאנשים פרטיים שלא לדיור גבוהים ומשקלו בסך האשראי גדל בשנים האחרונות. קיים מתאם בין איכות האשראי </w:t>
      </w:r>
      <w:r w:rsidR="00BD7D52">
        <w:rPr>
          <w:rFonts w:hint="cs"/>
          <w:rtl/>
        </w:rPr>
        <w:t xml:space="preserve">הזה </w:t>
      </w:r>
      <w:r>
        <w:rPr>
          <w:rFonts w:hint="cs"/>
          <w:rtl/>
        </w:rPr>
        <w:t xml:space="preserve">לבין איכות האשראי לדיור דרך גורמים המשפיעים על שני סוגי האשראי. כך לדוגמא, גידול באבטלה והעמקת המיתון צפויים לפגוע הן באשראי הצרכני והן באשראי לדיור. </w:t>
      </w:r>
    </w:p>
    <w:p w:rsidR="00D57EA7" w:rsidRDefault="00D57EA7" w:rsidP="00D57EA7">
      <w:pPr>
        <w:pStyle w:val="af1"/>
        <w:tabs>
          <w:tab w:val="clear" w:pos="567"/>
          <w:tab w:val="clear" w:pos="1134"/>
          <w:tab w:val="clear" w:pos="1814"/>
          <w:tab w:val="clear" w:pos="2665"/>
        </w:tabs>
        <w:ind w:left="391"/>
      </w:pPr>
    </w:p>
    <w:p w:rsidR="00DE690B" w:rsidRPr="002C352D" w:rsidRDefault="00DE690B" w:rsidP="00F6265D">
      <w:pPr>
        <w:jc w:val="center"/>
        <w:rPr>
          <w:rtl/>
        </w:rPr>
      </w:pPr>
    </w:p>
    <w:sectPr w:rsidR="00DE690B" w:rsidRPr="002C352D" w:rsidSect="002B26EC">
      <w:footerReference w:type="default" r:id="rId10"/>
      <w:headerReference w:type="first" r:id="rId11"/>
      <w:footerReference w:type="first" r:id="rId12"/>
      <w:endnotePr>
        <w:numFmt w:val="lowerLetter"/>
      </w:endnotePr>
      <w:pgSz w:w="11906" w:h="16838" w:code="9"/>
      <w:pgMar w:top="907" w:right="1287" w:bottom="340" w:left="1440" w:header="1077" w:footer="0" w:gutter="0"/>
      <w:cols w:space="720"/>
      <w:bidi/>
      <w:docGrid w:linePitch="326"/>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4E">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AA" wne:acdName="acd4"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73B" w:rsidRDefault="00A1073B">
      <w:r>
        <w:separator/>
      </w:r>
    </w:p>
  </w:endnote>
  <w:endnote w:type="continuationSeparator" w:id="0">
    <w:p w:rsidR="00A1073B" w:rsidRDefault="00A1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0000000000000000000"/>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Yad-Brush">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6EC" w:rsidRPr="002B26EC" w:rsidRDefault="002B26EC" w:rsidP="002B26EC">
    <w:pPr>
      <w:jc w:val="left"/>
      <w:rPr>
        <w:sz w:val="18"/>
        <w:szCs w:val="18"/>
        <w:cs/>
      </w:rPr>
    </w:pPr>
    <w:r>
      <w:rPr>
        <w:rFonts w:hint="cs"/>
        <w:sz w:val="18"/>
        <w:szCs w:val="18"/>
        <w:rtl/>
      </w:rPr>
      <w:t xml:space="preserve">בנק ישראל - </w:t>
    </w:r>
    <w:r w:rsidRPr="002B26EC">
      <w:rPr>
        <w:rFonts w:hint="cs"/>
        <w:sz w:val="18"/>
        <w:szCs w:val="18"/>
        <w:rtl/>
      </w:rPr>
      <w:t>שאלות ותשובות: טיוטת הוראה בנושא הקצאת הון בגין תיק האשראי לדיור</w:t>
    </w:r>
    <w:r>
      <w:rPr>
        <w:rFonts w:hint="cs"/>
        <w:sz w:val="18"/>
        <w:szCs w:val="18"/>
        <w:rtl/>
      </w:rPr>
      <w:t xml:space="preserve"> 14.09.2014</w:t>
    </w:r>
    <w:r>
      <w:rPr>
        <w:rFonts w:hint="cs"/>
        <w:sz w:val="18"/>
        <w:szCs w:val="18"/>
        <w:rtl/>
      </w:rPr>
      <w:tab/>
    </w:r>
    <w:r>
      <w:rPr>
        <w:rFonts w:hint="cs"/>
        <w:sz w:val="18"/>
        <w:szCs w:val="18"/>
        <w:rtl/>
      </w:rPr>
      <w:tab/>
    </w:r>
    <w:sdt>
      <w:sdtPr>
        <w:rPr>
          <w:sz w:val="18"/>
          <w:szCs w:val="18"/>
          <w:rtl/>
        </w:rPr>
        <w:id w:val="281163061"/>
        <w:docPartObj>
          <w:docPartGallery w:val="Page Numbers (Bottom of Page)"/>
          <w:docPartUnique/>
        </w:docPartObj>
      </w:sdtPr>
      <w:sdtEndPr>
        <w:rPr>
          <w:cs/>
        </w:rPr>
      </w:sdtEndPr>
      <w:sdtContent>
        <w:sdt>
          <w:sdtPr>
            <w:rPr>
              <w:sz w:val="18"/>
              <w:szCs w:val="18"/>
              <w:rtl/>
            </w:rPr>
            <w:id w:val="860082579"/>
            <w:docPartObj>
              <w:docPartGallery w:val="Page Numbers (Top of Page)"/>
              <w:docPartUnique/>
            </w:docPartObj>
          </w:sdtPr>
          <w:sdtContent>
            <w:r w:rsidRPr="002B26EC">
              <w:rPr>
                <w:sz w:val="18"/>
                <w:szCs w:val="18"/>
                <w:rtl/>
                <w:cs/>
                <w:lang w:val="he-IL"/>
              </w:rPr>
              <w:t xml:space="preserve">עמוד </w:t>
            </w:r>
            <w:r w:rsidRPr="002B26EC">
              <w:rPr>
                <w:b/>
                <w:bCs/>
                <w:sz w:val="18"/>
                <w:szCs w:val="18"/>
              </w:rPr>
              <w:fldChar w:fldCharType="begin"/>
            </w:r>
            <w:r w:rsidRPr="002B26EC">
              <w:rPr>
                <w:b/>
                <w:bCs/>
                <w:sz w:val="18"/>
                <w:szCs w:val="18"/>
                <w:cs/>
              </w:rPr>
              <w:instrText>PAGE</w:instrText>
            </w:r>
            <w:r w:rsidRPr="002B26EC">
              <w:rPr>
                <w:b/>
                <w:bCs/>
                <w:sz w:val="18"/>
                <w:szCs w:val="18"/>
              </w:rPr>
              <w:fldChar w:fldCharType="separate"/>
            </w:r>
            <w:r>
              <w:rPr>
                <w:b/>
                <w:bCs/>
                <w:noProof/>
                <w:sz w:val="18"/>
                <w:szCs w:val="18"/>
                <w:rtl/>
              </w:rPr>
              <w:t>1</w:t>
            </w:r>
            <w:r w:rsidRPr="002B26EC">
              <w:rPr>
                <w:b/>
                <w:bCs/>
                <w:sz w:val="18"/>
                <w:szCs w:val="18"/>
              </w:rPr>
              <w:fldChar w:fldCharType="end"/>
            </w:r>
            <w:r w:rsidRPr="002B26EC">
              <w:rPr>
                <w:sz w:val="18"/>
                <w:szCs w:val="18"/>
                <w:rtl/>
                <w:cs/>
                <w:lang w:val="he-IL"/>
              </w:rPr>
              <w:t xml:space="preserve"> מתוך </w:t>
            </w:r>
            <w:r w:rsidRPr="002B26EC">
              <w:rPr>
                <w:b/>
                <w:bCs/>
                <w:sz w:val="18"/>
                <w:szCs w:val="18"/>
              </w:rPr>
              <w:fldChar w:fldCharType="begin"/>
            </w:r>
            <w:r w:rsidRPr="002B26EC">
              <w:rPr>
                <w:b/>
                <w:bCs/>
                <w:sz w:val="18"/>
                <w:szCs w:val="18"/>
                <w:cs/>
              </w:rPr>
              <w:instrText>NUMPAGES</w:instrText>
            </w:r>
            <w:r w:rsidRPr="002B26EC">
              <w:rPr>
                <w:b/>
                <w:bCs/>
                <w:sz w:val="18"/>
                <w:szCs w:val="18"/>
              </w:rPr>
              <w:fldChar w:fldCharType="separate"/>
            </w:r>
            <w:r>
              <w:rPr>
                <w:b/>
                <w:bCs/>
                <w:noProof/>
                <w:sz w:val="18"/>
                <w:szCs w:val="18"/>
                <w:rtl/>
              </w:rPr>
              <w:t>4</w:t>
            </w:r>
            <w:r w:rsidRPr="002B26EC">
              <w:rPr>
                <w:b/>
                <w:bCs/>
                <w:sz w:val="18"/>
                <w:szCs w:val="18"/>
              </w:rPr>
              <w:fldChar w:fldCharType="end"/>
            </w:r>
          </w:sdtContent>
        </w:sdt>
      </w:sdtContent>
    </w:sdt>
  </w:p>
  <w:p w:rsidR="00F63E0B" w:rsidRDefault="00F63E0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89E" w:rsidRPr="00F63E0B" w:rsidRDefault="0000589E" w:rsidP="00F63E0B">
    <w:pPr>
      <w:pStyle w:val="a3"/>
      <w:rPr>
        <w:szCs w:val="20"/>
        <w:rtl/>
      </w:rPr>
    </w:pPr>
    <w:bookmarkStart w:id="2" w:name="DocOpen"/>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73B" w:rsidRDefault="00A1073B">
      <w:r>
        <w:separator/>
      </w:r>
    </w:p>
  </w:footnote>
  <w:footnote w:type="continuationSeparator" w:id="0">
    <w:p w:rsidR="00A1073B" w:rsidRDefault="00A10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89E" w:rsidRPr="00CF2125" w:rsidRDefault="0000589E" w:rsidP="003B43FE">
    <w:pPr>
      <w:pStyle w:val="a8"/>
      <w:rPr>
        <w:sz w:val="2"/>
        <w:szCs w:val="2"/>
      </w:rPr>
    </w:pPr>
    <w:bookmarkStart w:id="1" w:name="Flag"/>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6253"/>
    <w:multiLevelType w:val="hybridMultilevel"/>
    <w:tmpl w:val="800234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DF2692"/>
    <w:multiLevelType w:val="hybridMultilevel"/>
    <w:tmpl w:val="01126582"/>
    <w:lvl w:ilvl="0" w:tplc="E3DAA54C">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2">
    <w:nsid w:val="0812395C"/>
    <w:multiLevelType w:val="hybridMultilevel"/>
    <w:tmpl w:val="88103CCC"/>
    <w:lvl w:ilvl="0" w:tplc="1EDC4E86">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BB5D5E"/>
    <w:multiLevelType w:val="multilevel"/>
    <w:tmpl w:val="FEE090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5910A77"/>
    <w:multiLevelType w:val="hybridMultilevel"/>
    <w:tmpl w:val="742A0E4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C01412"/>
    <w:multiLevelType w:val="hybridMultilevel"/>
    <w:tmpl w:val="6770B45E"/>
    <w:lvl w:ilvl="0" w:tplc="0280337E">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534AF6"/>
    <w:multiLevelType w:val="hybridMultilevel"/>
    <w:tmpl w:val="0302D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A8F1683"/>
    <w:multiLevelType w:val="hybridMultilevel"/>
    <w:tmpl w:val="90CC508A"/>
    <w:lvl w:ilvl="0" w:tplc="0280337E">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E10532"/>
    <w:multiLevelType w:val="hybridMultilevel"/>
    <w:tmpl w:val="F1B41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6B6BE6"/>
    <w:multiLevelType w:val="multilevel"/>
    <w:tmpl w:val="477CDD7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32500B6"/>
    <w:multiLevelType w:val="hybridMultilevel"/>
    <w:tmpl w:val="C4384DB4"/>
    <w:lvl w:ilvl="0" w:tplc="027A41E0">
      <w:start w:val="1"/>
      <w:numFmt w:val="decimal"/>
      <w:lvlText w:val="%1."/>
      <w:lvlJc w:val="left"/>
      <w:pPr>
        <w:tabs>
          <w:tab w:val="num" w:pos="386"/>
        </w:tabs>
        <w:ind w:left="386" w:hanging="360"/>
      </w:pPr>
      <w:rPr>
        <w:rFonts w:hint="default"/>
      </w:rPr>
    </w:lvl>
    <w:lvl w:ilvl="1" w:tplc="1862E406">
      <w:start w:val="1"/>
      <w:numFmt w:val="bullet"/>
      <w:lvlText w:val=""/>
      <w:lvlJc w:val="left"/>
      <w:pPr>
        <w:tabs>
          <w:tab w:val="num" w:pos="1106"/>
        </w:tabs>
        <w:ind w:left="1106" w:hanging="360"/>
      </w:pPr>
      <w:rPr>
        <w:rFonts w:ascii="Symbol" w:hAnsi="Symbol"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1">
    <w:nsid w:val="236474F7"/>
    <w:multiLevelType w:val="hybridMultilevel"/>
    <w:tmpl w:val="1510793A"/>
    <w:lvl w:ilvl="0" w:tplc="098823D8">
      <w:start w:val="1"/>
      <w:numFmt w:val="decimal"/>
      <w:lvlText w:val="%1."/>
      <w:lvlJc w:val="left"/>
      <w:pPr>
        <w:tabs>
          <w:tab w:val="num" w:pos="386"/>
        </w:tabs>
        <w:ind w:left="386" w:hanging="360"/>
      </w:pPr>
      <w:rPr>
        <w:rFonts w:hint="default"/>
        <w:u w:val="none"/>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2">
    <w:nsid w:val="26D61F00"/>
    <w:multiLevelType w:val="multilevel"/>
    <w:tmpl w:val="6770B45E"/>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9317749"/>
    <w:multiLevelType w:val="hybridMultilevel"/>
    <w:tmpl w:val="E2D256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872838"/>
    <w:multiLevelType w:val="multilevel"/>
    <w:tmpl w:val="697C385C"/>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
      <w:lvlJc w:val="left"/>
      <w:pPr>
        <w:tabs>
          <w:tab w:val="num" w:pos="1440"/>
        </w:tabs>
        <w:ind w:left="1440" w:hanging="360"/>
      </w:pPr>
      <w:rPr>
        <w:rFonts w:ascii="Symbol" w:hAnsi="Symbol" w:hint="default"/>
        <w:sz w:val="28"/>
        <w:szCs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8683FF7"/>
    <w:multiLevelType w:val="hybridMultilevel"/>
    <w:tmpl w:val="C6E4CF02"/>
    <w:lvl w:ilvl="0" w:tplc="60A043F4">
      <w:start w:val="1"/>
      <w:numFmt w:val="bullet"/>
      <w:lvlText w:val=""/>
      <w:lvlJc w:val="left"/>
      <w:pPr>
        <w:tabs>
          <w:tab w:val="num" w:pos="720"/>
        </w:tabs>
        <w:ind w:left="720" w:hanging="360"/>
      </w:pPr>
      <w:rPr>
        <w:rFonts w:ascii="Wingdings" w:hAnsi="Wingdings" w:hint="default"/>
        <w:lang w:bidi="he-IL"/>
      </w:rPr>
    </w:lvl>
    <w:lvl w:ilvl="1" w:tplc="0280337E">
      <w:start w:val="1"/>
      <w:numFmt w:val="bullet"/>
      <w:lvlText w:val=""/>
      <w:lvlJc w:val="left"/>
      <w:pPr>
        <w:tabs>
          <w:tab w:val="num" w:pos="1440"/>
        </w:tabs>
        <w:ind w:left="1440" w:hanging="360"/>
      </w:pPr>
      <w:rPr>
        <w:rFonts w:ascii="Symbol" w:hAnsi="Symbol" w:hint="default"/>
        <w:sz w:val="28"/>
        <w:szCs w:val="28"/>
        <w:lang w:bidi="he-IL"/>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FF56BE"/>
    <w:multiLevelType w:val="hybridMultilevel"/>
    <w:tmpl w:val="93A0F068"/>
    <w:lvl w:ilvl="0" w:tplc="F2B0116A">
      <w:start w:val="1"/>
      <w:numFmt w:val="decimal"/>
      <w:lvlText w:val="(%1)"/>
      <w:lvlJc w:val="left"/>
      <w:pPr>
        <w:tabs>
          <w:tab w:val="num" w:pos="431"/>
        </w:tabs>
        <w:ind w:left="431" w:hanging="405"/>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7">
    <w:nsid w:val="39FE17F4"/>
    <w:multiLevelType w:val="hybridMultilevel"/>
    <w:tmpl w:val="C52E122E"/>
    <w:lvl w:ilvl="0" w:tplc="E3DAA54C">
      <w:start w:val="1"/>
      <w:numFmt w:val="decimal"/>
      <w:lvlText w:val="(%1)"/>
      <w:lvlJc w:val="left"/>
      <w:pPr>
        <w:tabs>
          <w:tab w:val="num" w:pos="386"/>
        </w:tabs>
        <w:ind w:left="386" w:hanging="360"/>
      </w:pPr>
      <w:rPr>
        <w:rFonts w:hint="default"/>
      </w:rPr>
    </w:lvl>
    <w:lvl w:ilvl="1" w:tplc="1862E406">
      <w:start w:val="1"/>
      <w:numFmt w:val="bullet"/>
      <w:lvlText w:val=""/>
      <w:lvlJc w:val="left"/>
      <w:pPr>
        <w:tabs>
          <w:tab w:val="num" w:pos="1106"/>
        </w:tabs>
        <w:ind w:left="1106" w:hanging="360"/>
      </w:pPr>
      <w:rPr>
        <w:rFonts w:ascii="Symbol" w:hAnsi="Symbol"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8">
    <w:nsid w:val="3DA4041D"/>
    <w:multiLevelType w:val="hybridMultilevel"/>
    <w:tmpl w:val="8716F47C"/>
    <w:lvl w:ilvl="0" w:tplc="1862E406">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9E74B8"/>
    <w:multiLevelType w:val="hybridMultilevel"/>
    <w:tmpl w:val="ECAE6FD4"/>
    <w:lvl w:ilvl="0" w:tplc="795AEA80">
      <w:start w:val="1"/>
      <w:numFmt w:val="decimal"/>
      <w:lvlText w:val="(%1)"/>
      <w:lvlJc w:val="left"/>
      <w:pPr>
        <w:tabs>
          <w:tab w:val="num" w:pos="491"/>
        </w:tabs>
        <w:ind w:left="491" w:hanging="465"/>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20">
    <w:nsid w:val="49661505"/>
    <w:multiLevelType w:val="hybridMultilevel"/>
    <w:tmpl w:val="477CDD72"/>
    <w:lvl w:ilvl="0" w:tplc="E7CAC25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CC447D6"/>
    <w:multiLevelType w:val="hybridMultilevel"/>
    <w:tmpl w:val="31642B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73F470F"/>
    <w:multiLevelType w:val="hybridMultilevel"/>
    <w:tmpl w:val="AF04AF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1E365E"/>
    <w:multiLevelType w:val="hybridMultilevel"/>
    <w:tmpl w:val="697C385C"/>
    <w:lvl w:ilvl="0" w:tplc="0280337E">
      <w:start w:val="1"/>
      <w:numFmt w:val="bullet"/>
      <w:lvlText w:val=""/>
      <w:lvlJc w:val="left"/>
      <w:pPr>
        <w:tabs>
          <w:tab w:val="num" w:pos="720"/>
        </w:tabs>
        <w:ind w:left="720" w:hanging="360"/>
      </w:pPr>
      <w:rPr>
        <w:rFonts w:ascii="Symbol" w:hAnsi="Symbol" w:hint="default"/>
        <w:sz w:val="28"/>
        <w:szCs w:val="28"/>
      </w:rPr>
    </w:lvl>
    <w:lvl w:ilvl="1" w:tplc="04090001">
      <w:start w:val="1"/>
      <w:numFmt w:val="bullet"/>
      <w:lvlText w:val=""/>
      <w:lvlJc w:val="left"/>
      <w:pPr>
        <w:tabs>
          <w:tab w:val="num" w:pos="1440"/>
        </w:tabs>
        <w:ind w:left="1440" w:hanging="360"/>
      </w:pPr>
      <w:rPr>
        <w:rFonts w:ascii="Symbol" w:hAnsi="Symbol"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BC7D90"/>
    <w:multiLevelType w:val="hybridMultilevel"/>
    <w:tmpl w:val="85D24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FF539A"/>
    <w:multiLevelType w:val="hybridMultilevel"/>
    <w:tmpl w:val="1F7ADF3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0C07851"/>
    <w:multiLevelType w:val="multilevel"/>
    <w:tmpl w:val="8F9AB302"/>
    <w:lvl w:ilvl="0">
      <w:start w:val="1"/>
      <w:numFmt w:val="decimal"/>
      <w:pStyle w:val="1"/>
      <w:lvlText w:val="%1."/>
      <w:lvlJc w:val="left"/>
      <w:pPr>
        <w:tabs>
          <w:tab w:val="num" w:pos="562"/>
        </w:tabs>
        <w:ind w:left="562" w:hanging="562"/>
      </w:pPr>
      <w:rPr>
        <w:rFonts w:hint="default"/>
      </w:rPr>
    </w:lvl>
    <w:lvl w:ilvl="1">
      <w:start w:val="1"/>
      <w:numFmt w:val="decimal"/>
      <w:pStyle w:val="2"/>
      <w:lvlText w:val="%1.%2."/>
      <w:lvlJc w:val="left"/>
      <w:pPr>
        <w:tabs>
          <w:tab w:val="num" w:pos="1138"/>
        </w:tabs>
        <w:ind w:left="1138" w:hanging="576"/>
      </w:pPr>
      <w:rPr>
        <w:rFonts w:hint="default"/>
      </w:rPr>
    </w:lvl>
    <w:lvl w:ilvl="2">
      <w:start w:val="1"/>
      <w:numFmt w:val="decimal"/>
      <w:pStyle w:val="3"/>
      <w:lvlText w:val="%1.%2.%3."/>
      <w:lvlJc w:val="left"/>
      <w:pPr>
        <w:tabs>
          <w:tab w:val="num" w:pos="1872"/>
        </w:tabs>
        <w:ind w:left="1872" w:hanging="734"/>
      </w:pPr>
      <w:rPr>
        <w:rFonts w:hint="default"/>
      </w:rPr>
    </w:lvl>
    <w:lvl w:ilvl="3">
      <w:start w:val="1"/>
      <w:numFmt w:val="decimal"/>
      <w:pStyle w:val="4"/>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27">
    <w:nsid w:val="68820CBC"/>
    <w:multiLevelType w:val="hybridMultilevel"/>
    <w:tmpl w:val="3EC4330E"/>
    <w:lvl w:ilvl="0" w:tplc="D2964CD6">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28">
    <w:nsid w:val="69994FBC"/>
    <w:multiLevelType w:val="hybridMultilevel"/>
    <w:tmpl w:val="5C408D4A"/>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9">
    <w:nsid w:val="70316554"/>
    <w:multiLevelType w:val="multilevel"/>
    <w:tmpl w:val="2466B4BE"/>
    <w:lvl w:ilvl="0">
      <w:start w:val="1"/>
      <w:numFmt w:val="decimal"/>
      <w:lvlText w:val="%1."/>
      <w:lvlJc w:val="left"/>
      <w:pPr>
        <w:tabs>
          <w:tab w:val="num" w:pos="567"/>
        </w:tabs>
        <w:ind w:left="567" w:hanging="567"/>
      </w:pPr>
      <w:rPr>
        <w:rFonts w:hint="default"/>
        <w:b w:val="0"/>
        <w:bCs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tabs>
          <w:tab w:val="num" w:pos="1418"/>
        </w:tabs>
        <w:ind w:left="1701" w:hanging="567"/>
      </w:pPr>
      <w:rPr>
        <w:rFonts w:hint="default"/>
      </w:rPr>
    </w:lvl>
    <w:lvl w:ilvl="3">
      <w:start w:val="1"/>
      <w:numFmt w:val="decimal"/>
      <w:lvlText w:val="%1.%2.%3.%4."/>
      <w:lvlJc w:val="left"/>
      <w:pPr>
        <w:tabs>
          <w:tab w:val="num" w:pos="1418"/>
        </w:tabs>
        <w:ind w:left="1418" w:hanging="28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70E37BA2"/>
    <w:multiLevelType w:val="hybridMultilevel"/>
    <w:tmpl w:val="7610C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4E83181"/>
    <w:multiLevelType w:val="hybridMultilevel"/>
    <w:tmpl w:val="7FB22C4E"/>
    <w:lvl w:ilvl="0" w:tplc="82022F2E">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32">
    <w:nsid w:val="7B21632C"/>
    <w:multiLevelType w:val="hybridMultilevel"/>
    <w:tmpl w:val="9926CC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E684076"/>
    <w:multiLevelType w:val="hybridMultilevel"/>
    <w:tmpl w:val="3E00E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3"/>
  </w:num>
  <w:num w:numId="3">
    <w:abstractNumId w:val="0"/>
  </w:num>
  <w:num w:numId="4">
    <w:abstractNumId w:val="7"/>
  </w:num>
  <w:num w:numId="5">
    <w:abstractNumId w:val="15"/>
  </w:num>
  <w:num w:numId="6">
    <w:abstractNumId w:val="14"/>
  </w:num>
  <w:num w:numId="7">
    <w:abstractNumId w:val="5"/>
  </w:num>
  <w:num w:numId="8">
    <w:abstractNumId w:val="22"/>
  </w:num>
  <w:num w:numId="9">
    <w:abstractNumId w:val="3"/>
  </w:num>
  <w:num w:numId="10">
    <w:abstractNumId w:val="8"/>
  </w:num>
  <w:num w:numId="11">
    <w:abstractNumId w:val="33"/>
  </w:num>
  <w:num w:numId="12">
    <w:abstractNumId w:val="2"/>
  </w:num>
  <w:num w:numId="13">
    <w:abstractNumId w:val="20"/>
  </w:num>
  <w:num w:numId="14">
    <w:abstractNumId w:val="12"/>
  </w:num>
  <w:num w:numId="15">
    <w:abstractNumId w:val="9"/>
  </w:num>
  <w:num w:numId="16">
    <w:abstractNumId w:val="6"/>
  </w:num>
  <w:num w:numId="17">
    <w:abstractNumId w:val="28"/>
  </w:num>
  <w:num w:numId="18">
    <w:abstractNumId w:val="30"/>
  </w:num>
  <w:num w:numId="19">
    <w:abstractNumId w:val="32"/>
  </w:num>
  <w:num w:numId="20">
    <w:abstractNumId w:val="13"/>
  </w:num>
  <w:num w:numId="21">
    <w:abstractNumId w:val="25"/>
  </w:num>
  <w:num w:numId="22">
    <w:abstractNumId w:val="4"/>
  </w:num>
  <w:num w:numId="23">
    <w:abstractNumId w:val="21"/>
  </w:num>
  <w:num w:numId="24">
    <w:abstractNumId w:val="18"/>
  </w:num>
  <w:num w:numId="25">
    <w:abstractNumId w:val="10"/>
  </w:num>
  <w:num w:numId="26">
    <w:abstractNumId w:val="31"/>
  </w:num>
  <w:num w:numId="27">
    <w:abstractNumId w:val="1"/>
  </w:num>
  <w:num w:numId="28">
    <w:abstractNumId w:val="17"/>
  </w:num>
  <w:num w:numId="29">
    <w:abstractNumId w:val="27"/>
  </w:num>
  <w:num w:numId="30">
    <w:abstractNumId w:val="11"/>
  </w:num>
  <w:num w:numId="31">
    <w:abstractNumId w:val="16"/>
  </w:num>
  <w:num w:numId="32">
    <w:abstractNumId w:val="19"/>
  </w:num>
  <w:num w:numId="33">
    <w:abstractNumId w:val="24"/>
  </w:num>
  <w:num w:numId="34">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064"/>
    <w:rsid w:val="000009F1"/>
    <w:rsid w:val="00001034"/>
    <w:rsid w:val="000012FD"/>
    <w:rsid w:val="00002444"/>
    <w:rsid w:val="00002B9C"/>
    <w:rsid w:val="0000589E"/>
    <w:rsid w:val="00006AE9"/>
    <w:rsid w:val="00007AA3"/>
    <w:rsid w:val="00007B3A"/>
    <w:rsid w:val="00007C4B"/>
    <w:rsid w:val="0001080B"/>
    <w:rsid w:val="0001164B"/>
    <w:rsid w:val="00013561"/>
    <w:rsid w:val="00013569"/>
    <w:rsid w:val="000138B6"/>
    <w:rsid w:val="00013C79"/>
    <w:rsid w:val="000141C0"/>
    <w:rsid w:val="0001678F"/>
    <w:rsid w:val="000204C3"/>
    <w:rsid w:val="0002146D"/>
    <w:rsid w:val="00022F55"/>
    <w:rsid w:val="00023161"/>
    <w:rsid w:val="0002417A"/>
    <w:rsid w:val="00025C33"/>
    <w:rsid w:val="000260BF"/>
    <w:rsid w:val="0002709B"/>
    <w:rsid w:val="000306B1"/>
    <w:rsid w:val="00030FF8"/>
    <w:rsid w:val="000315FA"/>
    <w:rsid w:val="00031C44"/>
    <w:rsid w:val="00031E36"/>
    <w:rsid w:val="0003289B"/>
    <w:rsid w:val="00032E46"/>
    <w:rsid w:val="00033014"/>
    <w:rsid w:val="00033BC9"/>
    <w:rsid w:val="00034CEE"/>
    <w:rsid w:val="00035D98"/>
    <w:rsid w:val="00035F57"/>
    <w:rsid w:val="00036CEA"/>
    <w:rsid w:val="000375E1"/>
    <w:rsid w:val="00040216"/>
    <w:rsid w:val="00040C73"/>
    <w:rsid w:val="000413EB"/>
    <w:rsid w:val="000418FD"/>
    <w:rsid w:val="00041900"/>
    <w:rsid w:val="00042111"/>
    <w:rsid w:val="0004250C"/>
    <w:rsid w:val="0004453D"/>
    <w:rsid w:val="00044679"/>
    <w:rsid w:val="000454F4"/>
    <w:rsid w:val="000458B3"/>
    <w:rsid w:val="00045FE5"/>
    <w:rsid w:val="00046E38"/>
    <w:rsid w:val="00046F8F"/>
    <w:rsid w:val="00047EF5"/>
    <w:rsid w:val="0005118E"/>
    <w:rsid w:val="0005120D"/>
    <w:rsid w:val="00052BA4"/>
    <w:rsid w:val="00053F20"/>
    <w:rsid w:val="00054956"/>
    <w:rsid w:val="00055F85"/>
    <w:rsid w:val="00057218"/>
    <w:rsid w:val="000578F0"/>
    <w:rsid w:val="00057DC0"/>
    <w:rsid w:val="00062693"/>
    <w:rsid w:val="0006325B"/>
    <w:rsid w:val="0006556D"/>
    <w:rsid w:val="00067B76"/>
    <w:rsid w:val="00067C70"/>
    <w:rsid w:val="000706EB"/>
    <w:rsid w:val="000711C7"/>
    <w:rsid w:val="00073307"/>
    <w:rsid w:val="00073855"/>
    <w:rsid w:val="00073921"/>
    <w:rsid w:val="00074D82"/>
    <w:rsid w:val="0007611F"/>
    <w:rsid w:val="00077D7F"/>
    <w:rsid w:val="00080458"/>
    <w:rsid w:val="00080F31"/>
    <w:rsid w:val="00081137"/>
    <w:rsid w:val="000817AA"/>
    <w:rsid w:val="000821B2"/>
    <w:rsid w:val="0008385A"/>
    <w:rsid w:val="00084297"/>
    <w:rsid w:val="000845B5"/>
    <w:rsid w:val="00084C96"/>
    <w:rsid w:val="00084E9A"/>
    <w:rsid w:val="00085681"/>
    <w:rsid w:val="000861D4"/>
    <w:rsid w:val="00086505"/>
    <w:rsid w:val="00086CA6"/>
    <w:rsid w:val="0008722A"/>
    <w:rsid w:val="00087B0C"/>
    <w:rsid w:val="00087C8A"/>
    <w:rsid w:val="00090339"/>
    <w:rsid w:val="00090556"/>
    <w:rsid w:val="0009061E"/>
    <w:rsid w:val="00090D83"/>
    <w:rsid w:val="00094BA3"/>
    <w:rsid w:val="00094DBC"/>
    <w:rsid w:val="00095E0A"/>
    <w:rsid w:val="00096D9E"/>
    <w:rsid w:val="000976BD"/>
    <w:rsid w:val="000A2739"/>
    <w:rsid w:val="000A401E"/>
    <w:rsid w:val="000A4B0E"/>
    <w:rsid w:val="000A4B50"/>
    <w:rsid w:val="000A5714"/>
    <w:rsid w:val="000A6A6A"/>
    <w:rsid w:val="000A6E5A"/>
    <w:rsid w:val="000A7D1A"/>
    <w:rsid w:val="000B1085"/>
    <w:rsid w:val="000B1B01"/>
    <w:rsid w:val="000B2D04"/>
    <w:rsid w:val="000B4065"/>
    <w:rsid w:val="000B46DD"/>
    <w:rsid w:val="000B47D0"/>
    <w:rsid w:val="000B7D42"/>
    <w:rsid w:val="000B7E32"/>
    <w:rsid w:val="000C0640"/>
    <w:rsid w:val="000C1915"/>
    <w:rsid w:val="000C208D"/>
    <w:rsid w:val="000C3299"/>
    <w:rsid w:val="000C4217"/>
    <w:rsid w:val="000C491E"/>
    <w:rsid w:val="000C5C5C"/>
    <w:rsid w:val="000C68EB"/>
    <w:rsid w:val="000D0E49"/>
    <w:rsid w:val="000D197F"/>
    <w:rsid w:val="000D552E"/>
    <w:rsid w:val="000D68C4"/>
    <w:rsid w:val="000E0A04"/>
    <w:rsid w:val="000E1ED0"/>
    <w:rsid w:val="000E2069"/>
    <w:rsid w:val="000E26AF"/>
    <w:rsid w:val="000E3E20"/>
    <w:rsid w:val="000E4353"/>
    <w:rsid w:val="000E48FA"/>
    <w:rsid w:val="000E5ABA"/>
    <w:rsid w:val="000E655A"/>
    <w:rsid w:val="000E7632"/>
    <w:rsid w:val="000E7C44"/>
    <w:rsid w:val="000F0C91"/>
    <w:rsid w:val="000F0D15"/>
    <w:rsid w:val="000F224C"/>
    <w:rsid w:val="000F4786"/>
    <w:rsid w:val="000F484F"/>
    <w:rsid w:val="000F4ABC"/>
    <w:rsid w:val="000F67FB"/>
    <w:rsid w:val="000F6C4F"/>
    <w:rsid w:val="000F6D6F"/>
    <w:rsid w:val="000F6FB6"/>
    <w:rsid w:val="000F7584"/>
    <w:rsid w:val="000F785B"/>
    <w:rsid w:val="00100AB0"/>
    <w:rsid w:val="00100AC3"/>
    <w:rsid w:val="00101288"/>
    <w:rsid w:val="00102044"/>
    <w:rsid w:val="00103060"/>
    <w:rsid w:val="00105D15"/>
    <w:rsid w:val="00106F1B"/>
    <w:rsid w:val="00107AE0"/>
    <w:rsid w:val="0011030A"/>
    <w:rsid w:val="0011030E"/>
    <w:rsid w:val="0011034D"/>
    <w:rsid w:val="00110CC5"/>
    <w:rsid w:val="00110F02"/>
    <w:rsid w:val="00111567"/>
    <w:rsid w:val="00111A0E"/>
    <w:rsid w:val="00113229"/>
    <w:rsid w:val="00113691"/>
    <w:rsid w:val="00113745"/>
    <w:rsid w:val="00114018"/>
    <w:rsid w:val="00114069"/>
    <w:rsid w:val="0011415A"/>
    <w:rsid w:val="00114466"/>
    <w:rsid w:val="00115537"/>
    <w:rsid w:val="001156C5"/>
    <w:rsid w:val="001169B1"/>
    <w:rsid w:val="00116A23"/>
    <w:rsid w:val="001171D2"/>
    <w:rsid w:val="001211C1"/>
    <w:rsid w:val="001217F7"/>
    <w:rsid w:val="00121A29"/>
    <w:rsid w:val="00121F05"/>
    <w:rsid w:val="001230C7"/>
    <w:rsid w:val="0012372B"/>
    <w:rsid w:val="00123B72"/>
    <w:rsid w:val="00124D91"/>
    <w:rsid w:val="00126797"/>
    <w:rsid w:val="001272AD"/>
    <w:rsid w:val="00127926"/>
    <w:rsid w:val="00130B12"/>
    <w:rsid w:val="00131FFE"/>
    <w:rsid w:val="00132077"/>
    <w:rsid w:val="00132299"/>
    <w:rsid w:val="00132DBD"/>
    <w:rsid w:val="00133200"/>
    <w:rsid w:val="00133D36"/>
    <w:rsid w:val="00135649"/>
    <w:rsid w:val="00135D01"/>
    <w:rsid w:val="00136B92"/>
    <w:rsid w:val="00137FE4"/>
    <w:rsid w:val="00140A91"/>
    <w:rsid w:val="00142647"/>
    <w:rsid w:val="00142AF8"/>
    <w:rsid w:val="001433ED"/>
    <w:rsid w:val="001453FA"/>
    <w:rsid w:val="00146716"/>
    <w:rsid w:val="00146A20"/>
    <w:rsid w:val="00146D0A"/>
    <w:rsid w:val="00147470"/>
    <w:rsid w:val="0014747D"/>
    <w:rsid w:val="001502CC"/>
    <w:rsid w:val="0015033E"/>
    <w:rsid w:val="00150507"/>
    <w:rsid w:val="00150A8B"/>
    <w:rsid w:val="0015281B"/>
    <w:rsid w:val="00152918"/>
    <w:rsid w:val="00153170"/>
    <w:rsid w:val="001532B5"/>
    <w:rsid w:val="00153858"/>
    <w:rsid w:val="001539EA"/>
    <w:rsid w:val="00153CF0"/>
    <w:rsid w:val="00153DDB"/>
    <w:rsid w:val="00155830"/>
    <w:rsid w:val="00155A8A"/>
    <w:rsid w:val="00156C1B"/>
    <w:rsid w:val="00156EA2"/>
    <w:rsid w:val="00161D4B"/>
    <w:rsid w:val="00162A30"/>
    <w:rsid w:val="001637D4"/>
    <w:rsid w:val="00163AF9"/>
    <w:rsid w:val="00165C1A"/>
    <w:rsid w:val="0016644C"/>
    <w:rsid w:val="001667AC"/>
    <w:rsid w:val="00167A84"/>
    <w:rsid w:val="00170266"/>
    <w:rsid w:val="0017031C"/>
    <w:rsid w:val="00170D80"/>
    <w:rsid w:val="00171BB9"/>
    <w:rsid w:val="001721FF"/>
    <w:rsid w:val="00172F9D"/>
    <w:rsid w:val="001742BF"/>
    <w:rsid w:val="00174358"/>
    <w:rsid w:val="0017660A"/>
    <w:rsid w:val="001768E5"/>
    <w:rsid w:val="0018328F"/>
    <w:rsid w:val="0018353C"/>
    <w:rsid w:val="00184124"/>
    <w:rsid w:val="00184A03"/>
    <w:rsid w:val="00184D7A"/>
    <w:rsid w:val="00184EDF"/>
    <w:rsid w:val="00186466"/>
    <w:rsid w:val="00186F16"/>
    <w:rsid w:val="00187289"/>
    <w:rsid w:val="00187613"/>
    <w:rsid w:val="0019003A"/>
    <w:rsid w:val="00190BF6"/>
    <w:rsid w:val="0019232E"/>
    <w:rsid w:val="001929DB"/>
    <w:rsid w:val="00192E3D"/>
    <w:rsid w:val="001933DF"/>
    <w:rsid w:val="001942B2"/>
    <w:rsid w:val="00194486"/>
    <w:rsid w:val="001945A5"/>
    <w:rsid w:val="00194701"/>
    <w:rsid w:val="0019495D"/>
    <w:rsid w:val="00194AD9"/>
    <w:rsid w:val="00194B92"/>
    <w:rsid w:val="00194FBC"/>
    <w:rsid w:val="001960F0"/>
    <w:rsid w:val="00197492"/>
    <w:rsid w:val="00197D2E"/>
    <w:rsid w:val="001A01E9"/>
    <w:rsid w:val="001A1225"/>
    <w:rsid w:val="001A243E"/>
    <w:rsid w:val="001A2B5A"/>
    <w:rsid w:val="001A3CFF"/>
    <w:rsid w:val="001A405F"/>
    <w:rsid w:val="001A485E"/>
    <w:rsid w:val="001A4876"/>
    <w:rsid w:val="001A4AD7"/>
    <w:rsid w:val="001A4B38"/>
    <w:rsid w:val="001A7319"/>
    <w:rsid w:val="001A739A"/>
    <w:rsid w:val="001A7692"/>
    <w:rsid w:val="001B0BC5"/>
    <w:rsid w:val="001B1FEE"/>
    <w:rsid w:val="001B221A"/>
    <w:rsid w:val="001B372B"/>
    <w:rsid w:val="001B632F"/>
    <w:rsid w:val="001C0B37"/>
    <w:rsid w:val="001C295C"/>
    <w:rsid w:val="001C4F0C"/>
    <w:rsid w:val="001C59F2"/>
    <w:rsid w:val="001C6957"/>
    <w:rsid w:val="001C6A20"/>
    <w:rsid w:val="001C76B3"/>
    <w:rsid w:val="001D046A"/>
    <w:rsid w:val="001D1534"/>
    <w:rsid w:val="001D185A"/>
    <w:rsid w:val="001D30D2"/>
    <w:rsid w:val="001D3A5A"/>
    <w:rsid w:val="001D6939"/>
    <w:rsid w:val="001E1307"/>
    <w:rsid w:val="001E246A"/>
    <w:rsid w:val="001E34CD"/>
    <w:rsid w:val="001E4616"/>
    <w:rsid w:val="001E4693"/>
    <w:rsid w:val="001E7C4C"/>
    <w:rsid w:val="001F044E"/>
    <w:rsid w:val="001F04D5"/>
    <w:rsid w:val="001F3936"/>
    <w:rsid w:val="001F3C22"/>
    <w:rsid w:val="001F4677"/>
    <w:rsid w:val="001F4ADE"/>
    <w:rsid w:val="001F558D"/>
    <w:rsid w:val="001F59E8"/>
    <w:rsid w:val="001F619E"/>
    <w:rsid w:val="002002F9"/>
    <w:rsid w:val="002007C5"/>
    <w:rsid w:val="00202FD2"/>
    <w:rsid w:val="00204C42"/>
    <w:rsid w:val="00205687"/>
    <w:rsid w:val="00205AF3"/>
    <w:rsid w:val="0021052E"/>
    <w:rsid w:val="00212D83"/>
    <w:rsid w:val="00212EA4"/>
    <w:rsid w:val="00212F0C"/>
    <w:rsid w:val="00213AC8"/>
    <w:rsid w:val="00214B4C"/>
    <w:rsid w:val="002150F7"/>
    <w:rsid w:val="00215DC6"/>
    <w:rsid w:val="00216706"/>
    <w:rsid w:val="00221338"/>
    <w:rsid w:val="00221541"/>
    <w:rsid w:val="0022198F"/>
    <w:rsid w:val="00221F62"/>
    <w:rsid w:val="002229FE"/>
    <w:rsid w:val="00222F50"/>
    <w:rsid w:val="002238C8"/>
    <w:rsid w:val="00223B7F"/>
    <w:rsid w:val="002246EF"/>
    <w:rsid w:val="0022504F"/>
    <w:rsid w:val="00225D41"/>
    <w:rsid w:val="00225F5D"/>
    <w:rsid w:val="00226543"/>
    <w:rsid w:val="002270E6"/>
    <w:rsid w:val="00227159"/>
    <w:rsid w:val="002316B8"/>
    <w:rsid w:val="002316D0"/>
    <w:rsid w:val="00232400"/>
    <w:rsid w:val="0023546C"/>
    <w:rsid w:val="002379CE"/>
    <w:rsid w:val="0024086C"/>
    <w:rsid w:val="00243271"/>
    <w:rsid w:val="002435F5"/>
    <w:rsid w:val="00243773"/>
    <w:rsid w:val="002437D9"/>
    <w:rsid w:val="00243FB5"/>
    <w:rsid w:val="00244D5E"/>
    <w:rsid w:val="00246763"/>
    <w:rsid w:val="00247BBC"/>
    <w:rsid w:val="002523FC"/>
    <w:rsid w:val="00253CC1"/>
    <w:rsid w:val="0025451F"/>
    <w:rsid w:val="00254960"/>
    <w:rsid w:val="00254AF8"/>
    <w:rsid w:val="00254E88"/>
    <w:rsid w:val="0025564D"/>
    <w:rsid w:val="00255659"/>
    <w:rsid w:val="00255A65"/>
    <w:rsid w:val="002622E3"/>
    <w:rsid w:val="00262892"/>
    <w:rsid w:val="0026531C"/>
    <w:rsid w:val="00267C17"/>
    <w:rsid w:val="00270428"/>
    <w:rsid w:val="002706B8"/>
    <w:rsid w:val="002715E5"/>
    <w:rsid w:val="00272023"/>
    <w:rsid w:val="0027211B"/>
    <w:rsid w:val="002724DF"/>
    <w:rsid w:val="00273A9A"/>
    <w:rsid w:val="00274165"/>
    <w:rsid w:val="002741D0"/>
    <w:rsid w:val="00274476"/>
    <w:rsid w:val="002755BE"/>
    <w:rsid w:val="00277BA8"/>
    <w:rsid w:val="00280453"/>
    <w:rsid w:val="00280677"/>
    <w:rsid w:val="00280A4A"/>
    <w:rsid w:val="00281822"/>
    <w:rsid w:val="002821C0"/>
    <w:rsid w:val="00282DF6"/>
    <w:rsid w:val="00284F7D"/>
    <w:rsid w:val="002856F8"/>
    <w:rsid w:val="0028590F"/>
    <w:rsid w:val="002868D6"/>
    <w:rsid w:val="0028765A"/>
    <w:rsid w:val="00287E2F"/>
    <w:rsid w:val="00290146"/>
    <w:rsid w:val="002908F2"/>
    <w:rsid w:val="00290DFD"/>
    <w:rsid w:val="002919CF"/>
    <w:rsid w:val="00291EC8"/>
    <w:rsid w:val="00291F9B"/>
    <w:rsid w:val="002931D6"/>
    <w:rsid w:val="0029360A"/>
    <w:rsid w:val="0029435A"/>
    <w:rsid w:val="00294F93"/>
    <w:rsid w:val="002957B0"/>
    <w:rsid w:val="00295AA4"/>
    <w:rsid w:val="00296CB4"/>
    <w:rsid w:val="00296D6D"/>
    <w:rsid w:val="002A05C1"/>
    <w:rsid w:val="002A1857"/>
    <w:rsid w:val="002A1C31"/>
    <w:rsid w:val="002A27A9"/>
    <w:rsid w:val="002A2ACB"/>
    <w:rsid w:val="002A4C66"/>
    <w:rsid w:val="002A52FE"/>
    <w:rsid w:val="002A6731"/>
    <w:rsid w:val="002A6CA2"/>
    <w:rsid w:val="002B02BE"/>
    <w:rsid w:val="002B1792"/>
    <w:rsid w:val="002B1970"/>
    <w:rsid w:val="002B1FDB"/>
    <w:rsid w:val="002B26EC"/>
    <w:rsid w:val="002B2743"/>
    <w:rsid w:val="002B4464"/>
    <w:rsid w:val="002B4577"/>
    <w:rsid w:val="002B5941"/>
    <w:rsid w:val="002B65BC"/>
    <w:rsid w:val="002B7502"/>
    <w:rsid w:val="002B7766"/>
    <w:rsid w:val="002B7977"/>
    <w:rsid w:val="002B7A8E"/>
    <w:rsid w:val="002B7DA2"/>
    <w:rsid w:val="002C0546"/>
    <w:rsid w:val="002C0C39"/>
    <w:rsid w:val="002C130F"/>
    <w:rsid w:val="002C152D"/>
    <w:rsid w:val="002C2049"/>
    <w:rsid w:val="002C2F91"/>
    <w:rsid w:val="002C352D"/>
    <w:rsid w:val="002C3C95"/>
    <w:rsid w:val="002C47F5"/>
    <w:rsid w:val="002C5A64"/>
    <w:rsid w:val="002C5CB3"/>
    <w:rsid w:val="002C70F9"/>
    <w:rsid w:val="002C72C8"/>
    <w:rsid w:val="002C7A75"/>
    <w:rsid w:val="002C7C72"/>
    <w:rsid w:val="002C7E07"/>
    <w:rsid w:val="002D027C"/>
    <w:rsid w:val="002D16F7"/>
    <w:rsid w:val="002D26EE"/>
    <w:rsid w:val="002D2E71"/>
    <w:rsid w:val="002D31A3"/>
    <w:rsid w:val="002D3AAD"/>
    <w:rsid w:val="002D3B09"/>
    <w:rsid w:val="002D3C78"/>
    <w:rsid w:val="002D3F47"/>
    <w:rsid w:val="002D5419"/>
    <w:rsid w:val="002D7003"/>
    <w:rsid w:val="002E041F"/>
    <w:rsid w:val="002E1226"/>
    <w:rsid w:val="002E1274"/>
    <w:rsid w:val="002E133E"/>
    <w:rsid w:val="002E140A"/>
    <w:rsid w:val="002E1436"/>
    <w:rsid w:val="002E1486"/>
    <w:rsid w:val="002E1502"/>
    <w:rsid w:val="002E24FA"/>
    <w:rsid w:val="002E259F"/>
    <w:rsid w:val="002E4247"/>
    <w:rsid w:val="002E482C"/>
    <w:rsid w:val="002E7DBA"/>
    <w:rsid w:val="002F0D48"/>
    <w:rsid w:val="002F0EA8"/>
    <w:rsid w:val="002F12D8"/>
    <w:rsid w:val="002F1C88"/>
    <w:rsid w:val="002F28BA"/>
    <w:rsid w:val="002F3553"/>
    <w:rsid w:val="002F3F8F"/>
    <w:rsid w:val="002F5CC8"/>
    <w:rsid w:val="002F788E"/>
    <w:rsid w:val="002F7A8C"/>
    <w:rsid w:val="002F7B75"/>
    <w:rsid w:val="003000B6"/>
    <w:rsid w:val="00300C47"/>
    <w:rsid w:val="00300F86"/>
    <w:rsid w:val="00300FF0"/>
    <w:rsid w:val="00301B09"/>
    <w:rsid w:val="00303455"/>
    <w:rsid w:val="00303734"/>
    <w:rsid w:val="003051CB"/>
    <w:rsid w:val="00306544"/>
    <w:rsid w:val="00306D35"/>
    <w:rsid w:val="00310CFB"/>
    <w:rsid w:val="0031140D"/>
    <w:rsid w:val="0031207A"/>
    <w:rsid w:val="00312B02"/>
    <w:rsid w:val="00312EF3"/>
    <w:rsid w:val="00314835"/>
    <w:rsid w:val="0031760B"/>
    <w:rsid w:val="00321406"/>
    <w:rsid w:val="00321F7F"/>
    <w:rsid w:val="00322B6A"/>
    <w:rsid w:val="00322CCC"/>
    <w:rsid w:val="00323075"/>
    <w:rsid w:val="00324220"/>
    <w:rsid w:val="003248D0"/>
    <w:rsid w:val="00324BD0"/>
    <w:rsid w:val="003254C8"/>
    <w:rsid w:val="00326727"/>
    <w:rsid w:val="00326DC6"/>
    <w:rsid w:val="00327890"/>
    <w:rsid w:val="00327B85"/>
    <w:rsid w:val="0033117B"/>
    <w:rsid w:val="00331ED2"/>
    <w:rsid w:val="003333DA"/>
    <w:rsid w:val="003335FD"/>
    <w:rsid w:val="00333E96"/>
    <w:rsid w:val="0033461A"/>
    <w:rsid w:val="003357FB"/>
    <w:rsid w:val="00335938"/>
    <w:rsid w:val="00336128"/>
    <w:rsid w:val="003377FB"/>
    <w:rsid w:val="00337B6B"/>
    <w:rsid w:val="0034037E"/>
    <w:rsid w:val="003407E6"/>
    <w:rsid w:val="003413F9"/>
    <w:rsid w:val="00342C58"/>
    <w:rsid w:val="00342E4C"/>
    <w:rsid w:val="00343563"/>
    <w:rsid w:val="00344AF5"/>
    <w:rsid w:val="00345A0C"/>
    <w:rsid w:val="00346469"/>
    <w:rsid w:val="00346FAC"/>
    <w:rsid w:val="00347CE0"/>
    <w:rsid w:val="0035040A"/>
    <w:rsid w:val="00350F5E"/>
    <w:rsid w:val="00353B74"/>
    <w:rsid w:val="0035592E"/>
    <w:rsid w:val="00355E0B"/>
    <w:rsid w:val="003564D2"/>
    <w:rsid w:val="00356FC8"/>
    <w:rsid w:val="00357B07"/>
    <w:rsid w:val="003603F4"/>
    <w:rsid w:val="003612BE"/>
    <w:rsid w:val="00362168"/>
    <w:rsid w:val="003622AC"/>
    <w:rsid w:val="00362C64"/>
    <w:rsid w:val="00363249"/>
    <w:rsid w:val="00364196"/>
    <w:rsid w:val="00365066"/>
    <w:rsid w:val="003652B5"/>
    <w:rsid w:val="00365B47"/>
    <w:rsid w:val="00366697"/>
    <w:rsid w:val="00366AEF"/>
    <w:rsid w:val="00366EF5"/>
    <w:rsid w:val="003707A5"/>
    <w:rsid w:val="00370E3C"/>
    <w:rsid w:val="003713AF"/>
    <w:rsid w:val="0037171C"/>
    <w:rsid w:val="00371965"/>
    <w:rsid w:val="00372AD5"/>
    <w:rsid w:val="00374ADF"/>
    <w:rsid w:val="003759F0"/>
    <w:rsid w:val="003762F6"/>
    <w:rsid w:val="00376592"/>
    <w:rsid w:val="003770E0"/>
    <w:rsid w:val="00377AFE"/>
    <w:rsid w:val="00377BCC"/>
    <w:rsid w:val="003811CA"/>
    <w:rsid w:val="003823E8"/>
    <w:rsid w:val="00383897"/>
    <w:rsid w:val="00385410"/>
    <w:rsid w:val="00386E0B"/>
    <w:rsid w:val="0038717A"/>
    <w:rsid w:val="003875A4"/>
    <w:rsid w:val="00387782"/>
    <w:rsid w:val="00390FDD"/>
    <w:rsid w:val="0039177D"/>
    <w:rsid w:val="00391905"/>
    <w:rsid w:val="00391E19"/>
    <w:rsid w:val="00392580"/>
    <w:rsid w:val="00392E79"/>
    <w:rsid w:val="00392FCE"/>
    <w:rsid w:val="0039381A"/>
    <w:rsid w:val="00393D99"/>
    <w:rsid w:val="00394E46"/>
    <w:rsid w:val="00395608"/>
    <w:rsid w:val="00395D98"/>
    <w:rsid w:val="003960D3"/>
    <w:rsid w:val="00396B65"/>
    <w:rsid w:val="003977A6"/>
    <w:rsid w:val="00397ABD"/>
    <w:rsid w:val="003A1252"/>
    <w:rsid w:val="003A1AC9"/>
    <w:rsid w:val="003A3260"/>
    <w:rsid w:val="003A42E7"/>
    <w:rsid w:val="003A4354"/>
    <w:rsid w:val="003A58D7"/>
    <w:rsid w:val="003A5A64"/>
    <w:rsid w:val="003A677E"/>
    <w:rsid w:val="003B0DA2"/>
    <w:rsid w:val="003B1566"/>
    <w:rsid w:val="003B1712"/>
    <w:rsid w:val="003B1DC0"/>
    <w:rsid w:val="003B40DC"/>
    <w:rsid w:val="003B4241"/>
    <w:rsid w:val="003B43FE"/>
    <w:rsid w:val="003B4AFF"/>
    <w:rsid w:val="003B538C"/>
    <w:rsid w:val="003B53CA"/>
    <w:rsid w:val="003B65EF"/>
    <w:rsid w:val="003B72CF"/>
    <w:rsid w:val="003C178A"/>
    <w:rsid w:val="003C1DAB"/>
    <w:rsid w:val="003C1F97"/>
    <w:rsid w:val="003C28AF"/>
    <w:rsid w:val="003C2BAD"/>
    <w:rsid w:val="003C2E9A"/>
    <w:rsid w:val="003C4F4D"/>
    <w:rsid w:val="003C71A8"/>
    <w:rsid w:val="003C7D40"/>
    <w:rsid w:val="003D0263"/>
    <w:rsid w:val="003D05B0"/>
    <w:rsid w:val="003D06FE"/>
    <w:rsid w:val="003D236D"/>
    <w:rsid w:val="003D31EF"/>
    <w:rsid w:val="003D34F6"/>
    <w:rsid w:val="003D3D30"/>
    <w:rsid w:val="003D4240"/>
    <w:rsid w:val="003D6B17"/>
    <w:rsid w:val="003D6F9F"/>
    <w:rsid w:val="003D71E8"/>
    <w:rsid w:val="003D7B79"/>
    <w:rsid w:val="003D7F6A"/>
    <w:rsid w:val="003E1421"/>
    <w:rsid w:val="003E2C41"/>
    <w:rsid w:val="003E3D97"/>
    <w:rsid w:val="003E4314"/>
    <w:rsid w:val="003E740C"/>
    <w:rsid w:val="003E7430"/>
    <w:rsid w:val="003E7F38"/>
    <w:rsid w:val="003F1BFA"/>
    <w:rsid w:val="003F30A2"/>
    <w:rsid w:val="003F3127"/>
    <w:rsid w:val="003F50F9"/>
    <w:rsid w:val="003F5696"/>
    <w:rsid w:val="003F6967"/>
    <w:rsid w:val="003F6EA6"/>
    <w:rsid w:val="003F70D0"/>
    <w:rsid w:val="003F7BF9"/>
    <w:rsid w:val="003F7EC1"/>
    <w:rsid w:val="00400454"/>
    <w:rsid w:val="00400C21"/>
    <w:rsid w:val="00400F4D"/>
    <w:rsid w:val="004011C4"/>
    <w:rsid w:val="00402E43"/>
    <w:rsid w:val="004033AD"/>
    <w:rsid w:val="00403DE3"/>
    <w:rsid w:val="0040432E"/>
    <w:rsid w:val="0040551F"/>
    <w:rsid w:val="00406A09"/>
    <w:rsid w:val="00406AD4"/>
    <w:rsid w:val="0041057E"/>
    <w:rsid w:val="00413046"/>
    <w:rsid w:val="004132E7"/>
    <w:rsid w:val="00413B6C"/>
    <w:rsid w:val="00414AF3"/>
    <w:rsid w:val="00415587"/>
    <w:rsid w:val="00415920"/>
    <w:rsid w:val="00416064"/>
    <w:rsid w:val="004164F7"/>
    <w:rsid w:val="00416997"/>
    <w:rsid w:val="00416CCF"/>
    <w:rsid w:val="004172CC"/>
    <w:rsid w:val="00417685"/>
    <w:rsid w:val="00417729"/>
    <w:rsid w:val="00417FFB"/>
    <w:rsid w:val="0042009D"/>
    <w:rsid w:val="004208B3"/>
    <w:rsid w:val="004208FF"/>
    <w:rsid w:val="00420EF6"/>
    <w:rsid w:val="004210AA"/>
    <w:rsid w:val="00421C39"/>
    <w:rsid w:val="00422460"/>
    <w:rsid w:val="00424030"/>
    <w:rsid w:val="00424964"/>
    <w:rsid w:val="004262CB"/>
    <w:rsid w:val="004262E1"/>
    <w:rsid w:val="00426913"/>
    <w:rsid w:val="00427F9F"/>
    <w:rsid w:val="00430662"/>
    <w:rsid w:val="00431906"/>
    <w:rsid w:val="00431F95"/>
    <w:rsid w:val="0043247F"/>
    <w:rsid w:val="00434AFE"/>
    <w:rsid w:val="00435240"/>
    <w:rsid w:val="004356E6"/>
    <w:rsid w:val="00435711"/>
    <w:rsid w:val="00436361"/>
    <w:rsid w:val="0043715E"/>
    <w:rsid w:val="0043742A"/>
    <w:rsid w:val="00441212"/>
    <w:rsid w:val="00441888"/>
    <w:rsid w:val="00441B3D"/>
    <w:rsid w:val="00441D73"/>
    <w:rsid w:val="004443D2"/>
    <w:rsid w:val="00445863"/>
    <w:rsid w:val="00445F0A"/>
    <w:rsid w:val="004467D4"/>
    <w:rsid w:val="00447019"/>
    <w:rsid w:val="0045002A"/>
    <w:rsid w:val="00450491"/>
    <w:rsid w:val="00450908"/>
    <w:rsid w:val="00451DBC"/>
    <w:rsid w:val="004527A7"/>
    <w:rsid w:val="00452F35"/>
    <w:rsid w:val="00453654"/>
    <w:rsid w:val="00453B46"/>
    <w:rsid w:val="004544C0"/>
    <w:rsid w:val="00454CCF"/>
    <w:rsid w:val="00457BFE"/>
    <w:rsid w:val="00457E94"/>
    <w:rsid w:val="00460FD5"/>
    <w:rsid w:val="0046202E"/>
    <w:rsid w:val="00462134"/>
    <w:rsid w:val="0046325A"/>
    <w:rsid w:val="00463593"/>
    <w:rsid w:val="0046370D"/>
    <w:rsid w:val="00463FCE"/>
    <w:rsid w:val="00464929"/>
    <w:rsid w:val="00464C4D"/>
    <w:rsid w:val="00470E34"/>
    <w:rsid w:val="00470E3A"/>
    <w:rsid w:val="00471FB1"/>
    <w:rsid w:val="00473017"/>
    <w:rsid w:val="00475D9E"/>
    <w:rsid w:val="00480360"/>
    <w:rsid w:val="004815BA"/>
    <w:rsid w:val="00481FE7"/>
    <w:rsid w:val="004827A6"/>
    <w:rsid w:val="0048355D"/>
    <w:rsid w:val="004835BA"/>
    <w:rsid w:val="004836C5"/>
    <w:rsid w:val="00483947"/>
    <w:rsid w:val="00483E14"/>
    <w:rsid w:val="00484528"/>
    <w:rsid w:val="00484C6E"/>
    <w:rsid w:val="004852C8"/>
    <w:rsid w:val="00485CE3"/>
    <w:rsid w:val="00486E29"/>
    <w:rsid w:val="00487119"/>
    <w:rsid w:val="00487EF6"/>
    <w:rsid w:val="004905BD"/>
    <w:rsid w:val="00491144"/>
    <w:rsid w:val="0049136F"/>
    <w:rsid w:val="00493363"/>
    <w:rsid w:val="00493529"/>
    <w:rsid w:val="00494575"/>
    <w:rsid w:val="00495F98"/>
    <w:rsid w:val="004963B2"/>
    <w:rsid w:val="00496F92"/>
    <w:rsid w:val="004A03A2"/>
    <w:rsid w:val="004A0C15"/>
    <w:rsid w:val="004A1DA6"/>
    <w:rsid w:val="004A1F0A"/>
    <w:rsid w:val="004A62B0"/>
    <w:rsid w:val="004A671D"/>
    <w:rsid w:val="004A6CC8"/>
    <w:rsid w:val="004A713B"/>
    <w:rsid w:val="004A7ADA"/>
    <w:rsid w:val="004B0300"/>
    <w:rsid w:val="004B0FE6"/>
    <w:rsid w:val="004B20BB"/>
    <w:rsid w:val="004B24C5"/>
    <w:rsid w:val="004B4D5B"/>
    <w:rsid w:val="004B51C7"/>
    <w:rsid w:val="004B6EF3"/>
    <w:rsid w:val="004C06C2"/>
    <w:rsid w:val="004C0A5C"/>
    <w:rsid w:val="004C1E9D"/>
    <w:rsid w:val="004C2A56"/>
    <w:rsid w:val="004C2F72"/>
    <w:rsid w:val="004C431D"/>
    <w:rsid w:val="004C4667"/>
    <w:rsid w:val="004C5F86"/>
    <w:rsid w:val="004C7CF7"/>
    <w:rsid w:val="004D01DB"/>
    <w:rsid w:val="004D0830"/>
    <w:rsid w:val="004D18DC"/>
    <w:rsid w:val="004D21B2"/>
    <w:rsid w:val="004D27AC"/>
    <w:rsid w:val="004D2DAC"/>
    <w:rsid w:val="004D3716"/>
    <w:rsid w:val="004D3B3C"/>
    <w:rsid w:val="004D4813"/>
    <w:rsid w:val="004D4CA9"/>
    <w:rsid w:val="004D4F93"/>
    <w:rsid w:val="004D6CBF"/>
    <w:rsid w:val="004D6FB5"/>
    <w:rsid w:val="004E0649"/>
    <w:rsid w:val="004E0AA5"/>
    <w:rsid w:val="004E0B60"/>
    <w:rsid w:val="004E11BE"/>
    <w:rsid w:val="004E126C"/>
    <w:rsid w:val="004E28A1"/>
    <w:rsid w:val="004E2F78"/>
    <w:rsid w:val="004E3EBC"/>
    <w:rsid w:val="004E546D"/>
    <w:rsid w:val="004E691E"/>
    <w:rsid w:val="004E6B17"/>
    <w:rsid w:val="004E70CB"/>
    <w:rsid w:val="004F0F1B"/>
    <w:rsid w:val="004F1FE9"/>
    <w:rsid w:val="004F2016"/>
    <w:rsid w:val="004F7948"/>
    <w:rsid w:val="004F7DEA"/>
    <w:rsid w:val="0050050C"/>
    <w:rsid w:val="00500A57"/>
    <w:rsid w:val="00503743"/>
    <w:rsid w:val="00503A9C"/>
    <w:rsid w:val="00503F55"/>
    <w:rsid w:val="00504CBC"/>
    <w:rsid w:val="00505A86"/>
    <w:rsid w:val="00505BEE"/>
    <w:rsid w:val="00506453"/>
    <w:rsid w:val="005064AF"/>
    <w:rsid w:val="005071A0"/>
    <w:rsid w:val="005071D7"/>
    <w:rsid w:val="0051030A"/>
    <w:rsid w:val="0051040B"/>
    <w:rsid w:val="0051078C"/>
    <w:rsid w:val="00510D91"/>
    <w:rsid w:val="00510ECE"/>
    <w:rsid w:val="00510FDA"/>
    <w:rsid w:val="00513ADA"/>
    <w:rsid w:val="00516F0F"/>
    <w:rsid w:val="00517123"/>
    <w:rsid w:val="00517177"/>
    <w:rsid w:val="0051748B"/>
    <w:rsid w:val="00520BF2"/>
    <w:rsid w:val="00521051"/>
    <w:rsid w:val="00521F7B"/>
    <w:rsid w:val="0052403E"/>
    <w:rsid w:val="00524AB4"/>
    <w:rsid w:val="00525B14"/>
    <w:rsid w:val="005262CB"/>
    <w:rsid w:val="00530042"/>
    <w:rsid w:val="00531A2A"/>
    <w:rsid w:val="005322A1"/>
    <w:rsid w:val="0053292B"/>
    <w:rsid w:val="00532EF1"/>
    <w:rsid w:val="00533257"/>
    <w:rsid w:val="0053479A"/>
    <w:rsid w:val="00536569"/>
    <w:rsid w:val="00537327"/>
    <w:rsid w:val="00540498"/>
    <w:rsid w:val="00540D23"/>
    <w:rsid w:val="0054109A"/>
    <w:rsid w:val="005419D9"/>
    <w:rsid w:val="00541B1C"/>
    <w:rsid w:val="005422B3"/>
    <w:rsid w:val="00542763"/>
    <w:rsid w:val="005436C1"/>
    <w:rsid w:val="00544518"/>
    <w:rsid w:val="00546F7D"/>
    <w:rsid w:val="00547DB2"/>
    <w:rsid w:val="00550DC7"/>
    <w:rsid w:val="00552DD9"/>
    <w:rsid w:val="00554EA8"/>
    <w:rsid w:val="00555FD4"/>
    <w:rsid w:val="005569A4"/>
    <w:rsid w:val="0056307E"/>
    <w:rsid w:val="00565159"/>
    <w:rsid w:val="00565C38"/>
    <w:rsid w:val="0056658F"/>
    <w:rsid w:val="00567597"/>
    <w:rsid w:val="00567FB6"/>
    <w:rsid w:val="0057090B"/>
    <w:rsid w:val="00570AE6"/>
    <w:rsid w:val="00570F10"/>
    <w:rsid w:val="005716D1"/>
    <w:rsid w:val="00574DB5"/>
    <w:rsid w:val="005752A2"/>
    <w:rsid w:val="00575F6C"/>
    <w:rsid w:val="00575FBA"/>
    <w:rsid w:val="00576810"/>
    <w:rsid w:val="00580A0A"/>
    <w:rsid w:val="005816DB"/>
    <w:rsid w:val="005816F7"/>
    <w:rsid w:val="00582FC7"/>
    <w:rsid w:val="00583858"/>
    <w:rsid w:val="00584BF9"/>
    <w:rsid w:val="005850AC"/>
    <w:rsid w:val="005853E7"/>
    <w:rsid w:val="00586A2E"/>
    <w:rsid w:val="0058745F"/>
    <w:rsid w:val="00587982"/>
    <w:rsid w:val="005902E7"/>
    <w:rsid w:val="005907B8"/>
    <w:rsid w:val="00590CF7"/>
    <w:rsid w:val="00591AB8"/>
    <w:rsid w:val="00592E46"/>
    <w:rsid w:val="00592EEC"/>
    <w:rsid w:val="00594529"/>
    <w:rsid w:val="00594AFD"/>
    <w:rsid w:val="0059532C"/>
    <w:rsid w:val="005954F6"/>
    <w:rsid w:val="005958DE"/>
    <w:rsid w:val="00595AF8"/>
    <w:rsid w:val="00595F42"/>
    <w:rsid w:val="005968E2"/>
    <w:rsid w:val="00596C8D"/>
    <w:rsid w:val="00597DF3"/>
    <w:rsid w:val="005A0526"/>
    <w:rsid w:val="005A1DA1"/>
    <w:rsid w:val="005A1E4F"/>
    <w:rsid w:val="005A27CD"/>
    <w:rsid w:val="005A2F0B"/>
    <w:rsid w:val="005A2FAD"/>
    <w:rsid w:val="005A3988"/>
    <w:rsid w:val="005A3B39"/>
    <w:rsid w:val="005A3D98"/>
    <w:rsid w:val="005A3F75"/>
    <w:rsid w:val="005A4434"/>
    <w:rsid w:val="005A4C8A"/>
    <w:rsid w:val="005A7367"/>
    <w:rsid w:val="005B18CF"/>
    <w:rsid w:val="005B1E8F"/>
    <w:rsid w:val="005B1EDE"/>
    <w:rsid w:val="005B2A49"/>
    <w:rsid w:val="005B4218"/>
    <w:rsid w:val="005B5FAF"/>
    <w:rsid w:val="005C0912"/>
    <w:rsid w:val="005C1FB3"/>
    <w:rsid w:val="005C227B"/>
    <w:rsid w:val="005C2BFA"/>
    <w:rsid w:val="005C2EC2"/>
    <w:rsid w:val="005C32C3"/>
    <w:rsid w:val="005C5E53"/>
    <w:rsid w:val="005D0DE6"/>
    <w:rsid w:val="005D3455"/>
    <w:rsid w:val="005D46FB"/>
    <w:rsid w:val="005D47D2"/>
    <w:rsid w:val="005D6620"/>
    <w:rsid w:val="005D6B69"/>
    <w:rsid w:val="005D6B95"/>
    <w:rsid w:val="005D74EF"/>
    <w:rsid w:val="005D7589"/>
    <w:rsid w:val="005E0EEC"/>
    <w:rsid w:val="005E1584"/>
    <w:rsid w:val="005E27C1"/>
    <w:rsid w:val="005E348D"/>
    <w:rsid w:val="005E3ED6"/>
    <w:rsid w:val="005E43E1"/>
    <w:rsid w:val="005E57AF"/>
    <w:rsid w:val="005E6F83"/>
    <w:rsid w:val="005E7525"/>
    <w:rsid w:val="005F10AB"/>
    <w:rsid w:val="005F10D2"/>
    <w:rsid w:val="005F12BA"/>
    <w:rsid w:val="005F20A3"/>
    <w:rsid w:val="005F2ADB"/>
    <w:rsid w:val="005F3525"/>
    <w:rsid w:val="005F4423"/>
    <w:rsid w:val="005F4DF8"/>
    <w:rsid w:val="005F5A39"/>
    <w:rsid w:val="005F759E"/>
    <w:rsid w:val="00601F01"/>
    <w:rsid w:val="00602EAE"/>
    <w:rsid w:val="00604E0A"/>
    <w:rsid w:val="0060697E"/>
    <w:rsid w:val="00607D06"/>
    <w:rsid w:val="006108B0"/>
    <w:rsid w:val="006132F6"/>
    <w:rsid w:val="006166ED"/>
    <w:rsid w:val="00617206"/>
    <w:rsid w:val="006212D4"/>
    <w:rsid w:val="0062169B"/>
    <w:rsid w:val="006218F7"/>
    <w:rsid w:val="00621E97"/>
    <w:rsid w:val="006223DB"/>
    <w:rsid w:val="00622E9C"/>
    <w:rsid w:val="00623DEF"/>
    <w:rsid w:val="00624D45"/>
    <w:rsid w:val="00625036"/>
    <w:rsid w:val="006260B0"/>
    <w:rsid w:val="006268C4"/>
    <w:rsid w:val="00631874"/>
    <w:rsid w:val="00632BA1"/>
    <w:rsid w:val="00632FBA"/>
    <w:rsid w:val="006359B4"/>
    <w:rsid w:val="00635DBF"/>
    <w:rsid w:val="006362D8"/>
    <w:rsid w:val="006364B2"/>
    <w:rsid w:val="0064019E"/>
    <w:rsid w:val="00641F78"/>
    <w:rsid w:val="00642345"/>
    <w:rsid w:val="00642A63"/>
    <w:rsid w:val="0064330A"/>
    <w:rsid w:val="00643358"/>
    <w:rsid w:val="0064358E"/>
    <w:rsid w:val="00644609"/>
    <w:rsid w:val="00647824"/>
    <w:rsid w:val="00650B2D"/>
    <w:rsid w:val="00651165"/>
    <w:rsid w:val="00651D0F"/>
    <w:rsid w:val="0065252E"/>
    <w:rsid w:val="0065355B"/>
    <w:rsid w:val="00655694"/>
    <w:rsid w:val="00655E6D"/>
    <w:rsid w:val="00655F9D"/>
    <w:rsid w:val="0065679C"/>
    <w:rsid w:val="006569B3"/>
    <w:rsid w:val="00663152"/>
    <w:rsid w:val="00666399"/>
    <w:rsid w:val="006669F8"/>
    <w:rsid w:val="00667432"/>
    <w:rsid w:val="00670F60"/>
    <w:rsid w:val="00672861"/>
    <w:rsid w:val="00673A8F"/>
    <w:rsid w:val="00673F84"/>
    <w:rsid w:val="00674179"/>
    <w:rsid w:val="0067450F"/>
    <w:rsid w:val="006746F6"/>
    <w:rsid w:val="00674BA1"/>
    <w:rsid w:val="00675725"/>
    <w:rsid w:val="0067594D"/>
    <w:rsid w:val="00675C20"/>
    <w:rsid w:val="00677067"/>
    <w:rsid w:val="0067743E"/>
    <w:rsid w:val="00677456"/>
    <w:rsid w:val="00677C9D"/>
    <w:rsid w:val="00680C43"/>
    <w:rsid w:val="006813AF"/>
    <w:rsid w:val="006819D1"/>
    <w:rsid w:val="00681E54"/>
    <w:rsid w:val="00683DFE"/>
    <w:rsid w:val="00683E7B"/>
    <w:rsid w:val="00684485"/>
    <w:rsid w:val="00686780"/>
    <w:rsid w:val="00687BC2"/>
    <w:rsid w:val="006923A4"/>
    <w:rsid w:val="006930D5"/>
    <w:rsid w:val="006943D4"/>
    <w:rsid w:val="00695066"/>
    <w:rsid w:val="006963CE"/>
    <w:rsid w:val="00696BFD"/>
    <w:rsid w:val="00696E2C"/>
    <w:rsid w:val="00697348"/>
    <w:rsid w:val="00697F22"/>
    <w:rsid w:val="006A055F"/>
    <w:rsid w:val="006A6257"/>
    <w:rsid w:val="006A6B36"/>
    <w:rsid w:val="006A6D0C"/>
    <w:rsid w:val="006A6DFA"/>
    <w:rsid w:val="006A7C02"/>
    <w:rsid w:val="006A7CF3"/>
    <w:rsid w:val="006A7E19"/>
    <w:rsid w:val="006B00E7"/>
    <w:rsid w:val="006B227E"/>
    <w:rsid w:val="006B312E"/>
    <w:rsid w:val="006B543B"/>
    <w:rsid w:val="006B6B4D"/>
    <w:rsid w:val="006B6DB3"/>
    <w:rsid w:val="006B6FA5"/>
    <w:rsid w:val="006B6FD7"/>
    <w:rsid w:val="006B72DF"/>
    <w:rsid w:val="006B7DEF"/>
    <w:rsid w:val="006C14A9"/>
    <w:rsid w:val="006C1950"/>
    <w:rsid w:val="006C1AAC"/>
    <w:rsid w:val="006C223B"/>
    <w:rsid w:val="006C432E"/>
    <w:rsid w:val="006C45F0"/>
    <w:rsid w:val="006C48D1"/>
    <w:rsid w:val="006C500C"/>
    <w:rsid w:val="006C52F4"/>
    <w:rsid w:val="006C66E8"/>
    <w:rsid w:val="006C7F0C"/>
    <w:rsid w:val="006D0A2E"/>
    <w:rsid w:val="006D0E45"/>
    <w:rsid w:val="006D12B3"/>
    <w:rsid w:val="006D1B14"/>
    <w:rsid w:val="006D2E0C"/>
    <w:rsid w:val="006D567B"/>
    <w:rsid w:val="006D5974"/>
    <w:rsid w:val="006D6433"/>
    <w:rsid w:val="006D71AE"/>
    <w:rsid w:val="006D7CE2"/>
    <w:rsid w:val="006E15D6"/>
    <w:rsid w:val="006E257B"/>
    <w:rsid w:val="006E2D8F"/>
    <w:rsid w:val="006E3046"/>
    <w:rsid w:val="006E38D8"/>
    <w:rsid w:val="006E65D1"/>
    <w:rsid w:val="006E70A8"/>
    <w:rsid w:val="006E77C0"/>
    <w:rsid w:val="006F0EFD"/>
    <w:rsid w:val="006F0F28"/>
    <w:rsid w:val="006F1FB6"/>
    <w:rsid w:val="006F2670"/>
    <w:rsid w:val="006F278C"/>
    <w:rsid w:val="006F3E66"/>
    <w:rsid w:val="006F4428"/>
    <w:rsid w:val="006F55CB"/>
    <w:rsid w:val="006F599C"/>
    <w:rsid w:val="006F6DA8"/>
    <w:rsid w:val="006F718E"/>
    <w:rsid w:val="00701394"/>
    <w:rsid w:val="0070180D"/>
    <w:rsid w:val="00703F7F"/>
    <w:rsid w:val="00704452"/>
    <w:rsid w:val="00704AA5"/>
    <w:rsid w:val="00704DC5"/>
    <w:rsid w:val="007055DB"/>
    <w:rsid w:val="00706853"/>
    <w:rsid w:val="00707799"/>
    <w:rsid w:val="007101E5"/>
    <w:rsid w:val="007102AE"/>
    <w:rsid w:val="00710E90"/>
    <w:rsid w:val="00711358"/>
    <w:rsid w:val="00712699"/>
    <w:rsid w:val="00712A37"/>
    <w:rsid w:val="00712F08"/>
    <w:rsid w:val="00713A01"/>
    <w:rsid w:val="00713ED0"/>
    <w:rsid w:val="00714074"/>
    <w:rsid w:val="00714974"/>
    <w:rsid w:val="00715CAC"/>
    <w:rsid w:val="00715F7B"/>
    <w:rsid w:val="0071694B"/>
    <w:rsid w:val="007209E3"/>
    <w:rsid w:val="00721C69"/>
    <w:rsid w:val="00721D26"/>
    <w:rsid w:val="007233FB"/>
    <w:rsid w:val="00723E79"/>
    <w:rsid w:val="00723F7C"/>
    <w:rsid w:val="007242BC"/>
    <w:rsid w:val="00725286"/>
    <w:rsid w:val="0072534F"/>
    <w:rsid w:val="00725547"/>
    <w:rsid w:val="00726FF5"/>
    <w:rsid w:val="0072757E"/>
    <w:rsid w:val="007308F3"/>
    <w:rsid w:val="00732B77"/>
    <w:rsid w:val="007334C5"/>
    <w:rsid w:val="007357B6"/>
    <w:rsid w:val="00735995"/>
    <w:rsid w:val="007362FB"/>
    <w:rsid w:val="0073647D"/>
    <w:rsid w:val="007376C4"/>
    <w:rsid w:val="00737B39"/>
    <w:rsid w:val="007401B5"/>
    <w:rsid w:val="007402AA"/>
    <w:rsid w:val="0074079C"/>
    <w:rsid w:val="00740E4E"/>
    <w:rsid w:val="007416B9"/>
    <w:rsid w:val="00743BBB"/>
    <w:rsid w:val="007445E1"/>
    <w:rsid w:val="007448D7"/>
    <w:rsid w:val="00745DD9"/>
    <w:rsid w:val="007506FE"/>
    <w:rsid w:val="00752156"/>
    <w:rsid w:val="00752C38"/>
    <w:rsid w:val="00752D67"/>
    <w:rsid w:val="00752F88"/>
    <w:rsid w:val="007533F6"/>
    <w:rsid w:val="007535B9"/>
    <w:rsid w:val="007537E9"/>
    <w:rsid w:val="00754D00"/>
    <w:rsid w:val="00755FCA"/>
    <w:rsid w:val="00757C13"/>
    <w:rsid w:val="00761DB6"/>
    <w:rsid w:val="0076285E"/>
    <w:rsid w:val="007638F9"/>
    <w:rsid w:val="007654F7"/>
    <w:rsid w:val="00766EB9"/>
    <w:rsid w:val="007670E4"/>
    <w:rsid w:val="007708AF"/>
    <w:rsid w:val="00770C3C"/>
    <w:rsid w:val="007713EF"/>
    <w:rsid w:val="007724D7"/>
    <w:rsid w:val="007734BC"/>
    <w:rsid w:val="00774BB9"/>
    <w:rsid w:val="00774DC3"/>
    <w:rsid w:val="007752C3"/>
    <w:rsid w:val="0077560C"/>
    <w:rsid w:val="00775770"/>
    <w:rsid w:val="00775A73"/>
    <w:rsid w:val="007771EF"/>
    <w:rsid w:val="00777A82"/>
    <w:rsid w:val="007806C3"/>
    <w:rsid w:val="0078147B"/>
    <w:rsid w:val="00781A0F"/>
    <w:rsid w:val="00781B69"/>
    <w:rsid w:val="0078265F"/>
    <w:rsid w:val="007828F0"/>
    <w:rsid w:val="00783053"/>
    <w:rsid w:val="00785C48"/>
    <w:rsid w:val="00785F0F"/>
    <w:rsid w:val="007910C3"/>
    <w:rsid w:val="00791660"/>
    <w:rsid w:val="007918FE"/>
    <w:rsid w:val="00793E2A"/>
    <w:rsid w:val="00794B7A"/>
    <w:rsid w:val="007951B7"/>
    <w:rsid w:val="007963F9"/>
    <w:rsid w:val="00796C23"/>
    <w:rsid w:val="00797015"/>
    <w:rsid w:val="007A0795"/>
    <w:rsid w:val="007A1C4C"/>
    <w:rsid w:val="007A231F"/>
    <w:rsid w:val="007A3BCB"/>
    <w:rsid w:val="007A3C4C"/>
    <w:rsid w:val="007A573E"/>
    <w:rsid w:val="007A62D8"/>
    <w:rsid w:val="007A682E"/>
    <w:rsid w:val="007A6B0F"/>
    <w:rsid w:val="007A718F"/>
    <w:rsid w:val="007A7D01"/>
    <w:rsid w:val="007B0A56"/>
    <w:rsid w:val="007B0C36"/>
    <w:rsid w:val="007B2784"/>
    <w:rsid w:val="007B2DFC"/>
    <w:rsid w:val="007B452E"/>
    <w:rsid w:val="007B504A"/>
    <w:rsid w:val="007B77ED"/>
    <w:rsid w:val="007C0A23"/>
    <w:rsid w:val="007C184E"/>
    <w:rsid w:val="007C2509"/>
    <w:rsid w:val="007C4062"/>
    <w:rsid w:val="007C5298"/>
    <w:rsid w:val="007C5A26"/>
    <w:rsid w:val="007C5B99"/>
    <w:rsid w:val="007C60F2"/>
    <w:rsid w:val="007C6BBE"/>
    <w:rsid w:val="007D0340"/>
    <w:rsid w:val="007D045C"/>
    <w:rsid w:val="007D2ACF"/>
    <w:rsid w:val="007D3952"/>
    <w:rsid w:val="007D3A50"/>
    <w:rsid w:val="007D4819"/>
    <w:rsid w:val="007D5272"/>
    <w:rsid w:val="007D6692"/>
    <w:rsid w:val="007D6ADF"/>
    <w:rsid w:val="007D6E49"/>
    <w:rsid w:val="007E017B"/>
    <w:rsid w:val="007E0A5B"/>
    <w:rsid w:val="007E1D89"/>
    <w:rsid w:val="007E2E37"/>
    <w:rsid w:val="007E2FE2"/>
    <w:rsid w:val="007E38C9"/>
    <w:rsid w:val="007E436B"/>
    <w:rsid w:val="007E5353"/>
    <w:rsid w:val="007E7735"/>
    <w:rsid w:val="007E7899"/>
    <w:rsid w:val="007E78D4"/>
    <w:rsid w:val="007F0368"/>
    <w:rsid w:val="007F21C6"/>
    <w:rsid w:val="007F256D"/>
    <w:rsid w:val="007F2E58"/>
    <w:rsid w:val="007F3E89"/>
    <w:rsid w:val="007F4062"/>
    <w:rsid w:val="007F42F7"/>
    <w:rsid w:val="007F5B93"/>
    <w:rsid w:val="007F5FBD"/>
    <w:rsid w:val="008006EF"/>
    <w:rsid w:val="008009BA"/>
    <w:rsid w:val="00802FA2"/>
    <w:rsid w:val="008031C7"/>
    <w:rsid w:val="00803250"/>
    <w:rsid w:val="0080411D"/>
    <w:rsid w:val="00806907"/>
    <w:rsid w:val="0080690C"/>
    <w:rsid w:val="00810F57"/>
    <w:rsid w:val="00811885"/>
    <w:rsid w:val="00811A6E"/>
    <w:rsid w:val="00811FFA"/>
    <w:rsid w:val="00814AA9"/>
    <w:rsid w:val="008153ED"/>
    <w:rsid w:val="00815A78"/>
    <w:rsid w:val="00815DBE"/>
    <w:rsid w:val="00815F7B"/>
    <w:rsid w:val="0081689B"/>
    <w:rsid w:val="00817112"/>
    <w:rsid w:val="00817F93"/>
    <w:rsid w:val="008216A0"/>
    <w:rsid w:val="0082178F"/>
    <w:rsid w:val="00824638"/>
    <w:rsid w:val="008251D7"/>
    <w:rsid w:val="00825E0A"/>
    <w:rsid w:val="0082637F"/>
    <w:rsid w:val="0082794B"/>
    <w:rsid w:val="00827F49"/>
    <w:rsid w:val="0083202F"/>
    <w:rsid w:val="008327ED"/>
    <w:rsid w:val="00833C56"/>
    <w:rsid w:val="008353F4"/>
    <w:rsid w:val="00836FF9"/>
    <w:rsid w:val="00837BFA"/>
    <w:rsid w:val="00840225"/>
    <w:rsid w:val="00841212"/>
    <w:rsid w:val="00841D98"/>
    <w:rsid w:val="00843D10"/>
    <w:rsid w:val="00844B4D"/>
    <w:rsid w:val="00845606"/>
    <w:rsid w:val="00845CBB"/>
    <w:rsid w:val="00846233"/>
    <w:rsid w:val="008472A3"/>
    <w:rsid w:val="00847621"/>
    <w:rsid w:val="008479A0"/>
    <w:rsid w:val="00850754"/>
    <w:rsid w:val="00850ECC"/>
    <w:rsid w:val="008518ED"/>
    <w:rsid w:val="00851B8D"/>
    <w:rsid w:val="0085263C"/>
    <w:rsid w:val="00852B37"/>
    <w:rsid w:val="00853692"/>
    <w:rsid w:val="00853A68"/>
    <w:rsid w:val="00854081"/>
    <w:rsid w:val="008569E7"/>
    <w:rsid w:val="00857A58"/>
    <w:rsid w:val="00857AE9"/>
    <w:rsid w:val="00860676"/>
    <w:rsid w:val="00860D61"/>
    <w:rsid w:val="00860E66"/>
    <w:rsid w:val="00863087"/>
    <w:rsid w:val="00864251"/>
    <w:rsid w:val="00864285"/>
    <w:rsid w:val="008655F0"/>
    <w:rsid w:val="0086586C"/>
    <w:rsid w:val="008662A8"/>
    <w:rsid w:val="0086741A"/>
    <w:rsid w:val="00867927"/>
    <w:rsid w:val="00870CBA"/>
    <w:rsid w:val="00871577"/>
    <w:rsid w:val="00873C7A"/>
    <w:rsid w:val="008749AE"/>
    <w:rsid w:val="00875A7E"/>
    <w:rsid w:val="00875FCC"/>
    <w:rsid w:val="0087600A"/>
    <w:rsid w:val="008762C5"/>
    <w:rsid w:val="00876554"/>
    <w:rsid w:val="00877447"/>
    <w:rsid w:val="00877511"/>
    <w:rsid w:val="00877C65"/>
    <w:rsid w:val="00881C4A"/>
    <w:rsid w:val="008827C2"/>
    <w:rsid w:val="008829C3"/>
    <w:rsid w:val="00883F14"/>
    <w:rsid w:val="00884162"/>
    <w:rsid w:val="00884AC5"/>
    <w:rsid w:val="00886318"/>
    <w:rsid w:val="008875A6"/>
    <w:rsid w:val="00890627"/>
    <w:rsid w:val="00891A96"/>
    <w:rsid w:val="00892BA4"/>
    <w:rsid w:val="00892CA7"/>
    <w:rsid w:val="008931A8"/>
    <w:rsid w:val="00894838"/>
    <w:rsid w:val="008956EA"/>
    <w:rsid w:val="00897117"/>
    <w:rsid w:val="00897746"/>
    <w:rsid w:val="008A0120"/>
    <w:rsid w:val="008A12C6"/>
    <w:rsid w:val="008A15F1"/>
    <w:rsid w:val="008A25F2"/>
    <w:rsid w:val="008A2A4C"/>
    <w:rsid w:val="008A3BBA"/>
    <w:rsid w:val="008A5120"/>
    <w:rsid w:val="008A6A14"/>
    <w:rsid w:val="008A6B2B"/>
    <w:rsid w:val="008B0CF8"/>
    <w:rsid w:val="008B1DD7"/>
    <w:rsid w:val="008B57E3"/>
    <w:rsid w:val="008B5A8D"/>
    <w:rsid w:val="008B6781"/>
    <w:rsid w:val="008C0CB1"/>
    <w:rsid w:val="008C1BCA"/>
    <w:rsid w:val="008C21F4"/>
    <w:rsid w:val="008C29F5"/>
    <w:rsid w:val="008C4FC7"/>
    <w:rsid w:val="008C711E"/>
    <w:rsid w:val="008C7188"/>
    <w:rsid w:val="008D0326"/>
    <w:rsid w:val="008D162E"/>
    <w:rsid w:val="008D3183"/>
    <w:rsid w:val="008D4E1F"/>
    <w:rsid w:val="008D509E"/>
    <w:rsid w:val="008D6EE3"/>
    <w:rsid w:val="008D7332"/>
    <w:rsid w:val="008D73D6"/>
    <w:rsid w:val="008E08CF"/>
    <w:rsid w:val="008E0A22"/>
    <w:rsid w:val="008E2108"/>
    <w:rsid w:val="008E239F"/>
    <w:rsid w:val="008E2688"/>
    <w:rsid w:val="008E35D8"/>
    <w:rsid w:val="008E4238"/>
    <w:rsid w:val="008E4BE9"/>
    <w:rsid w:val="008E5B8C"/>
    <w:rsid w:val="008E642A"/>
    <w:rsid w:val="008E7541"/>
    <w:rsid w:val="008E7E49"/>
    <w:rsid w:val="008F119B"/>
    <w:rsid w:val="008F2879"/>
    <w:rsid w:val="008F287A"/>
    <w:rsid w:val="008F47E0"/>
    <w:rsid w:val="008F522D"/>
    <w:rsid w:val="009004BF"/>
    <w:rsid w:val="00900DD2"/>
    <w:rsid w:val="009042BC"/>
    <w:rsid w:val="009050F7"/>
    <w:rsid w:val="009058D8"/>
    <w:rsid w:val="00905E4E"/>
    <w:rsid w:val="009063F7"/>
    <w:rsid w:val="0090753B"/>
    <w:rsid w:val="00907828"/>
    <w:rsid w:val="00907C0B"/>
    <w:rsid w:val="00910DD7"/>
    <w:rsid w:val="009112F5"/>
    <w:rsid w:val="0091632D"/>
    <w:rsid w:val="0091682C"/>
    <w:rsid w:val="00916D50"/>
    <w:rsid w:val="00916D9E"/>
    <w:rsid w:val="00917560"/>
    <w:rsid w:val="009207C1"/>
    <w:rsid w:val="009209F2"/>
    <w:rsid w:val="00921FC9"/>
    <w:rsid w:val="009229D6"/>
    <w:rsid w:val="00922FC1"/>
    <w:rsid w:val="00923128"/>
    <w:rsid w:val="00923158"/>
    <w:rsid w:val="00923DED"/>
    <w:rsid w:val="00924510"/>
    <w:rsid w:val="00924CC9"/>
    <w:rsid w:val="00924FC8"/>
    <w:rsid w:val="00926E67"/>
    <w:rsid w:val="009274E4"/>
    <w:rsid w:val="00930218"/>
    <w:rsid w:val="00930ECD"/>
    <w:rsid w:val="009311BA"/>
    <w:rsid w:val="009324ED"/>
    <w:rsid w:val="00932770"/>
    <w:rsid w:val="00932B48"/>
    <w:rsid w:val="009335F6"/>
    <w:rsid w:val="00933B0E"/>
    <w:rsid w:val="00933B61"/>
    <w:rsid w:val="00936B0C"/>
    <w:rsid w:val="00937112"/>
    <w:rsid w:val="0093756E"/>
    <w:rsid w:val="009377AC"/>
    <w:rsid w:val="009403E2"/>
    <w:rsid w:val="00940E35"/>
    <w:rsid w:val="00941181"/>
    <w:rsid w:val="0094172F"/>
    <w:rsid w:val="009428D1"/>
    <w:rsid w:val="0094295E"/>
    <w:rsid w:val="00943C6E"/>
    <w:rsid w:val="00945F16"/>
    <w:rsid w:val="0095036C"/>
    <w:rsid w:val="009514E4"/>
    <w:rsid w:val="0095194D"/>
    <w:rsid w:val="009523D8"/>
    <w:rsid w:val="00952481"/>
    <w:rsid w:val="00952B86"/>
    <w:rsid w:val="0095343F"/>
    <w:rsid w:val="00954FD1"/>
    <w:rsid w:val="0095592D"/>
    <w:rsid w:val="00955B8B"/>
    <w:rsid w:val="00955F39"/>
    <w:rsid w:val="0095677B"/>
    <w:rsid w:val="00957CA7"/>
    <w:rsid w:val="009604B0"/>
    <w:rsid w:val="0096091E"/>
    <w:rsid w:val="009610F4"/>
    <w:rsid w:val="009610F7"/>
    <w:rsid w:val="009623B8"/>
    <w:rsid w:val="00962A5D"/>
    <w:rsid w:val="0096543B"/>
    <w:rsid w:val="00965D34"/>
    <w:rsid w:val="00965DA4"/>
    <w:rsid w:val="00965DDB"/>
    <w:rsid w:val="009660FA"/>
    <w:rsid w:val="00966EB7"/>
    <w:rsid w:val="00966FE8"/>
    <w:rsid w:val="00970EF3"/>
    <w:rsid w:val="009734D7"/>
    <w:rsid w:val="009739E8"/>
    <w:rsid w:val="00974D4E"/>
    <w:rsid w:val="009757FE"/>
    <w:rsid w:val="00976132"/>
    <w:rsid w:val="00976B9E"/>
    <w:rsid w:val="00977A7D"/>
    <w:rsid w:val="00977D03"/>
    <w:rsid w:val="00980C3E"/>
    <w:rsid w:val="00980C61"/>
    <w:rsid w:val="00982277"/>
    <w:rsid w:val="0098238F"/>
    <w:rsid w:val="0098389E"/>
    <w:rsid w:val="009849C9"/>
    <w:rsid w:val="00985E4C"/>
    <w:rsid w:val="009865C3"/>
    <w:rsid w:val="0098701B"/>
    <w:rsid w:val="00987AA1"/>
    <w:rsid w:val="00987BEF"/>
    <w:rsid w:val="00987E1F"/>
    <w:rsid w:val="00987EEF"/>
    <w:rsid w:val="00990065"/>
    <w:rsid w:val="009903B5"/>
    <w:rsid w:val="009917D4"/>
    <w:rsid w:val="009917DE"/>
    <w:rsid w:val="00992860"/>
    <w:rsid w:val="00993664"/>
    <w:rsid w:val="00994751"/>
    <w:rsid w:val="00994FF2"/>
    <w:rsid w:val="009954AD"/>
    <w:rsid w:val="009971F1"/>
    <w:rsid w:val="009A0E31"/>
    <w:rsid w:val="009A1967"/>
    <w:rsid w:val="009A36FC"/>
    <w:rsid w:val="009A43A7"/>
    <w:rsid w:val="009A4528"/>
    <w:rsid w:val="009A4A27"/>
    <w:rsid w:val="009A51E8"/>
    <w:rsid w:val="009A575F"/>
    <w:rsid w:val="009A74F8"/>
    <w:rsid w:val="009B19B3"/>
    <w:rsid w:val="009B19E2"/>
    <w:rsid w:val="009B1FF2"/>
    <w:rsid w:val="009B2091"/>
    <w:rsid w:val="009B2115"/>
    <w:rsid w:val="009B23F0"/>
    <w:rsid w:val="009B3D90"/>
    <w:rsid w:val="009B4759"/>
    <w:rsid w:val="009B5649"/>
    <w:rsid w:val="009B56CA"/>
    <w:rsid w:val="009B65AD"/>
    <w:rsid w:val="009B7F75"/>
    <w:rsid w:val="009C1582"/>
    <w:rsid w:val="009C2BD1"/>
    <w:rsid w:val="009C4AD1"/>
    <w:rsid w:val="009C4DDD"/>
    <w:rsid w:val="009C66CB"/>
    <w:rsid w:val="009C68D4"/>
    <w:rsid w:val="009C793A"/>
    <w:rsid w:val="009D128B"/>
    <w:rsid w:val="009D3054"/>
    <w:rsid w:val="009D370E"/>
    <w:rsid w:val="009D3F0B"/>
    <w:rsid w:val="009D5279"/>
    <w:rsid w:val="009D5C5F"/>
    <w:rsid w:val="009D63D4"/>
    <w:rsid w:val="009D66F0"/>
    <w:rsid w:val="009D6E29"/>
    <w:rsid w:val="009E1056"/>
    <w:rsid w:val="009E122B"/>
    <w:rsid w:val="009E1C53"/>
    <w:rsid w:val="009E1F9F"/>
    <w:rsid w:val="009E215C"/>
    <w:rsid w:val="009E3185"/>
    <w:rsid w:val="009E3250"/>
    <w:rsid w:val="009E3C25"/>
    <w:rsid w:val="009E4AEB"/>
    <w:rsid w:val="009E55A5"/>
    <w:rsid w:val="009E56D7"/>
    <w:rsid w:val="009E5C9E"/>
    <w:rsid w:val="009E6234"/>
    <w:rsid w:val="009F018D"/>
    <w:rsid w:val="009F0E44"/>
    <w:rsid w:val="009F1BBE"/>
    <w:rsid w:val="009F2EEE"/>
    <w:rsid w:val="009F2FA5"/>
    <w:rsid w:val="009F3F94"/>
    <w:rsid w:val="009F4853"/>
    <w:rsid w:val="009F4950"/>
    <w:rsid w:val="009F6520"/>
    <w:rsid w:val="009F6FF2"/>
    <w:rsid w:val="009F7028"/>
    <w:rsid w:val="009F731D"/>
    <w:rsid w:val="009F7FC2"/>
    <w:rsid w:val="00A0005E"/>
    <w:rsid w:val="00A00CFE"/>
    <w:rsid w:val="00A022AB"/>
    <w:rsid w:val="00A0266C"/>
    <w:rsid w:val="00A034A7"/>
    <w:rsid w:val="00A05AA3"/>
    <w:rsid w:val="00A05D20"/>
    <w:rsid w:val="00A0615F"/>
    <w:rsid w:val="00A06BA5"/>
    <w:rsid w:val="00A101F6"/>
    <w:rsid w:val="00A1073B"/>
    <w:rsid w:val="00A11D98"/>
    <w:rsid w:val="00A11EBC"/>
    <w:rsid w:val="00A143E2"/>
    <w:rsid w:val="00A157E7"/>
    <w:rsid w:val="00A159FE"/>
    <w:rsid w:val="00A15B99"/>
    <w:rsid w:val="00A16B9A"/>
    <w:rsid w:val="00A171DD"/>
    <w:rsid w:val="00A17DED"/>
    <w:rsid w:val="00A2074C"/>
    <w:rsid w:val="00A2083B"/>
    <w:rsid w:val="00A2179C"/>
    <w:rsid w:val="00A22571"/>
    <w:rsid w:val="00A22973"/>
    <w:rsid w:val="00A2393D"/>
    <w:rsid w:val="00A24C39"/>
    <w:rsid w:val="00A26942"/>
    <w:rsid w:val="00A27017"/>
    <w:rsid w:val="00A30FF2"/>
    <w:rsid w:val="00A3136A"/>
    <w:rsid w:val="00A3171F"/>
    <w:rsid w:val="00A31A1C"/>
    <w:rsid w:val="00A322E6"/>
    <w:rsid w:val="00A35ED2"/>
    <w:rsid w:val="00A35F7C"/>
    <w:rsid w:val="00A36F45"/>
    <w:rsid w:val="00A37979"/>
    <w:rsid w:val="00A37EAA"/>
    <w:rsid w:val="00A41063"/>
    <w:rsid w:val="00A418B6"/>
    <w:rsid w:val="00A41A4A"/>
    <w:rsid w:val="00A4236D"/>
    <w:rsid w:val="00A43D4F"/>
    <w:rsid w:val="00A449B8"/>
    <w:rsid w:val="00A44BE3"/>
    <w:rsid w:val="00A45A92"/>
    <w:rsid w:val="00A460A8"/>
    <w:rsid w:val="00A4668B"/>
    <w:rsid w:val="00A5084C"/>
    <w:rsid w:val="00A50BB3"/>
    <w:rsid w:val="00A51404"/>
    <w:rsid w:val="00A51601"/>
    <w:rsid w:val="00A517CE"/>
    <w:rsid w:val="00A527B5"/>
    <w:rsid w:val="00A56856"/>
    <w:rsid w:val="00A56B9C"/>
    <w:rsid w:val="00A6276C"/>
    <w:rsid w:val="00A66452"/>
    <w:rsid w:val="00A669B2"/>
    <w:rsid w:val="00A710D7"/>
    <w:rsid w:val="00A717D3"/>
    <w:rsid w:val="00A71905"/>
    <w:rsid w:val="00A72015"/>
    <w:rsid w:val="00A724E2"/>
    <w:rsid w:val="00A72989"/>
    <w:rsid w:val="00A73234"/>
    <w:rsid w:val="00A73B55"/>
    <w:rsid w:val="00A74CD7"/>
    <w:rsid w:val="00A75199"/>
    <w:rsid w:val="00A7555F"/>
    <w:rsid w:val="00A75F5A"/>
    <w:rsid w:val="00A7641F"/>
    <w:rsid w:val="00A809CE"/>
    <w:rsid w:val="00A81604"/>
    <w:rsid w:val="00A817C3"/>
    <w:rsid w:val="00A81B14"/>
    <w:rsid w:val="00A81BA6"/>
    <w:rsid w:val="00A834BB"/>
    <w:rsid w:val="00A84725"/>
    <w:rsid w:val="00A8483B"/>
    <w:rsid w:val="00A872BC"/>
    <w:rsid w:val="00A8776F"/>
    <w:rsid w:val="00A87792"/>
    <w:rsid w:val="00A903FE"/>
    <w:rsid w:val="00A90F19"/>
    <w:rsid w:val="00A91C15"/>
    <w:rsid w:val="00A94261"/>
    <w:rsid w:val="00A94A69"/>
    <w:rsid w:val="00A94FC8"/>
    <w:rsid w:val="00A956F3"/>
    <w:rsid w:val="00A96FF2"/>
    <w:rsid w:val="00A972E4"/>
    <w:rsid w:val="00A97C85"/>
    <w:rsid w:val="00AA1425"/>
    <w:rsid w:val="00AA16FB"/>
    <w:rsid w:val="00AA235F"/>
    <w:rsid w:val="00AA2811"/>
    <w:rsid w:val="00AA37C6"/>
    <w:rsid w:val="00AA3D1E"/>
    <w:rsid w:val="00AA5059"/>
    <w:rsid w:val="00AA5523"/>
    <w:rsid w:val="00AA5720"/>
    <w:rsid w:val="00AA5DEF"/>
    <w:rsid w:val="00AA5FE4"/>
    <w:rsid w:val="00AA6E0E"/>
    <w:rsid w:val="00AA798B"/>
    <w:rsid w:val="00AB0263"/>
    <w:rsid w:val="00AB08AA"/>
    <w:rsid w:val="00AB1F92"/>
    <w:rsid w:val="00AB358A"/>
    <w:rsid w:val="00AB4222"/>
    <w:rsid w:val="00AB4A74"/>
    <w:rsid w:val="00AB5542"/>
    <w:rsid w:val="00AB5D1D"/>
    <w:rsid w:val="00AB5D69"/>
    <w:rsid w:val="00AB6972"/>
    <w:rsid w:val="00AB6DD5"/>
    <w:rsid w:val="00AB7881"/>
    <w:rsid w:val="00AB7DD8"/>
    <w:rsid w:val="00AC1328"/>
    <w:rsid w:val="00AC1560"/>
    <w:rsid w:val="00AC237E"/>
    <w:rsid w:val="00AC26F7"/>
    <w:rsid w:val="00AC2758"/>
    <w:rsid w:val="00AC2C6E"/>
    <w:rsid w:val="00AC37D0"/>
    <w:rsid w:val="00AC3AA6"/>
    <w:rsid w:val="00AC3AD1"/>
    <w:rsid w:val="00AC3ADA"/>
    <w:rsid w:val="00AC776F"/>
    <w:rsid w:val="00AD2086"/>
    <w:rsid w:val="00AD319A"/>
    <w:rsid w:val="00AD58CC"/>
    <w:rsid w:val="00AD5FBE"/>
    <w:rsid w:val="00AD6286"/>
    <w:rsid w:val="00AD6E2B"/>
    <w:rsid w:val="00AE02B3"/>
    <w:rsid w:val="00AE0A5C"/>
    <w:rsid w:val="00AE0D37"/>
    <w:rsid w:val="00AE15BE"/>
    <w:rsid w:val="00AE1FAE"/>
    <w:rsid w:val="00AE28B0"/>
    <w:rsid w:val="00AE5892"/>
    <w:rsid w:val="00AE64CB"/>
    <w:rsid w:val="00AE7224"/>
    <w:rsid w:val="00AF11B0"/>
    <w:rsid w:val="00AF1469"/>
    <w:rsid w:val="00AF1A5D"/>
    <w:rsid w:val="00AF2037"/>
    <w:rsid w:val="00AF2A21"/>
    <w:rsid w:val="00AF3248"/>
    <w:rsid w:val="00AF332C"/>
    <w:rsid w:val="00AF43B1"/>
    <w:rsid w:val="00AF5E1D"/>
    <w:rsid w:val="00AF68C9"/>
    <w:rsid w:val="00B0079E"/>
    <w:rsid w:val="00B01F3D"/>
    <w:rsid w:val="00B0235B"/>
    <w:rsid w:val="00B02532"/>
    <w:rsid w:val="00B025B0"/>
    <w:rsid w:val="00B0359F"/>
    <w:rsid w:val="00B03F81"/>
    <w:rsid w:val="00B04D58"/>
    <w:rsid w:val="00B04FAD"/>
    <w:rsid w:val="00B0536B"/>
    <w:rsid w:val="00B060A5"/>
    <w:rsid w:val="00B064B1"/>
    <w:rsid w:val="00B0722D"/>
    <w:rsid w:val="00B10005"/>
    <w:rsid w:val="00B1031F"/>
    <w:rsid w:val="00B1070A"/>
    <w:rsid w:val="00B11229"/>
    <w:rsid w:val="00B119EF"/>
    <w:rsid w:val="00B11CA2"/>
    <w:rsid w:val="00B12FAC"/>
    <w:rsid w:val="00B134BE"/>
    <w:rsid w:val="00B149DF"/>
    <w:rsid w:val="00B14CAB"/>
    <w:rsid w:val="00B161F6"/>
    <w:rsid w:val="00B17A1F"/>
    <w:rsid w:val="00B17B77"/>
    <w:rsid w:val="00B2061B"/>
    <w:rsid w:val="00B218A4"/>
    <w:rsid w:val="00B227CF"/>
    <w:rsid w:val="00B24012"/>
    <w:rsid w:val="00B24212"/>
    <w:rsid w:val="00B24AE9"/>
    <w:rsid w:val="00B24B99"/>
    <w:rsid w:val="00B26BFD"/>
    <w:rsid w:val="00B26C00"/>
    <w:rsid w:val="00B27A43"/>
    <w:rsid w:val="00B27E95"/>
    <w:rsid w:val="00B27F35"/>
    <w:rsid w:val="00B301F8"/>
    <w:rsid w:val="00B30B0E"/>
    <w:rsid w:val="00B30BA4"/>
    <w:rsid w:val="00B30E4A"/>
    <w:rsid w:val="00B31C2A"/>
    <w:rsid w:val="00B32016"/>
    <w:rsid w:val="00B32097"/>
    <w:rsid w:val="00B328B9"/>
    <w:rsid w:val="00B337A8"/>
    <w:rsid w:val="00B339E7"/>
    <w:rsid w:val="00B349DF"/>
    <w:rsid w:val="00B351AA"/>
    <w:rsid w:val="00B352CF"/>
    <w:rsid w:val="00B37D1A"/>
    <w:rsid w:val="00B419B1"/>
    <w:rsid w:val="00B424CE"/>
    <w:rsid w:val="00B424DE"/>
    <w:rsid w:val="00B44243"/>
    <w:rsid w:val="00B4445C"/>
    <w:rsid w:val="00B47531"/>
    <w:rsid w:val="00B50BE6"/>
    <w:rsid w:val="00B51562"/>
    <w:rsid w:val="00B52487"/>
    <w:rsid w:val="00B5293C"/>
    <w:rsid w:val="00B52F69"/>
    <w:rsid w:val="00B55BBD"/>
    <w:rsid w:val="00B5720C"/>
    <w:rsid w:val="00B579DF"/>
    <w:rsid w:val="00B57BE9"/>
    <w:rsid w:val="00B61358"/>
    <w:rsid w:val="00B61998"/>
    <w:rsid w:val="00B62580"/>
    <w:rsid w:val="00B63078"/>
    <w:rsid w:val="00B648C3"/>
    <w:rsid w:val="00B651A1"/>
    <w:rsid w:val="00B652A3"/>
    <w:rsid w:val="00B66175"/>
    <w:rsid w:val="00B663DF"/>
    <w:rsid w:val="00B6712B"/>
    <w:rsid w:val="00B671A0"/>
    <w:rsid w:val="00B672F0"/>
    <w:rsid w:val="00B67731"/>
    <w:rsid w:val="00B67E31"/>
    <w:rsid w:val="00B71D51"/>
    <w:rsid w:val="00B71FF0"/>
    <w:rsid w:val="00B73672"/>
    <w:rsid w:val="00B73840"/>
    <w:rsid w:val="00B73DE9"/>
    <w:rsid w:val="00B7489D"/>
    <w:rsid w:val="00B74B64"/>
    <w:rsid w:val="00B75FA0"/>
    <w:rsid w:val="00B76210"/>
    <w:rsid w:val="00B76301"/>
    <w:rsid w:val="00B76E48"/>
    <w:rsid w:val="00B77A97"/>
    <w:rsid w:val="00B77FF8"/>
    <w:rsid w:val="00B80064"/>
    <w:rsid w:val="00B81D2E"/>
    <w:rsid w:val="00B8297F"/>
    <w:rsid w:val="00B82E5C"/>
    <w:rsid w:val="00B84BA3"/>
    <w:rsid w:val="00B851C4"/>
    <w:rsid w:val="00B85757"/>
    <w:rsid w:val="00B86964"/>
    <w:rsid w:val="00B872B9"/>
    <w:rsid w:val="00B90212"/>
    <w:rsid w:val="00B92A85"/>
    <w:rsid w:val="00B93A18"/>
    <w:rsid w:val="00B95F91"/>
    <w:rsid w:val="00B971FF"/>
    <w:rsid w:val="00B97C25"/>
    <w:rsid w:val="00BA0AC6"/>
    <w:rsid w:val="00BA228B"/>
    <w:rsid w:val="00BA237D"/>
    <w:rsid w:val="00BA2F94"/>
    <w:rsid w:val="00BA325E"/>
    <w:rsid w:val="00BA5FFB"/>
    <w:rsid w:val="00BA632D"/>
    <w:rsid w:val="00BA708E"/>
    <w:rsid w:val="00BA70AE"/>
    <w:rsid w:val="00BA74D7"/>
    <w:rsid w:val="00BB04DB"/>
    <w:rsid w:val="00BB2915"/>
    <w:rsid w:val="00BB2D9C"/>
    <w:rsid w:val="00BB3565"/>
    <w:rsid w:val="00BB3F32"/>
    <w:rsid w:val="00BB7DC1"/>
    <w:rsid w:val="00BC055E"/>
    <w:rsid w:val="00BC1519"/>
    <w:rsid w:val="00BC1CC0"/>
    <w:rsid w:val="00BC1FC3"/>
    <w:rsid w:val="00BC21A5"/>
    <w:rsid w:val="00BC24EA"/>
    <w:rsid w:val="00BC2805"/>
    <w:rsid w:val="00BC2994"/>
    <w:rsid w:val="00BC5F10"/>
    <w:rsid w:val="00BC72B8"/>
    <w:rsid w:val="00BD0947"/>
    <w:rsid w:val="00BD11DB"/>
    <w:rsid w:val="00BD1920"/>
    <w:rsid w:val="00BD198F"/>
    <w:rsid w:val="00BD1FE9"/>
    <w:rsid w:val="00BD2BA6"/>
    <w:rsid w:val="00BD2EA5"/>
    <w:rsid w:val="00BD334F"/>
    <w:rsid w:val="00BD4C43"/>
    <w:rsid w:val="00BD6732"/>
    <w:rsid w:val="00BD695C"/>
    <w:rsid w:val="00BD7CDB"/>
    <w:rsid w:val="00BD7D52"/>
    <w:rsid w:val="00BD7F73"/>
    <w:rsid w:val="00BE04B5"/>
    <w:rsid w:val="00BE05EA"/>
    <w:rsid w:val="00BE0CB2"/>
    <w:rsid w:val="00BE45F5"/>
    <w:rsid w:val="00BE6A3B"/>
    <w:rsid w:val="00BE70A8"/>
    <w:rsid w:val="00BF1C2A"/>
    <w:rsid w:val="00BF2105"/>
    <w:rsid w:val="00BF3B21"/>
    <w:rsid w:val="00BF401D"/>
    <w:rsid w:val="00BF4E58"/>
    <w:rsid w:val="00BF58A5"/>
    <w:rsid w:val="00BF66CD"/>
    <w:rsid w:val="00BF6AA8"/>
    <w:rsid w:val="00BF76A9"/>
    <w:rsid w:val="00BF7EBA"/>
    <w:rsid w:val="00C0052C"/>
    <w:rsid w:val="00C01030"/>
    <w:rsid w:val="00C01C86"/>
    <w:rsid w:val="00C03CCD"/>
    <w:rsid w:val="00C03F82"/>
    <w:rsid w:val="00C040C1"/>
    <w:rsid w:val="00C05224"/>
    <w:rsid w:val="00C0554F"/>
    <w:rsid w:val="00C05848"/>
    <w:rsid w:val="00C06385"/>
    <w:rsid w:val="00C1076D"/>
    <w:rsid w:val="00C108D7"/>
    <w:rsid w:val="00C10D11"/>
    <w:rsid w:val="00C110B6"/>
    <w:rsid w:val="00C1114E"/>
    <w:rsid w:val="00C1150E"/>
    <w:rsid w:val="00C12129"/>
    <w:rsid w:val="00C1292D"/>
    <w:rsid w:val="00C13F5E"/>
    <w:rsid w:val="00C16E19"/>
    <w:rsid w:val="00C17483"/>
    <w:rsid w:val="00C205B7"/>
    <w:rsid w:val="00C212CA"/>
    <w:rsid w:val="00C21705"/>
    <w:rsid w:val="00C22116"/>
    <w:rsid w:val="00C23346"/>
    <w:rsid w:val="00C23828"/>
    <w:rsid w:val="00C23FF1"/>
    <w:rsid w:val="00C244FF"/>
    <w:rsid w:val="00C262F8"/>
    <w:rsid w:val="00C2749A"/>
    <w:rsid w:val="00C307E9"/>
    <w:rsid w:val="00C3138B"/>
    <w:rsid w:val="00C32CCE"/>
    <w:rsid w:val="00C333F8"/>
    <w:rsid w:val="00C33ADE"/>
    <w:rsid w:val="00C346ED"/>
    <w:rsid w:val="00C36407"/>
    <w:rsid w:val="00C40A66"/>
    <w:rsid w:val="00C411F8"/>
    <w:rsid w:val="00C41DE0"/>
    <w:rsid w:val="00C41F42"/>
    <w:rsid w:val="00C42251"/>
    <w:rsid w:val="00C438FF"/>
    <w:rsid w:val="00C44F3D"/>
    <w:rsid w:val="00C4544F"/>
    <w:rsid w:val="00C45AA6"/>
    <w:rsid w:val="00C45B8B"/>
    <w:rsid w:val="00C45F18"/>
    <w:rsid w:val="00C50E5C"/>
    <w:rsid w:val="00C52EDF"/>
    <w:rsid w:val="00C53DEC"/>
    <w:rsid w:val="00C55C96"/>
    <w:rsid w:val="00C55F4F"/>
    <w:rsid w:val="00C561CA"/>
    <w:rsid w:val="00C565C1"/>
    <w:rsid w:val="00C57B1B"/>
    <w:rsid w:val="00C6007B"/>
    <w:rsid w:val="00C61C71"/>
    <w:rsid w:val="00C61E40"/>
    <w:rsid w:val="00C62E57"/>
    <w:rsid w:val="00C635CC"/>
    <w:rsid w:val="00C63FEF"/>
    <w:rsid w:val="00C642F3"/>
    <w:rsid w:val="00C66DD3"/>
    <w:rsid w:val="00C672B5"/>
    <w:rsid w:val="00C67A9C"/>
    <w:rsid w:val="00C7003A"/>
    <w:rsid w:val="00C704A7"/>
    <w:rsid w:val="00C7051F"/>
    <w:rsid w:val="00C70736"/>
    <w:rsid w:val="00C7297C"/>
    <w:rsid w:val="00C746E1"/>
    <w:rsid w:val="00C748EA"/>
    <w:rsid w:val="00C750AD"/>
    <w:rsid w:val="00C750CE"/>
    <w:rsid w:val="00C7628A"/>
    <w:rsid w:val="00C77516"/>
    <w:rsid w:val="00C77AA6"/>
    <w:rsid w:val="00C804EA"/>
    <w:rsid w:val="00C82329"/>
    <w:rsid w:val="00C83725"/>
    <w:rsid w:val="00C83DA0"/>
    <w:rsid w:val="00C8427E"/>
    <w:rsid w:val="00C84E68"/>
    <w:rsid w:val="00C85290"/>
    <w:rsid w:val="00C8630F"/>
    <w:rsid w:val="00C86EEE"/>
    <w:rsid w:val="00C90471"/>
    <w:rsid w:val="00C908CD"/>
    <w:rsid w:val="00C93834"/>
    <w:rsid w:val="00C93C7D"/>
    <w:rsid w:val="00C94916"/>
    <w:rsid w:val="00C94C83"/>
    <w:rsid w:val="00C950AA"/>
    <w:rsid w:val="00C9654F"/>
    <w:rsid w:val="00C97334"/>
    <w:rsid w:val="00CA0349"/>
    <w:rsid w:val="00CA0438"/>
    <w:rsid w:val="00CA04F4"/>
    <w:rsid w:val="00CA1B4E"/>
    <w:rsid w:val="00CA2147"/>
    <w:rsid w:val="00CA43D0"/>
    <w:rsid w:val="00CA4FD6"/>
    <w:rsid w:val="00CA5001"/>
    <w:rsid w:val="00CA5167"/>
    <w:rsid w:val="00CA57AD"/>
    <w:rsid w:val="00CA596B"/>
    <w:rsid w:val="00CA6A00"/>
    <w:rsid w:val="00CB0C45"/>
    <w:rsid w:val="00CB0EFC"/>
    <w:rsid w:val="00CB1A9D"/>
    <w:rsid w:val="00CB52CF"/>
    <w:rsid w:val="00CC09BD"/>
    <w:rsid w:val="00CC21FB"/>
    <w:rsid w:val="00CC25AF"/>
    <w:rsid w:val="00CC381B"/>
    <w:rsid w:val="00CC3DD7"/>
    <w:rsid w:val="00CC417A"/>
    <w:rsid w:val="00CC5D77"/>
    <w:rsid w:val="00CC6622"/>
    <w:rsid w:val="00CC693D"/>
    <w:rsid w:val="00CC743F"/>
    <w:rsid w:val="00CD0881"/>
    <w:rsid w:val="00CD0BF9"/>
    <w:rsid w:val="00CD0E1E"/>
    <w:rsid w:val="00CD1337"/>
    <w:rsid w:val="00CD1593"/>
    <w:rsid w:val="00CD183A"/>
    <w:rsid w:val="00CD327E"/>
    <w:rsid w:val="00CD34B3"/>
    <w:rsid w:val="00CD3D99"/>
    <w:rsid w:val="00CD48E7"/>
    <w:rsid w:val="00CD4969"/>
    <w:rsid w:val="00CD49BF"/>
    <w:rsid w:val="00CD5FC2"/>
    <w:rsid w:val="00CD6426"/>
    <w:rsid w:val="00CD6936"/>
    <w:rsid w:val="00CD7114"/>
    <w:rsid w:val="00CD72D5"/>
    <w:rsid w:val="00CD77C6"/>
    <w:rsid w:val="00CD7C77"/>
    <w:rsid w:val="00CE0970"/>
    <w:rsid w:val="00CE1562"/>
    <w:rsid w:val="00CE1B3A"/>
    <w:rsid w:val="00CE287F"/>
    <w:rsid w:val="00CE3E60"/>
    <w:rsid w:val="00CE440A"/>
    <w:rsid w:val="00CE54EE"/>
    <w:rsid w:val="00CE54FB"/>
    <w:rsid w:val="00CE6905"/>
    <w:rsid w:val="00CE6B6F"/>
    <w:rsid w:val="00CE7210"/>
    <w:rsid w:val="00CE7BFF"/>
    <w:rsid w:val="00CF115E"/>
    <w:rsid w:val="00CF11F9"/>
    <w:rsid w:val="00CF15F7"/>
    <w:rsid w:val="00CF2125"/>
    <w:rsid w:val="00CF2E9B"/>
    <w:rsid w:val="00CF3A14"/>
    <w:rsid w:val="00CF3BE1"/>
    <w:rsid w:val="00CF3BEF"/>
    <w:rsid w:val="00CF5CE2"/>
    <w:rsid w:val="00CF60F2"/>
    <w:rsid w:val="00CF668A"/>
    <w:rsid w:val="00CF66EB"/>
    <w:rsid w:val="00CF68C1"/>
    <w:rsid w:val="00CF68D4"/>
    <w:rsid w:val="00CF72BC"/>
    <w:rsid w:val="00CF73C5"/>
    <w:rsid w:val="00CF7D56"/>
    <w:rsid w:val="00D00071"/>
    <w:rsid w:val="00D0118E"/>
    <w:rsid w:val="00D0166B"/>
    <w:rsid w:val="00D017E0"/>
    <w:rsid w:val="00D02FAB"/>
    <w:rsid w:val="00D03185"/>
    <w:rsid w:val="00D03E11"/>
    <w:rsid w:val="00D0414E"/>
    <w:rsid w:val="00D0432F"/>
    <w:rsid w:val="00D044A1"/>
    <w:rsid w:val="00D05CD3"/>
    <w:rsid w:val="00D05EAF"/>
    <w:rsid w:val="00D12F54"/>
    <w:rsid w:val="00D1304D"/>
    <w:rsid w:val="00D13616"/>
    <w:rsid w:val="00D144A8"/>
    <w:rsid w:val="00D14CF3"/>
    <w:rsid w:val="00D14FB5"/>
    <w:rsid w:val="00D213D4"/>
    <w:rsid w:val="00D2459A"/>
    <w:rsid w:val="00D25169"/>
    <w:rsid w:val="00D27972"/>
    <w:rsid w:val="00D27995"/>
    <w:rsid w:val="00D30516"/>
    <w:rsid w:val="00D32873"/>
    <w:rsid w:val="00D340F3"/>
    <w:rsid w:val="00D35CE2"/>
    <w:rsid w:val="00D35E0E"/>
    <w:rsid w:val="00D37486"/>
    <w:rsid w:val="00D37FCB"/>
    <w:rsid w:val="00D4055B"/>
    <w:rsid w:val="00D40E05"/>
    <w:rsid w:val="00D4184A"/>
    <w:rsid w:val="00D4335B"/>
    <w:rsid w:val="00D442F3"/>
    <w:rsid w:val="00D44617"/>
    <w:rsid w:val="00D44F1E"/>
    <w:rsid w:val="00D4588A"/>
    <w:rsid w:val="00D46093"/>
    <w:rsid w:val="00D463D8"/>
    <w:rsid w:val="00D4648D"/>
    <w:rsid w:val="00D46EC2"/>
    <w:rsid w:val="00D470B3"/>
    <w:rsid w:val="00D47335"/>
    <w:rsid w:val="00D47650"/>
    <w:rsid w:val="00D50138"/>
    <w:rsid w:val="00D50544"/>
    <w:rsid w:val="00D5187F"/>
    <w:rsid w:val="00D52235"/>
    <w:rsid w:val="00D53408"/>
    <w:rsid w:val="00D53E6E"/>
    <w:rsid w:val="00D547F1"/>
    <w:rsid w:val="00D55FBB"/>
    <w:rsid w:val="00D567A1"/>
    <w:rsid w:val="00D567A4"/>
    <w:rsid w:val="00D56A74"/>
    <w:rsid w:val="00D57EA7"/>
    <w:rsid w:val="00D57F2F"/>
    <w:rsid w:val="00D61EEC"/>
    <w:rsid w:val="00D633B7"/>
    <w:rsid w:val="00D63602"/>
    <w:rsid w:val="00D63773"/>
    <w:rsid w:val="00D63B0A"/>
    <w:rsid w:val="00D64F2A"/>
    <w:rsid w:val="00D65266"/>
    <w:rsid w:val="00D6535B"/>
    <w:rsid w:val="00D66AB4"/>
    <w:rsid w:val="00D66CE8"/>
    <w:rsid w:val="00D674CA"/>
    <w:rsid w:val="00D674E8"/>
    <w:rsid w:val="00D67CC8"/>
    <w:rsid w:val="00D67D56"/>
    <w:rsid w:val="00D70076"/>
    <w:rsid w:val="00D70ABD"/>
    <w:rsid w:val="00D71398"/>
    <w:rsid w:val="00D73EC0"/>
    <w:rsid w:val="00D74899"/>
    <w:rsid w:val="00D75BDA"/>
    <w:rsid w:val="00D75D8B"/>
    <w:rsid w:val="00D762BE"/>
    <w:rsid w:val="00D7756D"/>
    <w:rsid w:val="00D7794F"/>
    <w:rsid w:val="00D80060"/>
    <w:rsid w:val="00D805D4"/>
    <w:rsid w:val="00D81113"/>
    <w:rsid w:val="00D81B7C"/>
    <w:rsid w:val="00D81B80"/>
    <w:rsid w:val="00D82110"/>
    <w:rsid w:val="00D84B5C"/>
    <w:rsid w:val="00D85641"/>
    <w:rsid w:val="00D85F69"/>
    <w:rsid w:val="00D86959"/>
    <w:rsid w:val="00D90CF7"/>
    <w:rsid w:val="00D91D57"/>
    <w:rsid w:val="00D94CA9"/>
    <w:rsid w:val="00D95FAC"/>
    <w:rsid w:val="00D97D44"/>
    <w:rsid w:val="00DA003E"/>
    <w:rsid w:val="00DA28C2"/>
    <w:rsid w:val="00DA3208"/>
    <w:rsid w:val="00DA339B"/>
    <w:rsid w:val="00DA55DF"/>
    <w:rsid w:val="00DA5E06"/>
    <w:rsid w:val="00DA6593"/>
    <w:rsid w:val="00DA6C55"/>
    <w:rsid w:val="00DB173B"/>
    <w:rsid w:val="00DB17AF"/>
    <w:rsid w:val="00DB28C7"/>
    <w:rsid w:val="00DB2CAA"/>
    <w:rsid w:val="00DB2D4C"/>
    <w:rsid w:val="00DB39E1"/>
    <w:rsid w:val="00DB3B4C"/>
    <w:rsid w:val="00DB5282"/>
    <w:rsid w:val="00DB57B6"/>
    <w:rsid w:val="00DB6DEF"/>
    <w:rsid w:val="00DB748A"/>
    <w:rsid w:val="00DB7514"/>
    <w:rsid w:val="00DC00C6"/>
    <w:rsid w:val="00DC1351"/>
    <w:rsid w:val="00DC1D27"/>
    <w:rsid w:val="00DC33AE"/>
    <w:rsid w:val="00DC3580"/>
    <w:rsid w:val="00DC44F6"/>
    <w:rsid w:val="00DC4721"/>
    <w:rsid w:val="00DC4B4A"/>
    <w:rsid w:val="00DC5748"/>
    <w:rsid w:val="00DC57E2"/>
    <w:rsid w:val="00DC6684"/>
    <w:rsid w:val="00DC70FB"/>
    <w:rsid w:val="00DC7A2F"/>
    <w:rsid w:val="00DD04C2"/>
    <w:rsid w:val="00DD0F19"/>
    <w:rsid w:val="00DD1A66"/>
    <w:rsid w:val="00DD4035"/>
    <w:rsid w:val="00DD4313"/>
    <w:rsid w:val="00DD48F1"/>
    <w:rsid w:val="00DD71F9"/>
    <w:rsid w:val="00DD7A5C"/>
    <w:rsid w:val="00DE030E"/>
    <w:rsid w:val="00DE05E3"/>
    <w:rsid w:val="00DE14CF"/>
    <w:rsid w:val="00DE4731"/>
    <w:rsid w:val="00DE4DA3"/>
    <w:rsid w:val="00DE567C"/>
    <w:rsid w:val="00DE5C8D"/>
    <w:rsid w:val="00DE690B"/>
    <w:rsid w:val="00DE75EE"/>
    <w:rsid w:val="00DF13B5"/>
    <w:rsid w:val="00DF17D0"/>
    <w:rsid w:val="00DF1E5A"/>
    <w:rsid w:val="00DF24CE"/>
    <w:rsid w:val="00DF2A50"/>
    <w:rsid w:val="00DF2B74"/>
    <w:rsid w:val="00DF325E"/>
    <w:rsid w:val="00DF4A81"/>
    <w:rsid w:val="00DF4BF2"/>
    <w:rsid w:val="00DF5099"/>
    <w:rsid w:val="00DF5FE7"/>
    <w:rsid w:val="00DF664C"/>
    <w:rsid w:val="00DF6775"/>
    <w:rsid w:val="00DF7E13"/>
    <w:rsid w:val="00E013DA"/>
    <w:rsid w:val="00E0146D"/>
    <w:rsid w:val="00E02747"/>
    <w:rsid w:val="00E029DC"/>
    <w:rsid w:val="00E033B9"/>
    <w:rsid w:val="00E0438D"/>
    <w:rsid w:val="00E06753"/>
    <w:rsid w:val="00E06B63"/>
    <w:rsid w:val="00E07619"/>
    <w:rsid w:val="00E10E88"/>
    <w:rsid w:val="00E11ED7"/>
    <w:rsid w:val="00E126DC"/>
    <w:rsid w:val="00E130B6"/>
    <w:rsid w:val="00E13192"/>
    <w:rsid w:val="00E13729"/>
    <w:rsid w:val="00E13833"/>
    <w:rsid w:val="00E147D9"/>
    <w:rsid w:val="00E14BF5"/>
    <w:rsid w:val="00E14C3B"/>
    <w:rsid w:val="00E1539B"/>
    <w:rsid w:val="00E16C74"/>
    <w:rsid w:val="00E172FE"/>
    <w:rsid w:val="00E173CA"/>
    <w:rsid w:val="00E17C9E"/>
    <w:rsid w:val="00E17E6D"/>
    <w:rsid w:val="00E17F6D"/>
    <w:rsid w:val="00E2004B"/>
    <w:rsid w:val="00E20504"/>
    <w:rsid w:val="00E2064E"/>
    <w:rsid w:val="00E20DB5"/>
    <w:rsid w:val="00E21E77"/>
    <w:rsid w:val="00E220F3"/>
    <w:rsid w:val="00E24AD8"/>
    <w:rsid w:val="00E24B1C"/>
    <w:rsid w:val="00E274B7"/>
    <w:rsid w:val="00E27B70"/>
    <w:rsid w:val="00E3220C"/>
    <w:rsid w:val="00E32D2B"/>
    <w:rsid w:val="00E32F26"/>
    <w:rsid w:val="00E33649"/>
    <w:rsid w:val="00E34855"/>
    <w:rsid w:val="00E3593E"/>
    <w:rsid w:val="00E35DA0"/>
    <w:rsid w:val="00E35FBD"/>
    <w:rsid w:val="00E36FA5"/>
    <w:rsid w:val="00E376FA"/>
    <w:rsid w:val="00E37878"/>
    <w:rsid w:val="00E411E3"/>
    <w:rsid w:val="00E41861"/>
    <w:rsid w:val="00E41ADC"/>
    <w:rsid w:val="00E43413"/>
    <w:rsid w:val="00E46408"/>
    <w:rsid w:val="00E46F76"/>
    <w:rsid w:val="00E51718"/>
    <w:rsid w:val="00E5190B"/>
    <w:rsid w:val="00E51BCA"/>
    <w:rsid w:val="00E51D08"/>
    <w:rsid w:val="00E52E67"/>
    <w:rsid w:val="00E52E9D"/>
    <w:rsid w:val="00E53069"/>
    <w:rsid w:val="00E537D0"/>
    <w:rsid w:val="00E54128"/>
    <w:rsid w:val="00E561CC"/>
    <w:rsid w:val="00E564B1"/>
    <w:rsid w:val="00E574DA"/>
    <w:rsid w:val="00E57804"/>
    <w:rsid w:val="00E57FBA"/>
    <w:rsid w:val="00E61F98"/>
    <w:rsid w:val="00E627AB"/>
    <w:rsid w:val="00E62ECB"/>
    <w:rsid w:val="00E639F6"/>
    <w:rsid w:val="00E63F47"/>
    <w:rsid w:val="00E6549E"/>
    <w:rsid w:val="00E67BCD"/>
    <w:rsid w:val="00E705E6"/>
    <w:rsid w:val="00E7174B"/>
    <w:rsid w:val="00E71778"/>
    <w:rsid w:val="00E71BB2"/>
    <w:rsid w:val="00E72247"/>
    <w:rsid w:val="00E7290C"/>
    <w:rsid w:val="00E72979"/>
    <w:rsid w:val="00E73B96"/>
    <w:rsid w:val="00E73F45"/>
    <w:rsid w:val="00E73FF4"/>
    <w:rsid w:val="00E741EE"/>
    <w:rsid w:val="00E75213"/>
    <w:rsid w:val="00E765B4"/>
    <w:rsid w:val="00E770EE"/>
    <w:rsid w:val="00E773CA"/>
    <w:rsid w:val="00E77B6D"/>
    <w:rsid w:val="00E80737"/>
    <w:rsid w:val="00E8073D"/>
    <w:rsid w:val="00E807B7"/>
    <w:rsid w:val="00E828EC"/>
    <w:rsid w:val="00E83FB6"/>
    <w:rsid w:val="00E84A41"/>
    <w:rsid w:val="00E8555D"/>
    <w:rsid w:val="00E85DF5"/>
    <w:rsid w:val="00E865E8"/>
    <w:rsid w:val="00E869D3"/>
    <w:rsid w:val="00E86A36"/>
    <w:rsid w:val="00E87984"/>
    <w:rsid w:val="00E87C98"/>
    <w:rsid w:val="00E87F35"/>
    <w:rsid w:val="00E91B3C"/>
    <w:rsid w:val="00E92079"/>
    <w:rsid w:val="00E922FA"/>
    <w:rsid w:val="00E93A7E"/>
    <w:rsid w:val="00E93D91"/>
    <w:rsid w:val="00E949D4"/>
    <w:rsid w:val="00E94DCE"/>
    <w:rsid w:val="00E94E99"/>
    <w:rsid w:val="00E9550A"/>
    <w:rsid w:val="00E97E6F"/>
    <w:rsid w:val="00EA04D6"/>
    <w:rsid w:val="00EA1F6F"/>
    <w:rsid w:val="00EA3342"/>
    <w:rsid w:val="00EA503E"/>
    <w:rsid w:val="00EA5D80"/>
    <w:rsid w:val="00EA5EFA"/>
    <w:rsid w:val="00EA6237"/>
    <w:rsid w:val="00EB0BFD"/>
    <w:rsid w:val="00EB52FE"/>
    <w:rsid w:val="00EB5BC5"/>
    <w:rsid w:val="00EB6ABB"/>
    <w:rsid w:val="00EC109E"/>
    <w:rsid w:val="00EC211F"/>
    <w:rsid w:val="00EC28A5"/>
    <w:rsid w:val="00EC2BE2"/>
    <w:rsid w:val="00EC2E43"/>
    <w:rsid w:val="00EC38FA"/>
    <w:rsid w:val="00EC4261"/>
    <w:rsid w:val="00EC53B0"/>
    <w:rsid w:val="00EC5622"/>
    <w:rsid w:val="00EC57C6"/>
    <w:rsid w:val="00EC5E60"/>
    <w:rsid w:val="00EC62AC"/>
    <w:rsid w:val="00EC753D"/>
    <w:rsid w:val="00ED0B74"/>
    <w:rsid w:val="00ED1CCB"/>
    <w:rsid w:val="00ED1CD4"/>
    <w:rsid w:val="00ED2672"/>
    <w:rsid w:val="00ED2E23"/>
    <w:rsid w:val="00ED3144"/>
    <w:rsid w:val="00ED3345"/>
    <w:rsid w:val="00ED4EA9"/>
    <w:rsid w:val="00ED4EAC"/>
    <w:rsid w:val="00ED5FA7"/>
    <w:rsid w:val="00ED633F"/>
    <w:rsid w:val="00ED7189"/>
    <w:rsid w:val="00ED7619"/>
    <w:rsid w:val="00EE0941"/>
    <w:rsid w:val="00EE1774"/>
    <w:rsid w:val="00EE264B"/>
    <w:rsid w:val="00EE2CAD"/>
    <w:rsid w:val="00EE3961"/>
    <w:rsid w:val="00EE58E7"/>
    <w:rsid w:val="00EE66C4"/>
    <w:rsid w:val="00EE6C63"/>
    <w:rsid w:val="00EF0500"/>
    <w:rsid w:val="00EF237D"/>
    <w:rsid w:val="00EF3EF7"/>
    <w:rsid w:val="00EF4479"/>
    <w:rsid w:val="00EF5AAA"/>
    <w:rsid w:val="00EF5ACB"/>
    <w:rsid w:val="00EF6015"/>
    <w:rsid w:val="00F003A8"/>
    <w:rsid w:val="00F0061C"/>
    <w:rsid w:val="00F00B72"/>
    <w:rsid w:val="00F00D18"/>
    <w:rsid w:val="00F019B7"/>
    <w:rsid w:val="00F0271B"/>
    <w:rsid w:val="00F02776"/>
    <w:rsid w:val="00F02EBF"/>
    <w:rsid w:val="00F03297"/>
    <w:rsid w:val="00F03F92"/>
    <w:rsid w:val="00F04149"/>
    <w:rsid w:val="00F046FE"/>
    <w:rsid w:val="00F058D3"/>
    <w:rsid w:val="00F063F7"/>
    <w:rsid w:val="00F06F1D"/>
    <w:rsid w:val="00F07531"/>
    <w:rsid w:val="00F075F4"/>
    <w:rsid w:val="00F07EFD"/>
    <w:rsid w:val="00F10650"/>
    <w:rsid w:val="00F13BE9"/>
    <w:rsid w:val="00F1522D"/>
    <w:rsid w:val="00F1565F"/>
    <w:rsid w:val="00F15D28"/>
    <w:rsid w:val="00F16622"/>
    <w:rsid w:val="00F16AB3"/>
    <w:rsid w:val="00F21B42"/>
    <w:rsid w:val="00F21BC4"/>
    <w:rsid w:val="00F21FC8"/>
    <w:rsid w:val="00F23023"/>
    <w:rsid w:val="00F24DB5"/>
    <w:rsid w:val="00F262BF"/>
    <w:rsid w:val="00F276CD"/>
    <w:rsid w:val="00F27ECA"/>
    <w:rsid w:val="00F304B3"/>
    <w:rsid w:val="00F307E1"/>
    <w:rsid w:val="00F31487"/>
    <w:rsid w:val="00F322A9"/>
    <w:rsid w:val="00F338C8"/>
    <w:rsid w:val="00F3628B"/>
    <w:rsid w:val="00F36618"/>
    <w:rsid w:val="00F36AEC"/>
    <w:rsid w:val="00F36E2A"/>
    <w:rsid w:val="00F4069F"/>
    <w:rsid w:val="00F41496"/>
    <w:rsid w:val="00F417F0"/>
    <w:rsid w:val="00F418AD"/>
    <w:rsid w:val="00F432D5"/>
    <w:rsid w:val="00F43378"/>
    <w:rsid w:val="00F43720"/>
    <w:rsid w:val="00F438FE"/>
    <w:rsid w:val="00F43FD7"/>
    <w:rsid w:val="00F4515D"/>
    <w:rsid w:val="00F4545B"/>
    <w:rsid w:val="00F4574D"/>
    <w:rsid w:val="00F458BD"/>
    <w:rsid w:val="00F46651"/>
    <w:rsid w:val="00F476B1"/>
    <w:rsid w:val="00F502DC"/>
    <w:rsid w:val="00F50B46"/>
    <w:rsid w:val="00F50E4D"/>
    <w:rsid w:val="00F514E2"/>
    <w:rsid w:val="00F52CBB"/>
    <w:rsid w:val="00F53D97"/>
    <w:rsid w:val="00F53FBD"/>
    <w:rsid w:val="00F54295"/>
    <w:rsid w:val="00F5475B"/>
    <w:rsid w:val="00F563CC"/>
    <w:rsid w:val="00F579A5"/>
    <w:rsid w:val="00F6084C"/>
    <w:rsid w:val="00F60B2B"/>
    <w:rsid w:val="00F60C31"/>
    <w:rsid w:val="00F6265D"/>
    <w:rsid w:val="00F637FD"/>
    <w:rsid w:val="00F63AC7"/>
    <w:rsid w:val="00F63E0B"/>
    <w:rsid w:val="00F6428C"/>
    <w:rsid w:val="00F6462D"/>
    <w:rsid w:val="00F6561C"/>
    <w:rsid w:val="00F66E82"/>
    <w:rsid w:val="00F70FEB"/>
    <w:rsid w:val="00F729FA"/>
    <w:rsid w:val="00F75630"/>
    <w:rsid w:val="00F75CAE"/>
    <w:rsid w:val="00F767C6"/>
    <w:rsid w:val="00F767EF"/>
    <w:rsid w:val="00F77C49"/>
    <w:rsid w:val="00F80301"/>
    <w:rsid w:val="00F8387E"/>
    <w:rsid w:val="00F839D1"/>
    <w:rsid w:val="00F865AB"/>
    <w:rsid w:val="00F877A3"/>
    <w:rsid w:val="00F8794B"/>
    <w:rsid w:val="00F90A31"/>
    <w:rsid w:val="00F912DA"/>
    <w:rsid w:val="00F926F8"/>
    <w:rsid w:val="00F92EBA"/>
    <w:rsid w:val="00F934C1"/>
    <w:rsid w:val="00F93D01"/>
    <w:rsid w:val="00F9541E"/>
    <w:rsid w:val="00F9560F"/>
    <w:rsid w:val="00F95D0B"/>
    <w:rsid w:val="00F96447"/>
    <w:rsid w:val="00F96DC3"/>
    <w:rsid w:val="00F972E1"/>
    <w:rsid w:val="00FA0674"/>
    <w:rsid w:val="00FA1AD5"/>
    <w:rsid w:val="00FA280D"/>
    <w:rsid w:val="00FA3620"/>
    <w:rsid w:val="00FA42DB"/>
    <w:rsid w:val="00FA5712"/>
    <w:rsid w:val="00FA5EAD"/>
    <w:rsid w:val="00FA62A6"/>
    <w:rsid w:val="00FA649C"/>
    <w:rsid w:val="00FA798C"/>
    <w:rsid w:val="00FA7DA9"/>
    <w:rsid w:val="00FB0B94"/>
    <w:rsid w:val="00FB2922"/>
    <w:rsid w:val="00FB2C94"/>
    <w:rsid w:val="00FB6562"/>
    <w:rsid w:val="00FB6640"/>
    <w:rsid w:val="00FC075E"/>
    <w:rsid w:val="00FC0A7C"/>
    <w:rsid w:val="00FC0C21"/>
    <w:rsid w:val="00FC1262"/>
    <w:rsid w:val="00FC1D85"/>
    <w:rsid w:val="00FC368F"/>
    <w:rsid w:val="00FC3D4D"/>
    <w:rsid w:val="00FC3F76"/>
    <w:rsid w:val="00FC5FD6"/>
    <w:rsid w:val="00FD1563"/>
    <w:rsid w:val="00FD2688"/>
    <w:rsid w:val="00FD2936"/>
    <w:rsid w:val="00FD2DEB"/>
    <w:rsid w:val="00FD36FE"/>
    <w:rsid w:val="00FD376D"/>
    <w:rsid w:val="00FD3EB6"/>
    <w:rsid w:val="00FD45C3"/>
    <w:rsid w:val="00FD56DF"/>
    <w:rsid w:val="00FD5BD0"/>
    <w:rsid w:val="00FD5E59"/>
    <w:rsid w:val="00FD5EB4"/>
    <w:rsid w:val="00FD65CE"/>
    <w:rsid w:val="00FD7064"/>
    <w:rsid w:val="00FD74DE"/>
    <w:rsid w:val="00FD76B6"/>
    <w:rsid w:val="00FE0366"/>
    <w:rsid w:val="00FE0A90"/>
    <w:rsid w:val="00FE2025"/>
    <w:rsid w:val="00FE2222"/>
    <w:rsid w:val="00FE2A9A"/>
    <w:rsid w:val="00FE31C1"/>
    <w:rsid w:val="00FE42E5"/>
    <w:rsid w:val="00FE49F8"/>
    <w:rsid w:val="00FE5700"/>
    <w:rsid w:val="00FE76B4"/>
    <w:rsid w:val="00FE7A51"/>
    <w:rsid w:val="00FF0295"/>
    <w:rsid w:val="00FF09D6"/>
    <w:rsid w:val="00FF0F7F"/>
    <w:rsid w:val="00FF3F1E"/>
    <w:rsid w:val="00FF40F1"/>
    <w:rsid w:val="00FF4A38"/>
    <w:rsid w:val="00FF5427"/>
    <w:rsid w:val="00FF6F02"/>
    <w:rsid w:val="00FF7C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DC5"/>
    <w:pPr>
      <w:tabs>
        <w:tab w:val="left" w:pos="567"/>
        <w:tab w:val="left" w:pos="1134"/>
        <w:tab w:val="left" w:pos="1814"/>
        <w:tab w:val="left" w:pos="2665"/>
      </w:tabs>
      <w:bidi/>
      <w:spacing w:line="360" w:lineRule="auto"/>
      <w:jc w:val="both"/>
    </w:pPr>
    <w:rPr>
      <w:rFonts w:cs="David"/>
      <w:sz w:val="24"/>
      <w:szCs w:val="24"/>
    </w:rPr>
  </w:style>
  <w:style w:type="paragraph" w:styleId="1">
    <w:name w:val="heading 1"/>
    <w:basedOn w:val="a"/>
    <w:qFormat/>
    <w:rsid w:val="00F767C6"/>
    <w:pPr>
      <w:numPr>
        <w:numId w:val="1"/>
      </w:numPr>
      <w:tabs>
        <w:tab w:val="clear" w:pos="1134"/>
      </w:tabs>
      <w:outlineLvl w:val="0"/>
    </w:pPr>
    <w:rPr>
      <w:kern w:val="28"/>
      <w:sz w:val="22"/>
    </w:rPr>
  </w:style>
  <w:style w:type="paragraph" w:styleId="2">
    <w:name w:val="heading 2"/>
    <w:basedOn w:val="1"/>
    <w:qFormat/>
    <w:rsid w:val="00F767C6"/>
    <w:pPr>
      <w:numPr>
        <w:ilvl w:val="1"/>
      </w:numPr>
      <w:tabs>
        <w:tab w:val="clear" w:pos="1814"/>
        <w:tab w:val="clear" w:pos="2665"/>
      </w:tabs>
      <w:outlineLvl w:val="1"/>
    </w:pPr>
  </w:style>
  <w:style w:type="paragraph" w:styleId="3">
    <w:name w:val="heading 3"/>
    <w:basedOn w:val="2"/>
    <w:qFormat/>
    <w:rsid w:val="00F767C6"/>
    <w:pPr>
      <w:numPr>
        <w:ilvl w:val="2"/>
      </w:numPr>
      <w:outlineLvl w:val="2"/>
    </w:pPr>
  </w:style>
  <w:style w:type="paragraph" w:styleId="4">
    <w:name w:val="heading 4"/>
    <w:basedOn w:val="3"/>
    <w:qFormat/>
    <w:rsid w:val="00F767C6"/>
    <w:pPr>
      <w:numPr>
        <w:ilvl w:val="3"/>
      </w:numPr>
      <w:outlineLvl w:val="3"/>
    </w:pPr>
  </w:style>
  <w:style w:type="paragraph" w:styleId="5">
    <w:name w:val="heading 5"/>
    <w:basedOn w:val="a"/>
    <w:next w:val="a"/>
    <w:qFormat/>
    <w:rsid w:val="00495F98"/>
    <w:pPr>
      <w:spacing w:before="240" w:after="60"/>
      <w:outlineLvl w:val="4"/>
    </w:pPr>
    <w:rPr>
      <w:b/>
      <w:bCs/>
      <w:i/>
      <w:iCs/>
      <w:sz w:val="26"/>
      <w:szCs w:val="26"/>
    </w:rPr>
  </w:style>
  <w:style w:type="paragraph" w:styleId="6">
    <w:name w:val="heading 6"/>
    <w:basedOn w:val="a"/>
    <w:next w:val="a"/>
    <w:qFormat/>
    <w:rsid w:val="00495F98"/>
    <w:pPr>
      <w:spacing w:before="240" w:after="60"/>
      <w:outlineLvl w:val="5"/>
    </w:pPr>
    <w:rPr>
      <w:b/>
      <w:bCs/>
      <w:sz w:val="22"/>
      <w:szCs w:val="22"/>
    </w:rPr>
  </w:style>
  <w:style w:type="paragraph" w:styleId="7">
    <w:name w:val="heading 7"/>
    <w:basedOn w:val="a"/>
    <w:next w:val="a"/>
    <w:qFormat/>
    <w:rsid w:val="00495F98"/>
    <w:pPr>
      <w:spacing w:before="240" w:after="60"/>
      <w:outlineLvl w:val="6"/>
    </w:pPr>
  </w:style>
  <w:style w:type="paragraph" w:styleId="8">
    <w:name w:val="heading 8"/>
    <w:basedOn w:val="a"/>
    <w:next w:val="a"/>
    <w:qFormat/>
    <w:rsid w:val="00495F98"/>
    <w:pPr>
      <w:spacing w:before="240" w:after="60"/>
      <w:outlineLvl w:val="7"/>
    </w:pPr>
    <w:rPr>
      <w:i/>
      <w:iCs/>
    </w:rPr>
  </w:style>
  <w:style w:type="paragraph" w:styleId="9">
    <w:name w:val="heading 9"/>
    <w:basedOn w:val="a"/>
    <w:next w:val="a"/>
    <w:qFormat/>
    <w:rsid w:val="00495F9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4358E"/>
    <w:pPr>
      <w:tabs>
        <w:tab w:val="center" w:pos="4153"/>
        <w:tab w:val="right" w:pos="8306"/>
      </w:tabs>
    </w:pPr>
    <w:rPr>
      <w:sz w:val="20"/>
      <w:lang w:eastAsia="he-IL"/>
    </w:rPr>
  </w:style>
  <w:style w:type="character" w:styleId="a5">
    <w:name w:val="page number"/>
    <w:basedOn w:val="a0"/>
    <w:rsid w:val="0064358E"/>
  </w:style>
  <w:style w:type="paragraph" w:styleId="a6">
    <w:name w:val="footnote text"/>
    <w:aliases w:val="Footnote Text"/>
    <w:basedOn w:val="a"/>
    <w:link w:val="a7"/>
    <w:semiHidden/>
    <w:rsid w:val="00E411E3"/>
    <w:pPr>
      <w:tabs>
        <w:tab w:val="clear" w:pos="567"/>
        <w:tab w:val="clear" w:pos="1134"/>
        <w:tab w:val="clear" w:pos="1814"/>
        <w:tab w:val="clear" w:pos="2665"/>
      </w:tabs>
      <w:spacing w:line="240" w:lineRule="auto"/>
      <w:jc w:val="left"/>
    </w:pPr>
    <w:rPr>
      <w:rFonts w:cs="Times New Roman"/>
      <w:sz w:val="20"/>
      <w:szCs w:val="20"/>
    </w:rPr>
  </w:style>
  <w:style w:type="paragraph" w:styleId="a8">
    <w:name w:val="header"/>
    <w:basedOn w:val="a"/>
    <w:rsid w:val="009207C1"/>
    <w:pPr>
      <w:tabs>
        <w:tab w:val="center" w:pos="4153"/>
        <w:tab w:val="right" w:pos="8306"/>
      </w:tabs>
    </w:pPr>
  </w:style>
  <w:style w:type="character" w:styleId="a9">
    <w:name w:val="footnote reference"/>
    <w:aliases w:val="Footnote Reference"/>
    <w:basedOn w:val="a0"/>
    <w:semiHidden/>
    <w:rsid w:val="00E411E3"/>
    <w:rPr>
      <w:vertAlign w:val="superscript"/>
    </w:rPr>
  </w:style>
  <w:style w:type="character" w:styleId="aa">
    <w:name w:val="annotation reference"/>
    <w:basedOn w:val="a0"/>
    <w:semiHidden/>
    <w:rsid w:val="00E411E3"/>
    <w:rPr>
      <w:sz w:val="16"/>
      <w:szCs w:val="16"/>
    </w:rPr>
  </w:style>
  <w:style w:type="paragraph" w:styleId="ab">
    <w:name w:val="Body Text"/>
    <w:basedOn w:val="a"/>
    <w:rsid w:val="0050050C"/>
    <w:pPr>
      <w:tabs>
        <w:tab w:val="clear" w:pos="567"/>
        <w:tab w:val="clear" w:pos="1134"/>
        <w:tab w:val="clear" w:pos="1814"/>
        <w:tab w:val="clear" w:pos="2665"/>
      </w:tabs>
    </w:pPr>
    <w:rPr>
      <w:snapToGrid w:val="0"/>
      <w:lang w:eastAsia="he-IL"/>
    </w:rPr>
  </w:style>
  <w:style w:type="table" w:styleId="ac">
    <w:name w:val="Table Grid"/>
    <w:basedOn w:val="a1"/>
    <w:rsid w:val="00CC743F"/>
    <w:pPr>
      <w:tabs>
        <w:tab w:val="left" w:pos="567"/>
        <w:tab w:val="left" w:pos="1134"/>
        <w:tab w:val="left" w:pos="1814"/>
        <w:tab w:val="left" w:pos="2665"/>
      </w:tabs>
      <w:bidi/>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text"/>
    <w:basedOn w:val="a"/>
    <w:semiHidden/>
    <w:rsid w:val="002C7C72"/>
    <w:rPr>
      <w:sz w:val="20"/>
      <w:szCs w:val="20"/>
    </w:rPr>
  </w:style>
  <w:style w:type="paragraph" w:styleId="ae">
    <w:name w:val="annotation subject"/>
    <w:basedOn w:val="ad"/>
    <w:next w:val="ad"/>
    <w:semiHidden/>
    <w:rsid w:val="002C7C72"/>
    <w:rPr>
      <w:b/>
      <w:bCs/>
    </w:rPr>
  </w:style>
  <w:style w:type="paragraph" w:styleId="af">
    <w:name w:val="Balloon Text"/>
    <w:basedOn w:val="a"/>
    <w:semiHidden/>
    <w:rsid w:val="002C7C72"/>
    <w:rPr>
      <w:rFonts w:ascii="Tahoma" w:hAnsi="Tahoma" w:cs="Tahoma"/>
      <w:sz w:val="16"/>
      <w:szCs w:val="16"/>
    </w:rPr>
  </w:style>
  <w:style w:type="character" w:styleId="Hyperlink">
    <w:name w:val="Hyperlink"/>
    <w:basedOn w:val="a0"/>
    <w:rsid w:val="00CE7BFF"/>
    <w:rPr>
      <w:color w:val="0000FF"/>
      <w:u w:val="single"/>
    </w:rPr>
  </w:style>
  <w:style w:type="character" w:customStyle="1" w:styleId="a7">
    <w:name w:val="טקסט הערת שוליים תו"/>
    <w:aliases w:val="Footnote Text תו"/>
    <w:basedOn w:val="a0"/>
    <w:link w:val="a6"/>
    <w:semiHidden/>
    <w:rsid w:val="00290DFD"/>
    <w:rPr>
      <w:lang w:val="en-US" w:eastAsia="en-US" w:bidi="he-IL"/>
    </w:rPr>
  </w:style>
  <w:style w:type="table" w:styleId="80">
    <w:name w:val="Table Grid 8"/>
    <w:basedOn w:val="a1"/>
    <w:rsid w:val="00416CCF"/>
    <w:pPr>
      <w:bidi/>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af0">
    <w:name w:val="תו תו"/>
    <w:basedOn w:val="a0"/>
    <w:semiHidden/>
    <w:rsid w:val="00202FD2"/>
    <w:rPr>
      <w:lang w:val="en-US" w:eastAsia="en-US" w:bidi="he-IL"/>
    </w:rPr>
  </w:style>
  <w:style w:type="paragraph" w:styleId="af1">
    <w:name w:val="List Paragraph"/>
    <w:basedOn w:val="a"/>
    <w:uiPriority w:val="34"/>
    <w:qFormat/>
    <w:rsid w:val="002C352D"/>
    <w:pPr>
      <w:ind w:left="720"/>
      <w:contextualSpacing/>
    </w:pPr>
  </w:style>
  <w:style w:type="character" w:customStyle="1" w:styleId="a4">
    <w:name w:val="כותרת תחתונה תו"/>
    <w:basedOn w:val="a0"/>
    <w:link w:val="a3"/>
    <w:uiPriority w:val="99"/>
    <w:rsid w:val="002B26EC"/>
    <w:rPr>
      <w:rFonts w:cs="David"/>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DC5"/>
    <w:pPr>
      <w:tabs>
        <w:tab w:val="left" w:pos="567"/>
        <w:tab w:val="left" w:pos="1134"/>
        <w:tab w:val="left" w:pos="1814"/>
        <w:tab w:val="left" w:pos="2665"/>
      </w:tabs>
      <w:bidi/>
      <w:spacing w:line="360" w:lineRule="auto"/>
      <w:jc w:val="both"/>
    </w:pPr>
    <w:rPr>
      <w:rFonts w:cs="David"/>
      <w:sz w:val="24"/>
      <w:szCs w:val="24"/>
    </w:rPr>
  </w:style>
  <w:style w:type="paragraph" w:styleId="1">
    <w:name w:val="heading 1"/>
    <w:basedOn w:val="a"/>
    <w:qFormat/>
    <w:rsid w:val="00F767C6"/>
    <w:pPr>
      <w:numPr>
        <w:numId w:val="1"/>
      </w:numPr>
      <w:tabs>
        <w:tab w:val="clear" w:pos="1134"/>
      </w:tabs>
      <w:outlineLvl w:val="0"/>
    </w:pPr>
    <w:rPr>
      <w:kern w:val="28"/>
      <w:sz w:val="22"/>
    </w:rPr>
  </w:style>
  <w:style w:type="paragraph" w:styleId="2">
    <w:name w:val="heading 2"/>
    <w:basedOn w:val="1"/>
    <w:qFormat/>
    <w:rsid w:val="00F767C6"/>
    <w:pPr>
      <w:numPr>
        <w:ilvl w:val="1"/>
      </w:numPr>
      <w:tabs>
        <w:tab w:val="clear" w:pos="1814"/>
        <w:tab w:val="clear" w:pos="2665"/>
      </w:tabs>
      <w:outlineLvl w:val="1"/>
    </w:pPr>
  </w:style>
  <w:style w:type="paragraph" w:styleId="3">
    <w:name w:val="heading 3"/>
    <w:basedOn w:val="2"/>
    <w:qFormat/>
    <w:rsid w:val="00F767C6"/>
    <w:pPr>
      <w:numPr>
        <w:ilvl w:val="2"/>
      </w:numPr>
      <w:outlineLvl w:val="2"/>
    </w:pPr>
  </w:style>
  <w:style w:type="paragraph" w:styleId="4">
    <w:name w:val="heading 4"/>
    <w:basedOn w:val="3"/>
    <w:qFormat/>
    <w:rsid w:val="00F767C6"/>
    <w:pPr>
      <w:numPr>
        <w:ilvl w:val="3"/>
      </w:numPr>
      <w:outlineLvl w:val="3"/>
    </w:pPr>
  </w:style>
  <w:style w:type="paragraph" w:styleId="5">
    <w:name w:val="heading 5"/>
    <w:basedOn w:val="a"/>
    <w:next w:val="a"/>
    <w:qFormat/>
    <w:rsid w:val="00495F98"/>
    <w:pPr>
      <w:spacing w:before="240" w:after="60"/>
      <w:outlineLvl w:val="4"/>
    </w:pPr>
    <w:rPr>
      <w:b/>
      <w:bCs/>
      <w:i/>
      <w:iCs/>
      <w:sz w:val="26"/>
      <w:szCs w:val="26"/>
    </w:rPr>
  </w:style>
  <w:style w:type="paragraph" w:styleId="6">
    <w:name w:val="heading 6"/>
    <w:basedOn w:val="a"/>
    <w:next w:val="a"/>
    <w:qFormat/>
    <w:rsid w:val="00495F98"/>
    <w:pPr>
      <w:spacing w:before="240" w:after="60"/>
      <w:outlineLvl w:val="5"/>
    </w:pPr>
    <w:rPr>
      <w:b/>
      <w:bCs/>
      <w:sz w:val="22"/>
      <w:szCs w:val="22"/>
    </w:rPr>
  </w:style>
  <w:style w:type="paragraph" w:styleId="7">
    <w:name w:val="heading 7"/>
    <w:basedOn w:val="a"/>
    <w:next w:val="a"/>
    <w:qFormat/>
    <w:rsid w:val="00495F98"/>
    <w:pPr>
      <w:spacing w:before="240" w:after="60"/>
      <w:outlineLvl w:val="6"/>
    </w:pPr>
  </w:style>
  <w:style w:type="paragraph" w:styleId="8">
    <w:name w:val="heading 8"/>
    <w:basedOn w:val="a"/>
    <w:next w:val="a"/>
    <w:qFormat/>
    <w:rsid w:val="00495F98"/>
    <w:pPr>
      <w:spacing w:before="240" w:after="60"/>
      <w:outlineLvl w:val="7"/>
    </w:pPr>
    <w:rPr>
      <w:i/>
      <w:iCs/>
    </w:rPr>
  </w:style>
  <w:style w:type="paragraph" w:styleId="9">
    <w:name w:val="heading 9"/>
    <w:basedOn w:val="a"/>
    <w:next w:val="a"/>
    <w:qFormat/>
    <w:rsid w:val="00495F9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4358E"/>
    <w:pPr>
      <w:tabs>
        <w:tab w:val="center" w:pos="4153"/>
        <w:tab w:val="right" w:pos="8306"/>
      </w:tabs>
    </w:pPr>
    <w:rPr>
      <w:sz w:val="20"/>
      <w:lang w:eastAsia="he-IL"/>
    </w:rPr>
  </w:style>
  <w:style w:type="character" w:styleId="a5">
    <w:name w:val="page number"/>
    <w:basedOn w:val="a0"/>
    <w:rsid w:val="0064358E"/>
  </w:style>
  <w:style w:type="paragraph" w:styleId="a6">
    <w:name w:val="footnote text"/>
    <w:aliases w:val="Footnote Text"/>
    <w:basedOn w:val="a"/>
    <w:link w:val="a7"/>
    <w:semiHidden/>
    <w:rsid w:val="00E411E3"/>
    <w:pPr>
      <w:tabs>
        <w:tab w:val="clear" w:pos="567"/>
        <w:tab w:val="clear" w:pos="1134"/>
        <w:tab w:val="clear" w:pos="1814"/>
        <w:tab w:val="clear" w:pos="2665"/>
      </w:tabs>
      <w:spacing w:line="240" w:lineRule="auto"/>
      <w:jc w:val="left"/>
    </w:pPr>
    <w:rPr>
      <w:rFonts w:cs="Times New Roman"/>
      <w:sz w:val="20"/>
      <w:szCs w:val="20"/>
    </w:rPr>
  </w:style>
  <w:style w:type="paragraph" w:styleId="a8">
    <w:name w:val="header"/>
    <w:basedOn w:val="a"/>
    <w:rsid w:val="009207C1"/>
    <w:pPr>
      <w:tabs>
        <w:tab w:val="center" w:pos="4153"/>
        <w:tab w:val="right" w:pos="8306"/>
      </w:tabs>
    </w:pPr>
  </w:style>
  <w:style w:type="character" w:styleId="a9">
    <w:name w:val="footnote reference"/>
    <w:aliases w:val="Footnote Reference"/>
    <w:basedOn w:val="a0"/>
    <w:semiHidden/>
    <w:rsid w:val="00E411E3"/>
    <w:rPr>
      <w:vertAlign w:val="superscript"/>
    </w:rPr>
  </w:style>
  <w:style w:type="character" w:styleId="aa">
    <w:name w:val="annotation reference"/>
    <w:basedOn w:val="a0"/>
    <w:semiHidden/>
    <w:rsid w:val="00E411E3"/>
    <w:rPr>
      <w:sz w:val="16"/>
      <w:szCs w:val="16"/>
    </w:rPr>
  </w:style>
  <w:style w:type="paragraph" w:styleId="ab">
    <w:name w:val="Body Text"/>
    <w:basedOn w:val="a"/>
    <w:rsid w:val="0050050C"/>
    <w:pPr>
      <w:tabs>
        <w:tab w:val="clear" w:pos="567"/>
        <w:tab w:val="clear" w:pos="1134"/>
        <w:tab w:val="clear" w:pos="1814"/>
        <w:tab w:val="clear" w:pos="2665"/>
      </w:tabs>
    </w:pPr>
    <w:rPr>
      <w:snapToGrid w:val="0"/>
      <w:lang w:eastAsia="he-IL"/>
    </w:rPr>
  </w:style>
  <w:style w:type="table" w:styleId="ac">
    <w:name w:val="Table Grid"/>
    <w:basedOn w:val="a1"/>
    <w:rsid w:val="00CC743F"/>
    <w:pPr>
      <w:tabs>
        <w:tab w:val="left" w:pos="567"/>
        <w:tab w:val="left" w:pos="1134"/>
        <w:tab w:val="left" w:pos="1814"/>
        <w:tab w:val="left" w:pos="2665"/>
      </w:tabs>
      <w:bidi/>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text"/>
    <w:basedOn w:val="a"/>
    <w:semiHidden/>
    <w:rsid w:val="002C7C72"/>
    <w:rPr>
      <w:sz w:val="20"/>
      <w:szCs w:val="20"/>
    </w:rPr>
  </w:style>
  <w:style w:type="paragraph" w:styleId="ae">
    <w:name w:val="annotation subject"/>
    <w:basedOn w:val="ad"/>
    <w:next w:val="ad"/>
    <w:semiHidden/>
    <w:rsid w:val="002C7C72"/>
    <w:rPr>
      <w:b/>
      <w:bCs/>
    </w:rPr>
  </w:style>
  <w:style w:type="paragraph" w:styleId="af">
    <w:name w:val="Balloon Text"/>
    <w:basedOn w:val="a"/>
    <w:semiHidden/>
    <w:rsid w:val="002C7C72"/>
    <w:rPr>
      <w:rFonts w:ascii="Tahoma" w:hAnsi="Tahoma" w:cs="Tahoma"/>
      <w:sz w:val="16"/>
      <w:szCs w:val="16"/>
    </w:rPr>
  </w:style>
  <w:style w:type="character" w:styleId="Hyperlink">
    <w:name w:val="Hyperlink"/>
    <w:basedOn w:val="a0"/>
    <w:rsid w:val="00CE7BFF"/>
    <w:rPr>
      <w:color w:val="0000FF"/>
      <w:u w:val="single"/>
    </w:rPr>
  </w:style>
  <w:style w:type="character" w:customStyle="1" w:styleId="a7">
    <w:name w:val="טקסט הערת שוליים תו"/>
    <w:aliases w:val="Footnote Text תו"/>
    <w:basedOn w:val="a0"/>
    <w:link w:val="a6"/>
    <w:semiHidden/>
    <w:rsid w:val="00290DFD"/>
    <w:rPr>
      <w:lang w:val="en-US" w:eastAsia="en-US" w:bidi="he-IL"/>
    </w:rPr>
  </w:style>
  <w:style w:type="table" w:styleId="80">
    <w:name w:val="Table Grid 8"/>
    <w:basedOn w:val="a1"/>
    <w:rsid w:val="00416CCF"/>
    <w:pPr>
      <w:bidi/>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af0">
    <w:name w:val="תו תו"/>
    <w:basedOn w:val="a0"/>
    <w:semiHidden/>
    <w:rsid w:val="00202FD2"/>
    <w:rPr>
      <w:lang w:val="en-US" w:eastAsia="en-US" w:bidi="he-IL"/>
    </w:rPr>
  </w:style>
  <w:style w:type="paragraph" w:styleId="af1">
    <w:name w:val="List Paragraph"/>
    <w:basedOn w:val="a"/>
    <w:uiPriority w:val="34"/>
    <w:qFormat/>
    <w:rsid w:val="002C352D"/>
    <w:pPr>
      <w:ind w:left="720"/>
      <w:contextualSpacing/>
    </w:pPr>
  </w:style>
  <w:style w:type="character" w:customStyle="1" w:styleId="a4">
    <w:name w:val="כותרת תחתונה תו"/>
    <w:basedOn w:val="a0"/>
    <w:link w:val="a3"/>
    <w:uiPriority w:val="99"/>
    <w:rsid w:val="002B26EC"/>
    <w:rPr>
      <w:rFonts w:cs="David"/>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9579">
      <w:bodyDiv w:val="1"/>
      <w:marLeft w:val="0"/>
      <w:marRight w:val="0"/>
      <w:marTop w:val="0"/>
      <w:marBottom w:val="0"/>
      <w:divBdr>
        <w:top w:val="none" w:sz="0" w:space="0" w:color="auto"/>
        <w:left w:val="none" w:sz="0" w:space="0" w:color="auto"/>
        <w:bottom w:val="none" w:sz="0" w:space="0" w:color="auto"/>
        <w:right w:val="none" w:sz="0" w:space="0" w:color="auto"/>
      </w:divBdr>
    </w:div>
    <w:div w:id="33818217">
      <w:bodyDiv w:val="1"/>
      <w:marLeft w:val="0"/>
      <w:marRight w:val="0"/>
      <w:marTop w:val="0"/>
      <w:marBottom w:val="0"/>
      <w:divBdr>
        <w:top w:val="none" w:sz="0" w:space="0" w:color="auto"/>
        <w:left w:val="none" w:sz="0" w:space="0" w:color="auto"/>
        <w:bottom w:val="none" w:sz="0" w:space="0" w:color="auto"/>
        <w:right w:val="none" w:sz="0" w:space="0" w:color="auto"/>
      </w:divBdr>
    </w:div>
    <w:div w:id="67580439">
      <w:bodyDiv w:val="1"/>
      <w:marLeft w:val="0"/>
      <w:marRight w:val="0"/>
      <w:marTop w:val="0"/>
      <w:marBottom w:val="0"/>
      <w:divBdr>
        <w:top w:val="none" w:sz="0" w:space="0" w:color="auto"/>
        <w:left w:val="none" w:sz="0" w:space="0" w:color="auto"/>
        <w:bottom w:val="none" w:sz="0" w:space="0" w:color="auto"/>
        <w:right w:val="none" w:sz="0" w:space="0" w:color="auto"/>
      </w:divBdr>
    </w:div>
    <w:div w:id="222645364">
      <w:bodyDiv w:val="1"/>
      <w:marLeft w:val="0"/>
      <w:marRight w:val="0"/>
      <w:marTop w:val="0"/>
      <w:marBottom w:val="0"/>
      <w:divBdr>
        <w:top w:val="none" w:sz="0" w:space="0" w:color="auto"/>
        <w:left w:val="none" w:sz="0" w:space="0" w:color="auto"/>
        <w:bottom w:val="none" w:sz="0" w:space="0" w:color="auto"/>
        <w:right w:val="none" w:sz="0" w:space="0" w:color="auto"/>
      </w:divBdr>
    </w:div>
    <w:div w:id="231740480">
      <w:bodyDiv w:val="1"/>
      <w:marLeft w:val="0"/>
      <w:marRight w:val="0"/>
      <w:marTop w:val="0"/>
      <w:marBottom w:val="0"/>
      <w:divBdr>
        <w:top w:val="none" w:sz="0" w:space="0" w:color="auto"/>
        <w:left w:val="none" w:sz="0" w:space="0" w:color="auto"/>
        <w:bottom w:val="none" w:sz="0" w:space="0" w:color="auto"/>
        <w:right w:val="none" w:sz="0" w:space="0" w:color="auto"/>
      </w:divBdr>
    </w:div>
    <w:div w:id="384255099">
      <w:bodyDiv w:val="1"/>
      <w:marLeft w:val="0"/>
      <w:marRight w:val="0"/>
      <w:marTop w:val="0"/>
      <w:marBottom w:val="0"/>
      <w:divBdr>
        <w:top w:val="none" w:sz="0" w:space="0" w:color="auto"/>
        <w:left w:val="none" w:sz="0" w:space="0" w:color="auto"/>
        <w:bottom w:val="none" w:sz="0" w:space="0" w:color="auto"/>
        <w:right w:val="none" w:sz="0" w:space="0" w:color="auto"/>
      </w:divBdr>
    </w:div>
    <w:div w:id="401026556">
      <w:bodyDiv w:val="1"/>
      <w:marLeft w:val="0"/>
      <w:marRight w:val="0"/>
      <w:marTop w:val="0"/>
      <w:marBottom w:val="0"/>
      <w:divBdr>
        <w:top w:val="none" w:sz="0" w:space="0" w:color="auto"/>
        <w:left w:val="none" w:sz="0" w:space="0" w:color="auto"/>
        <w:bottom w:val="none" w:sz="0" w:space="0" w:color="auto"/>
        <w:right w:val="none" w:sz="0" w:space="0" w:color="auto"/>
      </w:divBdr>
    </w:div>
    <w:div w:id="631668350">
      <w:bodyDiv w:val="1"/>
      <w:marLeft w:val="0"/>
      <w:marRight w:val="0"/>
      <w:marTop w:val="0"/>
      <w:marBottom w:val="0"/>
      <w:divBdr>
        <w:top w:val="none" w:sz="0" w:space="0" w:color="auto"/>
        <w:left w:val="none" w:sz="0" w:space="0" w:color="auto"/>
        <w:bottom w:val="none" w:sz="0" w:space="0" w:color="auto"/>
        <w:right w:val="none" w:sz="0" w:space="0" w:color="auto"/>
      </w:divBdr>
    </w:div>
    <w:div w:id="1059674979">
      <w:bodyDiv w:val="1"/>
      <w:marLeft w:val="0"/>
      <w:marRight w:val="0"/>
      <w:marTop w:val="0"/>
      <w:marBottom w:val="0"/>
      <w:divBdr>
        <w:top w:val="none" w:sz="0" w:space="0" w:color="auto"/>
        <w:left w:val="none" w:sz="0" w:space="0" w:color="auto"/>
        <w:bottom w:val="none" w:sz="0" w:space="0" w:color="auto"/>
        <w:right w:val="none" w:sz="0" w:space="0" w:color="auto"/>
      </w:divBdr>
      <w:divsChild>
        <w:div w:id="251860618">
          <w:marLeft w:val="0"/>
          <w:marRight w:val="0"/>
          <w:marTop w:val="0"/>
          <w:marBottom w:val="0"/>
          <w:divBdr>
            <w:top w:val="none" w:sz="0" w:space="0" w:color="auto"/>
            <w:left w:val="none" w:sz="0" w:space="0" w:color="auto"/>
            <w:bottom w:val="none" w:sz="0" w:space="0" w:color="auto"/>
            <w:right w:val="none" w:sz="0" w:space="0" w:color="auto"/>
          </w:divBdr>
        </w:div>
      </w:divsChild>
    </w:div>
    <w:div w:id="1065569661">
      <w:bodyDiv w:val="1"/>
      <w:marLeft w:val="0"/>
      <w:marRight w:val="0"/>
      <w:marTop w:val="0"/>
      <w:marBottom w:val="0"/>
      <w:divBdr>
        <w:top w:val="none" w:sz="0" w:space="0" w:color="auto"/>
        <w:left w:val="none" w:sz="0" w:space="0" w:color="auto"/>
        <w:bottom w:val="none" w:sz="0" w:space="0" w:color="auto"/>
        <w:right w:val="none" w:sz="0" w:space="0" w:color="auto"/>
      </w:divBdr>
    </w:div>
    <w:div w:id="1227062227">
      <w:bodyDiv w:val="1"/>
      <w:marLeft w:val="0"/>
      <w:marRight w:val="0"/>
      <w:marTop w:val="0"/>
      <w:marBottom w:val="0"/>
      <w:divBdr>
        <w:top w:val="none" w:sz="0" w:space="0" w:color="auto"/>
        <w:left w:val="none" w:sz="0" w:space="0" w:color="auto"/>
        <w:bottom w:val="none" w:sz="0" w:space="0" w:color="auto"/>
        <w:right w:val="none" w:sz="0" w:space="0" w:color="auto"/>
      </w:divBdr>
    </w:div>
    <w:div w:id="1386874507">
      <w:bodyDiv w:val="1"/>
      <w:marLeft w:val="0"/>
      <w:marRight w:val="0"/>
      <w:marTop w:val="0"/>
      <w:marBottom w:val="0"/>
      <w:divBdr>
        <w:top w:val="none" w:sz="0" w:space="0" w:color="auto"/>
        <w:left w:val="none" w:sz="0" w:space="0" w:color="auto"/>
        <w:bottom w:val="none" w:sz="0" w:space="0" w:color="auto"/>
        <w:right w:val="none" w:sz="0" w:space="0" w:color="auto"/>
      </w:divBdr>
    </w:div>
    <w:div w:id="1390613834">
      <w:bodyDiv w:val="1"/>
      <w:marLeft w:val="0"/>
      <w:marRight w:val="0"/>
      <w:marTop w:val="0"/>
      <w:marBottom w:val="0"/>
      <w:divBdr>
        <w:top w:val="none" w:sz="0" w:space="0" w:color="auto"/>
        <w:left w:val="none" w:sz="0" w:space="0" w:color="auto"/>
        <w:bottom w:val="none" w:sz="0" w:space="0" w:color="auto"/>
        <w:right w:val="none" w:sz="0" w:space="0" w:color="auto"/>
      </w:divBdr>
    </w:div>
    <w:div w:id="1474173627">
      <w:bodyDiv w:val="1"/>
      <w:marLeft w:val="0"/>
      <w:marRight w:val="0"/>
      <w:marTop w:val="0"/>
      <w:marBottom w:val="0"/>
      <w:divBdr>
        <w:top w:val="none" w:sz="0" w:space="0" w:color="auto"/>
        <w:left w:val="none" w:sz="0" w:space="0" w:color="auto"/>
        <w:bottom w:val="none" w:sz="0" w:space="0" w:color="auto"/>
        <w:right w:val="none" w:sz="0" w:space="0" w:color="auto"/>
      </w:divBdr>
    </w:div>
    <w:div w:id="1541211559">
      <w:bodyDiv w:val="1"/>
      <w:marLeft w:val="0"/>
      <w:marRight w:val="0"/>
      <w:marTop w:val="0"/>
      <w:marBottom w:val="0"/>
      <w:divBdr>
        <w:top w:val="none" w:sz="0" w:space="0" w:color="auto"/>
        <w:left w:val="none" w:sz="0" w:space="0" w:color="auto"/>
        <w:bottom w:val="none" w:sz="0" w:space="0" w:color="auto"/>
        <w:right w:val="none" w:sz="0" w:space="0" w:color="auto"/>
      </w:divBdr>
    </w:div>
    <w:div w:id="1571886962">
      <w:bodyDiv w:val="1"/>
      <w:marLeft w:val="0"/>
      <w:marRight w:val="0"/>
      <w:marTop w:val="0"/>
      <w:marBottom w:val="0"/>
      <w:divBdr>
        <w:top w:val="none" w:sz="0" w:space="0" w:color="auto"/>
        <w:left w:val="none" w:sz="0" w:space="0" w:color="auto"/>
        <w:bottom w:val="none" w:sz="0" w:space="0" w:color="auto"/>
        <w:right w:val="none" w:sz="0" w:space="0" w:color="auto"/>
      </w:divBdr>
    </w:div>
    <w:div w:id="1614289298">
      <w:bodyDiv w:val="1"/>
      <w:marLeft w:val="0"/>
      <w:marRight w:val="0"/>
      <w:marTop w:val="0"/>
      <w:marBottom w:val="0"/>
      <w:divBdr>
        <w:top w:val="none" w:sz="0" w:space="0" w:color="auto"/>
        <w:left w:val="none" w:sz="0" w:space="0" w:color="auto"/>
        <w:bottom w:val="none" w:sz="0" w:space="0" w:color="auto"/>
        <w:right w:val="none" w:sz="0" w:space="0" w:color="auto"/>
      </w:divBdr>
    </w:div>
    <w:div w:id="1725641396">
      <w:bodyDiv w:val="1"/>
      <w:marLeft w:val="0"/>
      <w:marRight w:val="0"/>
      <w:marTop w:val="0"/>
      <w:marBottom w:val="0"/>
      <w:divBdr>
        <w:top w:val="none" w:sz="0" w:space="0" w:color="auto"/>
        <w:left w:val="none" w:sz="0" w:space="0" w:color="auto"/>
        <w:bottom w:val="none" w:sz="0" w:space="0" w:color="auto"/>
        <w:right w:val="none" w:sz="0" w:space="0" w:color="auto"/>
      </w:divBdr>
    </w:div>
    <w:div w:id="1819148920">
      <w:bodyDiv w:val="1"/>
      <w:marLeft w:val="0"/>
      <w:marRight w:val="0"/>
      <w:marTop w:val="0"/>
      <w:marBottom w:val="0"/>
      <w:divBdr>
        <w:top w:val="none" w:sz="0" w:space="0" w:color="auto"/>
        <w:left w:val="none" w:sz="0" w:space="0" w:color="auto"/>
        <w:bottom w:val="none" w:sz="0" w:space="0" w:color="auto"/>
        <w:right w:val="none" w:sz="0" w:space="0" w:color="auto"/>
      </w:divBdr>
    </w:div>
    <w:div w:id="1878347860">
      <w:bodyDiv w:val="1"/>
      <w:marLeft w:val="0"/>
      <w:marRight w:val="0"/>
      <w:marTop w:val="0"/>
      <w:marBottom w:val="0"/>
      <w:divBdr>
        <w:top w:val="none" w:sz="0" w:space="0" w:color="auto"/>
        <w:left w:val="none" w:sz="0" w:space="0" w:color="auto"/>
        <w:bottom w:val="none" w:sz="0" w:space="0" w:color="auto"/>
        <w:right w:val="none" w:sz="0" w:space="0" w:color="auto"/>
      </w:divBdr>
    </w:div>
    <w:div w:id="1890921109">
      <w:bodyDiv w:val="1"/>
      <w:marLeft w:val="0"/>
      <w:marRight w:val="0"/>
      <w:marTop w:val="0"/>
      <w:marBottom w:val="0"/>
      <w:divBdr>
        <w:top w:val="none" w:sz="0" w:space="0" w:color="auto"/>
        <w:left w:val="none" w:sz="0" w:space="0" w:color="auto"/>
        <w:bottom w:val="none" w:sz="0" w:space="0" w:color="auto"/>
        <w:right w:val="none" w:sz="0" w:space="0" w:color="auto"/>
      </w:divBdr>
    </w:div>
    <w:div w:id="1988589372">
      <w:bodyDiv w:val="1"/>
      <w:marLeft w:val="0"/>
      <w:marRight w:val="0"/>
      <w:marTop w:val="0"/>
      <w:marBottom w:val="0"/>
      <w:divBdr>
        <w:top w:val="none" w:sz="0" w:space="0" w:color="auto"/>
        <w:left w:val="none" w:sz="0" w:space="0" w:color="auto"/>
        <w:bottom w:val="none" w:sz="0" w:space="0" w:color="auto"/>
        <w:right w:val="none" w:sz="0" w:space="0" w:color="auto"/>
      </w:divBdr>
    </w:div>
    <w:div w:id="2003926616">
      <w:bodyDiv w:val="1"/>
      <w:marLeft w:val="0"/>
      <w:marRight w:val="0"/>
      <w:marTop w:val="0"/>
      <w:marBottom w:val="0"/>
      <w:divBdr>
        <w:top w:val="none" w:sz="0" w:space="0" w:color="auto"/>
        <w:left w:val="none" w:sz="0" w:space="0" w:color="auto"/>
        <w:bottom w:val="none" w:sz="0" w:space="0" w:color="auto"/>
        <w:right w:val="none" w:sz="0" w:space="0" w:color="auto"/>
      </w:divBdr>
    </w:div>
    <w:div w:id="2088913979">
      <w:bodyDiv w:val="1"/>
      <w:marLeft w:val="0"/>
      <w:marRight w:val="0"/>
      <w:marTop w:val="0"/>
      <w:marBottom w:val="0"/>
      <w:divBdr>
        <w:top w:val="none" w:sz="0" w:space="0" w:color="auto"/>
        <w:left w:val="none" w:sz="0" w:space="0" w:color="auto"/>
        <w:bottom w:val="none" w:sz="0" w:space="0" w:color="auto"/>
        <w:right w:val="none" w:sz="0" w:space="0" w:color="auto"/>
      </w:divBdr>
    </w:div>
    <w:div w:id="2113160772">
      <w:bodyDiv w:val="1"/>
      <w:marLeft w:val="0"/>
      <w:marRight w:val="0"/>
      <w:marTop w:val="0"/>
      <w:marBottom w:val="0"/>
      <w:divBdr>
        <w:top w:val="none" w:sz="0" w:space="0" w:color="auto"/>
        <w:left w:val="none" w:sz="0" w:space="0" w:color="auto"/>
        <w:bottom w:val="none" w:sz="0" w:space="0" w:color="auto"/>
        <w:right w:val="none" w:sz="0" w:space="0" w:color="auto"/>
      </w:divBdr>
    </w:div>
    <w:div w:id="213158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20" Type="http://schemas.openxmlformats.org/officeDocument/2006/relationships/customXml" Target="../customXml/item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2014-09-14T07:00:00+00:00</PublishingStartDate>
    <eWaveListOrderValu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A22D1-AFD8-42E2-8773-21062EC2879E}"/>
</file>

<file path=customXml/itemProps2.xml><?xml version="1.0" encoding="utf-8"?>
<ds:datastoreItem xmlns:ds="http://schemas.openxmlformats.org/officeDocument/2006/customXml" ds:itemID="{19FA8276-B13F-4C92-9ED6-126ED72C02B8}"/>
</file>

<file path=customXml/itemProps3.xml><?xml version="1.0" encoding="utf-8"?>
<ds:datastoreItem xmlns:ds="http://schemas.openxmlformats.org/officeDocument/2006/customXml" ds:itemID="{1157902F-11F0-47BD-A4F0-55948209A0CE}"/>
</file>

<file path=docProps/app.xml><?xml version="1.0" encoding="utf-8"?>
<Properties xmlns="http://schemas.openxmlformats.org/officeDocument/2006/extended-properties" xmlns:vt="http://schemas.openxmlformats.org/officeDocument/2006/docPropsVTypes">
  <Template>Normal.dotm</Template>
  <TotalTime>0</TotalTime>
  <Pages>4</Pages>
  <Words>982</Words>
  <Characters>4925</Characters>
  <Application>Microsoft Office Word</Application>
  <DocSecurity>0</DocSecurity>
  <Lines>41</Lines>
  <Paragraphs>11</Paragraphs>
  <ScaleCrop>false</ScaleCrop>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2014-09-14T07:53:00Z</dcterms:created>
  <dcterms:modified xsi:type="dcterms:W3CDTF">2014-09-14T07:53:00Z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