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5AED7" w14:textId="77777777" w:rsidR="00B44B19" w:rsidRDefault="00B44B19" w:rsidP="00B44B19">
      <w:pPr>
        <w:bidi w:val="0"/>
        <w:jc w:val="center"/>
      </w:pPr>
      <w:bookmarkStart w:id="0" w:name="_GoBack"/>
      <w:bookmarkEnd w:id="0"/>
      <w:r>
        <w:rPr>
          <w:rFonts w:cs="Arial" w:hint="cs"/>
          <w:noProof/>
          <w:rtl/>
        </w:rPr>
        <w:drawing>
          <wp:anchor distT="0" distB="0" distL="114300" distR="114300" simplePos="0" relativeHeight="251659264" behindDoc="0" locked="0" layoutInCell="1" allowOverlap="1" wp14:anchorId="3068A2D9" wp14:editId="393C2F15">
            <wp:simplePos x="0" y="0"/>
            <wp:positionH relativeFrom="margin">
              <wp:align>center</wp:align>
            </wp:positionH>
            <wp:positionV relativeFrom="margin">
              <wp:posOffset>-424180</wp:posOffset>
            </wp:positionV>
            <wp:extent cx="1054800" cy="1054800"/>
            <wp:effectExtent l="0" t="0" r="0" b="0"/>
            <wp:wrapNone/>
            <wp:docPr id="4" name="Picture 1" descr="C:\Users\u17x\Desktop\תמונת לוגו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17x\Desktop\תמונת לוגו (jp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4800" cy="105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A14193" w14:textId="77777777" w:rsidR="00B44B19" w:rsidRPr="00E8008F" w:rsidRDefault="00B44B19" w:rsidP="00B44B19">
      <w:pPr>
        <w:bidi w:val="0"/>
        <w:jc w:val="center"/>
        <w:rPr>
          <w:rtl/>
        </w:rPr>
      </w:pPr>
    </w:p>
    <w:p w14:paraId="035D8B95" w14:textId="77777777" w:rsidR="00B44B19" w:rsidRDefault="00B44B19" w:rsidP="00B44B19">
      <w:pPr>
        <w:pStyle w:val="LetterheadBOI"/>
      </w:pPr>
    </w:p>
    <w:p w14:paraId="36C08B2D" w14:textId="77777777" w:rsidR="00B44B19" w:rsidRDefault="00B44B19" w:rsidP="00B44B19">
      <w:pPr>
        <w:pStyle w:val="LetterheadBOI"/>
      </w:pPr>
    </w:p>
    <w:p w14:paraId="13A81218" w14:textId="77777777" w:rsidR="00B44B19" w:rsidRPr="008E4D8E" w:rsidRDefault="00B44B19" w:rsidP="00B44B19">
      <w:pPr>
        <w:pStyle w:val="LetterheadBOI"/>
      </w:pPr>
      <w:r w:rsidRPr="008E4D8E">
        <w:t>BANK OF ISRAEL</w:t>
      </w:r>
    </w:p>
    <w:p w14:paraId="31CAE6E8" w14:textId="77777777" w:rsidR="00B44B19" w:rsidRPr="008E4D8E" w:rsidRDefault="00B44B19" w:rsidP="00B44B19">
      <w:pPr>
        <w:pStyle w:val="Letterhead2"/>
        <w:rPr>
          <w:b/>
        </w:rPr>
      </w:pPr>
      <w:r w:rsidRPr="008E4D8E">
        <w:t>Office of the Spokesperson and Economic Information</w:t>
      </w:r>
    </w:p>
    <w:p w14:paraId="500910FF" w14:textId="77777777" w:rsidR="00B44B19" w:rsidRDefault="00B44B19" w:rsidP="00B44B19">
      <w:pPr>
        <w:bidi w:val="0"/>
        <w:jc w:val="center"/>
        <w:rPr>
          <w:rFonts w:cs="David"/>
          <w:b/>
          <w:bCs/>
          <w:sz w:val="26"/>
          <w:szCs w:val="26"/>
        </w:rPr>
      </w:pPr>
    </w:p>
    <w:p w14:paraId="06DDE1C1" w14:textId="3E470886" w:rsidR="00B44B19" w:rsidRDefault="0093113B" w:rsidP="0093113B">
      <w:pPr>
        <w:bidi w:val="0"/>
        <w:jc w:val="right"/>
      </w:pPr>
      <w:r>
        <w:t>January 5</w:t>
      </w:r>
      <w:r w:rsidR="00757359">
        <w:t>, 202</w:t>
      </w:r>
      <w:r>
        <w:t>6</w:t>
      </w:r>
    </w:p>
    <w:p w14:paraId="092A57CC" w14:textId="77777777" w:rsidR="00B44B19" w:rsidRDefault="00B44B19" w:rsidP="008F2323">
      <w:pPr>
        <w:bidi w:val="0"/>
        <w:jc w:val="center"/>
        <w:rPr>
          <w:b/>
          <w:bCs/>
        </w:rPr>
      </w:pPr>
    </w:p>
    <w:p w14:paraId="3876E6CE" w14:textId="0CD764DE" w:rsidR="00A21D01" w:rsidRPr="00B44B19" w:rsidRDefault="00A21D01" w:rsidP="0093113B">
      <w:pPr>
        <w:bidi w:val="0"/>
        <w:jc w:val="center"/>
        <w:rPr>
          <w:b/>
          <w:bCs/>
          <w:sz w:val="28"/>
          <w:szCs w:val="28"/>
        </w:rPr>
      </w:pPr>
      <w:r w:rsidRPr="00B44B19">
        <w:rPr>
          <w:b/>
          <w:bCs/>
          <w:sz w:val="28"/>
          <w:szCs w:val="28"/>
        </w:rPr>
        <w:t xml:space="preserve">Research Department Staff Forecast, </w:t>
      </w:r>
      <w:r w:rsidR="0093113B">
        <w:rPr>
          <w:b/>
          <w:bCs/>
          <w:sz w:val="28"/>
          <w:szCs w:val="28"/>
        </w:rPr>
        <w:t>January</w:t>
      </w:r>
      <w:r w:rsidR="00757359">
        <w:rPr>
          <w:b/>
          <w:bCs/>
          <w:sz w:val="28"/>
          <w:szCs w:val="28"/>
        </w:rPr>
        <w:t xml:space="preserve"> 202</w:t>
      </w:r>
      <w:r w:rsidR="0093113B">
        <w:rPr>
          <w:b/>
          <w:bCs/>
          <w:sz w:val="28"/>
          <w:szCs w:val="28"/>
        </w:rPr>
        <w:t>6</w:t>
      </w:r>
    </w:p>
    <w:p w14:paraId="4481416E" w14:textId="77777777" w:rsidR="00252B31" w:rsidRDefault="00252B31" w:rsidP="007D70EA">
      <w:pPr>
        <w:bidi w:val="0"/>
        <w:spacing w:line="360" w:lineRule="auto"/>
        <w:jc w:val="both"/>
        <w:rPr>
          <w:b/>
          <w:bCs/>
        </w:rPr>
      </w:pPr>
    </w:p>
    <w:p w14:paraId="2DB7F593" w14:textId="77777777" w:rsidR="00A21D01" w:rsidRPr="00D60117" w:rsidRDefault="00A21D01" w:rsidP="00252B31">
      <w:pPr>
        <w:bidi w:val="0"/>
        <w:spacing w:line="360" w:lineRule="auto"/>
        <w:jc w:val="both"/>
      </w:pPr>
      <w:r w:rsidRPr="00D60117">
        <w:rPr>
          <w:b/>
          <w:bCs/>
        </w:rPr>
        <w:t>Abstract</w:t>
      </w:r>
    </w:p>
    <w:p w14:paraId="2573B91C" w14:textId="5CD83908" w:rsidR="007D6422" w:rsidRDefault="00B766FF" w:rsidP="0093113B">
      <w:pPr>
        <w:bidi w:val="0"/>
        <w:jc w:val="both"/>
      </w:pPr>
      <w:r>
        <w:t xml:space="preserve">This document presents the macroeconomic staff forecast formulated by the Bank of Israel Research Department in </w:t>
      </w:r>
      <w:r w:rsidR="0093113B">
        <w:t>January</w:t>
      </w:r>
      <w:r w:rsidR="00757359">
        <w:t xml:space="preserve"> 202</w:t>
      </w:r>
      <w:r w:rsidR="0093113B">
        <w:t>6</w:t>
      </w:r>
      <w:r w:rsidR="00757359">
        <w:t xml:space="preserve"> concerning the main macroeconomic variables—GDP, inflation, and the interest rate.</w:t>
      </w:r>
      <w:r w:rsidR="00A30AC5">
        <w:rPr>
          <w:rStyle w:val="ac"/>
        </w:rPr>
        <w:footnoteReference w:id="1"/>
      </w:r>
      <w:r>
        <w:t xml:space="preserve"> </w:t>
      </w:r>
      <w:r w:rsidR="0093113B">
        <w:t>In our assessment, GDP grew by 2.8 percent in 2025, and is expected to grow by 5.2 percent in 2026 and 4.3 percent in 2027.</w:t>
      </w:r>
      <w:r w:rsidR="00757359">
        <w:t xml:space="preserve">  </w:t>
      </w:r>
      <w:r w:rsidR="007D6422">
        <w:t xml:space="preserve">The inflation rate in </w:t>
      </w:r>
      <w:r w:rsidR="00B525D0">
        <w:t xml:space="preserve">the coming four quarters (ending in the </w:t>
      </w:r>
      <w:r w:rsidR="0093113B">
        <w:t>fourth</w:t>
      </w:r>
      <w:r w:rsidR="00B525D0">
        <w:t xml:space="preserve"> quarter of 202</w:t>
      </w:r>
      <w:r w:rsidR="00416C49">
        <w:t>6</w:t>
      </w:r>
      <w:r w:rsidR="00B525D0">
        <w:t xml:space="preserve">) </w:t>
      </w:r>
      <w:r w:rsidR="007D6422">
        <w:t xml:space="preserve">is expected to be </w:t>
      </w:r>
      <w:r w:rsidR="0093113B">
        <w:t>1.7</w:t>
      </w:r>
      <w:r w:rsidR="007D6422">
        <w:t xml:space="preserve"> percent</w:t>
      </w:r>
      <w:r w:rsidR="00A53B6A">
        <w:t xml:space="preserve">, </w:t>
      </w:r>
      <w:r w:rsidR="00416C49">
        <w:t>and inflation in 202</w:t>
      </w:r>
      <w:r w:rsidR="0093113B">
        <w:t>7</w:t>
      </w:r>
      <w:r w:rsidR="00416C49">
        <w:t xml:space="preserve"> is expected to be 2.</w:t>
      </w:r>
      <w:r w:rsidR="0093113B">
        <w:t>0</w:t>
      </w:r>
      <w:r w:rsidR="00416C49">
        <w:t xml:space="preserve"> percent</w:t>
      </w:r>
      <w:r w:rsidR="00757359">
        <w:t>.</w:t>
      </w:r>
      <w:r w:rsidR="00653278">
        <w:t xml:space="preserve">  The</w:t>
      </w:r>
      <w:r w:rsidR="00757359">
        <w:t xml:space="preserve"> average interest rate in the </w:t>
      </w:r>
      <w:r w:rsidR="0093113B">
        <w:t>fourth</w:t>
      </w:r>
      <w:r w:rsidR="00757359">
        <w:t xml:space="preserve"> quarter of 202</w:t>
      </w:r>
      <w:r w:rsidR="00416C49">
        <w:t>6</w:t>
      </w:r>
      <w:r w:rsidR="00757359">
        <w:t xml:space="preserve"> is expected to be </w:t>
      </w:r>
      <w:r w:rsidR="00E948FF">
        <w:t>3.5</w:t>
      </w:r>
      <w:r w:rsidR="00757359">
        <w:t xml:space="preserve"> percent.</w:t>
      </w:r>
      <w:r w:rsidR="0093113B">
        <w:t xml:space="preserve">  In 2027, the deficit is expected to decline to 3.6 percent of GDP, and the debt to GDP ratio is expected to be 68.5 percent.</w:t>
      </w:r>
      <w:r w:rsidR="00653278">
        <w:t xml:space="preserve"> </w:t>
      </w:r>
    </w:p>
    <w:p w14:paraId="1D58F0CC" w14:textId="2DF60957" w:rsidR="00757359" w:rsidRDefault="00757359" w:rsidP="00757359">
      <w:pPr>
        <w:bidi w:val="0"/>
        <w:jc w:val="both"/>
      </w:pPr>
    </w:p>
    <w:p w14:paraId="68542436" w14:textId="55B81FFB" w:rsidR="0093113B" w:rsidRDefault="00757359" w:rsidP="006B72C0">
      <w:pPr>
        <w:bidi w:val="0"/>
        <w:jc w:val="both"/>
      </w:pPr>
      <w:r>
        <w:t>Th</w:t>
      </w:r>
      <w:r w:rsidR="005946CC">
        <w:t>e</w:t>
      </w:r>
      <w:r>
        <w:t xml:space="preserve"> forecast</w:t>
      </w:r>
      <w:r w:rsidR="00E45791">
        <w:t xml:space="preserve"> </w:t>
      </w:r>
      <w:r w:rsidR="0093113B">
        <w:t>was formulated following the October 2025 ceasefire, against the background of an economy featuring excess demand and a tight labor market.  The ceasefire that took hold earlier than assumed in the September 2025 forecast led to an earlier easing of supply constraints, mainly thanks to the release of reservists and their return to employment in the business sector.  The current forecast is based on the assumption that the relative calm on the various fronts will continued.  However, our assessment is that there are still supply constraints, and that these will ease only gradually, thanks to a continued gradual increase in the participation rate of young people following military service and the continued increase in the number of foreign workers.  However, even at the end of the forecast horizon at the end of 2027, the number of workers is expected to remain lower than the level derived from the prewar trend, due to a higher volume of reserve duty than before, some of those wounded in the war remaining out of the labor market, and a negative migration balance.  The ceasefire and the lower geopolitical uncertainty support an expansion of economic activity, with no signs of unusual excess demand.  Investments a</w:t>
      </w:r>
      <w:r w:rsidR="006D574F">
        <w:t xml:space="preserve">re expected to grow rapidly in </w:t>
      </w:r>
      <w:r w:rsidR="006B72C0">
        <w:t>response to</w:t>
      </w:r>
      <w:r w:rsidR="0093113B">
        <w:t xml:space="preserve"> the </w:t>
      </w:r>
      <w:r w:rsidR="00B727F3">
        <w:t>shortage</w:t>
      </w:r>
      <w:r w:rsidR="0093113B">
        <w:t xml:space="preserve"> of manpower</w:t>
      </w:r>
      <w:r w:rsidR="00B727F3">
        <w:t>, compensating somewhat for the years in which investment moderated</w:t>
      </w:r>
      <w:r w:rsidR="0093113B">
        <w:t>.  Imports and exports are expected to expand more rapidly than the pace of GDP growth, and in our assessment, the decline in surplus exports observed during 2025 will moderate thanks to the easing of supply constraints.</w:t>
      </w:r>
    </w:p>
    <w:p w14:paraId="1897CE9A" w14:textId="7D7C5307" w:rsidR="0093113B" w:rsidRDefault="0093113B" w:rsidP="0093113B">
      <w:pPr>
        <w:bidi w:val="0"/>
        <w:jc w:val="both"/>
      </w:pPr>
    </w:p>
    <w:p w14:paraId="258A236A" w14:textId="510C5199" w:rsidR="0093113B" w:rsidRDefault="0093113B" w:rsidP="005660D0">
      <w:pPr>
        <w:bidi w:val="0"/>
        <w:jc w:val="both"/>
      </w:pPr>
      <w:r>
        <w:t xml:space="preserve">The easing of supply constraints, the decline in defense expenditures and the decline in Israel’s risk premium, as well as the appreciation of the shekel, are contributing to the moderation of the inflation environment, which is </w:t>
      </w:r>
      <w:r w:rsidR="005660D0">
        <w:t>expected to become entrenched around</w:t>
      </w:r>
      <w:r>
        <w:t xml:space="preserve"> the midpoint of the target range, and support the process of lowering the interest rate that began in November 2025.</w:t>
      </w:r>
    </w:p>
    <w:p w14:paraId="639123B6" w14:textId="77777777" w:rsidR="005D7D3B" w:rsidRDefault="005D7D3B" w:rsidP="00324468">
      <w:pPr>
        <w:bidi w:val="0"/>
        <w:jc w:val="both"/>
      </w:pPr>
    </w:p>
    <w:p w14:paraId="5213F454" w14:textId="77777777" w:rsidR="00E932DD" w:rsidRDefault="00F7707F" w:rsidP="004675C1">
      <w:pPr>
        <w:bidi w:val="0"/>
        <w:jc w:val="both"/>
        <w:rPr>
          <w:b/>
          <w:bCs/>
        </w:rPr>
      </w:pPr>
      <w:r>
        <w:rPr>
          <w:b/>
          <w:bCs/>
        </w:rPr>
        <w:t>The forecast</w:t>
      </w:r>
    </w:p>
    <w:p w14:paraId="629113FA" w14:textId="77777777" w:rsidR="00F7707F" w:rsidRPr="00F7707F" w:rsidRDefault="00F7707F" w:rsidP="00F7707F">
      <w:pPr>
        <w:bidi w:val="0"/>
        <w:jc w:val="both"/>
        <w:rPr>
          <w:b/>
          <w:bCs/>
        </w:rPr>
      </w:pPr>
    </w:p>
    <w:p w14:paraId="72B85960" w14:textId="1444485C" w:rsidR="004675C1" w:rsidRDefault="004675C1" w:rsidP="00D9118C">
      <w:pPr>
        <w:bidi w:val="0"/>
        <w:jc w:val="both"/>
      </w:pPr>
      <w:r w:rsidRPr="0048372A">
        <w:lastRenderedPageBreak/>
        <w:t>The Bank of Israel Research Department compiles a staff forecast of macroeconomic developments based on several models, various data sources, and assessments based on economists</w:t>
      </w:r>
      <w:r w:rsidR="0086132E">
        <w:t>’</w:t>
      </w:r>
      <w:r w:rsidRPr="0048372A">
        <w:t xml:space="preserve"> judgment. The Bank</w:t>
      </w:r>
      <w:r w:rsidR="0086132E">
        <w:t>’</w:t>
      </w:r>
      <w:r w:rsidRPr="0048372A">
        <w:t xml:space="preserve">s DSGE (Dynamic Stochastic General Equilibrium) model—a structural model </w:t>
      </w:r>
      <w:r w:rsidR="00F7707F" w:rsidRPr="0048372A">
        <w:t xml:space="preserve">developed in the Research Department </w:t>
      </w:r>
      <w:r w:rsidR="00F7707F">
        <w:t xml:space="preserve">and </w:t>
      </w:r>
      <w:r w:rsidRPr="0048372A">
        <w:t>based on microeconomic foundations—plays a prim</w:t>
      </w:r>
      <w:r w:rsidR="00A83C38">
        <w:t>e</w:t>
      </w:r>
      <w:r w:rsidRPr="0048372A">
        <w:t xml:space="preserve"> role in formulating the macroeconomic forecast.</w:t>
      </w:r>
      <w:r w:rsidRPr="0048372A">
        <w:rPr>
          <w:rStyle w:val="ac"/>
        </w:rPr>
        <w:footnoteReference w:id="2"/>
      </w:r>
      <w:r w:rsidRPr="0048372A">
        <w:t xml:space="preserve"> The model provides a framework for analyzing the forces that have an effect on the economy, and allows information from various sources to be combined into a macroeconomic forecast of real and nominal variables, with an internally consistent “economic story”.</w:t>
      </w:r>
    </w:p>
    <w:p w14:paraId="2549A5DF" w14:textId="77777777" w:rsidR="00D975F7" w:rsidRDefault="00D975F7" w:rsidP="00D975F7">
      <w:pPr>
        <w:bidi w:val="0"/>
        <w:jc w:val="both"/>
      </w:pPr>
    </w:p>
    <w:p w14:paraId="2F7952B8" w14:textId="77777777" w:rsidR="00A21D01" w:rsidRPr="00D60117" w:rsidRDefault="00A21D01" w:rsidP="00A21D01">
      <w:pPr>
        <w:numPr>
          <w:ilvl w:val="0"/>
          <w:numId w:val="9"/>
        </w:numPr>
        <w:bidi w:val="0"/>
        <w:spacing w:line="360" w:lineRule="auto"/>
        <w:ind w:left="357" w:hanging="357"/>
        <w:jc w:val="both"/>
        <w:rPr>
          <w:b/>
          <w:bCs/>
        </w:rPr>
      </w:pPr>
      <w:r w:rsidRPr="00D60117">
        <w:rPr>
          <w:b/>
          <w:bCs/>
        </w:rPr>
        <w:t>The global environment</w:t>
      </w:r>
    </w:p>
    <w:p w14:paraId="7FBA13D9" w14:textId="2EB12EAF" w:rsidR="00EC4295" w:rsidRDefault="00A21D01" w:rsidP="0059481A">
      <w:pPr>
        <w:bidi w:val="0"/>
        <w:jc w:val="both"/>
      </w:pPr>
      <w:r>
        <w:t xml:space="preserve">Our assessments of expected developments in the global economy are based mainly on projections by international </w:t>
      </w:r>
      <w:r w:rsidR="00C45D20">
        <w:t xml:space="preserve">financial </w:t>
      </w:r>
      <w:r>
        <w:t>institutions and foreign investment houses.</w:t>
      </w:r>
      <w:r w:rsidR="00C55EB9">
        <w:t xml:space="preserve"> </w:t>
      </w:r>
      <w:r w:rsidR="00EC4295">
        <w:t xml:space="preserve"> Accordingly, we assume that </w:t>
      </w:r>
      <w:r w:rsidR="002F53E5">
        <w:t>GDP in the advanced economies will grow by 1.</w:t>
      </w:r>
      <w:r w:rsidR="0059481A">
        <w:t>5</w:t>
      </w:r>
      <w:r w:rsidR="002F53E5">
        <w:t xml:space="preserve"> percent in </w:t>
      </w:r>
      <w:r w:rsidR="00E45791">
        <w:t>2026</w:t>
      </w:r>
      <w:r w:rsidR="0059481A">
        <w:t>, and by 1.6 percent in 2027</w:t>
      </w:r>
      <w:r w:rsidR="00EC4295">
        <w:t xml:space="preserve"> (compared with 1.</w:t>
      </w:r>
      <w:r w:rsidR="0059481A">
        <w:t>4</w:t>
      </w:r>
      <w:r w:rsidR="00EC4295">
        <w:t xml:space="preserve"> percent </w:t>
      </w:r>
      <w:r w:rsidR="0059481A">
        <w:t>in 2026</w:t>
      </w:r>
      <w:r w:rsidR="00EC4295">
        <w:t xml:space="preserve"> in the </w:t>
      </w:r>
      <w:r w:rsidR="0059481A">
        <w:t>September</w:t>
      </w:r>
      <w:r w:rsidR="00EC4295">
        <w:t xml:space="preserve"> forecast), </w:t>
      </w:r>
      <w:r w:rsidR="00E45791">
        <w:t>inflation in these economies will be 2.</w:t>
      </w:r>
      <w:r w:rsidR="0059481A">
        <w:t>3</w:t>
      </w:r>
      <w:r w:rsidR="00E45791">
        <w:t xml:space="preserve"> percent in 202</w:t>
      </w:r>
      <w:r w:rsidR="0059481A">
        <w:t>6</w:t>
      </w:r>
      <w:r w:rsidR="00E45791">
        <w:t xml:space="preserve"> and 2.2 percent in 202</w:t>
      </w:r>
      <w:r w:rsidR="0059481A">
        <w:t>7</w:t>
      </w:r>
      <w:r w:rsidR="00E45791">
        <w:t xml:space="preserve"> (unchanged from our </w:t>
      </w:r>
      <w:r w:rsidR="0059481A">
        <w:t>September</w:t>
      </w:r>
      <w:r w:rsidR="00E45791">
        <w:t xml:space="preserve"> forecast), </w:t>
      </w:r>
      <w:r w:rsidR="00EC4295">
        <w:t xml:space="preserve">and the interest rate will be </w:t>
      </w:r>
      <w:r w:rsidR="0059481A">
        <w:t>2.6</w:t>
      </w:r>
      <w:r w:rsidR="00EC4295">
        <w:t xml:space="preserve"> percent in </w:t>
      </w:r>
      <w:r w:rsidR="0059481A">
        <w:t xml:space="preserve">both </w:t>
      </w:r>
      <w:r w:rsidR="00EC4295">
        <w:t>2026</w:t>
      </w:r>
      <w:r w:rsidR="0059481A">
        <w:t xml:space="preserve"> and 2027</w:t>
      </w:r>
      <w:r w:rsidR="00EC4295">
        <w:t xml:space="preserve"> (</w:t>
      </w:r>
      <w:r w:rsidR="0059481A">
        <w:t>unchanged from</w:t>
      </w:r>
      <w:r w:rsidR="00EC4295">
        <w:t xml:space="preserve"> the </w:t>
      </w:r>
      <w:r w:rsidR="0059481A">
        <w:t>September</w:t>
      </w:r>
      <w:r w:rsidR="00EC4295">
        <w:t xml:space="preserve"> forecast)</w:t>
      </w:r>
      <w:r w:rsidR="002F53E5">
        <w:t xml:space="preserve">.  </w:t>
      </w:r>
      <w:r w:rsidR="00EC4295">
        <w:t xml:space="preserve">Our assumption </w:t>
      </w:r>
      <w:r w:rsidR="00AE6BBB">
        <w:t>is that</w:t>
      </w:r>
      <w:r w:rsidR="00EC4295">
        <w:t xml:space="preserve"> imports </w:t>
      </w:r>
      <w:r w:rsidR="00AE6BBB">
        <w:t xml:space="preserve">to advanced economies will grow by </w:t>
      </w:r>
      <w:r w:rsidR="00864E97">
        <w:t>1.</w:t>
      </w:r>
      <w:r w:rsidR="0059481A">
        <w:t>3</w:t>
      </w:r>
      <w:r w:rsidR="00AE6BBB">
        <w:t xml:space="preserve"> percent in 2026 (compared with growth of </w:t>
      </w:r>
      <w:r w:rsidR="00305C7B">
        <w:t>1.</w:t>
      </w:r>
      <w:r w:rsidR="0059481A">
        <w:t>2</w:t>
      </w:r>
      <w:r w:rsidR="00AE6BBB">
        <w:t xml:space="preserve"> percent in the </w:t>
      </w:r>
      <w:r w:rsidR="0059481A">
        <w:t>September</w:t>
      </w:r>
      <w:r w:rsidR="00AE6BBB">
        <w:t xml:space="preserve"> forecast).</w:t>
      </w:r>
      <w:r w:rsidR="0017294A">
        <w:t xml:space="preserve">  </w:t>
      </w:r>
    </w:p>
    <w:p w14:paraId="5C67345C" w14:textId="705C6EED" w:rsidR="00D52059" w:rsidRDefault="00060B61" w:rsidP="0059481A">
      <w:pPr>
        <w:bidi w:val="0"/>
        <w:jc w:val="both"/>
      </w:pPr>
      <w:r>
        <w:t>T</w:t>
      </w:r>
      <w:r w:rsidR="008F34C7">
        <w:t xml:space="preserve">he price of Brent crude oil </w:t>
      </w:r>
      <w:r w:rsidR="0017294A">
        <w:t>is currently</w:t>
      </w:r>
      <w:r w:rsidR="00D9026F">
        <w:t xml:space="preserve"> </w:t>
      </w:r>
      <w:r>
        <w:t>$</w:t>
      </w:r>
      <w:r w:rsidR="0017294A">
        <w:t>6</w:t>
      </w:r>
      <w:r w:rsidR="0059481A">
        <w:t>1</w:t>
      </w:r>
      <w:r w:rsidR="00D9026F">
        <w:t xml:space="preserve"> </w:t>
      </w:r>
      <w:r>
        <w:t>per barrel</w:t>
      </w:r>
      <w:r w:rsidR="0017294A">
        <w:t xml:space="preserve">, </w:t>
      </w:r>
      <w:r w:rsidR="0059481A">
        <w:t>compared with $68</w:t>
      </w:r>
      <w:r w:rsidR="0017294A">
        <w:t xml:space="preserve"> at the time o</w:t>
      </w:r>
      <w:r w:rsidR="00AE6BBB">
        <w:t xml:space="preserve">f the </w:t>
      </w:r>
      <w:r w:rsidR="0059481A">
        <w:t>September</w:t>
      </w:r>
      <w:r w:rsidR="00AE6BBB">
        <w:t xml:space="preserve"> forecast</w:t>
      </w:r>
      <w:r w:rsidR="00323260">
        <w:t>.</w:t>
      </w:r>
    </w:p>
    <w:p w14:paraId="1281EA28" w14:textId="61ADF1D5" w:rsidR="00AE6BBB" w:rsidRDefault="00AE6BBB" w:rsidP="00AE6BBB">
      <w:pPr>
        <w:bidi w:val="0"/>
        <w:jc w:val="both"/>
      </w:pPr>
    </w:p>
    <w:tbl>
      <w:tblPr>
        <w:tblStyle w:val="a7"/>
        <w:tblpPr w:leftFromText="181" w:rightFromText="181" w:vertAnchor="text" w:horzAnchor="margin" w:tblpY="12"/>
        <w:tblOverlap w:val="never"/>
        <w:tblW w:w="9776" w:type="dxa"/>
        <w:tblLayout w:type="fixed"/>
        <w:tblLook w:val="04A0" w:firstRow="1" w:lastRow="0" w:firstColumn="1" w:lastColumn="0" w:noHBand="0" w:noVBand="1"/>
      </w:tblPr>
      <w:tblGrid>
        <w:gridCol w:w="4390"/>
        <w:gridCol w:w="850"/>
        <w:gridCol w:w="851"/>
        <w:gridCol w:w="992"/>
        <w:gridCol w:w="850"/>
        <w:gridCol w:w="993"/>
        <w:gridCol w:w="850"/>
      </w:tblGrid>
      <w:tr w:rsidR="0045680E" w:rsidRPr="007A4B17" w14:paraId="41E83C61" w14:textId="77777777" w:rsidTr="0045680E">
        <w:trPr>
          <w:trHeight w:val="200"/>
        </w:trPr>
        <w:tc>
          <w:tcPr>
            <w:tcW w:w="9776" w:type="dxa"/>
            <w:gridSpan w:val="7"/>
            <w:tcBorders>
              <w:top w:val="single" w:sz="4" w:space="0" w:color="auto"/>
              <w:bottom w:val="single" w:sz="4" w:space="0" w:color="auto"/>
              <w:right w:val="single" w:sz="4" w:space="0" w:color="auto"/>
            </w:tcBorders>
          </w:tcPr>
          <w:p w14:paraId="6E0A1C40" w14:textId="77777777" w:rsidR="0045680E" w:rsidRPr="00F52232" w:rsidRDefault="0045680E" w:rsidP="0045680E">
            <w:pPr>
              <w:bidi w:val="0"/>
              <w:rPr>
                <w:b/>
                <w:bCs/>
                <w:color w:val="0070C0"/>
                <w:sz w:val="16"/>
                <w:szCs w:val="16"/>
              </w:rPr>
            </w:pPr>
            <w:r w:rsidRPr="00F52232">
              <w:rPr>
                <w:b/>
                <w:bCs/>
                <w:color w:val="0070C0"/>
                <w:sz w:val="16"/>
                <w:szCs w:val="16"/>
              </w:rPr>
              <w:t>Table 1</w:t>
            </w:r>
          </w:p>
          <w:p w14:paraId="14EABA2A" w14:textId="77777777" w:rsidR="0045680E" w:rsidRPr="00F52232" w:rsidRDefault="0045680E" w:rsidP="0045680E">
            <w:pPr>
              <w:bidi w:val="0"/>
              <w:rPr>
                <w:b/>
                <w:bCs/>
                <w:color w:val="0070C0"/>
                <w:sz w:val="16"/>
                <w:szCs w:val="16"/>
              </w:rPr>
            </w:pPr>
            <w:r w:rsidRPr="00F52232">
              <w:rPr>
                <w:b/>
                <w:bCs/>
                <w:color w:val="0070C0"/>
                <w:sz w:val="16"/>
                <w:szCs w:val="16"/>
              </w:rPr>
              <w:t>Research Department Staff Forecast for 2025–202</w:t>
            </w:r>
            <w:r>
              <w:rPr>
                <w:b/>
                <w:bCs/>
                <w:color w:val="0070C0"/>
                <w:sz w:val="16"/>
                <w:szCs w:val="16"/>
              </w:rPr>
              <w:t>7</w:t>
            </w:r>
          </w:p>
          <w:p w14:paraId="0BF49AED" w14:textId="77777777" w:rsidR="0045680E" w:rsidRPr="00F52232" w:rsidRDefault="0045680E" w:rsidP="0045680E">
            <w:pPr>
              <w:bidi w:val="0"/>
              <w:rPr>
                <w:b/>
                <w:bCs/>
                <w:color w:val="0070C0"/>
                <w:sz w:val="16"/>
                <w:szCs w:val="16"/>
              </w:rPr>
            </w:pPr>
            <w:r w:rsidRPr="00F52232">
              <w:rPr>
                <w:color w:val="0070C0"/>
                <w:sz w:val="16"/>
                <w:szCs w:val="16"/>
              </w:rPr>
              <w:t xml:space="preserve">(rates of change, </w:t>
            </w:r>
            <w:proofErr w:type="spellStart"/>
            <w:r w:rsidRPr="00F52232">
              <w:rPr>
                <w:color w:val="0070C0"/>
                <w:sz w:val="16"/>
                <w:szCs w:val="16"/>
              </w:rPr>
              <w:t>percent</w:t>
            </w:r>
            <w:r w:rsidRPr="00F52232">
              <w:rPr>
                <w:color w:val="0070C0"/>
                <w:sz w:val="16"/>
                <w:szCs w:val="16"/>
                <w:vertAlign w:val="superscript"/>
              </w:rPr>
              <w:t>a</w:t>
            </w:r>
            <w:proofErr w:type="spellEnd"/>
            <w:r w:rsidRPr="00F52232">
              <w:rPr>
                <w:color w:val="0070C0"/>
                <w:sz w:val="16"/>
                <w:szCs w:val="16"/>
              </w:rPr>
              <w:t>, unless stated otherwise)</w:t>
            </w:r>
          </w:p>
        </w:tc>
      </w:tr>
      <w:tr w:rsidR="0045680E" w:rsidRPr="007A4B17" w14:paraId="6EF4F85E" w14:textId="77777777" w:rsidTr="0045680E">
        <w:tc>
          <w:tcPr>
            <w:tcW w:w="4390" w:type="dxa"/>
            <w:tcBorders>
              <w:bottom w:val="nil"/>
            </w:tcBorders>
            <w:vAlign w:val="center"/>
          </w:tcPr>
          <w:p w14:paraId="05613D9E"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 </w:t>
            </w:r>
          </w:p>
        </w:tc>
        <w:tc>
          <w:tcPr>
            <w:tcW w:w="850" w:type="dxa"/>
            <w:tcBorders>
              <w:bottom w:val="nil"/>
            </w:tcBorders>
            <w:vAlign w:val="center"/>
          </w:tcPr>
          <w:p w14:paraId="7E858AD8" w14:textId="77777777" w:rsidR="0045680E" w:rsidRPr="00F52232" w:rsidRDefault="0045680E" w:rsidP="0045680E">
            <w:pPr>
              <w:bidi w:val="0"/>
              <w:jc w:val="center"/>
              <w:rPr>
                <w:color w:val="000000"/>
                <w:sz w:val="16"/>
                <w:szCs w:val="16"/>
              </w:rPr>
            </w:pPr>
            <w:r w:rsidRPr="00F52232">
              <w:rPr>
                <w:color w:val="000000"/>
                <w:sz w:val="16"/>
                <w:szCs w:val="16"/>
              </w:rPr>
              <w:t>2024 actual figures</w:t>
            </w:r>
          </w:p>
        </w:tc>
        <w:tc>
          <w:tcPr>
            <w:tcW w:w="851" w:type="dxa"/>
            <w:tcBorders>
              <w:left w:val="single" w:sz="4" w:space="0" w:color="auto"/>
              <w:bottom w:val="nil"/>
              <w:right w:val="single" w:sz="4" w:space="0" w:color="auto"/>
            </w:tcBorders>
            <w:shd w:val="clear" w:color="auto" w:fill="auto"/>
            <w:vAlign w:val="center"/>
          </w:tcPr>
          <w:p w14:paraId="642C865D"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Forecast for 2025</w:t>
            </w:r>
          </w:p>
        </w:tc>
        <w:tc>
          <w:tcPr>
            <w:tcW w:w="992" w:type="dxa"/>
            <w:tcBorders>
              <w:left w:val="single" w:sz="4" w:space="0" w:color="auto"/>
              <w:bottom w:val="single" w:sz="4" w:space="0" w:color="auto"/>
              <w:right w:val="single" w:sz="4" w:space="0" w:color="auto"/>
            </w:tcBorders>
            <w:shd w:val="clear" w:color="auto" w:fill="C6D9F1" w:themeFill="text2" w:themeFillTint="33"/>
            <w:vAlign w:val="center"/>
          </w:tcPr>
          <w:p w14:paraId="1B2B8E68"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Change from the September forecast</w:t>
            </w:r>
          </w:p>
        </w:tc>
        <w:tc>
          <w:tcPr>
            <w:tcW w:w="850" w:type="dxa"/>
            <w:tcBorders>
              <w:left w:val="nil"/>
              <w:bottom w:val="single" w:sz="4" w:space="0" w:color="auto"/>
              <w:right w:val="single" w:sz="4" w:space="0" w:color="auto"/>
            </w:tcBorders>
            <w:shd w:val="clear" w:color="auto" w:fill="auto"/>
            <w:vAlign w:val="center"/>
          </w:tcPr>
          <w:p w14:paraId="7102DF7B"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Forecast for 2026</w:t>
            </w:r>
          </w:p>
        </w:tc>
        <w:tc>
          <w:tcPr>
            <w:tcW w:w="993" w:type="dxa"/>
            <w:shd w:val="clear" w:color="auto" w:fill="B8CCE4" w:themeFill="accent1" w:themeFillTint="66"/>
            <w:vAlign w:val="center"/>
          </w:tcPr>
          <w:p w14:paraId="16445843"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Change from the September forecast</w:t>
            </w:r>
          </w:p>
        </w:tc>
        <w:tc>
          <w:tcPr>
            <w:tcW w:w="850" w:type="dxa"/>
            <w:shd w:val="clear" w:color="auto" w:fill="auto"/>
            <w:vAlign w:val="center"/>
          </w:tcPr>
          <w:p w14:paraId="56FACF71" w14:textId="77777777" w:rsidR="0045680E" w:rsidRPr="00F52232" w:rsidRDefault="0045680E" w:rsidP="0045680E">
            <w:pPr>
              <w:bidi w:val="0"/>
              <w:jc w:val="center"/>
              <w:rPr>
                <w:color w:val="000000"/>
                <w:sz w:val="16"/>
                <w:szCs w:val="16"/>
              </w:rPr>
            </w:pPr>
            <w:r w:rsidRPr="00F52232">
              <w:rPr>
                <w:color w:val="000000"/>
                <w:sz w:val="16"/>
                <w:szCs w:val="16"/>
              </w:rPr>
              <w:t>Forecast for 2027</w:t>
            </w:r>
          </w:p>
        </w:tc>
      </w:tr>
      <w:tr w:rsidR="0045680E" w:rsidRPr="007A4B17" w14:paraId="2831CD36" w14:textId="77777777" w:rsidTr="0045680E">
        <w:tc>
          <w:tcPr>
            <w:tcW w:w="4390" w:type="dxa"/>
            <w:tcBorders>
              <w:bottom w:val="single" w:sz="4" w:space="0" w:color="auto"/>
            </w:tcBorders>
            <w:vAlign w:val="center"/>
          </w:tcPr>
          <w:p w14:paraId="46E91194" w14:textId="77777777" w:rsidR="0045680E" w:rsidRPr="00F52232" w:rsidRDefault="0045680E" w:rsidP="0045680E">
            <w:pPr>
              <w:bidi w:val="0"/>
              <w:rPr>
                <w:rFonts w:asciiTheme="majorBidi" w:hAnsiTheme="majorBidi" w:cstheme="majorBidi"/>
                <w:b/>
                <w:bCs/>
                <w:sz w:val="16"/>
                <w:szCs w:val="16"/>
              </w:rPr>
            </w:pPr>
            <w:r w:rsidRPr="00F52232">
              <w:rPr>
                <w:b/>
                <w:bCs/>
                <w:color w:val="000000"/>
                <w:sz w:val="16"/>
                <w:szCs w:val="16"/>
              </w:rPr>
              <w:t>GDP</w:t>
            </w:r>
          </w:p>
        </w:tc>
        <w:tc>
          <w:tcPr>
            <w:tcW w:w="850" w:type="dxa"/>
            <w:tcBorders>
              <w:bottom w:val="single" w:sz="4" w:space="0" w:color="auto"/>
            </w:tcBorders>
            <w:vAlign w:val="center"/>
          </w:tcPr>
          <w:p w14:paraId="7654361A" w14:textId="77777777" w:rsidR="0045680E" w:rsidRPr="00F52232" w:rsidRDefault="0045680E" w:rsidP="0045680E">
            <w:pPr>
              <w:bidi w:val="0"/>
              <w:jc w:val="center"/>
              <w:rPr>
                <w:b/>
                <w:bCs/>
                <w:color w:val="000000"/>
                <w:sz w:val="16"/>
                <w:szCs w:val="16"/>
              </w:rPr>
            </w:pPr>
            <w:r w:rsidRPr="00F52232">
              <w:rPr>
                <w:b/>
                <w:bCs/>
                <w:color w:val="000000"/>
                <w:sz w:val="16"/>
                <w:szCs w:val="16"/>
              </w:rPr>
              <w:t>1.0</w:t>
            </w:r>
          </w:p>
        </w:tc>
        <w:tc>
          <w:tcPr>
            <w:tcW w:w="851" w:type="dxa"/>
            <w:tcBorders>
              <w:left w:val="single" w:sz="4" w:space="0" w:color="auto"/>
              <w:bottom w:val="single" w:sz="4" w:space="0" w:color="auto"/>
              <w:right w:val="single" w:sz="4" w:space="0" w:color="auto"/>
            </w:tcBorders>
            <w:shd w:val="clear" w:color="auto" w:fill="auto"/>
            <w:vAlign w:val="center"/>
          </w:tcPr>
          <w:p w14:paraId="17AC6D66" w14:textId="77777777" w:rsidR="0045680E" w:rsidRPr="00F52232" w:rsidRDefault="0045680E" w:rsidP="0045680E">
            <w:pPr>
              <w:bidi w:val="0"/>
              <w:jc w:val="center"/>
              <w:rPr>
                <w:rFonts w:asciiTheme="majorBidi" w:hAnsiTheme="majorBidi" w:cstheme="majorBidi"/>
                <w:b/>
                <w:bCs/>
                <w:sz w:val="16"/>
                <w:szCs w:val="16"/>
              </w:rPr>
            </w:pPr>
            <w:r w:rsidRPr="00F52232">
              <w:rPr>
                <w:b/>
                <w:bCs/>
                <w:color w:val="000000"/>
                <w:sz w:val="16"/>
                <w:szCs w:val="16"/>
              </w:rPr>
              <w:t>2.8</w:t>
            </w:r>
          </w:p>
        </w:tc>
        <w:tc>
          <w:tcPr>
            <w:tcW w:w="992" w:type="dxa"/>
            <w:tcBorders>
              <w:left w:val="single" w:sz="4" w:space="0" w:color="auto"/>
              <w:bottom w:val="single" w:sz="4" w:space="0" w:color="auto"/>
              <w:right w:val="single" w:sz="4" w:space="0" w:color="auto"/>
            </w:tcBorders>
            <w:shd w:val="clear" w:color="auto" w:fill="C6D9F1" w:themeFill="text2" w:themeFillTint="33"/>
            <w:vAlign w:val="center"/>
          </w:tcPr>
          <w:p w14:paraId="4CED8F89" w14:textId="77777777" w:rsidR="0045680E" w:rsidRPr="00F52232" w:rsidRDefault="0045680E" w:rsidP="0045680E">
            <w:pPr>
              <w:bidi w:val="0"/>
              <w:jc w:val="center"/>
              <w:rPr>
                <w:rFonts w:asciiTheme="majorBidi" w:hAnsiTheme="majorBidi" w:cstheme="majorBidi"/>
                <w:b/>
                <w:bCs/>
                <w:sz w:val="16"/>
                <w:szCs w:val="16"/>
              </w:rPr>
            </w:pPr>
            <w:r w:rsidRPr="00F52232">
              <w:rPr>
                <w:b/>
                <w:bCs/>
                <w:color w:val="000000"/>
                <w:sz w:val="16"/>
                <w:szCs w:val="16"/>
              </w:rPr>
              <w:t>0.3</w:t>
            </w:r>
          </w:p>
        </w:tc>
        <w:tc>
          <w:tcPr>
            <w:tcW w:w="850" w:type="dxa"/>
            <w:tcBorders>
              <w:left w:val="nil"/>
              <w:bottom w:val="single" w:sz="4" w:space="0" w:color="auto"/>
              <w:right w:val="single" w:sz="4" w:space="0" w:color="auto"/>
            </w:tcBorders>
            <w:shd w:val="clear" w:color="auto" w:fill="auto"/>
            <w:vAlign w:val="center"/>
          </w:tcPr>
          <w:p w14:paraId="50A85E6C" w14:textId="77777777" w:rsidR="0045680E" w:rsidRPr="00F52232" w:rsidRDefault="0045680E" w:rsidP="0045680E">
            <w:pPr>
              <w:bidi w:val="0"/>
              <w:jc w:val="center"/>
              <w:rPr>
                <w:rFonts w:asciiTheme="majorBidi" w:hAnsiTheme="majorBidi" w:cstheme="majorBidi"/>
                <w:b/>
                <w:bCs/>
                <w:sz w:val="16"/>
                <w:szCs w:val="16"/>
              </w:rPr>
            </w:pPr>
            <w:r w:rsidRPr="00F52232">
              <w:rPr>
                <w:b/>
                <w:bCs/>
                <w:color w:val="000000"/>
                <w:sz w:val="16"/>
                <w:szCs w:val="16"/>
              </w:rPr>
              <w:t>5.2</w:t>
            </w:r>
          </w:p>
        </w:tc>
        <w:tc>
          <w:tcPr>
            <w:tcW w:w="993" w:type="dxa"/>
            <w:shd w:val="clear" w:color="auto" w:fill="B8CCE4" w:themeFill="accent1" w:themeFillTint="66"/>
            <w:vAlign w:val="center"/>
          </w:tcPr>
          <w:p w14:paraId="663B4566" w14:textId="4E105612" w:rsidR="0045680E" w:rsidRPr="00F52232" w:rsidRDefault="0045680E" w:rsidP="004A5916">
            <w:pPr>
              <w:bidi w:val="0"/>
              <w:jc w:val="center"/>
              <w:rPr>
                <w:rFonts w:asciiTheme="majorBidi" w:hAnsiTheme="majorBidi" w:cstheme="majorBidi"/>
                <w:b/>
                <w:bCs/>
                <w:sz w:val="16"/>
                <w:szCs w:val="16"/>
              </w:rPr>
            </w:pPr>
            <w:r w:rsidRPr="00F52232">
              <w:rPr>
                <w:b/>
                <w:bCs/>
                <w:color w:val="000000"/>
                <w:sz w:val="16"/>
                <w:szCs w:val="16"/>
              </w:rPr>
              <w:t>0.</w:t>
            </w:r>
            <w:r w:rsidR="004A5916">
              <w:rPr>
                <w:b/>
                <w:bCs/>
                <w:color w:val="000000"/>
                <w:sz w:val="16"/>
                <w:szCs w:val="16"/>
              </w:rPr>
              <w:t>5</w:t>
            </w:r>
          </w:p>
        </w:tc>
        <w:tc>
          <w:tcPr>
            <w:tcW w:w="850" w:type="dxa"/>
            <w:shd w:val="clear" w:color="auto" w:fill="auto"/>
            <w:vAlign w:val="bottom"/>
          </w:tcPr>
          <w:p w14:paraId="0AE2570A" w14:textId="77777777" w:rsidR="0045680E" w:rsidRPr="00F52232" w:rsidRDefault="0045680E" w:rsidP="0045680E">
            <w:pPr>
              <w:bidi w:val="0"/>
              <w:jc w:val="center"/>
              <w:rPr>
                <w:rFonts w:asciiTheme="majorBidi" w:hAnsiTheme="majorBidi" w:cstheme="majorBidi"/>
                <w:b/>
                <w:bCs/>
                <w:color w:val="000000"/>
                <w:sz w:val="16"/>
                <w:szCs w:val="16"/>
              </w:rPr>
            </w:pPr>
            <w:r w:rsidRPr="00F52232">
              <w:rPr>
                <w:rFonts w:asciiTheme="majorBidi" w:hAnsiTheme="majorBidi" w:cstheme="majorBidi"/>
                <w:color w:val="000000"/>
                <w:sz w:val="16"/>
                <w:szCs w:val="16"/>
              </w:rPr>
              <w:t>4.3</w:t>
            </w:r>
          </w:p>
        </w:tc>
      </w:tr>
      <w:tr w:rsidR="0045680E" w:rsidRPr="007A4B17" w14:paraId="22A91E55" w14:textId="77777777" w:rsidTr="0045680E">
        <w:tc>
          <w:tcPr>
            <w:tcW w:w="4390" w:type="dxa"/>
            <w:tcBorders>
              <w:bottom w:val="single" w:sz="4" w:space="0" w:color="auto"/>
            </w:tcBorders>
            <w:vAlign w:val="center"/>
          </w:tcPr>
          <w:p w14:paraId="199A5B66" w14:textId="77777777" w:rsidR="0045680E" w:rsidRPr="00F52232" w:rsidRDefault="0045680E" w:rsidP="0045680E">
            <w:pPr>
              <w:bidi w:val="0"/>
              <w:rPr>
                <w:rFonts w:asciiTheme="majorBidi" w:hAnsiTheme="majorBidi" w:cstheme="majorBidi"/>
                <w:sz w:val="16"/>
                <w:szCs w:val="16"/>
              </w:rPr>
            </w:pPr>
            <w:r w:rsidRPr="00F52232">
              <w:rPr>
                <w:color w:val="000000"/>
                <w:sz w:val="16"/>
                <w:szCs w:val="16"/>
              </w:rPr>
              <w:t>Private consumption</w:t>
            </w:r>
          </w:p>
        </w:tc>
        <w:tc>
          <w:tcPr>
            <w:tcW w:w="850" w:type="dxa"/>
            <w:tcBorders>
              <w:bottom w:val="single" w:sz="4" w:space="0" w:color="auto"/>
            </w:tcBorders>
            <w:vAlign w:val="center"/>
          </w:tcPr>
          <w:p w14:paraId="51B1162B" w14:textId="77777777" w:rsidR="0045680E" w:rsidRPr="00F52232" w:rsidRDefault="0045680E" w:rsidP="0045680E">
            <w:pPr>
              <w:bidi w:val="0"/>
              <w:jc w:val="center"/>
              <w:rPr>
                <w:color w:val="000000"/>
                <w:sz w:val="16"/>
                <w:szCs w:val="16"/>
              </w:rPr>
            </w:pPr>
            <w:r w:rsidRPr="00F52232">
              <w:rPr>
                <w:color w:val="000000"/>
                <w:sz w:val="16"/>
                <w:szCs w:val="16"/>
              </w:rPr>
              <w:t>3.3</w:t>
            </w:r>
          </w:p>
        </w:tc>
        <w:tc>
          <w:tcPr>
            <w:tcW w:w="851" w:type="dxa"/>
            <w:tcBorders>
              <w:left w:val="single" w:sz="4" w:space="0" w:color="auto"/>
              <w:bottom w:val="single" w:sz="4" w:space="0" w:color="auto"/>
              <w:right w:val="single" w:sz="4" w:space="0" w:color="auto"/>
            </w:tcBorders>
            <w:shd w:val="clear" w:color="auto" w:fill="auto"/>
            <w:vAlign w:val="center"/>
          </w:tcPr>
          <w:p w14:paraId="11AC5FB8"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4.0</w:t>
            </w:r>
          </w:p>
        </w:tc>
        <w:tc>
          <w:tcPr>
            <w:tcW w:w="992" w:type="dxa"/>
            <w:tcBorders>
              <w:left w:val="single" w:sz="4" w:space="0" w:color="auto"/>
              <w:bottom w:val="single" w:sz="4" w:space="0" w:color="auto"/>
              <w:right w:val="single" w:sz="4" w:space="0" w:color="auto"/>
            </w:tcBorders>
            <w:shd w:val="clear" w:color="auto" w:fill="C6D9F1" w:themeFill="text2" w:themeFillTint="33"/>
            <w:vAlign w:val="center"/>
          </w:tcPr>
          <w:p w14:paraId="1CE0BF22"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1.0</w:t>
            </w:r>
          </w:p>
        </w:tc>
        <w:tc>
          <w:tcPr>
            <w:tcW w:w="850" w:type="dxa"/>
            <w:tcBorders>
              <w:left w:val="nil"/>
              <w:bottom w:val="single" w:sz="4" w:space="0" w:color="auto"/>
              <w:right w:val="single" w:sz="4" w:space="0" w:color="auto"/>
            </w:tcBorders>
            <w:shd w:val="clear" w:color="auto" w:fill="auto"/>
            <w:vAlign w:val="center"/>
          </w:tcPr>
          <w:p w14:paraId="7511320C"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7.5</w:t>
            </w:r>
          </w:p>
        </w:tc>
        <w:tc>
          <w:tcPr>
            <w:tcW w:w="993" w:type="dxa"/>
            <w:shd w:val="clear" w:color="auto" w:fill="B8CCE4" w:themeFill="accent1" w:themeFillTint="66"/>
            <w:vAlign w:val="center"/>
          </w:tcPr>
          <w:p w14:paraId="2FB9E721"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0.5</w:t>
            </w:r>
          </w:p>
        </w:tc>
        <w:tc>
          <w:tcPr>
            <w:tcW w:w="850" w:type="dxa"/>
            <w:shd w:val="clear" w:color="auto" w:fill="auto"/>
            <w:vAlign w:val="bottom"/>
          </w:tcPr>
          <w:p w14:paraId="09E49EB4" w14:textId="77777777" w:rsidR="0045680E" w:rsidRPr="00F52232" w:rsidRDefault="0045680E" w:rsidP="0045680E">
            <w:pPr>
              <w:bidi w:val="0"/>
              <w:jc w:val="center"/>
              <w:rPr>
                <w:rFonts w:asciiTheme="majorBidi" w:hAnsiTheme="majorBidi" w:cstheme="majorBidi"/>
                <w:color w:val="000000"/>
                <w:sz w:val="16"/>
                <w:szCs w:val="16"/>
              </w:rPr>
            </w:pPr>
            <w:r w:rsidRPr="00F52232">
              <w:rPr>
                <w:rFonts w:asciiTheme="majorBidi" w:hAnsiTheme="majorBidi" w:cstheme="majorBidi"/>
                <w:color w:val="000000"/>
                <w:sz w:val="16"/>
                <w:szCs w:val="16"/>
              </w:rPr>
              <w:t>5.0</w:t>
            </w:r>
          </w:p>
        </w:tc>
      </w:tr>
      <w:tr w:rsidR="0045680E" w:rsidRPr="007A4B17" w14:paraId="62FE491C" w14:textId="77777777" w:rsidTr="0045680E">
        <w:tc>
          <w:tcPr>
            <w:tcW w:w="4390" w:type="dxa"/>
            <w:tcBorders>
              <w:bottom w:val="single" w:sz="4" w:space="0" w:color="auto"/>
            </w:tcBorders>
            <w:vAlign w:val="center"/>
          </w:tcPr>
          <w:p w14:paraId="4CFD6C88" w14:textId="77777777" w:rsidR="0045680E" w:rsidRPr="00F52232" w:rsidRDefault="0045680E" w:rsidP="0045680E">
            <w:pPr>
              <w:bidi w:val="0"/>
              <w:rPr>
                <w:rFonts w:asciiTheme="majorBidi" w:hAnsiTheme="majorBidi" w:cstheme="majorBidi"/>
                <w:sz w:val="16"/>
                <w:szCs w:val="16"/>
              </w:rPr>
            </w:pPr>
            <w:r w:rsidRPr="00F52232">
              <w:rPr>
                <w:color w:val="000000"/>
                <w:sz w:val="16"/>
                <w:szCs w:val="16"/>
              </w:rPr>
              <w:t>Fixed capital formation (excl. ships and aircraft)</w:t>
            </w:r>
          </w:p>
        </w:tc>
        <w:tc>
          <w:tcPr>
            <w:tcW w:w="850" w:type="dxa"/>
            <w:tcBorders>
              <w:bottom w:val="single" w:sz="4" w:space="0" w:color="auto"/>
            </w:tcBorders>
            <w:vAlign w:val="center"/>
          </w:tcPr>
          <w:p w14:paraId="31398C74" w14:textId="77777777" w:rsidR="0045680E" w:rsidRPr="00F52232" w:rsidRDefault="0045680E" w:rsidP="0045680E">
            <w:pPr>
              <w:bidi w:val="0"/>
              <w:jc w:val="center"/>
              <w:rPr>
                <w:color w:val="000000"/>
                <w:sz w:val="16"/>
                <w:szCs w:val="16"/>
              </w:rPr>
            </w:pPr>
            <w:r w:rsidRPr="00F52232">
              <w:rPr>
                <w:color w:val="000000"/>
                <w:sz w:val="16"/>
                <w:szCs w:val="16"/>
              </w:rPr>
              <w:t>-5.5</w:t>
            </w:r>
          </w:p>
        </w:tc>
        <w:tc>
          <w:tcPr>
            <w:tcW w:w="851" w:type="dxa"/>
            <w:tcBorders>
              <w:left w:val="single" w:sz="4" w:space="0" w:color="auto"/>
              <w:bottom w:val="single" w:sz="4" w:space="0" w:color="auto"/>
              <w:right w:val="single" w:sz="4" w:space="0" w:color="auto"/>
            </w:tcBorders>
            <w:shd w:val="clear" w:color="auto" w:fill="auto"/>
            <w:vAlign w:val="center"/>
          </w:tcPr>
          <w:p w14:paraId="07CDF8F7"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10.0</w:t>
            </w:r>
          </w:p>
        </w:tc>
        <w:tc>
          <w:tcPr>
            <w:tcW w:w="992" w:type="dxa"/>
            <w:tcBorders>
              <w:left w:val="single" w:sz="4" w:space="0" w:color="auto"/>
              <w:bottom w:val="single" w:sz="4" w:space="0" w:color="auto"/>
              <w:right w:val="single" w:sz="4" w:space="0" w:color="auto"/>
            </w:tcBorders>
            <w:shd w:val="clear" w:color="auto" w:fill="C6D9F1" w:themeFill="text2" w:themeFillTint="33"/>
            <w:vAlign w:val="center"/>
          </w:tcPr>
          <w:p w14:paraId="03D4BF66"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2.5</w:t>
            </w:r>
          </w:p>
        </w:tc>
        <w:tc>
          <w:tcPr>
            <w:tcW w:w="850" w:type="dxa"/>
            <w:tcBorders>
              <w:left w:val="nil"/>
              <w:bottom w:val="single" w:sz="4" w:space="0" w:color="auto"/>
              <w:right w:val="single" w:sz="4" w:space="0" w:color="auto"/>
            </w:tcBorders>
            <w:shd w:val="clear" w:color="auto" w:fill="auto"/>
            <w:vAlign w:val="center"/>
          </w:tcPr>
          <w:p w14:paraId="13BF7137"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13.0</w:t>
            </w:r>
          </w:p>
        </w:tc>
        <w:tc>
          <w:tcPr>
            <w:tcW w:w="993" w:type="dxa"/>
            <w:shd w:val="clear" w:color="auto" w:fill="B8CCE4" w:themeFill="accent1" w:themeFillTint="66"/>
            <w:vAlign w:val="center"/>
          </w:tcPr>
          <w:p w14:paraId="3267178F"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-1.0</w:t>
            </w:r>
          </w:p>
        </w:tc>
        <w:tc>
          <w:tcPr>
            <w:tcW w:w="850" w:type="dxa"/>
            <w:shd w:val="clear" w:color="auto" w:fill="auto"/>
            <w:vAlign w:val="bottom"/>
          </w:tcPr>
          <w:p w14:paraId="37FF94DA" w14:textId="77777777" w:rsidR="0045680E" w:rsidRPr="00F52232" w:rsidRDefault="0045680E" w:rsidP="0045680E">
            <w:pPr>
              <w:bidi w:val="0"/>
              <w:jc w:val="center"/>
              <w:rPr>
                <w:rFonts w:asciiTheme="majorBidi" w:hAnsiTheme="majorBidi" w:cstheme="majorBidi"/>
                <w:color w:val="000000"/>
                <w:sz w:val="16"/>
                <w:szCs w:val="16"/>
              </w:rPr>
            </w:pPr>
            <w:r w:rsidRPr="00F52232">
              <w:rPr>
                <w:rFonts w:asciiTheme="majorBidi" w:hAnsiTheme="majorBidi" w:cstheme="majorBidi"/>
                <w:color w:val="000000"/>
                <w:sz w:val="16"/>
                <w:szCs w:val="16"/>
              </w:rPr>
              <w:t>8.0</w:t>
            </w:r>
          </w:p>
        </w:tc>
      </w:tr>
      <w:tr w:rsidR="0045680E" w:rsidRPr="007A4B17" w14:paraId="5119F09F" w14:textId="77777777" w:rsidTr="0045680E">
        <w:tc>
          <w:tcPr>
            <w:tcW w:w="4390" w:type="dxa"/>
            <w:tcBorders>
              <w:bottom w:val="single" w:sz="4" w:space="0" w:color="auto"/>
            </w:tcBorders>
            <w:vAlign w:val="center"/>
          </w:tcPr>
          <w:p w14:paraId="50478FD0" w14:textId="77777777" w:rsidR="0045680E" w:rsidRPr="00F52232" w:rsidRDefault="0045680E" w:rsidP="0045680E">
            <w:pPr>
              <w:bidi w:val="0"/>
              <w:rPr>
                <w:rFonts w:asciiTheme="majorBidi" w:hAnsiTheme="majorBidi" w:cstheme="majorBidi"/>
                <w:sz w:val="16"/>
                <w:szCs w:val="16"/>
              </w:rPr>
            </w:pPr>
            <w:r w:rsidRPr="00F52232">
              <w:rPr>
                <w:color w:val="000000"/>
                <w:sz w:val="16"/>
                <w:szCs w:val="16"/>
              </w:rPr>
              <w:t>Public consumption (excl. defense imports)</w:t>
            </w:r>
          </w:p>
        </w:tc>
        <w:tc>
          <w:tcPr>
            <w:tcW w:w="850" w:type="dxa"/>
            <w:tcBorders>
              <w:bottom w:val="single" w:sz="4" w:space="0" w:color="auto"/>
            </w:tcBorders>
            <w:vAlign w:val="center"/>
          </w:tcPr>
          <w:p w14:paraId="6464F3D4" w14:textId="77777777" w:rsidR="0045680E" w:rsidRPr="00F52232" w:rsidRDefault="0045680E" w:rsidP="0045680E">
            <w:pPr>
              <w:bidi w:val="0"/>
              <w:jc w:val="center"/>
              <w:rPr>
                <w:color w:val="000000"/>
                <w:sz w:val="16"/>
                <w:szCs w:val="16"/>
              </w:rPr>
            </w:pPr>
            <w:r w:rsidRPr="00F52232">
              <w:rPr>
                <w:color w:val="000000"/>
                <w:sz w:val="16"/>
                <w:szCs w:val="16"/>
              </w:rPr>
              <w:t>9.4</w:t>
            </w:r>
          </w:p>
        </w:tc>
        <w:tc>
          <w:tcPr>
            <w:tcW w:w="851" w:type="dxa"/>
            <w:tcBorders>
              <w:left w:val="single" w:sz="4" w:space="0" w:color="auto"/>
              <w:bottom w:val="single" w:sz="4" w:space="0" w:color="auto"/>
              <w:right w:val="single" w:sz="4" w:space="0" w:color="auto"/>
            </w:tcBorders>
            <w:shd w:val="clear" w:color="auto" w:fill="auto"/>
            <w:vAlign w:val="center"/>
          </w:tcPr>
          <w:p w14:paraId="0FEB00FB"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2.0</w:t>
            </w:r>
          </w:p>
        </w:tc>
        <w:tc>
          <w:tcPr>
            <w:tcW w:w="992" w:type="dxa"/>
            <w:tcBorders>
              <w:left w:val="single" w:sz="4" w:space="0" w:color="auto"/>
              <w:bottom w:val="single" w:sz="4" w:space="0" w:color="auto"/>
              <w:right w:val="single" w:sz="4" w:space="0" w:color="auto"/>
            </w:tcBorders>
            <w:shd w:val="clear" w:color="auto" w:fill="C6D9F1" w:themeFill="text2" w:themeFillTint="33"/>
            <w:vAlign w:val="center"/>
          </w:tcPr>
          <w:p w14:paraId="4591656A"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2.5</w:t>
            </w:r>
          </w:p>
        </w:tc>
        <w:tc>
          <w:tcPr>
            <w:tcW w:w="850" w:type="dxa"/>
            <w:tcBorders>
              <w:left w:val="nil"/>
              <w:bottom w:val="single" w:sz="4" w:space="0" w:color="auto"/>
              <w:right w:val="single" w:sz="4" w:space="0" w:color="auto"/>
            </w:tcBorders>
            <w:shd w:val="clear" w:color="auto" w:fill="auto"/>
            <w:vAlign w:val="center"/>
          </w:tcPr>
          <w:p w14:paraId="75EC713D"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1.0</w:t>
            </w:r>
          </w:p>
        </w:tc>
        <w:tc>
          <w:tcPr>
            <w:tcW w:w="993" w:type="dxa"/>
            <w:shd w:val="clear" w:color="auto" w:fill="B8CCE4" w:themeFill="accent1" w:themeFillTint="66"/>
            <w:vAlign w:val="center"/>
          </w:tcPr>
          <w:p w14:paraId="0AC13A48"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2.0</w:t>
            </w:r>
          </w:p>
        </w:tc>
        <w:tc>
          <w:tcPr>
            <w:tcW w:w="850" w:type="dxa"/>
            <w:shd w:val="clear" w:color="auto" w:fill="auto"/>
            <w:vAlign w:val="bottom"/>
          </w:tcPr>
          <w:p w14:paraId="31E59F38" w14:textId="77777777" w:rsidR="0045680E" w:rsidRPr="00F52232" w:rsidRDefault="0045680E" w:rsidP="0045680E">
            <w:pPr>
              <w:bidi w:val="0"/>
              <w:jc w:val="center"/>
              <w:rPr>
                <w:rFonts w:asciiTheme="majorBidi" w:hAnsiTheme="majorBidi" w:cstheme="majorBidi"/>
                <w:color w:val="000000"/>
                <w:sz w:val="16"/>
                <w:szCs w:val="16"/>
              </w:rPr>
            </w:pPr>
            <w:r w:rsidRPr="00F52232">
              <w:rPr>
                <w:rFonts w:asciiTheme="majorBidi" w:hAnsiTheme="majorBidi" w:cstheme="majorBidi"/>
                <w:color w:val="000000"/>
                <w:sz w:val="16"/>
                <w:szCs w:val="16"/>
              </w:rPr>
              <w:t>3.5</w:t>
            </w:r>
          </w:p>
        </w:tc>
      </w:tr>
      <w:tr w:rsidR="0045680E" w:rsidRPr="007A4B17" w14:paraId="7289C9A9" w14:textId="77777777" w:rsidTr="0045680E">
        <w:tc>
          <w:tcPr>
            <w:tcW w:w="4390" w:type="dxa"/>
            <w:tcBorders>
              <w:bottom w:val="single" w:sz="4" w:space="0" w:color="auto"/>
            </w:tcBorders>
            <w:vAlign w:val="center"/>
          </w:tcPr>
          <w:p w14:paraId="6B30F653" w14:textId="77777777" w:rsidR="0045680E" w:rsidRPr="00F52232" w:rsidRDefault="0045680E" w:rsidP="0045680E">
            <w:pPr>
              <w:bidi w:val="0"/>
              <w:rPr>
                <w:rFonts w:asciiTheme="majorBidi" w:hAnsiTheme="majorBidi" w:cstheme="majorBidi"/>
                <w:color w:val="FF0000"/>
                <w:sz w:val="16"/>
                <w:szCs w:val="16"/>
              </w:rPr>
            </w:pPr>
            <w:r w:rsidRPr="00F52232">
              <w:rPr>
                <w:color w:val="000000"/>
                <w:sz w:val="16"/>
                <w:szCs w:val="16"/>
              </w:rPr>
              <w:t>Exports (excl. diamonds and startups)</w:t>
            </w:r>
          </w:p>
        </w:tc>
        <w:tc>
          <w:tcPr>
            <w:tcW w:w="850" w:type="dxa"/>
            <w:tcBorders>
              <w:bottom w:val="single" w:sz="4" w:space="0" w:color="auto"/>
            </w:tcBorders>
            <w:vAlign w:val="center"/>
          </w:tcPr>
          <w:p w14:paraId="5066C3F0" w14:textId="77777777" w:rsidR="0045680E" w:rsidRPr="00F52232" w:rsidRDefault="0045680E" w:rsidP="0045680E">
            <w:pPr>
              <w:bidi w:val="0"/>
              <w:jc w:val="center"/>
              <w:rPr>
                <w:color w:val="000000"/>
                <w:sz w:val="16"/>
                <w:szCs w:val="16"/>
              </w:rPr>
            </w:pPr>
            <w:r w:rsidRPr="00F52232">
              <w:rPr>
                <w:color w:val="000000"/>
                <w:sz w:val="16"/>
                <w:szCs w:val="16"/>
              </w:rPr>
              <w:t>-4.4</w:t>
            </w:r>
          </w:p>
        </w:tc>
        <w:tc>
          <w:tcPr>
            <w:tcW w:w="851" w:type="dxa"/>
            <w:tcBorders>
              <w:left w:val="single" w:sz="4" w:space="0" w:color="auto"/>
              <w:bottom w:val="single" w:sz="4" w:space="0" w:color="auto"/>
              <w:right w:val="single" w:sz="4" w:space="0" w:color="auto"/>
            </w:tcBorders>
            <w:shd w:val="clear" w:color="auto" w:fill="auto"/>
            <w:vAlign w:val="center"/>
          </w:tcPr>
          <w:p w14:paraId="1177BCB6"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4.5</w:t>
            </w:r>
          </w:p>
        </w:tc>
        <w:tc>
          <w:tcPr>
            <w:tcW w:w="992" w:type="dxa"/>
            <w:tcBorders>
              <w:left w:val="single" w:sz="4" w:space="0" w:color="auto"/>
              <w:bottom w:val="single" w:sz="4" w:space="0" w:color="auto"/>
              <w:right w:val="single" w:sz="4" w:space="0" w:color="auto"/>
            </w:tcBorders>
            <w:shd w:val="clear" w:color="auto" w:fill="C6D9F1" w:themeFill="text2" w:themeFillTint="33"/>
            <w:vAlign w:val="center"/>
          </w:tcPr>
          <w:p w14:paraId="398F4286"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1.0</w:t>
            </w:r>
          </w:p>
        </w:tc>
        <w:tc>
          <w:tcPr>
            <w:tcW w:w="850" w:type="dxa"/>
            <w:tcBorders>
              <w:left w:val="nil"/>
              <w:bottom w:val="single" w:sz="4" w:space="0" w:color="auto"/>
              <w:right w:val="single" w:sz="4" w:space="0" w:color="auto"/>
            </w:tcBorders>
            <w:shd w:val="clear" w:color="auto" w:fill="auto"/>
            <w:vAlign w:val="center"/>
          </w:tcPr>
          <w:p w14:paraId="47F7CF31"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4.5</w:t>
            </w:r>
          </w:p>
        </w:tc>
        <w:tc>
          <w:tcPr>
            <w:tcW w:w="993" w:type="dxa"/>
            <w:shd w:val="clear" w:color="auto" w:fill="B8CCE4" w:themeFill="accent1" w:themeFillTint="66"/>
            <w:vAlign w:val="center"/>
          </w:tcPr>
          <w:p w14:paraId="08D473B4"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1.0</w:t>
            </w:r>
          </w:p>
        </w:tc>
        <w:tc>
          <w:tcPr>
            <w:tcW w:w="850" w:type="dxa"/>
            <w:shd w:val="clear" w:color="auto" w:fill="auto"/>
            <w:vAlign w:val="bottom"/>
          </w:tcPr>
          <w:p w14:paraId="59677F41" w14:textId="77777777" w:rsidR="0045680E" w:rsidRPr="00F52232" w:rsidRDefault="0045680E" w:rsidP="0045680E">
            <w:pPr>
              <w:bidi w:val="0"/>
              <w:jc w:val="center"/>
              <w:rPr>
                <w:rFonts w:asciiTheme="majorBidi" w:hAnsiTheme="majorBidi" w:cstheme="majorBidi"/>
                <w:color w:val="000000"/>
                <w:sz w:val="16"/>
                <w:szCs w:val="16"/>
              </w:rPr>
            </w:pPr>
            <w:r w:rsidRPr="00F52232">
              <w:rPr>
                <w:rFonts w:asciiTheme="majorBidi" w:hAnsiTheme="majorBidi" w:cstheme="majorBidi"/>
                <w:color w:val="000000"/>
                <w:sz w:val="16"/>
                <w:szCs w:val="16"/>
              </w:rPr>
              <w:t>5.0</w:t>
            </w:r>
          </w:p>
        </w:tc>
      </w:tr>
      <w:tr w:rsidR="0045680E" w:rsidRPr="007A4B17" w14:paraId="570DE07D" w14:textId="77777777" w:rsidTr="0045680E">
        <w:tc>
          <w:tcPr>
            <w:tcW w:w="4390" w:type="dxa"/>
            <w:tcBorders>
              <w:bottom w:val="nil"/>
            </w:tcBorders>
            <w:vAlign w:val="center"/>
          </w:tcPr>
          <w:p w14:paraId="2B0A4B90" w14:textId="77777777" w:rsidR="0045680E" w:rsidRPr="00F52232" w:rsidRDefault="0045680E" w:rsidP="0045680E">
            <w:pPr>
              <w:bidi w:val="0"/>
              <w:rPr>
                <w:rFonts w:asciiTheme="majorBidi" w:hAnsiTheme="majorBidi" w:cstheme="majorBidi"/>
                <w:sz w:val="16"/>
                <w:szCs w:val="16"/>
              </w:rPr>
            </w:pPr>
            <w:r w:rsidRPr="00F52232">
              <w:rPr>
                <w:color w:val="000000"/>
                <w:sz w:val="16"/>
                <w:szCs w:val="16"/>
              </w:rPr>
              <w:t>Civilian imports (excl. diamonds, ships, and aircraft)</w:t>
            </w:r>
          </w:p>
        </w:tc>
        <w:tc>
          <w:tcPr>
            <w:tcW w:w="850" w:type="dxa"/>
            <w:tcBorders>
              <w:bottom w:val="nil"/>
            </w:tcBorders>
            <w:vAlign w:val="center"/>
          </w:tcPr>
          <w:p w14:paraId="45018DD5" w14:textId="77777777" w:rsidR="0045680E" w:rsidRPr="00F52232" w:rsidRDefault="0045680E" w:rsidP="0045680E">
            <w:pPr>
              <w:bidi w:val="0"/>
              <w:jc w:val="center"/>
              <w:rPr>
                <w:color w:val="000000"/>
                <w:sz w:val="16"/>
                <w:szCs w:val="16"/>
              </w:rPr>
            </w:pPr>
            <w:r w:rsidRPr="00F52232">
              <w:rPr>
                <w:color w:val="000000"/>
                <w:sz w:val="16"/>
                <w:szCs w:val="16"/>
              </w:rPr>
              <w:t>-6.9</w:t>
            </w:r>
          </w:p>
        </w:tc>
        <w:tc>
          <w:tcPr>
            <w:tcW w:w="851" w:type="dxa"/>
            <w:tcBorders>
              <w:left w:val="single" w:sz="4" w:space="0" w:color="auto"/>
              <w:bottom w:val="nil"/>
              <w:right w:val="single" w:sz="4" w:space="0" w:color="auto"/>
            </w:tcBorders>
            <w:shd w:val="clear" w:color="auto" w:fill="auto"/>
            <w:vAlign w:val="center"/>
          </w:tcPr>
          <w:p w14:paraId="67AAF8E5"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10.0</w:t>
            </w:r>
          </w:p>
        </w:tc>
        <w:tc>
          <w:tcPr>
            <w:tcW w:w="992" w:type="dxa"/>
            <w:tcBorders>
              <w:left w:val="single" w:sz="4" w:space="0" w:color="auto"/>
              <w:bottom w:val="single" w:sz="4" w:space="0" w:color="auto"/>
              <w:right w:val="single" w:sz="4" w:space="0" w:color="auto"/>
            </w:tcBorders>
            <w:shd w:val="clear" w:color="auto" w:fill="C6D9F1" w:themeFill="text2" w:themeFillTint="33"/>
            <w:vAlign w:val="center"/>
          </w:tcPr>
          <w:p w14:paraId="251B6533"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1.5</w:t>
            </w:r>
          </w:p>
        </w:tc>
        <w:tc>
          <w:tcPr>
            <w:tcW w:w="850" w:type="dxa"/>
            <w:tcBorders>
              <w:left w:val="nil"/>
              <w:bottom w:val="single" w:sz="4" w:space="0" w:color="auto"/>
              <w:right w:val="single" w:sz="4" w:space="0" w:color="auto"/>
            </w:tcBorders>
            <w:shd w:val="clear" w:color="auto" w:fill="auto"/>
            <w:vAlign w:val="center"/>
          </w:tcPr>
          <w:p w14:paraId="2706209B"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8.0</w:t>
            </w:r>
          </w:p>
        </w:tc>
        <w:tc>
          <w:tcPr>
            <w:tcW w:w="993" w:type="dxa"/>
            <w:shd w:val="clear" w:color="auto" w:fill="B8CCE4" w:themeFill="accent1" w:themeFillTint="66"/>
            <w:vAlign w:val="center"/>
          </w:tcPr>
          <w:p w14:paraId="311DB44C"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-0.5</w:t>
            </w:r>
          </w:p>
        </w:tc>
        <w:tc>
          <w:tcPr>
            <w:tcW w:w="850" w:type="dxa"/>
            <w:shd w:val="clear" w:color="auto" w:fill="auto"/>
            <w:vAlign w:val="bottom"/>
          </w:tcPr>
          <w:p w14:paraId="5B9AA737" w14:textId="77777777" w:rsidR="0045680E" w:rsidRPr="00F52232" w:rsidRDefault="0045680E" w:rsidP="0045680E">
            <w:pPr>
              <w:bidi w:val="0"/>
              <w:jc w:val="center"/>
              <w:rPr>
                <w:rFonts w:asciiTheme="majorBidi" w:hAnsiTheme="majorBidi" w:cstheme="majorBidi"/>
                <w:color w:val="000000"/>
                <w:sz w:val="16"/>
                <w:szCs w:val="16"/>
              </w:rPr>
            </w:pPr>
            <w:r w:rsidRPr="00F52232">
              <w:rPr>
                <w:rFonts w:asciiTheme="majorBidi" w:hAnsiTheme="majorBidi" w:cstheme="majorBidi"/>
                <w:color w:val="000000"/>
                <w:sz w:val="16"/>
                <w:szCs w:val="16"/>
              </w:rPr>
              <w:t>7.0</w:t>
            </w:r>
          </w:p>
        </w:tc>
      </w:tr>
      <w:tr w:rsidR="0045680E" w:rsidRPr="007A4B17" w14:paraId="7F55C636" w14:textId="77777777" w:rsidTr="0045680E">
        <w:tc>
          <w:tcPr>
            <w:tcW w:w="4390" w:type="dxa"/>
            <w:tcBorders>
              <w:top w:val="single" w:sz="4" w:space="0" w:color="auto"/>
              <w:bottom w:val="single" w:sz="4" w:space="0" w:color="auto"/>
            </w:tcBorders>
            <w:vAlign w:val="center"/>
          </w:tcPr>
          <w:p w14:paraId="4A6A10BF" w14:textId="77777777" w:rsidR="0045680E" w:rsidRPr="00F52232" w:rsidRDefault="0045680E" w:rsidP="0045680E">
            <w:pPr>
              <w:bidi w:val="0"/>
              <w:rPr>
                <w:rFonts w:asciiTheme="majorBidi" w:hAnsiTheme="majorBidi" w:cstheme="majorBidi"/>
                <w:sz w:val="16"/>
                <w:szCs w:val="16"/>
              </w:rPr>
            </w:pPr>
            <w:r w:rsidRPr="00F52232">
              <w:rPr>
                <w:color w:val="000000"/>
                <w:sz w:val="16"/>
                <w:szCs w:val="16"/>
              </w:rPr>
              <w:t>Broad unemployment rate (average for the year, ages 25–64)</w:t>
            </w:r>
            <w:r w:rsidRPr="00F52232">
              <w:rPr>
                <w:color w:val="000000"/>
                <w:sz w:val="16"/>
                <w:szCs w:val="16"/>
                <w:vertAlign w:val="superscript"/>
              </w:rPr>
              <w:t>b</w:t>
            </w:r>
          </w:p>
        </w:tc>
        <w:tc>
          <w:tcPr>
            <w:tcW w:w="850" w:type="dxa"/>
            <w:tcBorders>
              <w:top w:val="single" w:sz="4" w:space="0" w:color="auto"/>
              <w:bottom w:val="single" w:sz="4" w:space="0" w:color="auto"/>
            </w:tcBorders>
            <w:vAlign w:val="center"/>
          </w:tcPr>
          <w:p w14:paraId="62115A75" w14:textId="77777777" w:rsidR="0045680E" w:rsidRPr="00F52232" w:rsidRDefault="0045680E" w:rsidP="0045680E">
            <w:pPr>
              <w:bidi w:val="0"/>
              <w:jc w:val="center"/>
              <w:rPr>
                <w:color w:val="000000"/>
                <w:sz w:val="16"/>
                <w:szCs w:val="16"/>
              </w:rPr>
            </w:pPr>
            <w:r w:rsidRPr="00F52232">
              <w:rPr>
                <w:color w:val="000000"/>
                <w:sz w:val="16"/>
                <w:szCs w:val="16"/>
              </w:rPr>
              <w:t>3.5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C829FF"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3.4</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000043" w14:textId="6B8087F4" w:rsidR="0045680E" w:rsidRPr="00F52232" w:rsidRDefault="0045680E" w:rsidP="004A5916">
            <w:pPr>
              <w:bidi w:val="0"/>
              <w:jc w:val="center"/>
              <w:rPr>
                <w:rFonts w:asciiTheme="majorBidi" w:hAnsiTheme="majorBidi" w:cstheme="majorBidi"/>
                <w:sz w:val="16"/>
                <w:szCs w:val="16"/>
              </w:rPr>
            </w:pPr>
            <w:r w:rsidRPr="00F52232">
              <w:rPr>
                <w:color w:val="000000"/>
                <w:sz w:val="16"/>
                <w:szCs w:val="16"/>
              </w:rPr>
              <w:t>0.</w:t>
            </w:r>
            <w:r w:rsidR="004A5916">
              <w:rPr>
                <w:color w:val="000000"/>
                <w:sz w:val="16"/>
                <w:szCs w:val="16"/>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4B17085E"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3.3</w:t>
            </w:r>
          </w:p>
        </w:tc>
        <w:tc>
          <w:tcPr>
            <w:tcW w:w="993" w:type="dxa"/>
            <w:shd w:val="clear" w:color="auto" w:fill="B8CCE4" w:themeFill="accent1" w:themeFillTint="66"/>
            <w:vAlign w:val="center"/>
          </w:tcPr>
          <w:p w14:paraId="4DA8EC11" w14:textId="3F49AC94" w:rsidR="0045680E" w:rsidRPr="00F52232" w:rsidRDefault="0045680E" w:rsidP="004A5916">
            <w:pPr>
              <w:bidi w:val="0"/>
              <w:jc w:val="center"/>
              <w:rPr>
                <w:rFonts w:asciiTheme="majorBidi" w:hAnsiTheme="majorBidi" w:cstheme="majorBidi"/>
                <w:sz w:val="16"/>
                <w:szCs w:val="16"/>
              </w:rPr>
            </w:pPr>
            <w:r w:rsidRPr="00F52232">
              <w:rPr>
                <w:color w:val="000000"/>
                <w:sz w:val="16"/>
                <w:szCs w:val="16"/>
              </w:rPr>
              <w:t>-0.</w:t>
            </w:r>
            <w:r w:rsidR="004A5916">
              <w:rPr>
                <w:color w:val="000000"/>
                <w:sz w:val="16"/>
                <w:szCs w:val="16"/>
              </w:rPr>
              <w:t>1</w:t>
            </w:r>
          </w:p>
        </w:tc>
        <w:tc>
          <w:tcPr>
            <w:tcW w:w="850" w:type="dxa"/>
            <w:shd w:val="clear" w:color="auto" w:fill="auto"/>
            <w:vAlign w:val="bottom"/>
          </w:tcPr>
          <w:p w14:paraId="647533EC" w14:textId="77777777" w:rsidR="0045680E" w:rsidRPr="00F52232" w:rsidRDefault="0045680E" w:rsidP="0045680E">
            <w:pPr>
              <w:bidi w:val="0"/>
              <w:jc w:val="center"/>
              <w:rPr>
                <w:rFonts w:asciiTheme="majorBidi" w:hAnsiTheme="majorBidi" w:cstheme="majorBidi"/>
                <w:color w:val="000000"/>
                <w:sz w:val="16"/>
                <w:szCs w:val="16"/>
              </w:rPr>
            </w:pPr>
            <w:r w:rsidRPr="00F52232">
              <w:rPr>
                <w:rFonts w:asciiTheme="majorBidi" w:hAnsiTheme="majorBidi" w:cstheme="majorBidi"/>
                <w:color w:val="000000"/>
                <w:sz w:val="16"/>
                <w:szCs w:val="16"/>
              </w:rPr>
              <w:t>3.5</w:t>
            </w:r>
          </w:p>
        </w:tc>
      </w:tr>
      <w:tr w:rsidR="0045680E" w:rsidRPr="007A4B17" w14:paraId="1EE51633" w14:textId="77777777" w:rsidTr="0045680E">
        <w:tc>
          <w:tcPr>
            <w:tcW w:w="4390" w:type="dxa"/>
            <w:tcBorders>
              <w:top w:val="single" w:sz="4" w:space="0" w:color="auto"/>
              <w:bottom w:val="single" w:sz="4" w:space="0" w:color="auto"/>
            </w:tcBorders>
            <w:vAlign w:val="center"/>
          </w:tcPr>
          <w:p w14:paraId="18A211E3" w14:textId="77777777" w:rsidR="0045680E" w:rsidRPr="00F52232" w:rsidRDefault="0045680E" w:rsidP="0045680E">
            <w:pPr>
              <w:bidi w:val="0"/>
              <w:rPr>
                <w:rFonts w:asciiTheme="majorBidi" w:hAnsiTheme="majorBidi" w:cstheme="majorBidi"/>
                <w:sz w:val="16"/>
                <w:szCs w:val="16"/>
              </w:rPr>
            </w:pPr>
            <w:r w:rsidRPr="00F52232">
              <w:rPr>
                <w:color w:val="000000"/>
                <w:sz w:val="16"/>
                <w:szCs w:val="16"/>
              </w:rPr>
              <w:t>Adjusted employment rate (average for the year, ages 25–64)</w:t>
            </w:r>
            <w:r w:rsidRPr="00F52232">
              <w:rPr>
                <w:color w:val="000000"/>
                <w:sz w:val="16"/>
                <w:szCs w:val="16"/>
                <w:vertAlign w:val="superscript"/>
              </w:rPr>
              <w:t>b</w:t>
            </w:r>
          </w:p>
        </w:tc>
        <w:tc>
          <w:tcPr>
            <w:tcW w:w="850" w:type="dxa"/>
            <w:tcBorders>
              <w:top w:val="single" w:sz="4" w:space="0" w:color="auto"/>
              <w:bottom w:val="single" w:sz="4" w:space="0" w:color="auto"/>
            </w:tcBorders>
            <w:vAlign w:val="center"/>
          </w:tcPr>
          <w:p w14:paraId="1C94E624" w14:textId="77777777" w:rsidR="0045680E" w:rsidRPr="00F52232" w:rsidRDefault="0045680E" w:rsidP="0045680E">
            <w:pPr>
              <w:bidi w:val="0"/>
              <w:jc w:val="center"/>
              <w:rPr>
                <w:color w:val="000000"/>
                <w:sz w:val="16"/>
                <w:szCs w:val="16"/>
              </w:rPr>
            </w:pPr>
            <w:r w:rsidRPr="00F52232">
              <w:rPr>
                <w:color w:val="000000"/>
                <w:sz w:val="16"/>
                <w:szCs w:val="16"/>
              </w:rPr>
              <w:t>77.8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4DC128"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78.2</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CF7D959"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-0.2</w:t>
            </w:r>
          </w:p>
        </w:tc>
        <w:tc>
          <w:tcPr>
            <w:tcW w:w="850" w:type="dxa"/>
            <w:tcBorders>
              <w:top w:val="single" w:sz="4" w:space="0" w:color="auto"/>
              <w:left w:val="nil"/>
              <w:bottom w:val="single" w:sz="4" w:space="0" w:color="auto"/>
              <w:right w:val="single" w:sz="4" w:space="0" w:color="auto"/>
            </w:tcBorders>
            <w:shd w:val="clear" w:color="auto" w:fill="auto"/>
            <w:vAlign w:val="center"/>
          </w:tcPr>
          <w:p w14:paraId="6B59FF8D"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80.1</w:t>
            </w:r>
          </w:p>
        </w:tc>
        <w:tc>
          <w:tcPr>
            <w:tcW w:w="993" w:type="dxa"/>
            <w:shd w:val="clear" w:color="auto" w:fill="B8CCE4" w:themeFill="accent1" w:themeFillTint="66"/>
            <w:vAlign w:val="center"/>
          </w:tcPr>
          <w:p w14:paraId="76ADA45A"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1.1</w:t>
            </w:r>
          </w:p>
        </w:tc>
        <w:tc>
          <w:tcPr>
            <w:tcW w:w="850" w:type="dxa"/>
            <w:shd w:val="clear" w:color="auto" w:fill="auto"/>
            <w:vAlign w:val="bottom"/>
          </w:tcPr>
          <w:p w14:paraId="7E8712B1" w14:textId="77777777" w:rsidR="0045680E" w:rsidRPr="00F52232" w:rsidRDefault="0045680E" w:rsidP="0045680E">
            <w:pPr>
              <w:bidi w:val="0"/>
              <w:jc w:val="center"/>
              <w:rPr>
                <w:rFonts w:asciiTheme="majorBidi" w:hAnsiTheme="majorBidi" w:cstheme="majorBidi"/>
                <w:color w:val="000000"/>
                <w:sz w:val="16"/>
                <w:szCs w:val="16"/>
              </w:rPr>
            </w:pPr>
            <w:r w:rsidRPr="00F52232">
              <w:rPr>
                <w:rFonts w:asciiTheme="majorBidi" w:hAnsiTheme="majorBidi" w:cstheme="majorBidi"/>
                <w:color w:val="000000"/>
                <w:sz w:val="16"/>
                <w:szCs w:val="16"/>
              </w:rPr>
              <w:t>81.1</w:t>
            </w:r>
          </w:p>
        </w:tc>
      </w:tr>
      <w:tr w:rsidR="0045680E" w:rsidRPr="007A4B17" w14:paraId="0483E331" w14:textId="77777777" w:rsidTr="0045680E">
        <w:tc>
          <w:tcPr>
            <w:tcW w:w="4390" w:type="dxa"/>
            <w:tcBorders>
              <w:top w:val="single" w:sz="4" w:space="0" w:color="auto"/>
              <w:bottom w:val="single" w:sz="4" w:space="0" w:color="auto"/>
            </w:tcBorders>
            <w:vAlign w:val="center"/>
          </w:tcPr>
          <w:p w14:paraId="55916CC8" w14:textId="77777777" w:rsidR="0045680E" w:rsidRPr="00F52232" w:rsidRDefault="0045680E" w:rsidP="0045680E">
            <w:pPr>
              <w:bidi w:val="0"/>
              <w:rPr>
                <w:rFonts w:asciiTheme="majorBidi" w:hAnsiTheme="majorBidi" w:cstheme="majorBidi"/>
                <w:sz w:val="16"/>
                <w:szCs w:val="16"/>
                <w:rtl/>
              </w:rPr>
            </w:pPr>
            <w:r w:rsidRPr="00F52232">
              <w:rPr>
                <w:color w:val="000000"/>
                <w:sz w:val="16"/>
                <w:szCs w:val="16"/>
              </w:rPr>
              <w:t>Government deficit (percent of GDP)</w:t>
            </w:r>
          </w:p>
        </w:tc>
        <w:tc>
          <w:tcPr>
            <w:tcW w:w="850" w:type="dxa"/>
            <w:tcBorders>
              <w:top w:val="single" w:sz="4" w:space="0" w:color="auto"/>
              <w:bottom w:val="single" w:sz="4" w:space="0" w:color="auto"/>
            </w:tcBorders>
            <w:vAlign w:val="center"/>
          </w:tcPr>
          <w:p w14:paraId="47070EB8" w14:textId="77777777" w:rsidR="0045680E" w:rsidRPr="00F52232" w:rsidRDefault="0045680E" w:rsidP="0045680E">
            <w:pPr>
              <w:bidi w:val="0"/>
              <w:jc w:val="center"/>
              <w:rPr>
                <w:color w:val="000000"/>
                <w:sz w:val="16"/>
                <w:szCs w:val="16"/>
              </w:rPr>
            </w:pPr>
            <w:r w:rsidRPr="00F52232">
              <w:rPr>
                <w:color w:val="000000"/>
                <w:sz w:val="16"/>
                <w:szCs w:val="16"/>
              </w:rPr>
              <w:t>6.8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CC8F6B"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4.8</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A6EF42"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-0.3</w:t>
            </w:r>
          </w:p>
        </w:tc>
        <w:tc>
          <w:tcPr>
            <w:tcW w:w="850" w:type="dxa"/>
            <w:tcBorders>
              <w:top w:val="single" w:sz="4" w:space="0" w:color="auto"/>
              <w:left w:val="nil"/>
              <w:bottom w:val="single" w:sz="4" w:space="0" w:color="auto"/>
              <w:right w:val="single" w:sz="4" w:space="0" w:color="auto"/>
            </w:tcBorders>
            <w:shd w:val="clear" w:color="auto" w:fill="auto"/>
            <w:vAlign w:val="center"/>
          </w:tcPr>
          <w:p w14:paraId="2D35ACB1"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3.9</w:t>
            </w:r>
          </w:p>
        </w:tc>
        <w:tc>
          <w:tcPr>
            <w:tcW w:w="993" w:type="dxa"/>
            <w:shd w:val="clear" w:color="auto" w:fill="B8CCE4" w:themeFill="accent1" w:themeFillTint="66"/>
            <w:vAlign w:val="center"/>
          </w:tcPr>
          <w:p w14:paraId="7F2EC37C"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-0.4</w:t>
            </w:r>
          </w:p>
        </w:tc>
        <w:tc>
          <w:tcPr>
            <w:tcW w:w="850" w:type="dxa"/>
            <w:shd w:val="clear" w:color="auto" w:fill="auto"/>
            <w:vAlign w:val="bottom"/>
          </w:tcPr>
          <w:p w14:paraId="400E6D4C" w14:textId="77777777" w:rsidR="0045680E" w:rsidRPr="00F52232" w:rsidRDefault="0045680E" w:rsidP="0045680E">
            <w:pPr>
              <w:bidi w:val="0"/>
              <w:jc w:val="center"/>
              <w:rPr>
                <w:rFonts w:asciiTheme="majorBidi" w:hAnsiTheme="majorBidi" w:cstheme="majorBidi"/>
                <w:color w:val="000000"/>
                <w:sz w:val="16"/>
                <w:szCs w:val="16"/>
              </w:rPr>
            </w:pPr>
            <w:r w:rsidRPr="00F52232">
              <w:rPr>
                <w:rFonts w:asciiTheme="majorBidi" w:hAnsiTheme="majorBidi" w:cstheme="majorBidi"/>
                <w:color w:val="000000"/>
                <w:sz w:val="16"/>
                <w:szCs w:val="16"/>
              </w:rPr>
              <w:t>3.6</w:t>
            </w:r>
          </w:p>
        </w:tc>
      </w:tr>
      <w:tr w:rsidR="0045680E" w:rsidRPr="007A4B17" w14:paraId="2A914462" w14:textId="77777777" w:rsidTr="0045680E">
        <w:tc>
          <w:tcPr>
            <w:tcW w:w="4390" w:type="dxa"/>
            <w:tcBorders>
              <w:top w:val="single" w:sz="4" w:space="0" w:color="auto"/>
              <w:bottom w:val="single" w:sz="4" w:space="0" w:color="auto"/>
            </w:tcBorders>
            <w:vAlign w:val="center"/>
          </w:tcPr>
          <w:p w14:paraId="52AF7577" w14:textId="77777777" w:rsidR="0045680E" w:rsidRPr="00F52232" w:rsidRDefault="0045680E" w:rsidP="0045680E">
            <w:pPr>
              <w:bidi w:val="0"/>
              <w:rPr>
                <w:rFonts w:asciiTheme="majorBidi" w:hAnsiTheme="majorBidi" w:cstheme="majorBidi"/>
                <w:sz w:val="16"/>
                <w:szCs w:val="16"/>
              </w:rPr>
            </w:pPr>
            <w:r w:rsidRPr="00F52232">
              <w:rPr>
                <w:color w:val="000000"/>
                <w:sz w:val="16"/>
                <w:szCs w:val="16"/>
              </w:rPr>
              <w:t>Debt to GDP ratio (percent)</w:t>
            </w:r>
          </w:p>
        </w:tc>
        <w:tc>
          <w:tcPr>
            <w:tcW w:w="850" w:type="dxa"/>
            <w:tcBorders>
              <w:top w:val="single" w:sz="4" w:space="0" w:color="auto"/>
              <w:bottom w:val="single" w:sz="4" w:space="0" w:color="auto"/>
            </w:tcBorders>
            <w:vAlign w:val="center"/>
          </w:tcPr>
          <w:p w14:paraId="303A2595" w14:textId="77777777" w:rsidR="0045680E" w:rsidRPr="00F52232" w:rsidRDefault="0045680E" w:rsidP="0045680E">
            <w:pPr>
              <w:bidi w:val="0"/>
              <w:jc w:val="center"/>
              <w:rPr>
                <w:color w:val="000000"/>
                <w:sz w:val="16"/>
                <w:szCs w:val="16"/>
              </w:rPr>
            </w:pPr>
            <w:r w:rsidRPr="00F52232">
              <w:rPr>
                <w:color w:val="000000"/>
                <w:sz w:val="16"/>
                <w:szCs w:val="16"/>
              </w:rPr>
              <w:t>67.6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C08651"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68.5</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EDAC51"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-2.5</w:t>
            </w:r>
          </w:p>
        </w:tc>
        <w:tc>
          <w:tcPr>
            <w:tcW w:w="850" w:type="dxa"/>
            <w:tcBorders>
              <w:top w:val="single" w:sz="4" w:space="0" w:color="auto"/>
              <w:left w:val="nil"/>
              <w:bottom w:val="single" w:sz="4" w:space="0" w:color="auto"/>
              <w:right w:val="single" w:sz="4" w:space="0" w:color="auto"/>
            </w:tcBorders>
            <w:shd w:val="clear" w:color="auto" w:fill="auto"/>
            <w:vAlign w:val="center"/>
          </w:tcPr>
          <w:p w14:paraId="65F85F90" w14:textId="77777777" w:rsidR="0045680E" w:rsidRPr="00F52232" w:rsidRDefault="0045680E" w:rsidP="0045680E">
            <w:pPr>
              <w:bidi w:val="0"/>
              <w:jc w:val="center"/>
              <w:rPr>
                <w:rFonts w:asciiTheme="majorBidi" w:hAnsiTheme="majorBidi" w:cstheme="majorBidi"/>
                <w:sz w:val="16"/>
                <w:szCs w:val="16"/>
              </w:rPr>
            </w:pPr>
            <w:r w:rsidRPr="00F52232">
              <w:rPr>
                <w:color w:val="000000"/>
                <w:sz w:val="16"/>
                <w:szCs w:val="16"/>
              </w:rPr>
              <w:t>68.5</w:t>
            </w:r>
          </w:p>
        </w:tc>
        <w:tc>
          <w:tcPr>
            <w:tcW w:w="993" w:type="dxa"/>
            <w:shd w:val="clear" w:color="auto" w:fill="B8CCE4" w:themeFill="accent1" w:themeFillTint="66"/>
            <w:vAlign w:val="center"/>
          </w:tcPr>
          <w:p w14:paraId="047703BD" w14:textId="77777777" w:rsidR="0045680E" w:rsidRPr="00F52232" w:rsidRDefault="0045680E" w:rsidP="0045680E">
            <w:pPr>
              <w:bidi w:val="0"/>
              <w:jc w:val="center"/>
              <w:rPr>
                <w:rFonts w:asciiTheme="majorBidi" w:hAnsiTheme="majorBidi" w:cstheme="majorBidi"/>
                <w:sz w:val="16"/>
                <w:szCs w:val="16"/>
                <w:rtl/>
              </w:rPr>
            </w:pPr>
            <w:r w:rsidRPr="00F52232">
              <w:rPr>
                <w:color w:val="000000"/>
                <w:sz w:val="16"/>
                <w:szCs w:val="16"/>
              </w:rPr>
              <w:t>-2.5</w:t>
            </w:r>
          </w:p>
        </w:tc>
        <w:tc>
          <w:tcPr>
            <w:tcW w:w="850" w:type="dxa"/>
            <w:shd w:val="clear" w:color="auto" w:fill="auto"/>
            <w:vAlign w:val="bottom"/>
          </w:tcPr>
          <w:p w14:paraId="64D716C4" w14:textId="77777777" w:rsidR="0045680E" w:rsidRPr="00F52232" w:rsidRDefault="0045680E" w:rsidP="0045680E">
            <w:pPr>
              <w:bidi w:val="0"/>
              <w:jc w:val="center"/>
              <w:rPr>
                <w:rFonts w:asciiTheme="majorBidi" w:hAnsiTheme="majorBidi" w:cstheme="majorBidi"/>
                <w:color w:val="000000"/>
                <w:sz w:val="16"/>
                <w:szCs w:val="16"/>
              </w:rPr>
            </w:pPr>
            <w:r w:rsidRPr="00F52232">
              <w:rPr>
                <w:rFonts w:asciiTheme="majorBidi" w:hAnsiTheme="majorBidi" w:cstheme="majorBidi"/>
                <w:color w:val="000000"/>
                <w:sz w:val="16"/>
                <w:szCs w:val="16"/>
              </w:rPr>
              <w:t>68.5</w:t>
            </w:r>
          </w:p>
        </w:tc>
      </w:tr>
      <w:tr w:rsidR="0045680E" w:rsidRPr="007A4B17" w14:paraId="2F7F00F7" w14:textId="77777777" w:rsidTr="0045680E">
        <w:tc>
          <w:tcPr>
            <w:tcW w:w="4390" w:type="dxa"/>
            <w:tcBorders>
              <w:top w:val="single" w:sz="4" w:space="0" w:color="auto"/>
              <w:bottom w:val="single" w:sz="4" w:space="0" w:color="auto"/>
            </w:tcBorders>
            <w:vAlign w:val="center"/>
          </w:tcPr>
          <w:p w14:paraId="21F91BA6" w14:textId="77777777" w:rsidR="0045680E" w:rsidRPr="00F52232" w:rsidRDefault="0045680E" w:rsidP="0045680E">
            <w:pPr>
              <w:bidi w:val="0"/>
              <w:rPr>
                <w:rFonts w:asciiTheme="majorBidi" w:hAnsiTheme="majorBidi" w:cstheme="majorBidi"/>
                <w:b/>
                <w:bCs/>
                <w:sz w:val="16"/>
                <w:szCs w:val="16"/>
              </w:rPr>
            </w:pPr>
            <w:r w:rsidRPr="00F52232">
              <w:rPr>
                <w:color w:val="000000"/>
                <w:sz w:val="16"/>
                <w:szCs w:val="16"/>
              </w:rPr>
              <w:t>Inflation (percent)</w:t>
            </w:r>
            <w:r w:rsidRPr="00F52232">
              <w:rPr>
                <w:color w:val="000000"/>
                <w:sz w:val="16"/>
                <w:szCs w:val="16"/>
                <w:vertAlign w:val="superscript"/>
              </w:rPr>
              <w:t>c</w:t>
            </w:r>
          </w:p>
        </w:tc>
        <w:tc>
          <w:tcPr>
            <w:tcW w:w="850" w:type="dxa"/>
            <w:tcBorders>
              <w:top w:val="single" w:sz="4" w:space="0" w:color="auto"/>
              <w:bottom w:val="single" w:sz="4" w:space="0" w:color="auto"/>
            </w:tcBorders>
            <w:vAlign w:val="center"/>
          </w:tcPr>
          <w:p w14:paraId="6CA6840C" w14:textId="77777777" w:rsidR="0045680E" w:rsidRPr="00F52232" w:rsidRDefault="0045680E" w:rsidP="0045680E">
            <w:pPr>
              <w:bidi w:val="0"/>
              <w:jc w:val="center"/>
              <w:rPr>
                <w:color w:val="000000"/>
                <w:sz w:val="16"/>
                <w:szCs w:val="16"/>
              </w:rPr>
            </w:pPr>
            <w:r w:rsidRPr="00F52232">
              <w:rPr>
                <w:color w:val="000000"/>
                <w:sz w:val="16"/>
                <w:szCs w:val="16"/>
              </w:rPr>
              <w:t>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24AAE8" w14:textId="77777777" w:rsidR="0045680E" w:rsidRPr="00F52232" w:rsidRDefault="0045680E" w:rsidP="0045680E">
            <w:pPr>
              <w:bidi w:val="0"/>
              <w:jc w:val="center"/>
              <w:rPr>
                <w:rFonts w:asciiTheme="majorBidi" w:hAnsiTheme="majorBidi" w:cstheme="majorBidi"/>
                <w:b/>
                <w:bCs/>
                <w:sz w:val="16"/>
                <w:szCs w:val="16"/>
              </w:rPr>
            </w:pPr>
            <w:r w:rsidRPr="00F52232">
              <w:rPr>
                <w:b/>
                <w:bCs/>
                <w:color w:val="000000"/>
                <w:sz w:val="16"/>
                <w:szCs w:val="16"/>
              </w:rPr>
              <w:t>2.5</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BD6B82" w14:textId="1D1D28A6" w:rsidR="0045680E" w:rsidRPr="00F52232" w:rsidRDefault="0045680E" w:rsidP="004A5916">
            <w:pPr>
              <w:bidi w:val="0"/>
              <w:jc w:val="center"/>
              <w:rPr>
                <w:rFonts w:asciiTheme="majorBidi" w:hAnsiTheme="majorBidi" w:cstheme="majorBidi"/>
                <w:b/>
                <w:bCs/>
                <w:sz w:val="16"/>
                <w:szCs w:val="16"/>
              </w:rPr>
            </w:pPr>
            <w:r w:rsidRPr="00F52232">
              <w:rPr>
                <w:b/>
                <w:bCs/>
                <w:color w:val="000000"/>
                <w:sz w:val="16"/>
                <w:szCs w:val="16"/>
              </w:rPr>
              <w:t>-0.</w:t>
            </w:r>
            <w:r w:rsidR="004A5916">
              <w:rPr>
                <w:b/>
                <w:bCs/>
                <w:color w:val="000000"/>
                <w:sz w:val="16"/>
                <w:szCs w:val="16"/>
              </w:rPr>
              <w:t>5</w:t>
            </w:r>
          </w:p>
        </w:tc>
        <w:tc>
          <w:tcPr>
            <w:tcW w:w="850" w:type="dxa"/>
            <w:tcBorders>
              <w:top w:val="single" w:sz="4" w:space="0" w:color="auto"/>
              <w:left w:val="nil"/>
              <w:bottom w:val="single" w:sz="4" w:space="0" w:color="auto"/>
              <w:right w:val="single" w:sz="4" w:space="0" w:color="auto"/>
            </w:tcBorders>
            <w:shd w:val="clear" w:color="auto" w:fill="auto"/>
            <w:vAlign w:val="center"/>
          </w:tcPr>
          <w:p w14:paraId="75D24346" w14:textId="77777777" w:rsidR="0045680E" w:rsidRPr="00F52232" w:rsidRDefault="0045680E" w:rsidP="0045680E">
            <w:pPr>
              <w:bidi w:val="0"/>
              <w:jc w:val="center"/>
              <w:rPr>
                <w:rFonts w:asciiTheme="majorBidi" w:hAnsiTheme="majorBidi" w:cstheme="majorBidi"/>
                <w:b/>
                <w:bCs/>
                <w:sz w:val="16"/>
                <w:szCs w:val="16"/>
              </w:rPr>
            </w:pPr>
            <w:r w:rsidRPr="00F52232">
              <w:rPr>
                <w:b/>
                <w:bCs/>
                <w:color w:val="000000"/>
                <w:sz w:val="16"/>
                <w:szCs w:val="16"/>
              </w:rPr>
              <w:t>1.7</w:t>
            </w:r>
          </w:p>
        </w:tc>
        <w:tc>
          <w:tcPr>
            <w:tcW w:w="993" w:type="dxa"/>
            <w:shd w:val="clear" w:color="auto" w:fill="B8CCE4" w:themeFill="accent1" w:themeFillTint="66"/>
            <w:vAlign w:val="center"/>
          </w:tcPr>
          <w:p w14:paraId="1E6BC799" w14:textId="5D9AA432" w:rsidR="0045680E" w:rsidRPr="00F52232" w:rsidRDefault="0045680E" w:rsidP="004A5916">
            <w:pPr>
              <w:bidi w:val="0"/>
              <w:jc w:val="center"/>
              <w:rPr>
                <w:rFonts w:asciiTheme="majorBidi" w:hAnsiTheme="majorBidi" w:cstheme="majorBidi"/>
                <w:b/>
                <w:bCs/>
                <w:sz w:val="16"/>
                <w:szCs w:val="16"/>
              </w:rPr>
            </w:pPr>
            <w:r w:rsidRPr="00F52232">
              <w:rPr>
                <w:b/>
                <w:bCs/>
                <w:color w:val="000000"/>
                <w:sz w:val="16"/>
                <w:szCs w:val="16"/>
              </w:rPr>
              <w:t>-0.</w:t>
            </w:r>
            <w:r w:rsidR="004A5916">
              <w:rPr>
                <w:b/>
                <w:bCs/>
                <w:color w:val="000000"/>
                <w:sz w:val="16"/>
                <w:szCs w:val="16"/>
              </w:rPr>
              <w:t>5</w:t>
            </w:r>
          </w:p>
        </w:tc>
        <w:tc>
          <w:tcPr>
            <w:tcW w:w="850" w:type="dxa"/>
            <w:shd w:val="clear" w:color="auto" w:fill="auto"/>
            <w:vAlign w:val="bottom"/>
          </w:tcPr>
          <w:p w14:paraId="27D4F31A" w14:textId="77777777" w:rsidR="0045680E" w:rsidRPr="00F52232" w:rsidRDefault="0045680E" w:rsidP="0045680E">
            <w:pPr>
              <w:bidi w:val="0"/>
              <w:jc w:val="center"/>
              <w:rPr>
                <w:rFonts w:asciiTheme="majorBidi" w:hAnsiTheme="majorBidi" w:cstheme="majorBidi"/>
                <w:b/>
                <w:bCs/>
                <w:color w:val="000000"/>
                <w:sz w:val="16"/>
                <w:szCs w:val="16"/>
              </w:rPr>
            </w:pPr>
            <w:r w:rsidRPr="00F52232">
              <w:rPr>
                <w:rFonts w:asciiTheme="majorBidi" w:hAnsiTheme="majorBidi" w:cstheme="majorBidi"/>
                <w:color w:val="000000"/>
                <w:sz w:val="16"/>
                <w:szCs w:val="16"/>
              </w:rPr>
              <w:t>2.0</w:t>
            </w:r>
          </w:p>
        </w:tc>
      </w:tr>
      <w:tr w:rsidR="0045680E" w:rsidRPr="007A4B17" w14:paraId="7194142B" w14:textId="77777777" w:rsidTr="0045680E">
        <w:tc>
          <w:tcPr>
            <w:tcW w:w="9776" w:type="dxa"/>
            <w:gridSpan w:val="7"/>
            <w:tcBorders>
              <w:top w:val="single" w:sz="4" w:space="0" w:color="auto"/>
              <w:bottom w:val="single" w:sz="4" w:space="0" w:color="auto"/>
              <w:right w:val="single" w:sz="4" w:space="0" w:color="auto"/>
            </w:tcBorders>
          </w:tcPr>
          <w:p w14:paraId="3654D960" w14:textId="77777777" w:rsidR="0045680E" w:rsidRPr="00F52232" w:rsidRDefault="0045680E" w:rsidP="0045680E">
            <w:pPr>
              <w:bidi w:val="0"/>
              <w:rPr>
                <w:rFonts w:asciiTheme="majorBidi" w:hAnsiTheme="majorBidi" w:cstheme="majorBidi"/>
                <w:sz w:val="16"/>
                <w:szCs w:val="16"/>
              </w:rPr>
            </w:pPr>
            <w:proofErr w:type="spellStart"/>
            <w:proofErr w:type="gramStart"/>
            <w:r w:rsidRPr="00F52232">
              <w:rPr>
                <w:rFonts w:asciiTheme="majorBidi" w:hAnsiTheme="majorBidi" w:cstheme="majorBidi"/>
                <w:sz w:val="16"/>
                <w:szCs w:val="16"/>
                <w:vertAlign w:val="superscript"/>
              </w:rPr>
              <w:t>a</w:t>
            </w:r>
            <w:proofErr w:type="spellEnd"/>
            <w:proofErr w:type="gramEnd"/>
            <w:r w:rsidRPr="00F52232">
              <w:rPr>
                <w:rFonts w:asciiTheme="majorBidi" w:hAnsiTheme="majorBidi" w:cstheme="majorBidi"/>
                <w:sz w:val="16"/>
                <w:szCs w:val="16"/>
                <w:vertAlign w:val="superscript"/>
              </w:rPr>
              <w:t xml:space="preserve"> </w:t>
            </w:r>
            <w:r w:rsidRPr="00F52232">
              <w:rPr>
                <w:rFonts w:asciiTheme="majorBidi" w:hAnsiTheme="majorBidi" w:cstheme="majorBidi"/>
                <w:sz w:val="16"/>
                <w:szCs w:val="16"/>
              </w:rPr>
              <w:t>The forecasts of the National Accounts components are rounded to the nearest half percentage point and the forecasts of public debt are rounded to the nearest percentage point.</w:t>
            </w:r>
          </w:p>
          <w:p w14:paraId="702402F3" w14:textId="77777777" w:rsidR="0045680E" w:rsidRPr="00F52232" w:rsidRDefault="0045680E" w:rsidP="0045680E">
            <w:pPr>
              <w:bidi w:val="0"/>
              <w:rPr>
                <w:rFonts w:asciiTheme="majorBidi" w:hAnsiTheme="majorBidi" w:cstheme="majorBidi"/>
                <w:sz w:val="16"/>
                <w:szCs w:val="16"/>
              </w:rPr>
            </w:pPr>
            <w:proofErr w:type="gramStart"/>
            <w:r w:rsidRPr="00F52232">
              <w:rPr>
                <w:rFonts w:asciiTheme="majorBidi" w:hAnsiTheme="majorBidi" w:cstheme="majorBidi"/>
                <w:sz w:val="16"/>
                <w:szCs w:val="16"/>
                <w:vertAlign w:val="superscript"/>
              </w:rPr>
              <w:t>b</w:t>
            </w:r>
            <w:proofErr w:type="gramEnd"/>
            <w:r w:rsidRPr="00F52232">
              <w:rPr>
                <w:rFonts w:asciiTheme="majorBidi" w:hAnsiTheme="majorBidi" w:cstheme="majorBidi"/>
                <w:sz w:val="16"/>
                <w:szCs w:val="16"/>
              </w:rPr>
              <w:t xml:space="preserve"> Annual average. According to the Central Bureau of Statistics definition, the broad unemployment rate includes the unemployed under the normal definition (someone who has not worked, wanted to work, was available to work, and searched for work), as well as employees who were temporarily absent from their jobs for economic reasons (including furloughed workers).  Accordingly, the adjusted employment rate does not include those temporarily absent from their jobs for economic reasons. </w:t>
            </w:r>
            <w:r>
              <w:rPr>
                <w:rFonts w:asciiTheme="majorBidi" w:hAnsiTheme="majorBidi" w:cstheme="majorBidi"/>
                <w:sz w:val="16"/>
                <w:szCs w:val="16"/>
              </w:rPr>
              <w:t>The broad unemployment rate in 2025 reflects a significant temporary increase in unemployment during Israel’s campaign against Iran.  Net of that period, we expect some increase in the unemployment rate during the forecast horizon.</w:t>
            </w:r>
          </w:p>
          <w:p w14:paraId="309224A1" w14:textId="77777777" w:rsidR="0045680E" w:rsidRPr="00F52232" w:rsidRDefault="0045680E" w:rsidP="0045680E">
            <w:pPr>
              <w:bidi w:val="0"/>
              <w:rPr>
                <w:rFonts w:asciiTheme="majorBidi" w:hAnsiTheme="majorBidi" w:cstheme="majorBidi"/>
                <w:sz w:val="16"/>
                <w:szCs w:val="16"/>
                <w:vertAlign w:val="superscript"/>
              </w:rPr>
            </w:pPr>
            <w:proofErr w:type="gramStart"/>
            <w:r w:rsidRPr="00F52232">
              <w:rPr>
                <w:rFonts w:asciiTheme="majorBidi" w:hAnsiTheme="majorBidi" w:cstheme="majorBidi"/>
                <w:sz w:val="16"/>
                <w:szCs w:val="16"/>
                <w:vertAlign w:val="superscript"/>
              </w:rPr>
              <w:t>c</w:t>
            </w:r>
            <w:proofErr w:type="gramEnd"/>
            <w:r w:rsidRPr="00F52232">
              <w:rPr>
                <w:rFonts w:asciiTheme="majorBidi" w:hAnsiTheme="majorBidi" w:cstheme="majorBidi"/>
                <w:sz w:val="16"/>
                <w:szCs w:val="16"/>
              </w:rPr>
              <w:t xml:space="preserve"> The average of the Consumer Price Index in the last quarter of the year compared with the average in the last quarter of the previous year.</w:t>
            </w:r>
          </w:p>
        </w:tc>
      </w:tr>
    </w:tbl>
    <w:p w14:paraId="7E508D40" w14:textId="77777777" w:rsidR="00D52059" w:rsidRDefault="00D52059" w:rsidP="00D52059">
      <w:pPr>
        <w:bidi w:val="0"/>
        <w:jc w:val="both"/>
      </w:pPr>
    </w:p>
    <w:p w14:paraId="26E94EE2" w14:textId="77777777" w:rsidR="00A21D01" w:rsidRDefault="00A21D01" w:rsidP="0087184F">
      <w:pPr>
        <w:numPr>
          <w:ilvl w:val="0"/>
          <w:numId w:val="9"/>
        </w:numPr>
        <w:bidi w:val="0"/>
        <w:spacing w:line="360" w:lineRule="auto"/>
        <w:ind w:left="357" w:hanging="357"/>
        <w:jc w:val="both"/>
        <w:rPr>
          <w:b/>
          <w:bCs/>
        </w:rPr>
      </w:pPr>
      <w:r w:rsidRPr="00D66FAE">
        <w:rPr>
          <w:b/>
          <w:bCs/>
        </w:rPr>
        <w:t>Real activity in</w:t>
      </w:r>
      <w:r w:rsidRPr="00D60117">
        <w:rPr>
          <w:b/>
          <w:bCs/>
        </w:rPr>
        <w:t xml:space="preserve"> Israel</w:t>
      </w:r>
    </w:p>
    <w:p w14:paraId="0861F03B" w14:textId="68D45D15" w:rsidR="00051A87" w:rsidRDefault="0045680E" w:rsidP="006B72C0">
      <w:pPr>
        <w:bidi w:val="0"/>
        <w:jc w:val="both"/>
      </w:pPr>
      <w:r>
        <w:rPr>
          <w:b/>
          <w:bCs/>
        </w:rPr>
        <w:t xml:space="preserve">In our assessment, </w:t>
      </w:r>
      <w:r w:rsidR="00323260" w:rsidRPr="005537E5">
        <w:rPr>
          <w:b/>
          <w:bCs/>
        </w:rPr>
        <w:t xml:space="preserve">GDP </w:t>
      </w:r>
      <w:r w:rsidR="00AE6BBB">
        <w:rPr>
          <w:b/>
          <w:bCs/>
        </w:rPr>
        <w:t>g</w:t>
      </w:r>
      <w:r w:rsidR="00323260" w:rsidRPr="005537E5">
        <w:rPr>
          <w:b/>
          <w:bCs/>
        </w:rPr>
        <w:t>r</w:t>
      </w:r>
      <w:r>
        <w:rPr>
          <w:b/>
          <w:bCs/>
        </w:rPr>
        <w:t>e</w:t>
      </w:r>
      <w:r w:rsidR="00323260" w:rsidRPr="005537E5">
        <w:rPr>
          <w:b/>
          <w:bCs/>
        </w:rPr>
        <w:t xml:space="preserve">w by </w:t>
      </w:r>
      <w:r w:rsidR="00EA41E8">
        <w:rPr>
          <w:b/>
          <w:bCs/>
        </w:rPr>
        <w:t>2.</w:t>
      </w:r>
      <w:r>
        <w:rPr>
          <w:b/>
          <w:bCs/>
        </w:rPr>
        <w:t>8</w:t>
      </w:r>
      <w:r w:rsidR="0055377E">
        <w:rPr>
          <w:b/>
          <w:bCs/>
        </w:rPr>
        <w:t xml:space="preserve"> percent</w:t>
      </w:r>
      <w:r w:rsidR="00AE6BBB">
        <w:rPr>
          <w:b/>
          <w:bCs/>
        </w:rPr>
        <w:t xml:space="preserve"> in</w:t>
      </w:r>
      <w:r w:rsidR="000003FE" w:rsidRPr="005537E5">
        <w:rPr>
          <w:b/>
          <w:bCs/>
        </w:rPr>
        <w:t xml:space="preserve"> 2025</w:t>
      </w:r>
      <w:r>
        <w:rPr>
          <w:b/>
          <w:bCs/>
        </w:rPr>
        <w:t>,</w:t>
      </w:r>
      <w:r w:rsidR="00AE6BBB">
        <w:rPr>
          <w:b/>
          <w:bCs/>
        </w:rPr>
        <w:t xml:space="preserve"> and</w:t>
      </w:r>
      <w:r>
        <w:rPr>
          <w:b/>
          <w:bCs/>
        </w:rPr>
        <w:t xml:space="preserve"> is expected to grow</w:t>
      </w:r>
      <w:r w:rsidR="00AE6BBB">
        <w:rPr>
          <w:b/>
          <w:bCs/>
        </w:rPr>
        <w:t xml:space="preserve"> by </w:t>
      </w:r>
      <w:r>
        <w:rPr>
          <w:b/>
          <w:bCs/>
        </w:rPr>
        <w:t>5.2</w:t>
      </w:r>
      <w:r w:rsidR="00AE6BBB">
        <w:rPr>
          <w:b/>
          <w:bCs/>
        </w:rPr>
        <w:t xml:space="preserve"> percent in 2026</w:t>
      </w:r>
      <w:r>
        <w:rPr>
          <w:b/>
          <w:bCs/>
        </w:rPr>
        <w:t xml:space="preserve"> and by 4.3 percent in 2027</w:t>
      </w:r>
      <w:r w:rsidR="00AE6BBB">
        <w:rPr>
          <w:b/>
          <w:bCs/>
        </w:rPr>
        <w:t xml:space="preserve"> </w:t>
      </w:r>
      <w:r w:rsidR="00AE6BBB">
        <w:t>(Table 1)</w:t>
      </w:r>
      <w:r w:rsidR="00226664">
        <w:t>.</w:t>
      </w:r>
      <w:r>
        <w:t xml:space="preserve"> The ceasefire that took hold earlier than assumed in the September 2025 forecast led to an earlier easing of supply constraints, mainly thanks to the release of reservists and their return to employment in the business sector.  Our </w:t>
      </w:r>
      <w:r>
        <w:lastRenderedPageBreak/>
        <w:t xml:space="preserve">assessment is that GDP and its components will gradually converge toward their long-term trend. Private consumption is expected to return to a moderate growth path (4.3 percent in 2026 in Q4 year-over-year terms) at a pace similar to that of GDP growth, following a relatively moderate impact at the beginning of the war.  Investments in the economy are expected to grow rapidly and to cross the original trend level, on the way to closing the capital stock gaps that were created in the business sector and in the housing market.  This process is expected </w:t>
      </w:r>
      <w:proofErr w:type="spellStart"/>
      <w:r>
        <w:t>top</w:t>
      </w:r>
      <w:proofErr w:type="spellEnd"/>
      <w:r>
        <w:t xml:space="preserve"> be supported by a recovery in the construction industry as the number of workers returns to its prewar level, and by increased investment in machinery and equipment as a replacement for the shortage of manpower (in view of the high marginal productivity of capital, partly due to the transition to construction of taller buildings).  In parallel, imports and exports are expected to increase their share of activity, similar to the long-term trend of increasing openness of the Israeli economy, while </w:t>
      </w:r>
      <w:r w:rsidR="00B727F3">
        <w:t>moderating</w:t>
      </w:r>
      <w:r>
        <w:t xml:space="preserve"> the decline in surplus exports thanks to an easing of supply constraints.  In contrast, public expenditure is expected to moderate after two years of </w:t>
      </w:r>
      <w:r w:rsidR="00B727F3">
        <w:t>high</w:t>
      </w:r>
      <w:r>
        <w:t xml:space="preserve"> war expenses, with a change in the mix toward civilian expenditures and </w:t>
      </w:r>
      <w:r w:rsidR="006B72C0">
        <w:t>moderation</w:t>
      </w:r>
      <w:r>
        <w:t xml:space="preserve"> of public consumption prices due to a decline in the volume of wage payments to reservists.</w:t>
      </w:r>
    </w:p>
    <w:p w14:paraId="18D0C4BB" w14:textId="4BB591C3" w:rsidR="00FD35C7" w:rsidRDefault="00FD35C7" w:rsidP="007B2F40">
      <w:pPr>
        <w:pStyle w:val="NormalWeb"/>
        <w:jc w:val="both"/>
      </w:pPr>
      <w:r w:rsidRPr="0063072B">
        <w:rPr>
          <w:b/>
          <w:bCs/>
        </w:rPr>
        <w:t>The s</w:t>
      </w:r>
      <w:r w:rsidRPr="00FD35C7">
        <w:rPr>
          <w:b/>
          <w:bCs/>
        </w:rPr>
        <w:t xml:space="preserve">tate budget deficit is expected to be </w:t>
      </w:r>
      <w:r w:rsidR="008C462B">
        <w:rPr>
          <w:b/>
          <w:bCs/>
        </w:rPr>
        <w:t>3.9</w:t>
      </w:r>
      <w:r w:rsidRPr="00FD35C7">
        <w:rPr>
          <w:b/>
          <w:bCs/>
        </w:rPr>
        <w:t xml:space="preserve"> percent of GDP in 202</w:t>
      </w:r>
      <w:r w:rsidR="008C462B">
        <w:rPr>
          <w:b/>
          <w:bCs/>
        </w:rPr>
        <w:t>6</w:t>
      </w:r>
      <w:r w:rsidRPr="00FD35C7">
        <w:rPr>
          <w:b/>
          <w:bCs/>
        </w:rPr>
        <w:t xml:space="preserve"> and </w:t>
      </w:r>
      <w:r w:rsidR="008C462B">
        <w:rPr>
          <w:b/>
          <w:bCs/>
        </w:rPr>
        <w:t>3.6</w:t>
      </w:r>
      <w:r w:rsidRPr="00FD35C7">
        <w:rPr>
          <w:b/>
          <w:bCs/>
        </w:rPr>
        <w:t xml:space="preserve"> percent of GDP in 202</w:t>
      </w:r>
      <w:r w:rsidR="008C462B">
        <w:rPr>
          <w:b/>
          <w:bCs/>
        </w:rPr>
        <w:t>7</w:t>
      </w:r>
      <w:r w:rsidRPr="00FD35C7">
        <w:rPr>
          <w:b/>
          <w:bCs/>
        </w:rPr>
        <w:t xml:space="preserve">. Public debt is projected to be </w:t>
      </w:r>
      <w:r w:rsidR="008C462B">
        <w:rPr>
          <w:b/>
          <w:bCs/>
        </w:rPr>
        <w:t>68.5</w:t>
      </w:r>
      <w:r w:rsidRPr="00FD35C7">
        <w:rPr>
          <w:b/>
          <w:bCs/>
        </w:rPr>
        <w:t xml:space="preserve"> percent of GDP in </w:t>
      </w:r>
      <w:r w:rsidR="0063072B">
        <w:rPr>
          <w:b/>
          <w:bCs/>
        </w:rPr>
        <w:t>each</w:t>
      </w:r>
      <w:r w:rsidRPr="00FD35C7">
        <w:rPr>
          <w:b/>
          <w:bCs/>
        </w:rPr>
        <w:t xml:space="preserve"> of </w:t>
      </w:r>
      <w:r w:rsidR="0063072B">
        <w:rPr>
          <w:b/>
          <w:bCs/>
        </w:rPr>
        <w:t>202</w:t>
      </w:r>
      <w:r w:rsidR="008C462B">
        <w:rPr>
          <w:b/>
          <w:bCs/>
        </w:rPr>
        <w:t>6</w:t>
      </w:r>
      <w:r w:rsidR="0063072B">
        <w:rPr>
          <w:b/>
          <w:bCs/>
        </w:rPr>
        <w:t xml:space="preserve"> and </w:t>
      </w:r>
      <w:r w:rsidRPr="00FD35C7">
        <w:rPr>
          <w:b/>
          <w:bCs/>
        </w:rPr>
        <w:t>202</w:t>
      </w:r>
      <w:r w:rsidR="008C462B">
        <w:rPr>
          <w:b/>
          <w:bCs/>
        </w:rPr>
        <w:t>7</w:t>
      </w:r>
      <w:r w:rsidRPr="00FD35C7">
        <w:rPr>
          <w:b/>
          <w:bCs/>
        </w:rPr>
        <w:t>.</w:t>
      </w:r>
      <w:r w:rsidR="00EF27B8">
        <w:t xml:space="preserve"> </w:t>
      </w:r>
      <w:r w:rsidR="008C462B">
        <w:t>T</w:t>
      </w:r>
      <w:r w:rsidR="00094F60">
        <w:t>he year 2026 beg</w:t>
      </w:r>
      <w:r w:rsidR="004A5916">
        <w:t>a</w:t>
      </w:r>
      <w:r w:rsidR="00094F60">
        <w:t>n</w:t>
      </w:r>
      <w:r w:rsidR="008C462B">
        <w:t xml:space="preserve"> with an interim budget</w:t>
      </w:r>
      <w:r w:rsidR="00094F60">
        <w:t xml:space="preserve"> that is expected to remain in place until March</w:t>
      </w:r>
      <w:r w:rsidR="0063072B">
        <w:t>.</w:t>
      </w:r>
      <w:r w:rsidR="008C462B">
        <w:t xml:space="preserve"> </w:t>
      </w:r>
      <w:r w:rsidR="006B72C0">
        <w:t>The working assumption in the forecast is</w:t>
      </w:r>
      <w:r w:rsidR="008C462B">
        <w:t xml:space="preserve"> that the budget will be approved by the end of the first quarter without significant changes relative to the framework that the government has already approved.  The forecast illustrates that without budgetary adjustments (tax increases or expenditure reductions), the debt to GDP ratio is not expected to decline.  The forecast deficit declined slightly as a result of the ceasefire that took effect earlier than expected in the previous forecast—a development that is leading to a larger reduction in the defense budget in 2026</w:t>
      </w:r>
      <w:r w:rsidR="007B2F40">
        <w:t>—assuming that the ceasefire continues—</w:t>
      </w:r>
      <w:r w:rsidR="008C462B">
        <w:t>and an increase in forecast revenues.</w:t>
      </w:r>
    </w:p>
    <w:p w14:paraId="2A7CBC84" w14:textId="77777777" w:rsidR="00A21D01" w:rsidRPr="005C08DC" w:rsidRDefault="00A21D01" w:rsidP="0086132E">
      <w:pPr>
        <w:numPr>
          <w:ilvl w:val="0"/>
          <w:numId w:val="9"/>
        </w:numPr>
        <w:bidi w:val="0"/>
        <w:spacing w:line="360" w:lineRule="auto"/>
        <w:ind w:left="357" w:hanging="357"/>
        <w:jc w:val="both"/>
        <w:rPr>
          <w:b/>
          <w:bCs/>
        </w:rPr>
      </w:pPr>
      <w:r w:rsidRPr="00422142">
        <w:rPr>
          <w:b/>
          <w:bCs/>
        </w:rPr>
        <w:t>Inflation and</w:t>
      </w:r>
      <w:r w:rsidRPr="007A06BA">
        <w:rPr>
          <w:b/>
          <w:bCs/>
        </w:rPr>
        <w:t xml:space="preserve"> int</w:t>
      </w:r>
      <w:r w:rsidRPr="005C08DC">
        <w:rPr>
          <w:b/>
          <w:bCs/>
        </w:rPr>
        <w:t xml:space="preserve">erest rates </w:t>
      </w:r>
    </w:p>
    <w:p w14:paraId="327176FF" w14:textId="438E5894" w:rsidR="00A345AE" w:rsidRDefault="000A661B" w:rsidP="00177DD6">
      <w:pPr>
        <w:pStyle w:val="NormalWeb"/>
        <w:jc w:val="both"/>
      </w:pPr>
      <w:r w:rsidRPr="000A661B">
        <w:rPr>
          <w:b/>
          <w:bCs/>
        </w:rPr>
        <w:t xml:space="preserve">The inflation rate over the four quarters ending in the </w:t>
      </w:r>
      <w:r w:rsidR="00A345AE">
        <w:rPr>
          <w:b/>
          <w:bCs/>
        </w:rPr>
        <w:t>fourth</w:t>
      </w:r>
      <w:r w:rsidRPr="000A661B">
        <w:rPr>
          <w:b/>
          <w:bCs/>
        </w:rPr>
        <w:t xml:space="preserve"> quarter of 2026</w:t>
      </w:r>
      <w:r w:rsidR="00A345AE">
        <w:rPr>
          <w:rStyle w:val="ac"/>
          <w:b/>
          <w:bCs/>
        </w:rPr>
        <w:footnoteReference w:id="3"/>
      </w:r>
      <w:r w:rsidRPr="000A661B">
        <w:rPr>
          <w:b/>
          <w:bCs/>
        </w:rPr>
        <w:t xml:space="preserve"> is expected to be </w:t>
      </w:r>
      <w:r w:rsidR="00A345AE">
        <w:rPr>
          <w:b/>
          <w:bCs/>
        </w:rPr>
        <w:t>1.7</w:t>
      </w:r>
      <w:r w:rsidRPr="000A661B">
        <w:rPr>
          <w:b/>
          <w:bCs/>
        </w:rPr>
        <w:t xml:space="preserve"> percent</w:t>
      </w:r>
      <w:r w:rsidR="00A345AE">
        <w:rPr>
          <w:b/>
          <w:bCs/>
        </w:rPr>
        <w:t>, and inflation in 2027 is expected to be 2.0 percent</w:t>
      </w:r>
      <w:r w:rsidRPr="000A661B">
        <w:rPr>
          <w:b/>
          <w:bCs/>
        </w:rPr>
        <w:t xml:space="preserve"> (Table 2).</w:t>
      </w:r>
      <w:r>
        <w:t xml:space="preserve"> </w:t>
      </w:r>
      <w:r w:rsidR="00A345AE">
        <w:t xml:space="preserve">Inflation during 2025 is expected to total 2.5 percent, compared with 3.0 percent in the September forecast, mainly due to the downward surprise in the September </w:t>
      </w:r>
      <w:r w:rsidR="00F44218">
        <w:t>CPI reading</w:t>
      </w:r>
      <w:r w:rsidR="00A345AE">
        <w:t xml:space="preserve">. The ceasefire that took effect one quarter earlier than our assessment in the September forecast means that the process of easing the supply constraints in the economy is brought forward, which, as stated, is expected to moderate excess demand and inflationary pressures.  In addition, Israel’s risk premium </w:t>
      </w:r>
      <w:r w:rsidR="008730D4">
        <w:t xml:space="preserve">and the spread on dollar yields </w:t>
      </w:r>
      <w:r w:rsidR="00A345AE">
        <w:t>declined</w:t>
      </w:r>
      <w:r w:rsidR="008730D4">
        <w:t xml:space="preserve">, and the shekel </w:t>
      </w:r>
      <w:r w:rsidR="00177DD6">
        <w:t>strengthened</w:t>
      </w:r>
      <w:r w:rsidR="008730D4">
        <w:t>.  This is in addition to the decline in oil prices and the low pace of inflation expected in advanced economies.  All of these are contributing to a moderation of the inflation environment, the entrenchment of inflation near the midpoint of the target range, and an expectation that the process of interest rate reductions that began with the November 2025 decision will continue.</w:t>
      </w:r>
    </w:p>
    <w:p w14:paraId="1088C79C" w14:textId="0BA546A2" w:rsidR="000A661B" w:rsidRDefault="000A661B" w:rsidP="008730D4">
      <w:pPr>
        <w:pStyle w:val="NormalWeb"/>
        <w:jc w:val="both"/>
      </w:pPr>
      <w:r w:rsidRPr="000A661B">
        <w:rPr>
          <w:b/>
          <w:bCs/>
        </w:rPr>
        <w:t>The</w:t>
      </w:r>
      <w:r w:rsidR="00677A3F">
        <w:rPr>
          <w:b/>
          <w:bCs/>
        </w:rPr>
        <w:t xml:space="preserve"> Bank of Israel</w:t>
      </w:r>
      <w:r w:rsidRPr="000A661B">
        <w:rPr>
          <w:b/>
          <w:bCs/>
        </w:rPr>
        <w:t xml:space="preserve"> interest rate is expected to average </w:t>
      </w:r>
      <w:r w:rsidR="00677A3F">
        <w:rPr>
          <w:b/>
          <w:bCs/>
        </w:rPr>
        <w:t>3.5</w:t>
      </w:r>
      <w:r w:rsidRPr="000A661B">
        <w:rPr>
          <w:b/>
          <w:bCs/>
        </w:rPr>
        <w:t xml:space="preserve"> percent in the </w:t>
      </w:r>
      <w:r w:rsidR="008730D4">
        <w:rPr>
          <w:b/>
          <w:bCs/>
        </w:rPr>
        <w:t>fourth</w:t>
      </w:r>
      <w:r w:rsidRPr="000A661B">
        <w:rPr>
          <w:b/>
          <w:bCs/>
        </w:rPr>
        <w:t xml:space="preserve"> quarter of 2026</w:t>
      </w:r>
      <w:r>
        <w:t xml:space="preserve"> (Table 2). This forecast reflects a gradual </w:t>
      </w:r>
      <w:r w:rsidR="008730D4">
        <w:t>decline</w:t>
      </w:r>
      <w:r>
        <w:t xml:space="preserve"> in the interest rate from its current level </w:t>
      </w:r>
      <w:r w:rsidR="00677A3F">
        <w:t xml:space="preserve">in accordance with </w:t>
      </w:r>
      <w:r>
        <w:t>the convergence of inflation to the</w:t>
      </w:r>
      <w:r w:rsidR="00677A3F">
        <w:t xml:space="preserve"> midpoint of the</w:t>
      </w:r>
      <w:r>
        <w:t xml:space="preserve"> target</w:t>
      </w:r>
      <w:r w:rsidR="00677A3F">
        <w:t xml:space="preserve"> range</w:t>
      </w:r>
      <w:r>
        <w:t>.</w:t>
      </w:r>
    </w:p>
    <w:p w14:paraId="593BE5DD" w14:textId="0C651FD6" w:rsidR="000A661B" w:rsidRDefault="000A661B" w:rsidP="002439E9">
      <w:pPr>
        <w:pStyle w:val="NormalWeb"/>
        <w:jc w:val="both"/>
        <w:rPr>
          <w:b/>
          <w:bCs/>
        </w:rPr>
      </w:pPr>
      <w:r w:rsidRPr="005946CC">
        <w:t xml:space="preserve">Table 2 </w:t>
      </w:r>
      <w:r w:rsidR="00F93D9D" w:rsidRPr="005946CC">
        <w:t>shows</w:t>
      </w:r>
      <w:r>
        <w:t xml:space="preserve"> that the Research Department</w:t>
      </w:r>
      <w:r w:rsidR="0086132E">
        <w:t>’</w:t>
      </w:r>
      <w:r>
        <w:t xml:space="preserve">s </w:t>
      </w:r>
      <w:r w:rsidR="002E13EC">
        <w:t xml:space="preserve">forecast for inflation in the next four quarters </w:t>
      </w:r>
      <w:r w:rsidR="002439E9">
        <w:t xml:space="preserve">is higher than the forecast derived from the capital market and lower than the private forecasters’ </w:t>
      </w:r>
      <w:r w:rsidR="002439E9">
        <w:lastRenderedPageBreak/>
        <w:t>average projections. The Research Department’s</w:t>
      </w:r>
      <w:r w:rsidR="008730D4">
        <w:t xml:space="preserve"> interest rate forecast for the next four quarters </w:t>
      </w:r>
      <w:r w:rsidR="002439E9">
        <w:t>is</w:t>
      </w:r>
      <w:r w:rsidR="002E13EC">
        <w:t xml:space="preserve"> </w:t>
      </w:r>
      <w:r w:rsidR="008730D4">
        <w:t>similar to</w:t>
      </w:r>
      <w:r>
        <w:t xml:space="preserve"> </w:t>
      </w:r>
      <w:r w:rsidR="002439E9">
        <w:t>the other projections</w:t>
      </w:r>
      <w:r w:rsidR="008730D4">
        <w:t>.</w:t>
      </w:r>
    </w:p>
    <w:p w14:paraId="367091CB" w14:textId="77777777" w:rsidR="000A661B" w:rsidRDefault="000A661B" w:rsidP="000A661B">
      <w:pPr>
        <w:bidi w:val="0"/>
        <w:jc w:val="both"/>
        <w:rPr>
          <w:b/>
          <w:bCs/>
        </w:rPr>
      </w:pPr>
    </w:p>
    <w:tbl>
      <w:tblPr>
        <w:tblW w:w="8233" w:type="dxa"/>
        <w:tblInd w:w="93" w:type="dxa"/>
        <w:tblLook w:val="04A0" w:firstRow="1" w:lastRow="0" w:firstColumn="1" w:lastColumn="0" w:noHBand="0" w:noVBand="1"/>
      </w:tblPr>
      <w:tblGrid>
        <w:gridCol w:w="2480"/>
        <w:gridCol w:w="2094"/>
        <w:gridCol w:w="1540"/>
        <w:gridCol w:w="2119"/>
      </w:tblGrid>
      <w:tr w:rsidR="00A21D01" w:rsidRPr="00B23575" w14:paraId="27357736" w14:textId="77777777" w:rsidTr="00211EF7">
        <w:trPr>
          <w:trHeight w:val="316"/>
          <w:tblHeader/>
        </w:trPr>
        <w:tc>
          <w:tcPr>
            <w:tcW w:w="8233" w:type="dxa"/>
            <w:gridSpan w:val="4"/>
            <w:tcBorders>
              <w:top w:val="nil"/>
              <w:left w:val="nil"/>
              <w:bottom w:val="nil"/>
              <w:right w:val="nil"/>
            </w:tcBorders>
            <w:shd w:val="clear" w:color="000000" w:fill="FFFFFF"/>
            <w:noWrap/>
            <w:vAlign w:val="center"/>
            <w:hideMark/>
          </w:tcPr>
          <w:p w14:paraId="32C0BD93" w14:textId="77777777" w:rsidR="00A21D01" w:rsidRPr="00F75C0A" w:rsidRDefault="002945D2" w:rsidP="00014365">
            <w:pPr>
              <w:bidi w:val="0"/>
              <w:rPr>
                <w:rFonts w:asciiTheme="majorBidi" w:hAnsiTheme="majorBidi" w:cstheme="majorBidi"/>
                <w:b/>
                <w:bCs/>
                <w:color w:val="0070C0"/>
              </w:rPr>
            </w:pPr>
            <w:r w:rsidRPr="00F75C0A">
              <w:rPr>
                <w:color w:val="0070C0"/>
              </w:rPr>
              <w:br w:type="page"/>
            </w:r>
            <w:r w:rsidR="00A21D01" w:rsidRPr="00F75C0A">
              <w:rPr>
                <w:rFonts w:asciiTheme="majorBidi" w:hAnsiTheme="majorBidi" w:cstheme="majorBidi"/>
                <w:b/>
                <w:bCs/>
                <w:color w:val="0070C0"/>
              </w:rPr>
              <w:t xml:space="preserve">Table </w:t>
            </w:r>
            <w:r w:rsidR="00E718CD">
              <w:rPr>
                <w:rFonts w:asciiTheme="majorBidi" w:hAnsiTheme="majorBidi" w:cstheme="majorBidi"/>
                <w:b/>
                <w:bCs/>
                <w:color w:val="0070C0"/>
              </w:rPr>
              <w:t>2</w:t>
            </w:r>
          </w:p>
        </w:tc>
      </w:tr>
      <w:tr w:rsidR="00A21D01" w:rsidRPr="00B23575" w14:paraId="1652CD54" w14:textId="77777777" w:rsidTr="00211EF7">
        <w:trPr>
          <w:trHeight w:val="316"/>
          <w:tblHeader/>
        </w:trPr>
        <w:tc>
          <w:tcPr>
            <w:tcW w:w="8233" w:type="dxa"/>
            <w:gridSpan w:val="4"/>
            <w:tcBorders>
              <w:top w:val="nil"/>
              <w:left w:val="nil"/>
              <w:bottom w:val="nil"/>
              <w:right w:val="nil"/>
            </w:tcBorders>
            <w:shd w:val="clear" w:color="000000" w:fill="FFFFFF"/>
            <w:noWrap/>
            <w:vAlign w:val="center"/>
            <w:hideMark/>
          </w:tcPr>
          <w:p w14:paraId="492B1F0B" w14:textId="77777777" w:rsidR="00A21D01" w:rsidRPr="00F75C0A" w:rsidRDefault="00453D2B" w:rsidP="00D62B59">
            <w:pPr>
              <w:bidi w:val="0"/>
              <w:rPr>
                <w:rFonts w:asciiTheme="majorBidi" w:hAnsiTheme="majorBidi" w:cstheme="majorBidi"/>
                <w:b/>
                <w:bCs/>
                <w:color w:val="0070C0"/>
              </w:rPr>
            </w:pPr>
            <w:r w:rsidRPr="00F75C0A">
              <w:rPr>
                <w:rFonts w:asciiTheme="majorBidi" w:hAnsiTheme="majorBidi" w:cstheme="majorBidi"/>
                <w:b/>
                <w:bCs/>
                <w:color w:val="0070C0"/>
              </w:rPr>
              <w:t>I</w:t>
            </w:r>
            <w:r w:rsidR="00A21D01" w:rsidRPr="00F75C0A">
              <w:rPr>
                <w:rFonts w:asciiTheme="majorBidi" w:hAnsiTheme="majorBidi" w:cstheme="majorBidi"/>
                <w:b/>
                <w:bCs/>
                <w:color w:val="0070C0"/>
              </w:rPr>
              <w:t xml:space="preserve">nflation </w:t>
            </w:r>
            <w:r w:rsidRPr="00F75C0A">
              <w:rPr>
                <w:rFonts w:asciiTheme="majorBidi" w:hAnsiTheme="majorBidi" w:cstheme="majorBidi"/>
                <w:b/>
                <w:bCs/>
                <w:color w:val="0070C0"/>
              </w:rPr>
              <w:t xml:space="preserve">forecast </w:t>
            </w:r>
            <w:r w:rsidR="00A21D01" w:rsidRPr="00F75C0A">
              <w:rPr>
                <w:rFonts w:asciiTheme="majorBidi" w:hAnsiTheme="majorBidi" w:cstheme="majorBidi"/>
                <w:b/>
                <w:bCs/>
                <w:color w:val="0070C0"/>
              </w:rPr>
              <w:t>for the coming year</w:t>
            </w:r>
            <w:r w:rsidR="00D62B59">
              <w:rPr>
                <w:rFonts w:asciiTheme="majorBidi" w:hAnsiTheme="majorBidi" w:cstheme="majorBidi"/>
                <w:b/>
                <w:bCs/>
                <w:color w:val="0070C0"/>
              </w:rPr>
              <w:t xml:space="preserve"> </w:t>
            </w:r>
            <w:r w:rsidR="00D62B59" w:rsidRPr="00F75C0A">
              <w:rPr>
                <w:rFonts w:asciiTheme="majorBidi" w:hAnsiTheme="majorBidi" w:cstheme="majorBidi"/>
                <w:b/>
                <w:bCs/>
                <w:color w:val="0070C0"/>
              </w:rPr>
              <w:t>and interest rate</w:t>
            </w:r>
            <w:r w:rsidR="00D62B59">
              <w:rPr>
                <w:rFonts w:asciiTheme="majorBidi" w:hAnsiTheme="majorBidi" w:cstheme="majorBidi"/>
                <w:b/>
                <w:bCs/>
                <w:color w:val="0070C0"/>
              </w:rPr>
              <w:t xml:space="preserve"> forecast for one year from now</w:t>
            </w:r>
          </w:p>
        </w:tc>
      </w:tr>
      <w:tr w:rsidR="00A21D01" w:rsidRPr="00B23575" w14:paraId="50D36D97" w14:textId="77777777" w:rsidTr="00211EF7">
        <w:trPr>
          <w:trHeight w:val="316"/>
          <w:tblHeader/>
        </w:trPr>
        <w:tc>
          <w:tcPr>
            <w:tcW w:w="8233" w:type="dxa"/>
            <w:gridSpan w:val="4"/>
            <w:tcBorders>
              <w:top w:val="nil"/>
              <w:left w:val="nil"/>
              <w:bottom w:val="single" w:sz="4" w:space="0" w:color="auto"/>
              <w:right w:val="nil"/>
            </w:tcBorders>
            <w:shd w:val="clear" w:color="000000" w:fill="FFFFFF"/>
            <w:noWrap/>
            <w:vAlign w:val="center"/>
            <w:hideMark/>
          </w:tcPr>
          <w:p w14:paraId="019BCB50" w14:textId="77777777" w:rsidR="00A21D01" w:rsidRPr="00F75C0A" w:rsidRDefault="00A21D01" w:rsidP="00211EF7">
            <w:pPr>
              <w:bidi w:val="0"/>
              <w:jc w:val="right"/>
              <w:rPr>
                <w:rFonts w:asciiTheme="majorBidi" w:hAnsiTheme="majorBidi" w:cstheme="majorBidi"/>
                <w:color w:val="0070C0"/>
                <w:sz w:val="22"/>
                <w:szCs w:val="22"/>
              </w:rPr>
            </w:pPr>
            <w:r w:rsidRPr="00F75C0A">
              <w:rPr>
                <w:rFonts w:asciiTheme="majorBidi" w:hAnsiTheme="majorBidi" w:cstheme="majorBidi"/>
                <w:color w:val="0070C0"/>
                <w:sz w:val="22"/>
                <w:szCs w:val="22"/>
              </w:rPr>
              <w:t>(percent)</w:t>
            </w:r>
          </w:p>
        </w:tc>
      </w:tr>
      <w:tr w:rsidR="00A21D01" w:rsidRPr="00B23575" w14:paraId="6F08B337" w14:textId="77777777" w:rsidTr="0044397B">
        <w:trPr>
          <w:trHeight w:val="683"/>
          <w:tblHeader/>
        </w:trPr>
        <w:tc>
          <w:tcPr>
            <w:tcW w:w="2480" w:type="dxa"/>
            <w:tcBorders>
              <w:top w:val="nil"/>
              <w:left w:val="nil"/>
              <w:bottom w:val="nil"/>
              <w:right w:val="nil"/>
            </w:tcBorders>
            <w:shd w:val="clear" w:color="000000" w:fill="FFFFFF"/>
            <w:vAlign w:val="center"/>
            <w:hideMark/>
          </w:tcPr>
          <w:p w14:paraId="5A20162B" w14:textId="77777777" w:rsidR="00A21D01" w:rsidRPr="00211EF7" w:rsidRDefault="00A21D01" w:rsidP="0044397B">
            <w:pPr>
              <w:bidi w:val="0"/>
              <w:jc w:val="center"/>
              <w:rPr>
                <w:rFonts w:asciiTheme="majorBidi" w:hAnsiTheme="majorBidi" w:cstheme="majorBidi"/>
              </w:rPr>
            </w:pPr>
          </w:p>
        </w:tc>
        <w:tc>
          <w:tcPr>
            <w:tcW w:w="2094" w:type="dxa"/>
            <w:tcBorders>
              <w:top w:val="nil"/>
              <w:left w:val="nil"/>
              <w:bottom w:val="nil"/>
              <w:right w:val="nil"/>
            </w:tcBorders>
            <w:shd w:val="clear" w:color="000000" w:fill="FFFFFF"/>
            <w:vAlign w:val="center"/>
            <w:hideMark/>
          </w:tcPr>
          <w:p w14:paraId="1BFF4C89" w14:textId="32F70915" w:rsidR="00A21D01" w:rsidRPr="00F93D9D" w:rsidRDefault="00A21D01" w:rsidP="0044397B">
            <w:pPr>
              <w:bidi w:val="0"/>
              <w:jc w:val="center"/>
              <w:rPr>
                <w:rFonts w:asciiTheme="majorBidi" w:hAnsiTheme="majorBidi" w:cstheme="majorBidi"/>
                <w:vertAlign w:val="superscript"/>
              </w:rPr>
            </w:pPr>
            <w:r w:rsidRPr="00211EF7">
              <w:rPr>
                <w:rFonts w:asciiTheme="majorBidi" w:hAnsiTheme="majorBidi" w:cstheme="majorBidi"/>
              </w:rPr>
              <w:t xml:space="preserve">Bank of Israel Research </w:t>
            </w:r>
            <w:proofErr w:type="spellStart"/>
            <w:r w:rsidRPr="00211EF7">
              <w:rPr>
                <w:rFonts w:asciiTheme="majorBidi" w:hAnsiTheme="majorBidi" w:cstheme="majorBidi"/>
              </w:rPr>
              <w:t>Department</w:t>
            </w:r>
            <w:r w:rsidR="00F93D9D">
              <w:rPr>
                <w:rFonts w:asciiTheme="majorBidi" w:hAnsiTheme="majorBidi" w:cstheme="majorBidi"/>
                <w:vertAlign w:val="superscript"/>
              </w:rPr>
              <w:t>a</w:t>
            </w:r>
            <w:proofErr w:type="spellEnd"/>
          </w:p>
        </w:tc>
        <w:tc>
          <w:tcPr>
            <w:tcW w:w="1540" w:type="dxa"/>
            <w:tcBorders>
              <w:top w:val="nil"/>
              <w:left w:val="nil"/>
              <w:bottom w:val="nil"/>
              <w:right w:val="nil"/>
            </w:tcBorders>
            <w:shd w:val="clear" w:color="000000" w:fill="FFFFFF"/>
            <w:vAlign w:val="center"/>
            <w:hideMark/>
          </w:tcPr>
          <w:p w14:paraId="2C27E03D" w14:textId="20F09656" w:rsidR="00A21D01" w:rsidRPr="00211EF7" w:rsidRDefault="00A21D01" w:rsidP="0044397B">
            <w:pPr>
              <w:bidi w:val="0"/>
              <w:jc w:val="center"/>
              <w:rPr>
                <w:rFonts w:asciiTheme="majorBidi" w:hAnsiTheme="majorBidi" w:cstheme="majorBidi"/>
              </w:rPr>
            </w:pPr>
            <w:r w:rsidRPr="00211EF7">
              <w:rPr>
                <w:rFonts w:asciiTheme="majorBidi" w:hAnsiTheme="majorBidi" w:cstheme="majorBidi"/>
              </w:rPr>
              <w:t xml:space="preserve">Capital </w:t>
            </w:r>
            <w:proofErr w:type="spellStart"/>
            <w:r w:rsidRPr="00211EF7">
              <w:rPr>
                <w:rFonts w:asciiTheme="majorBidi" w:hAnsiTheme="majorBidi" w:cstheme="majorBidi"/>
              </w:rPr>
              <w:t>markets</w:t>
            </w:r>
            <w:r w:rsidR="00F93D9D">
              <w:rPr>
                <w:rFonts w:asciiTheme="majorBidi" w:hAnsiTheme="majorBidi" w:cstheme="majorBidi"/>
                <w:vertAlign w:val="superscript"/>
              </w:rPr>
              <w:t>b</w:t>
            </w:r>
            <w:proofErr w:type="spellEnd"/>
          </w:p>
        </w:tc>
        <w:tc>
          <w:tcPr>
            <w:tcW w:w="2119" w:type="dxa"/>
            <w:tcBorders>
              <w:top w:val="nil"/>
              <w:left w:val="nil"/>
              <w:bottom w:val="nil"/>
              <w:right w:val="nil"/>
            </w:tcBorders>
            <w:shd w:val="clear" w:color="000000" w:fill="FFFFFF"/>
            <w:vAlign w:val="center"/>
            <w:hideMark/>
          </w:tcPr>
          <w:p w14:paraId="10D24E0B" w14:textId="02D9E8C6" w:rsidR="00A21D01" w:rsidRPr="00F93D9D" w:rsidRDefault="00A21D01" w:rsidP="0044397B">
            <w:pPr>
              <w:bidi w:val="0"/>
              <w:jc w:val="center"/>
              <w:rPr>
                <w:rFonts w:asciiTheme="majorBidi" w:hAnsiTheme="majorBidi" w:cstheme="majorBidi"/>
              </w:rPr>
            </w:pPr>
            <w:r w:rsidRPr="00211EF7">
              <w:rPr>
                <w:rFonts w:asciiTheme="majorBidi" w:hAnsiTheme="majorBidi" w:cstheme="majorBidi"/>
              </w:rPr>
              <w:t xml:space="preserve">Private </w:t>
            </w:r>
            <w:proofErr w:type="spellStart"/>
            <w:r w:rsidRPr="00211EF7">
              <w:rPr>
                <w:rFonts w:asciiTheme="majorBidi" w:hAnsiTheme="majorBidi" w:cstheme="majorBidi"/>
              </w:rPr>
              <w:t>forecasters</w:t>
            </w:r>
            <w:r w:rsidR="00F93D9D">
              <w:rPr>
                <w:rFonts w:asciiTheme="majorBidi" w:hAnsiTheme="majorBidi" w:cstheme="majorBidi"/>
                <w:vertAlign w:val="superscript"/>
              </w:rPr>
              <w:t>c</w:t>
            </w:r>
            <w:proofErr w:type="spellEnd"/>
            <w:r w:rsidR="00F93D9D">
              <w:rPr>
                <w:rFonts w:asciiTheme="majorBidi" w:hAnsiTheme="majorBidi" w:cstheme="majorBidi"/>
              </w:rPr>
              <w:t xml:space="preserve"> (range of forecasts)</w:t>
            </w:r>
          </w:p>
        </w:tc>
      </w:tr>
      <w:tr w:rsidR="00F53855" w:rsidRPr="00B23575" w14:paraId="2A7A5559" w14:textId="77777777" w:rsidTr="00BE556B">
        <w:trPr>
          <w:trHeight w:val="280"/>
          <w:tblHeader/>
        </w:trPr>
        <w:tc>
          <w:tcPr>
            <w:tcW w:w="2480" w:type="dxa"/>
            <w:tcBorders>
              <w:top w:val="single" w:sz="4" w:space="0" w:color="auto"/>
              <w:left w:val="nil"/>
              <w:bottom w:val="nil"/>
              <w:right w:val="nil"/>
            </w:tcBorders>
            <w:shd w:val="clear" w:color="auto" w:fill="auto"/>
            <w:vAlign w:val="center"/>
            <w:hideMark/>
          </w:tcPr>
          <w:p w14:paraId="3BD0402A" w14:textId="54408167" w:rsidR="00F53855" w:rsidRPr="00211EF7" w:rsidRDefault="00F53855" w:rsidP="00F93D9D">
            <w:pPr>
              <w:bidi w:val="0"/>
              <w:jc w:val="center"/>
              <w:rPr>
                <w:rFonts w:asciiTheme="majorBidi" w:hAnsiTheme="majorBidi" w:cstheme="majorBidi"/>
              </w:rPr>
            </w:pPr>
            <w:r w:rsidRPr="00211EF7">
              <w:rPr>
                <w:rFonts w:asciiTheme="majorBidi" w:hAnsiTheme="majorBidi" w:cstheme="majorBidi"/>
              </w:rPr>
              <w:t>Inflation rate</w:t>
            </w:r>
          </w:p>
        </w:tc>
        <w:tc>
          <w:tcPr>
            <w:tcW w:w="2094" w:type="dxa"/>
            <w:tcBorders>
              <w:top w:val="single" w:sz="4" w:space="0" w:color="auto"/>
              <w:left w:val="nil"/>
              <w:bottom w:val="nil"/>
              <w:right w:val="nil"/>
            </w:tcBorders>
            <w:shd w:val="clear" w:color="auto" w:fill="auto"/>
            <w:vAlign w:val="center"/>
          </w:tcPr>
          <w:p w14:paraId="3F3A5669" w14:textId="40CBA1CC" w:rsidR="00A2696D" w:rsidRPr="00211EF7" w:rsidRDefault="008730D4" w:rsidP="002E13EC">
            <w:pPr>
              <w:bidi w:val="0"/>
              <w:jc w:val="center"/>
              <w:rPr>
                <w:rFonts w:asciiTheme="majorBidi" w:hAnsiTheme="majorBidi" w:cstheme="majorBidi"/>
              </w:rPr>
            </w:pPr>
            <w:r>
              <w:rPr>
                <w:rFonts w:asciiTheme="majorBidi" w:hAnsiTheme="majorBidi" w:cstheme="majorBidi"/>
              </w:rPr>
              <w:t>1.7</w:t>
            </w:r>
          </w:p>
        </w:tc>
        <w:tc>
          <w:tcPr>
            <w:tcW w:w="1540" w:type="dxa"/>
            <w:tcBorders>
              <w:top w:val="single" w:sz="4" w:space="0" w:color="auto"/>
              <w:left w:val="nil"/>
              <w:bottom w:val="nil"/>
              <w:right w:val="nil"/>
            </w:tcBorders>
            <w:shd w:val="clear" w:color="auto" w:fill="auto"/>
            <w:vAlign w:val="center"/>
          </w:tcPr>
          <w:p w14:paraId="3C11DB1A" w14:textId="211FE101" w:rsidR="00F53855" w:rsidRPr="00211EF7" w:rsidRDefault="008730D4" w:rsidP="005946CC">
            <w:pPr>
              <w:bidi w:val="0"/>
              <w:jc w:val="center"/>
              <w:rPr>
                <w:rFonts w:asciiTheme="majorBidi" w:hAnsiTheme="majorBidi" w:cstheme="majorBidi"/>
              </w:rPr>
            </w:pPr>
            <w:r>
              <w:rPr>
                <w:rFonts w:asciiTheme="majorBidi" w:hAnsiTheme="majorBidi" w:cstheme="majorBidi"/>
              </w:rPr>
              <w:t>1.4</w:t>
            </w:r>
          </w:p>
        </w:tc>
        <w:tc>
          <w:tcPr>
            <w:tcW w:w="2119" w:type="dxa"/>
            <w:tcBorders>
              <w:top w:val="single" w:sz="4" w:space="0" w:color="auto"/>
              <w:left w:val="nil"/>
              <w:bottom w:val="nil"/>
              <w:right w:val="nil"/>
            </w:tcBorders>
            <w:shd w:val="clear" w:color="auto" w:fill="auto"/>
            <w:vAlign w:val="center"/>
          </w:tcPr>
          <w:p w14:paraId="140F4FF0" w14:textId="066964C7" w:rsidR="00F53855" w:rsidRPr="00211EF7" w:rsidRDefault="00EC32FA" w:rsidP="008730D4">
            <w:pPr>
              <w:bidi w:val="0"/>
              <w:jc w:val="center"/>
              <w:rPr>
                <w:rFonts w:asciiTheme="majorBidi" w:hAnsiTheme="majorBidi" w:cstheme="majorBidi"/>
              </w:rPr>
            </w:pPr>
            <w:r>
              <w:rPr>
                <w:rFonts w:asciiTheme="majorBidi" w:hAnsiTheme="majorBidi" w:cstheme="majorBidi"/>
              </w:rPr>
              <w:t>2.</w:t>
            </w:r>
            <w:r w:rsidR="008730D4">
              <w:rPr>
                <w:rFonts w:asciiTheme="majorBidi" w:hAnsiTheme="majorBidi" w:cstheme="majorBidi"/>
              </w:rPr>
              <w:t>0</w:t>
            </w:r>
          </w:p>
        </w:tc>
      </w:tr>
      <w:tr w:rsidR="00F53855" w:rsidRPr="00B23575" w14:paraId="7CA280C5" w14:textId="77777777" w:rsidTr="00BE556B">
        <w:trPr>
          <w:trHeight w:val="281"/>
          <w:tblHeader/>
        </w:trPr>
        <w:tc>
          <w:tcPr>
            <w:tcW w:w="2480" w:type="dxa"/>
            <w:tcBorders>
              <w:top w:val="nil"/>
              <w:left w:val="nil"/>
              <w:bottom w:val="single" w:sz="4" w:space="0" w:color="auto"/>
              <w:right w:val="nil"/>
            </w:tcBorders>
            <w:shd w:val="clear" w:color="auto" w:fill="auto"/>
            <w:vAlign w:val="center"/>
            <w:hideMark/>
          </w:tcPr>
          <w:p w14:paraId="322902C9" w14:textId="77777777" w:rsidR="00F53855" w:rsidRPr="00211EF7" w:rsidRDefault="00F53855" w:rsidP="0044397B">
            <w:pPr>
              <w:bidi w:val="0"/>
              <w:jc w:val="center"/>
              <w:rPr>
                <w:rFonts w:asciiTheme="majorBidi" w:hAnsiTheme="majorBidi" w:cstheme="majorBidi"/>
              </w:rPr>
            </w:pPr>
            <w:r w:rsidRPr="00211EF7">
              <w:rPr>
                <w:rFonts w:asciiTheme="majorBidi" w:hAnsiTheme="majorBidi" w:cstheme="majorBidi"/>
              </w:rPr>
              <w:t>(range of forecasts)</w:t>
            </w:r>
          </w:p>
        </w:tc>
        <w:tc>
          <w:tcPr>
            <w:tcW w:w="2094" w:type="dxa"/>
            <w:tcBorders>
              <w:top w:val="nil"/>
              <w:left w:val="nil"/>
              <w:bottom w:val="single" w:sz="4" w:space="0" w:color="auto"/>
              <w:right w:val="nil"/>
            </w:tcBorders>
            <w:shd w:val="clear" w:color="auto" w:fill="auto"/>
            <w:vAlign w:val="center"/>
          </w:tcPr>
          <w:p w14:paraId="6A5CAF7C" w14:textId="77777777" w:rsidR="00F53855" w:rsidRPr="00211EF7" w:rsidRDefault="00F53855" w:rsidP="0044397B">
            <w:pPr>
              <w:bidi w:val="0"/>
              <w:jc w:val="center"/>
              <w:rPr>
                <w:rFonts w:asciiTheme="majorBidi" w:hAnsiTheme="majorBidi" w:cstheme="majorBidi"/>
              </w:rPr>
            </w:pPr>
          </w:p>
        </w:tc>
        <w:tc>
          <w:tcPr>
            <w:tcW w:w="1540" w:type="dxa"/>
            <w:tcBorders>
              <w:top w:val="nil"/>
              <w:left w:val="nil"/>
              <w:bottom w:val="single" w:sz="4" w:space="0" w:color="auto"/>
              <w:right w:val="nil"/>
            </w:tcBorders>
            <w:shd w:val="clear" w:color="auto" w:fill="auto"/>
            <w:vAlign w:val="center"/>
          </w:tcPr>
          <w:p w14:paraId="00C5196B" w14:textId="77777777" w:rsidR="00F53855" w:rsidRPr="00211EF7" w:rsidRDefault="00F53855" w:rsidP="0044397B">
            <w:pPr>
              <w:bidi w:val="0"/>
              <w:jc w:val="center"/>
              <w:rPr>
                <w:rFonts w:asciiTheme="majorBidi" w:hAnsiTheme="majorBidi" w:cstheme="majorBidi"/>
              </w:rPr>
            </w:pPr>
          </w:p>
        </w:tc>
        <w:tc>
          <w:tcPr>
            <w:tcW w:w="2119" w:type="dxa"/>
            <w:tcBorders>
              <w:top w:val="nil"/>
              <w:left w:val="nil"/>
              <w:bottom w:val="nil"/>
              <w:right w:val="nil"/>
            </w:tcBorders>
            <w:shd w:val="clear" w:color="auto" w:fill="auto"/>
            <w:noWrap/>
            <w:vAlign w:val="center"/>
          </w:tcPr>
          <w:p w14:paraId="246CCA88" w14:textId="217C8E14" w:rsidR="00F53855" w:rsidRPr="00211EF7" w:rsidRDefault="000D5119" w:rsidP="008730D4">
            <w:pPr>
              <w:bidi w:val="0"/>
              <w:jc w:val="center"/>
              <w:rPr>
                <w:rFonts w:asciiTheme="majorBidi" w:hAnsiTheme="majorBidi" w:cstheme="majorBidi"/>
              </w:rPr>
            </w:pPr>
            <w:r>
              <w:rPr>
                <w:rFonts w:asciiTheme="majorBidi" w:hAnsiTheme="majorBidi" w:cstheme="majorBidi"/>
              </w:rPr>
              <w:t>(</w:t>
            </w:r>
            <w:r w:rsidR="00677A3F">
              <w:rPr>
                <w:rFonts w:asciiTheme="majorBidi" w:hAnsiTheme="majorBidi" w:cstheme="majorBidi"/>
              </w:rPr>
              <w:t>1.</w:t>
            </w:r>
            <w:r w:rsidR="008730D4">
              <w:rPr>
                <w:rFonts w:asciiTheme="majorBidi" w:hAnsiTheme="majorBidi" w:cstheme="majorBidi"/>
              </w:rPr>
              <w:t>5</w:t>
            </w:r>
            <w:r>
              <w:rPr>
                <w:rFonts w:asciiTheme="majorBidi" w:hAnsiTheme="majorBidi" w:cstheme="majorBidi"/>
              </w:rPr>
              <w:t>–</w:t>
            </w:r>
            <w:r w:rsidR="00677A3F">
              <w:rPr>
                <w:rFonts w:asciiTheme="majorBidi" w:hAnsiTheme="majorBidi" w:cstheme="majorBidi"/>
              </w:rPr>
              <w:t>2.</w:t>
            </w:r>
            <w:r w:rsidR="008730D4">
              <w:rPr>
                <w:rFonts w:asciiTheme="majorBidi" w:hAnsiTheme="majorBidi" w:cstheme="majorBidi"/>
              </w:rPr>
              <w:t>5</w:t>
            </w:r>
            <w:r>
              <w:rPr>
                <w:rFonts w:asciiTheme="majorBidi" w:hAnsiTheme="majorBidi" w:cstheme="majorBidi"/>
              </w:rPr>
              <w:t>)</w:t>
            </w:r>
          </w:p>
        </w:tc>
      </w:tr>
      <w:tr w:rsidR="00F53855" w:rsidRPr="00B23575" w14:paraId="50390345" w14:textId="77777777" w:rsidTr="004C2B26">
        <w:trPr>
          <w:trHeight w:val="274"/>
          <w:tblHeader/>
        </w:trPr>
        <w:tc>
          <w:tcPr>
            <w:tcW w:w="2480" w:type="dxa"/>
            <w:tcBorders>
              <w:top w:val="nil"/>
              <w:left w:val="nil"/>
              <w:bottom w:val="nil"/>
              <w:right w:val="nil"/>
            </w:tcBorders>
            <w:shd w:val="clear" w:color="auto" w:fill="auto"/>
            <w:vAlign w:val="center"/>
            <w:hideMark/>
          </w:tcPr>
          <w:p w14:paraId="01330835" w14:textId="23DB0028" w:rsidR="00F53855" w:rsidRPr="00211EF7" w:rsidRDefault="00F53855" w:rsidP="00F93D9D">
            <w:pPr>
              <w:bidi w:val="0"/>
              <w:jc w:val="center"/>
              <w:rPr>
                <w:rFonts w:asciiTheme="majorBidi" w:hAnsiTheme="majorBidi" w:cstheme="majorBidi"/>
              </w:rPr>
            </w:pPr>
            <w:r w:rsidRPr="00211EF7">
              <w:rPr>
                <w:rFonts w:asciiTheme="majorBidi" w:hAnsiTheme="majorBidi" w:cstheme="majorBidi"/>
              </w:rPr>
              <w:t>Interest rate</w:t>
            </w:r>
          </w:p>
        </w:tc>
        <w:tc>
          <w:tcPr>
            <w:tcW w:w="2094" w:type="dxa"/>
            <w:tcBorders>
              <w:top w:val="nil"/>
              <w:left w:val="nil"/>
              <w:bottom w:val="nil"/>
              <w:right w:val="nil"/>
            </w:tcBorders>
            <w:shd w:val="clear" w:color="auto" w:fill="auto"/>
            <w:vAlign w:val="center"/>
          </w:tcPr>
          <w:p w14:paraId="1DCE9413" w14:textId="0274F0C6" w:rsidR="00F53855" w:rsidRPr="00211EF7" w:rsidRDefault="00677A3F" w:rsidP="008730D4">
            <w:pPr>
              <w:bidi w:val="0"/>
              <w:jc w:val="center"/>
              <w:rPr>
                <w:rFonts w:asciiTheme="majorBidi" w:hAnsiTheme="majorBidi" w:cstheme="majorBidi"/>
              </w:rPr>
            </w:pPr>
            <w:r>
              <w:rPr>
                <w:rFonts w:asciiTheme="majorBidi" w:hAnsiTheme="majorBidi" w:cstheme="majorBidi"/>
              </w:rPr>
              <w:t>3.5</w:t>
            </w:r>
          </w:p>
        </w:tc>
        <w:tc>
          <w:tcPr>
            <w:tcW w:w="1540" w:type="dxa"/>
            <w:tcBorders>
              <w:top w:val="nil"/>
              <w:left w:val="nil"/>
              <w:bottom w:val="nil"/>
              <w:right w:val="nil"/>
            </w:tcBorders>
            <w:shd w:val="clear" w:color="auto" w:fill="auto"/>
            <w:vAlign w:val="center"/>
          </w:tcPr>
          <w:p w14:paraId="191366EF" w14:textId="01B4C16E" w:rsidR="004C2B26" w:rsidRPr="00211EF7" w:rsidRDefault="00871F11" w:rsidP="008730D4">
            <w:pPr>
              <w:bidi w:val="0"/>
              <w:jc w:val="center"/>
              <w:rPr>
                <w:rFonts w:asciiTheme="majorBidi" w:hAnsiTheme="majorBidi" w:cstheme="majorBidi"/>
              </w:rPr>
            </w:pPr>
            <w:r>
              <w:rPr>
                <w:rFonts w:asciiTheme="majorBidi" w:hAnsiTheme="majorBidi" w:cstheme="majorBidi"/>
              </w:rPr>
              <w:t>3.</w:t>
            </w:r>
            <w:r w:rsidR="008730D4">
              <w:rPr>
                <w:rFonts w:asciiTheme="majorBidi" w:hAnsiTheme="majorBidi" w:cstheme="majorBidi"/>
              </w:rPr>
              <w:t>5</w:t>
            </w:r>
          </w:p>
        </w:tc>
        <w:tc>
          <w:tcPr>
            <w:tcW w:w="2119" w:type="dxa"/>
            <w:tcBorders>
              <w:top w:val="single" w:sz="4" w:space="0" w:color="auto"/>
              <w:left w:val="nil"/>
              <w:bottom w:val="nil"/>
              <w:right w:val="nil"/>
            </w:tcBorders>
            <w:shd w:val="clear" w:color="auto" w:fill="auto"/>
            <w:vAlign w:val="center"/>
            <w:hideMark/>
          </w:tcPr>
          <w:p w14:paraId="1860AF7D" w14:textId="326BF075" w:rsidR="00F53855" w:rsidRPr="00211EF7" w:rsidRDefault="00EC32FA" w:rsidP="008730D4">
            <w:pPr>
              <w:bidi w:val="0"/>
              <w:jc w:val="center"/>
              <w:rPr>
                <w:rFonts w:asciiTheme="majorBidi" w:hAnsiTheme="majorBidi" w:cstheme="majorBidi"/>
                <w:rtl/>
              </w:rPr>
            </w:pPr>
            <w:r>
              <w:rPr>
                <w:rFonts w:asciiTheme="majorBidi" w:hAnsiTheme="majorBidi" w:cstheme="majorBidi"/>
              </w:rPr>
              <w:t>3.</w:t>
            </w:r>
            <w:r w:rsidR="008730D4">
              <w:rPr>
                <w:rFonts w:asciiTheme="majorBidi" w:hAnsiTheme="majorBidi" w:cstheme="majorBidi"/>
              </w:rPr>
              <w:t>5</w:t>
            </w:r>
          </w:p>
        </w:tc>
      </w:tr>
      <w:tr w:rsidR="00F53855" w:rsidRPr="00B23575" w14:paraId="67D96607" w14:textId="77777777" w:rsidTr="000D5119">
        <w:trPr>
          <w:trHeight w:val="238"/>
          <w:tblHeader/>
        </w:trPr>
        <w:tc>
          <w:tcPr>
            <w:tcW w:w="2480" w:type="dxa"/>
            <w:tcBorders>
              <w:top w:val="nil"/>
              <w:left w:val="nil"/>
              <w:bottom w:val="single" w:sz="4" w:space="0" w:color="auto"/>
              <w:right w:val="nil"/>
            </w:tcBorders>
            <w:shd w:val="clear" w:color="auto" w:fill="auto"/>
            <w:vAlign w:val="center"/>
            <w:hideMark/>
          </w:tcPr>
          <w:p w14:paraId="363F60BF" w14:textId="77777777" w:rsidR="00F53855" w:rsidRPr="00211EF7" w:rsidRDefault="00F53855" w:rsidP="0044397B">
            <w:pPr>
              <w:bidi w:val="0"/>
              <w:jc w:val="center"/>
              <w:rPr>
                <w:rFonts w:asciiTheme="majorBidi" w:hAnsiTheme="majorBidi" w:cstheme="majorBidi"/>
              </w:rPr>
            </w:pPr>
            <w:r w:rsidRPr="00211EF7">
              <w:rPr>
                <w:rFonts w:asciiTheme="majorBidi" w:hAnsiTheme="majorBidi" w:cstheme="majorBidi"/>
              </w:rPr>
              <w:t>(range of forecasts)</w:t>
            </w:r>
          </w:p>
        </w:tc>
        <w:tc>
          <w:tcPr>
            <w:tcW w:w="2094" w:type="dxa"/>
            <w:tcBorders>
              <w:top w:val="nil"/>
              <w:left w:val="nil"/>
              <w:bottom w:val="single" w:sz="4" w:space="0" w:color="auto"/>
              <w:right w:val="nil"/>
            </w:tcBorders>
            <w:shd w:val="clear" w:color="auto" w:fill="auto"/>
            <w:vAlign w:val="center"/>
            <w:hideMark/>
          </w:tcPr>
          <w:p w14:paraId="386F461F" w14:textId="77777777" w:rsidR="00F53855" w:rsidRPr="00211EF7" w:rsidRDefault="00F53855" w:rsidP="0044397B">
            <w:pPr>
              <w:bidi w:val="0"/>
              <w:jc w:val="center"/>
              <w:rPr>
                <w:rFonts w:asciiTheme="majorBidi" w:hAnsiTheme="majorBidi" w:cstheme="majorBidi"/>
              </w:rPr>
            </w:pPr>
          </w:p>
        </w:tc>
        <w:tc>
          <w:tcPr>
            <w:tcW w:w="1540" w:type="dxa"/>
            <w:tcBorders>
              <w:top w:val="nil"/>
              <w:left w:val="nil"/>
              <w:bottom w:val="single" w:sz="4" w:space="0" w:color="auto"/>
              <w:right w:val="nil"/>
            </w:tcBorders>
            <w:shd w:val="clear" w:color="auto" w:fill="auto"/>
            <w:vAlign w:val="center"/>
            <w:hideMark/>
          </w:tcPr>
          <w:p w14:paraId="1FE1D8B9" w14:textId="77777777" w:rsidR="00F53855" w:rsidRPr="00211EF7" w:rsidRDefault="00F53855" w:rsidP="0044397B">
            <w:pPr>
              <w:bidi w:val="0"/>
              <w:jc w:val="center"/>
              <w:rPr>
                <w:rFonts w:asciiTheme="majorBidi" w:hAnsiTheme="majorBidi" w:cstheme="majorBidi"/>
              </w:rPr>
            </w:pPr>
          </w:p>
        </w:tc>
        <w:tc>
          <w:tcPr>
            <w:tcW w:w="2119" w:type="dxa"/>
            <w:tcBorders>
              <w:top w:val="nil"/>
              <w:left w:val="nil"/>
              <w:bottom w:val="single" w:sz="4" w:space="0" w:color="auto"/>
              <w:right w:val="nil"/>
            </w:tcBorders>
            <w:shd w:val="clear" w:color="auto" w:fill="auto"/>
            <w:noWrap/>
            <w:vAlign w:val="center"/>
            <w:hideMark/>
          </w:tcPr>
          <w:p w14:paraId="3643F34B" w14:textId="19348218" w:rsidR="00F53855" w:rsidRPr="00211EF7" w:rsidRDefault="00F53855" w:rsidP="008730D4">
            <w:pPr>
              <w:bidi w:val="0"/>
              <w:jc w:val="center"/>
              <w:rPr>
                <w:rFonts w:asciiTheme="majorBidi" w:hAnsiTheme="majorBidi" w:cstheme="majorBidi"/>
              </w:rPr>
            </w:pPr>
            <w:r w:rsidRPr="00211EF7">
              <w:rPr>
                <w:rFonts w:asciiTheme="majorBidi" w:hAnsiTheme="majorBidi" w:cstheme="majorBidi"/>
              </w:rPr>
              <w:t>(</w:t>
            </w:r>
            <w:r w:rsidR="00EC32FA">
              <w:rPr>
                <w:rFonts w:asciiTheme="majorBidi" w:hAnsiTheme="majorBidi" w:cstheme="majorBidi"/>
              </w:rPr>
              <w:t>3.</w:t>
            </w:r>
            <w:r w:rsidR="002E13EC">
              <w:rPr>
                <w:rFonts w:asciiTheme="majorBidi" w:hAnsiTheme="majorBidi" w:cstheme="majorBidi"/>
              </w:rPr>
              <w:t>25</w:t>
            </w:r>
            <w:r w:rsidR="00A2696D">
              <w:rPr>
                <w:rFonts w:asciiTheme="majorBidi" w:hAnsiTheme="majorBidi" w:cstheme="majorBidi"/>
              </w:rPr>
              <w:t>–</w:t>
            </w:r>
            <w:r w:rsidR="008730D4">
              <w:rPr>
                <w:rFonts w:asciiTheme="majorBidi" w:hAnsiTheme="majorBidi" w:cstheme="majorBidi"/>
              </w:rPr>
              <w:t>3.75</w:t>
            </w:r>
            <w:r w:rsidR="001C55F7">
              <w:rPr>
                <w:rFonts w:asciiTheme="majorBidi" w:hAnsiTheme="majorBidi" w:cstheme="majorBidi"/>
              </w:rPr>
              <w:t>)</w:t>
            </w:r>
          </w:p>
        </w:tc>
      </w:tr>
      <w:tr w:rsidR="00A21D01" w:rsidRPr="00B23575" w14:paraId="79FE25C5" w14:textId="77777777" w:rsidTr="00A21D01">
        <w:trPr>
          <w:trHeight w:val="257"/>
          <w:tblHeader/>
        </w:trPr>
        <w:tc>
          <w:tcPr>
            <w:tcW w:w="8233" w:type="dxa"/>
            <w:gridSpan w:val="4"/>
            <w:tcBorders>
              <w:top w:val="nil"/>
              <w:left w:val="nil"/>
              <w:bottom w:val="nil"/>
              <w:right w:val="nil"/>
            </w:tcBorders>
            <w:shd w:val="clear" w:color="auto" w:fill="auto"/>
            <w:hideMark/>
          </w:tcPr>
          <w:p w14:paraId="7B7E2DE2" w14:textId="3E51C679" w:rsidR="00F93D9D" w:rsidRDefault="00F93D9D" w:rsidP="008730D4">
            <w:pPr>
              <w:pStyle w:val="af3"/>
              <w:numPr>
                <w:ilvl w:val="0"/>
                <w:numId w:val="11"/>
              </w:numPr>
              <w:bidi w:val="0"/>
              <w:rPr>
                <w:rFonts w:asciiTheme="majorBidi" w:hAnsiTheme="majorBidi" w:cstheme="majorBidi"/>
                <w:sz w:val="20"/>
                <w:szCs w:val="20"/>
              </w:rPr>
            </w:pPr>
            <w:r>
              <w:rPr>
                <w:rFonts w:asciiTheme="majorBidi" w:hAnsiTheme="majorBidi" w:cstheme="majorBidi"/>
                <w:sz w:val="20"/>
                <w:szCs w:val="20"/>
              </w:rPr>
              <w:t xml:space="preserve">The inflation rate during the four quarters ending in the </w:t>
            </w:r>
            <w:r w:rsidR="008730D4">
              <w:rPr>
                <w:rFonts w:asciiTheme="majorBidi" w:hAnsiTheme="majorBidi" w:cstheme="majorBidi"/>
                <w:sz w:val="20"/>
                <w:szCs w:val="20"/>
              </w:rPr>
              <w:t>fourth</w:t>
            </w:r>
            <w:r>
              <w:rPr>
                <w:rFonts w:asciiTheme="majorBidi" w:hAnsiTheme="majorBidi" w:cstheme="majorBidi"/>
                <w:sz w:val="20"/>
                <w:szCs w:val="20"/>
              </w:rPr>
              <w:t xml:space="preserve"> quarter of 2026, and the average interest rate in the </w:t>
            </w:r>
            <w:r w:rsidR="008730D4">
              <w:rPr>
                <w:rFonts w:asciiTheme="majorBidi" w:hAnsiTheme="majorBidi" w:cstheme="majorBidi"/>
                <w:sz w:val="20"/>
                <w:szCs w:val="20"/>
              </w:rPr>
              <w:t>fourth</w:t>
            </w:r>
            <w:r>
              <w:rPr>
                <w:rFonts w:asciiTheme="majorBidi" w:hAnsiTheme="majorBidi" w:cstheme="majorBidi"/>
                <w:sz w:val="20"/>
                <w:szCs w:val="20"/>
              </w:rPr>
              <w:t xml:space="preserve"> quarter of 2026.</w:t>
            </w:r>
          </w:p>
          <w:p w14:paraId="1A2BF5F5" w14:textId="38A8DFE7" w:rsidR="00446B32" w:rsidRPr="007A06BA" w:rsidRDefault="00F93D9D" w:rsidP="008730D4">
            <w:pPr>
              <w:pStyle w:val="af3"/>
              <w:numPr>
                <w:ilvl w:val="0"/>
                <w:numId w:val="11"/>
              </w:numPr>
              <w:bidi w:val="0"/>
              <w:rPr>
                <w:rFonts w:asciiTheme="majorBidi" w:hAnsiTheme="majorBidi" w:cstheme="majorBidi"/>
                <w:sz w:val="20"/>
                <w:szCs w:val="20"/>
              </w:rPr>
            </w:pPr>
            <w:r>
              <w:rPr>
                <w:rFonts w:asciiTheme="majorBidi" w:hAnsiTheme="majorBidi" w:cstheme="majorBidi"/>
                <w:sz w:val="20"/>
                <w:szCs w:val="20"/>
              </w:rPr>
              <w:t>A</w:t>
            </w:r>
            <w:r w:rsidR="00862770" w:rsidRPr="007A06BA">
              <w:rPr>
                <w:rFonts w:asciiTheme="majorBidi" w:hAnsiTheme="majorBidi" w:cstheme="majorBidi"/>
                <w:sz w:val="20"/>
                <w:szCs w:val="20"/>
              </w:rPr>
              <w:t xml:space="preserve">s of </w:t>
            </w:r>
            <w:r w:rsidR="008730D4">
              <w:rPr>
                <w:rFonts w:asciiTheme="majorBidi" w:hAnsiTheme="majorBidi" w:cstheme="majorBidi"/>
                <w:sz w:val="20"/>
                <w:szCs w:val="20"/>
              </w:rPr>
              <w:t>January 1, 2026</w:t>
            </w:r>
            <w:r w:rsidR="005650EE" w:rsidRPr="007A06BA">
              <w:rPr>
                <w:rFonts w:asciiTheme="majorBidi" w:hAnsiTheme="majorBidi" w:cstheme="majorBidi"/>
                <w:sz w:val="20"/>
                <w:szCs w:val="20"/>
              </w:rPr>
              <w:t>.</w:t>
            </w:r>
            <w:r>
              <w:rPr>
                <w:rFonts w:asciiTheme="majorBidi" w:hAnsiTheme="majorBidi" w:cstheme="majorBidi"/>
                <w:sz w:val="20"/>
                <w:szCs w:val="20"/>
              </w:rPr>
              <w:t xml:space="preserve"> Inflation expectations are seasonally adjusted and </w:t>
            </w:r>
            <w:r w:rsidR="008730D4">
              <w:rPr>
                <w:rFonts w:asciiTheme="majorBidi" w:hAnsiTheme="majorBidi" w:cstheme="majorBidi"/>
                <w:sz w:val="20"/>
                <w:szCs w:val="20"/>
              </w:rPr>
              <w:t>relate to one year forward from January 1, 2026. I</w:t>
            </w:r>
            <w:r>
              <w:rPr>
                <w:rFonts w:asciiTheme="majorBidi" w:hAnsiTheme="majorBidi" w:cstheme="majorBidi"/>
                <w:sz w:val="20"/>
                <w:szCs w:val="20"/>
              </w:rPr>
              <w:t xml:space="preserve">nterest rate expectations are based on </w:t>
            </w:r>
            <w:r w:rsidR="00E57458">
              <w:rPr>
                <w:rFonts w:asciiTheme="majorBidi" w:hAnsiTheme="majorBidi" w:cstheme="majorBidi"/>
                <w:sz w:val="20"/>
                <w:szCs w:val="20"/>
              </w:rPr>
              <w:t xml:space="preserve">the Bank of Israel’s analysis of </w:t>
            </w:r>
            <w:r>
              <w:rPr>
                <w:rFonts w:asciiTheme="majorBidi" w:hAnsiTheme="majorBidi" w:cstheme="majorBidi"/>
                <w:sz w:val="20"/>
                <w:szCs w:val="20"/>
              </w:rPr>
              <w:t xml:space="preserve">the </w:t>
            </w:r>
            <w:r w:rsidR="00410812">
              <w:rPr>
                <w:rFonts w:asciiTheme="majorBidi" w:hAnsiTheme="majorBidi" w:cstheme="majorBidi"/>
                <w:sz w:val="20"/>
                <w:szCs w:val="20"/>
              </w:rPr>
              <w:t xml:space="preserve">average quotes </w:t>
            </w:r>
            <w:r w:rsidR="00817D4A">
              <w:rPr>
                <w:rFonts w:asciiTheme="majorBidi" w:hAnsiTheme="majorBidi" w:cstheme="majorBidi"/>
                <w:sz w:val="20"/>
                <w:szCs w:val="20"/>
              </w:rPr>
              <w:t>from the SHIR market</w:t>
            </w:r>
            <w:r>
              <w:rPr>
                <w:rFonts w:asciiTheme="majorBidi" w:hAnsiTheme="majorBidi" w:cstheme="majorBidi"/>
                <w:sz w:val="20"/>
                <w:szCs w:val="20"/>
              </w:rPr>
              <w:t>.</w:t>
            </w:r>
          </w:p>
          <w:p w14:paraId="20A87786" w14:textId="5C0EA5F5" w:rsidR="007A06BA" w:rsidRPr="00F93D9D" w:rsidRDefault="00F93D9D" w:rsidP="00C215C7">
            <w:pPr>
              <w:pStyle w:val="af3"/>
              <w:numPr>
                <w:ilvl w:val="0"/>
                <w:numId w:val="11"/>
              </w:numPr>
              <w:bidi w:val="0"/>
              <w:rPr>
                <w:rFonts w:asciiTheme="majorBidi" w:hAnsiTheme="majorBidi" w:cstheme="majorBidi"/>
                <w:sz w:val="20"/>
                <w:szCs w:val="20"/>
              </w:rPr>
            </w:pPr>
            <w:r>
              <w:rPr>
                <w:rFonts w:asciiTheme="majorBidi" w:hAnsiTheme="majorBidi" w:cstheme="majorBidi"/>
                <w:sz w:val="20"/>
                <w:szCs w:val="20"/>
              </w:rPr>
              <w:t>A</w:t>
            </w:r>
            <w:r w:rsidR="007A06BA">
              <w:rPr>
                <w:rFonts w:asciiTheme="majorBidi" w:hAnsiTheme="majorBidi" w:cstheme="majorBidi"/>
                <w:sz w:val="20"/>
                <w:szCs w:val="20"/>
              </w:rPr>
              <w:t xml:space="preserve">s of </w:t>
            </w:r>
            <w:r w:rsidR="008730D4">
              <w:rPr>
                <w:rFonts w:asciiTheme="majorBidi" w:hAnsiTheme="majorBidi" w:cstheme="majorBidi"/>
                <w:sz w:val="20"/>
                <w:szCs w:val="20"/>
              </w:rPr>
              <w:t>January 1, 2026</w:t>
            </w:r>
            <w:r w:rsidR="007A06BA">
              <w:rPr>
                <w:rFonts w:asciiTheme="majorBidi" w:hAnsiTheme="majorBidi" w:cstheme="majorBidi"/>
                <w:sz w:val="20"/>
                <w:szCs w:val="20"/>
              </w:rPr>
              <w:t>.</w:t>
            </w:r>
            <w:r w:rsidR="004B7FE3">
              <w:rPr>
                <w:rFonts w:asciiTheme="majorBidi" w:hAnsiTheme="majorBidi" w:cstheme="majorBidi"/>
                <w:sz w:val="20"/>
                <w:szCs w:val="20"/>
              </w:rPr>
              <w:t xml:space="preserve">  The forecasters’ projections relate to the coming 12 index readings.</w:t>
            </w:r>
          </w:p>
        </w:tc>
      </w:tr>
      <w:tr w:rsidR="00A21D01" w:rsidRPr="00B23575" w14:paraId="184B4910" w14:textId="77777777" w:rsidTr="00A21D01">
        <w:trPr>
          <w:trHeight w:val="445"/>
          <w:tblHeader/>
        </w:trPr>
        <w:tc>
          <w:tcPr>
            <w:tcW w:w="8233" w:type="dxa"/>
            <w:gridSpan w:val="4"/>
            <w:tcBorders>
              <w:top w:val="nil"/>
              <w:left w:val="nil"/>
              <w:bottom w:val="nil"/>
              <w:right w:val="nil"/>
            </w:tcBorders>
            <w:shd w:val="clear" w:color="auto" w:fill="auto"/>
            <w:hideMark/>
          </w:tcPr>
          <w:p w14:paraId="4C84A8C4" w14:textId="77777777" w:rsidR="00FE6484" w:rsidRPr="00B23575" w:rsidRDefault="00FE6484" w:rsidP="00FE6484">
            <w:pPr>
              <w:bidi w:val="0"/>
              <w:rPr>
                <w:rFonts w:asciiTheme="majorBidi" w:hAnsiTheme="majorBidi" w:cstheme="majorBidi"/>
                <w:sz w:val="20"/>
                <w:szCs w:val="20"/>
                <w:rtl/>
              </w:rPr>
            </w:pPr>
            <w:r>
              <w:rPr>
                <w:rFonts w:asciiTheme="majorBidi" w:hAnsiTheme="majorBidi" w:cstheme="majorBidi"/>
                <w:sz w:val="20"/>
                <w:szCs w:val="20"/>
              </w:rPr>
              <w:t>SOURCE: Bank of Israel.</w:t>
            </w:r>
          </w:p>
        </w:tc>
      </w:tr>
    </w:tbl>
    <w:p w14:paraId="1B3EA6D5" w14:textId="77777777" w:rsidR="00D211EC" w:rsidRDefault="00D211EC" w:rsidP="009335C7">
      <w:pPr>
        <w:bidi w:val="0"/>
        <w:jc w:val="both"/>
        <w:rPr>
          <w:b/>
          <w:bCs/>
        </w:rPr>
      </w:pPr>
    </w:p>
    <w:p w14:paraId="6BD73EDD" w14:textId="77777777" w:rsidR="007A06BA" w:rsidRDefault="007A06BA" w:rsidP="007A06BA">
      <w:pPr>
        <w:bidi w:val="0"/>
        <w:spacing w:line="300" w:lineRule="exact"/>
        <w:jc w:val="both"/>
      </w:pPr>
    </w:p>
    <w:p w14:paraId="1B6C9E83" w14:textId="77777777" w:rsidR="00A21D01" w:rsidRPr="00CD2FC5" w:rsidRDefault="006648AB" w:rsidP="00202CCB">
      <w:pPr>
        <w:numPr>
          <w:ilvl w:val="0"/>
          <w:numId w:val="9"/>
        </w:numPr>
        <w:bidi w:val="0"/>
        <w:spacing w:line="360" w:lineRule="auto"/>
        <w:ind w:left="357" w:hanging="357"/>
        <w:jc w:val="both"/>
        <w:rPr>
          <w:b/>
          <w:bCs/>
        </w:rPr>
      </w:pPr>
      <w:r w:rsidRPr="00764EAD">
        <w:rPr>
          <w:b/>
          <w:bCs/>
        </w:rPr>
        <w:t>Main r</w:t>
      </w:r>
      <w:r w:rsidR="00A21D01" w:rsidRPr="00764EAD">
        <w:rPr>
          <w:b/>
          <w:bCs/>
        </w:rPr>
        <w:t xml:space="preserve">isks </w:t>
      </w:r>
      <w:r w:rsidR="00202CCB" w:rsidRPr="00764EAD">
        <w:rPr>
          <w:b/>
          <w:bCs/>
        </w:rPr>
        <w:t>to</w:t>
      </w:r>
      <w:r w:rsidR="00202CCB">
        <w:rPr>
          <w:b/>
          <w:bCs/>
        </w:rPr>
        <w:t xml:space="preserve"> </w:t>
      </w:r>
      <w:r w:rsidR="00A21D01">
        <w:rPr>
          <w:b/>
          <w:bCs/>
        </w:rPr>
        <w:t>the forecast</w:t>
      </w:r>
    </w:p>
    <w:p w14:paraId="3109DA29" w14:textId="77777777" w:rsidR="00FF22EB" w:rsidRDefault="00FF22EB" w:rsidP="00425B3F">
      <w:pPr>
        <w:bidi w:val="0"/>
        <w:jc w:val="both"/>
      </w:pPr>
    </w:p>
    <w:p w14:paraId="60418114" w14:textId="71C1D2EE" w:rsidR="00A75CBA" w:rsidRDefault="009E7277" w:rsidP="009E7277">
      <w:pPr>
        <w:bidi w:val="0"/>
        <w:jc w:val="both"/>
        <w:rPr>
          <w:rtl/>
        </w:rPr>
      </w:pPr>
      <w:r>
        <w:t xml:space="preserve">The level of uncertainty surrounding the forecast has declined following the ceasefire, but the balance of risks remains complex.  On one side, there is the possibility of a rapid expansion of demand beyond the baseline assessments, which would lead to an acceleration of inflation in view of the tight labor market and the shortage of workers.  On the other, geopolitical risks remain bidirectional.  While a return to intense combat poses a main threat to </w:t>
      </w:r>
      <w:r w:rsidR="007B2F40">
        <w:t xml:space="preserve">price </w:t>
      </w:r>
      <w:r>
        <w:t>stability, a diplomatic breakthrough and expansion of the Abraham Accords may constitute a positive factor.  Alongside these, the potential of early elections remains a cause of uncertainty that affects fiscal developments.</w:t>
      </w:r>
    </w:p>
    <w:sectPr w:rsidR="00A75CBA" w:rsidSect="00F52232">
      <w:footerReference w:type="default" r:id="rId12"/>
      <w:footerReference w:type="first" r:id="rId13"/>
      <w:pgSz w:w="11906" w:h="16838"/>
      <w:pgMar w:top="1134" w:right="1416" w:bottom="1418" w:left="1418"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F69D7" w14:textId="77777777" w:rsidR="007C1A7A" w:rsidRDefault="007C1A7A" w:rsidP="00AD16FC">
      <w:r>
        <w:separator/>
      </w:r>
    </w:p>
  </w:endnote>
  <w:endnote w:type="continuationSeparator" w:id="0">
    <w:p w14:paraId="6794927A" w14:textId="77777777" w:rsidR="007C1A7A" w:rsidRDefault="007C1A7A" w:rsidP="00AD1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26FAB" w14:textId="760ACE49" w:rsidR="00A16ACA" w:rsidRDefault="00A16ACA" w:rsidP="00A345AE">
    <w:pPr>
      <w:pStyle w:val="a5"/>
      <w:bidi w:val="0"/>
      <w:jc w:val="center"/>
    </w:pPr>
    <w:r>
      <w:t>Bank of Israel — Research Department Macroeconomic Staff Forecast</w:t>
    </w:r>
    <w:r w:rsidR="004A4BD6">
      <w:t xml:space="preserve">, </w:t>
    </w:r>
    <w:r w:rsidR="00A345AE">
      <w:t>January</w:t>
    </w:r>
    <w:r w:rsidR="004A4BD6">
      <w:t xml:space="preserve"> 202</w:t>
    </w:r>
    <w:r w:rsidR="00A345AE">
      <w:t>6</w:t>
    </w:r>
  </w:p>
  <w:p w14:paraId="61039E0D" w14:textId="79CBB7D2" w:rsidR="00CA0296" w:rsidRDefault="00CA0296" w:rsidP="00CA0296">
    <w:pPr>
      <w:pStyle w:val="a5"/>
      <w:bidi w:val="0"/>
      <w:jc w:val="center"/>
    </w:pPr>
    <w:r>
      <w:t xml:space="preserve">Page </w:t>
    </w:r>
    <w:r>
      <w:rPr>
        <w:b/>
        <w:bCs/>
      </w:rPr>
      <w:fldChar w:fldCharType="begin"/>
    </w:r>
    <w:r>
      <w:rPr>
        <w:b/>
        <w:bCs/>
      </w:rPr>
      <w:instrText xml:space="preserve"> PAGE  \* Arabic  \* MERGEFORMAT </w:instrText>
    </w:r>
    <w:r>
      <w:rPr>
        <w:b/>
        <w:bCs/>
      </w:rPr>
      <w:fldChar w:fldCharType="separate"/>
    </w:r>
    <w:r w:rsidR="004A2E8F">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4A2E8F">
      <w:rPr>
        <w:b/>
        <w:bCs/>
        <w:noProof/>
      </w:rPr>
      <w:t>4</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7FBB0" w14:textId="43C6E3AF" w:rsidR="00CA0296" w:rsidRDefault="00AE0ADC" w:rsidP="0093113B">
    <w:pPr>
      <w:pStyle w:val="a5"/>
      <w:bidi w:val="0"/>
      <w:jc w:val="center"/>
    </w:pPr>
    <w:r>
      <w:t xml:space="preserve">Bank of Israel — Research Department Macroeconomic Staff Forecast, </w:t>
    </w:r>
    <w:r w:rsidR="0093113B">
      <w:t>January 2026</w:t>
    </w:r>
  </w:p>
  <w:p w14:paraId="6622DCD0" w14:textId="3D0F3603" w:rsidR="00AE0ADC" w:rsidRDefault="00CA0296" w:rsidP="00CA0296">
    <w:pPr>
      <w:pStyle w:val="a5"/>
      <w:bidi w:val="0"/>
      <w:jc w:val="center"/>
    </w:pPr>
    <w:r>
      <w:t xml:space="preserve">Page </w:t>
    </w:r>
    <w:r>
      <w:rPr>
        <w:b/>
        <w:bCs/>
      </w:rPr>
      <w:fldChar w:fldCharType="begin"/>
    </w:r>
    <w:r>
      <w:rPr>
        <w:b/>
        <w:bCs/>
      </w:rPr>
      <w:instrText xml:space="preserve"> PAGE  \* Arabic  \* MERGEFORMAT </w:instrText>
    </w:r>
    <w:r>
      <w:rPr>
        <w:b/>
        <w:bCs/>
      </w:rPr>
      <w:fldChar w:fldCharType="separate"/>
    </w:r>
    <w:r w:rsidR="004A2E8F">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4A2E8F">
      <w:rPr>
        <w:b/>
        <w:bCs/>
        <w:noProof/>
      </w:rPr>
      <w:t>4</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16FAA" w14:textId="77777777" w:rsidR="007C1A7A" w:rsidRDefault="007C1A7A" w:rsidP="00AD16FC">
      <w:r>
        <w:separator/>
      </w:r>
    </w:p>
  </w:footnote>
  <w:footnote w:type="continuationSeparator" w:id="0">
    <w:p w14:paraId="510CB41C" w14:textId="77777777" w:rsidR="007C1A7A" w:rsidRDefault="007C1A7A" w:rsidP="00AD16FC">
      <w:r>
        <w:continuationSeparator/>
      </w:r>
    </w:p>
  </w:footnote>
  <w:footnote w:id="1">
    <w:p w14:paraId="7F2E1BD5" w14:textId="1E592CE5" w:rsidR="00A30AC5" w:rsidRPr="00F31BDD" w:rsidRDefault="00A30AC5" w:rsidP="0059481A">
      <w:pPr>
        <w:pStyle w:val="aa"/>
        <w:bidi w:val="0"/>
        <w:jc w:val="both"/>
        <w:rPr>
          <w:rtl/>
        </w:rPr>
      </w:pPr>
      <w:r>
        <w:rPr>
          <w:rStyle w:val="ac"/>
        </w:rPr>
        <w:footnoteRef/>
      </w:r>
      <w:r>
        <w:rPr>
          <w:rtl/>
        </w:rPr>
        <w:t xml:space="preserve"> </w:t>
      </w:r>
      <w:r>
        <w:t xml:space="preserve"> The forecast was presented to the Bank of Israel Monetary Committee on </w:t>
      </w:r>
      <w:r w:rsidR="0059481A">
        <w:t>January 4, 2026</w:t>
      </w:r>
      <w:r>
        <w:t xml:space="preserve">, prior to the </w:t>
      </w:r>
      <w:r w:rsidRPr="00F31BDD">
        <w:t xml:space="preserve">decision on the interest rate made </w:t>
      </w:r>
      <w:r w:rsidR="00757359">
        <w:t xml:space="preserve">on </w:t>
      </w:r>
      <w:r w:rsidR="0059481A">
        <w:t>January 5, 2026</w:t>
      </w:r>
      <w:r w:rsidR="00D81515" w:rsidRPr="00F31BDD">
        <w:t>.</w:t>
      </w:r>
    </w:p>
  </w:footnote>
  <w:footnote w:id="2">
    <w:p w14:paraId="26EEC4A0" w14:textId="77777777" w:rsidR="004675C1" w:rsidRDefault="004675C1" w:rsidP="00D41588">
      <w:pPr>
        <w:bidi w:val="0"/>
        <w:jc w:val="both"/>
      </w:pPr>
      <w:r w:rsidRPr="00F31BDD">
        <w:rPr>
          <w:rStyle w:val="ac"/>
          <w:sz w:val="20"/>
          <w:szCs w:val="20"/>
        </w:rPr>
        <w:footnoteRef/>
      </w:r>
      <w:r w:rsidRPr="00F31BDD">
        <w:rPr>
          <w:sz w:val="20"/>
          <w:szCs w:val="20"/>
        </w:rPr>
        <w:t xml:space="preserve"> </w:t>
      </w:r>
      <w:r w:rsidR="00F31BDD" w:rsidRPr="00F31BDD">
        <w:rPr>
          <w:sz w:val="20"/>
          <w:szCs w:val="20"/>
        </w:rPr>
        <w:t xml:space="preserve">An explanation of the macroeconomic forecasts formulated by the bank of Israel Research Department, as well as a review of the models on which they are based, appear in the Bank of Israel’s Inflation Report 31 (second quarter of 2010), Section 3c. </w:t>
      </w:r>
      <w:r w:rsidRPr="00F31BDD">
        <w:rPr>
          <w:sz w:val="20"/>
          <w:szCs w:val="20"/>
        </w:rPr>
        <w:t>A Discussion Paper on the DSGE model is available on the Bank of Israel website, under the title: “MOISE</w:t>
      </w:r>
      <w:r w:rsidRPr="00237ACD">
        <w:rPr>
          <w:sz w:val="20"/>
          <w:szCs w:val="20"/>
        </w:rPr>
        <w:t>: A DSGE Model for the Israeli Econom</w:t>
      </w:r>
      <w:r>
        <w:rPr>
          <w:sz w:val="20"/>
          <w:szCs w:val="20"/>
        </w:rPr>
        <w:t>y,” Discussion Paper No. 2012.06</w:t>
      </w:r>
      <w:r w:rsidRPr="00237ACD">
        <w:rPr>
          <w:sz w:val="20"/>
          <w:szCs w:val="20"/>
        </w:rPr>
        <w:t>.</w:t>
      </w:r>
    </w:p>
  </w:footnote>
  <w:footnote w:id="3">
    <w:p w14:paraId="25C8AC27" w14:textId="7E541951" w:rsidR="00A345AE" w:rsidRDefault="00A345AE" w:rsidP="00A345AE">
      <w:pPr>
        <w:pStyle w:val="aa"/>
        <w:bidi w:val="0"/>
      </w:pPr>
      <w:r>
        <w:rPr>
          <w:rStyle w:val="ac"/>
        </w:rPr>
        <w:footnoteRef/>
      </w:r>
      <w:r>
        <w:t xml:space="preserve"> Average of the CPI in the fourth quarter of 2026 compared with the fourth quarter of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E2D49"/>
    <w:multiLevelType w:val="hybridMultilevel"/>
    <w:tmpl w:val="B8AEA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1F69E1"/>
    <w:multiLevelType w:val="hybridMultilevel"/>
    <w:tmpl w:val="F9A620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762CD1"/>
    <w:multiLevelType w:val="multilevel"/>
    <w:tmpl w:val="6C90399E"/>
    <w:lvl w:ilvl="0">
      <w:start w:val="1"/>
      <w:numFmt w:val="decimal"/>
      <w:pStyle w:val="4"/>
      <w:lvlText w:val="%1."/>
      <w:lvlJc w:val="left"/>
      <w:pPr>
        <w:ind w:left="720" w:hanging="360"/>
      </w:pPr>
    </w:lvl>
    <w:lvl w:ilvl="1">
      <w:start w:val="1"/>
      <w:numFmt w:val="decimal"/>
      <w:pStyle w:val="5"/>
      <w:isLgl/>
      <w:lvlText w:val="%1.%2"/>
      <w:lvlJc w:val="left"/>
      <w:pPr>
        <w:ind w:left="720" w:hanging="360"/>
      </w:pPr>
      <w:rPr>
        <w:rFonts w:hint="default"/>
      </w:rPr>
    </w:lvl>
    <w:lvl w:ilvl="2">
      <w:start w:val="1"/>
      <w:numFmt w:val="decimal"/>
      <w:pStyle w:val="6"/>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91E694E"/>
    <w:multiLevelType w:val="hybridMultilevel"/>
    <w:tmpl w:val="CFA4400A"/>
    <w:lvl w:ilvl="0" w:tplc="410611F2">
      <w:start w:val="1"/>
      <w:numFmt w:val="lowerLetter"/>
      <w:lvlText w:val="%1."/>
      <w:lvlJc w:val="left"/>
      <w:pPr>
        <w:tabs>
          <w:tab w:val="num" w:pos="363"/>
        </w:tabs>
        <w:ind w:left="363" w:hanging="360"/>
      </w:pPr>
      <w:rPr>
        <w:rFonts w:cs="Times New Roman" w:hint="default"/>
      </w:rPr>
    </w:lvl>
    <w:lvl w:ilvl="1" w:tplc="04090019" w:tentative="1">
      <w:start w:val="1"/>
      <w:numFmt w:val="lowerLetter"/>
      <w:lvlText w:val="%2."/>
      <w:lvlJc w:val="left"/>
      <w:pPr>
        <w:tabs>
          <w:tab w:val="num" w:pos="1083"/>
        </w:tabs>
        <w:ind w:left="1083" w:hanging="360"/>
      </w:pPr>
      <w:rPr>
        <w:rFonts w:cs="Times New Roman"/>
      </w:rPr>
    </w:lvl>
    <w:lvl w:ilvl="2" w:tplc="0409001B" w:tentative="1">
      <w:start w:val="1"/>
      <w:numFmt w:val="lowerRoman"/>
      <w:lvlText w:val="%3."/>
      <w:lvlJc w:val="right"/>
      <w:pPr>
        <w:tabs>
          <w:tab w:val="num" w:pos="1803"/>
        </w:tabs>
        <w:ind w:left="1803" w:hanging="180"/>
      </w:pPr>
      <w:rPr>
        <w:rFonts w:cs="Times New Roman"/>
      </w:rPr>
    </w:lvl>
    <w:lvl w:ilvl="3" w:tplc="0409000F" w:tentative="1">
      <w:start w:val="1"/>
      <w:numFmt w:val="decimal"/>
      <w:lvlText w:val="%4."/>
      <w:lvlJc w:val="left"/>
      <w:pPr>
        <w:tabs>
          <w:tab w:val="num" w:pos="2523"/>
        </w:tabs>
        <w:ind w:left="2523" w:hanging="360"/>
      </w:pPr>
      <w:rPr>
        <w:rFonts w:cs="Times New Roman"/>
      </w:rPr>
    </w:lvl>
    <w:lvl w:ilvl="4" w:tplc="04090019" w:tentative="1">
      <w:start w:val="1"/>
      <w:numFmt w:val="lowerLetter"/>
      <w:lvlText w:val="%5."/>
      <w:lvlJc w:val="left"/>
      <w:pPr>
        <w:tabs>
          <w:tab w:val="num" w:pos="3243"/>
        </w:tabs>
        <w:ind w:left="3243" w:hanging="360"/>
      </w:pPr>
      <w:rPr>
        <w:rFonts w:cs="Times New Roman"/>
      </w:rPr>
    </w:lvl>
    <w:lvl w:ilvl="5" w:tplc="0409001B" w:tentative="1">
      <w:start w:val="1"/>
      <w:numFmt w:val="lowerRoman"/>
      <w:lvlText w:val="%6."/>
      <w:lvlJc w:val="right"/>
      <w:pPr>
        <w:tabs>
          <w:tab w:val="num" w:pos="3963"/>
        </w:tabs>
        <w:ind w:left="3963" w:hanging="180"/>
      </w:pPr>
      <w:rPr>
        <w:rFonts w:cs="Times New Roman"/>
      </w:rPr>
    </w:lvl>
    <w:lvl w:ilvl="6" w:tplc="0409000F" w:tentative="1">
      <w:start w:val="1"/>
      <w:numFmt w:val="decimal"/>
      <w:lvlText w:val="%7."/>
      <w:lvlJc w:val="left"/>
      <w:pPr>
        <w:tabs>
          <w:tab w:val="num" w:pos="4683"/>
        </w:tabs>
        <w:ind w:left="4683" w:hanging="360"/>
      </w:pPr>
      <w:rPr>
        <w:rFonts w:cs="Times New Roman"/>
      </w:rPr>
    </w:lvl>
    <w:lvl w:ilvl="7" w:tplc="04090019" w:tentative="1">
      <w:start w:val="1"/>
      <w:numFmt w:val="lowerLetter"/>
      <w:lvlText w:val="%8."/>
      <w:lvlJc w:val="left"/>
      <w:pPr>
        <w:tabs>
          <w:tab w:val="num" w:pos="5403"/>
        </w:tabs>
        <w:ind w:left="5403" w:hanging="360"/>
      </w:pPr>
      <w:rPr>
        <w:rFonts w:cs="Times New Roman"/>
      </w:rPr>
    </w:lvl>
    <w:lvl w:ilvl="8" w:tplc="0409001B" w:tentative="1">
      <w:start w:val="1"/>
      <w:numFmt w:val="lowerRoman"/>
      <w:lvlText w:val="%9."/>
      <w:lvlJc w:val="right"/>
      <w:pPr>
        <w:tabs>
          <w:tab w:val="num" w:pos="6123"/>
        </w:tabs>
        <w:ind w:left="6123" w:hanging="180"/>
      </w:pPr>
      <w:rPr>
        <w:rFonts w:cs="Times New Roman"/>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3"/>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D01"/>
    <w:rsid w:val="000003FE"/>
    <w:rsid w:val="000011B9"/>
    <w:rsid w:val="00003666"/>
    <w:rsid w:val="0000410B"/>
    <w:rsid w:val="00004767"/>
    <w:rsid w:val="000062AB"/>
    <w:rsid w:val="00006C8A"/>
    <w:rsid w:val="00007CCB"/>
    <w:rsid w:val="00012A9C"/>
    <w:rsid w:val="00012DBD"/>
    <w:rsid w:val="00014365"/>
    <w:rsid w:val="00015BD8"/>
    <w:rsid w:val="0001708B"/>
    <w:rsid w:val="000212CE"/>
    <w:rsid w:val="00021A8C"/>
    <w:rsid w:val="0002620A"/>
    <w:rsid w:val="000268BA"/>
    <w:rsid w:val="00030DCE"/>
    <w:rsid w:val="00036F1B"/>
    <w:rsid w:val="000379D4"/>
    <w:rsid w:val="0004151F"/>
    <w:rsid w:val="0004160A"/>
    <w:rsid w:val="0004176B"/>
    <w:rsid w:val="00044F2F"/>
    <w:rsid w:val="00045015"/>
    <w:rsid w:val="000463A7"/>
    <w:rsid w:val="00046EE6"/>
    <w:rsid w:val="000502B3"/>
    <w:rsid w:val="00050365"/>
    <w:rsid w:val="00051A87"/>
    <w:rsid w:val="0005428E"/>
    <w:rsid w:val="00056568"/>
    <w:rsid w:val="00060A3E"/>
    <w:rsid w:val="00060B61"/>
    <w:rsid w:val="00060F00"/>
    <w:rsid w:val="00061D28"/>
    <w:rsid w:val="00062FE3"/>
    <w:rsid w:val="00064736"/>
    <w:rsid w:val="0006649E"/>
    <w:rsid w:val="00075533"/>
    <w:rsid w:val="00077136"/>
    <w:rsid w:val="00080851"/>
    <w:rsid w:val="000821AD"/>
    <w:rsid w:val="00083E17"/>
    <w:rsid w:val="00085169"/>
    <w:rsid w:val="00087BFF"/>
    <w:rsid w:val="000905F1"/>
    <w:rsid w:val="00090662"/>
    <w:rsid w:val="00090AA3"/>
    <w:rsid w:val="0009185E"/>
    <w:rsid w:val="00091EE0"/>
    <w:rsid w:val="00094471"/>
    <w:rsid w:val="00094F60"/>
    <w:rsid w:val="00095B99"/>
    <w:rsid w:val="00095D99"/>
    <w:rsid w:val="0009681A"/>
    <w:rsid w:val="000975CA"/>
    <w:rsid w:val="00097B7A"/>
    <w:rsid w:val="000A0CDA"/>
    <w:rsid w:val="000A3230"/>
    <w:rsid w:val="000A5761"/>
    <w:rsid w:val="000A661B"/>
    <w:rsid w:val="000A776C"/>
    <w:rsid w:val="000B091C"/>
    <w:rsid w:val="000B2298"/>
    <w:rsid w:val="000B2D7E"/>
    <w:rsid w:val="000B4DDD"/>
    <w:rsid w:val="000B566D"/>
    <w:rsid w:val="000B5F0C"/>
    <w:rsid w:val="000C0CAD"/>
    <w:rsid w:val="000C3AA1"/>
    <w:rsid w:val="000C4899"/>
    <w:rsid w:val="000C62F4"/>
    <w:rsid w:val="000C73AF"/>
    <w:rsid w:val="000C7FAC"/>
    <w:rsid w:val="000D1147"/>
    <w:rsid w:val="000D5119"/>
    <w:rsid w:val="000D5367"/>
    <w:rsid w:val="000D5A6B"/>
    <w:rsid w:val="000E0ABD"/>
    <w:rsid w:val="000E2E12"/>
    <w:rsid w:val="000E5247"/>
    <w:rsid w:val="000E5777"/>
    <w:rsid w:val="000E72C6"/>
    <w:rsid w:val="000F2234"/>
    <w:rsid w:val="000F3385"/>
    <w:rsid w:val="000F36F2"/>
    <w:rsid w:val="000F48F1"/>
    <w:rsid w:val="000F4B6C"/>
    <w:rsid w:val="000F6AA3"/>
    <w:rsid w:val="0010114F"/>
    <w:rsid w:val="00101C11"/>
    <w:rsid w:val="001031DD"/>
    <w:rsid w:val="00110005"/>
    <w:rsid w:val="00110630"/>
    <w:rsid w:val="00110CD6"/>
    <w:rsid w:val="00113C06"/>
    <w:rsid w:val="0011502F"/>
    <w:rsid w:val="0011529C"/>
    <w:rsid w:val="001156D4"/>
    <w:rsid w:val="0011627D"/>
    <w:rsid w:val="00117D18"/>
    <w:rsid w:val="001218D4"/>
    <w:rsid w:val="00121BFE"/>
    <w:rsid w:val="001222A5"/>
    <w:rsid w:val="001222BC"/>
    <w:rsid w:val="00122462"/>
    <w:rsid w:val="00125698"/>
    <w:rsid w:val="00130360"/>
    <w:rsid w:val="00131338"/>
    <w:rsid w:val="00131A6A"/>
    <w:rsid w:val="00134075"/>
    <w:rsid w:val="00134B36"/>
    <w:rsid w:val="00136000"/>
    <w:rsid w:val="00136B68"/>
    <w:rsid w:val="00136F62"/>
    <w:rsid w:val="00144D12"/>
    <w:rsid w:val="001478D9"/>
    <w:rsid w:val="00151EC6"/>
    <w:rsid w:val="00153D2D"/>
    <w:rsid w:val="0016240A"/>
    <w:rsid w:val="001626C6"/>
    <w:rsid w:val="0016380B"/>
    <w:rsid w:val="001643BB"/>
    <w:rsid w:val="001723D2"/>
    <w:rsid w:val="0017294A"/>
    <w:rsid w:val="00172E4F"/>
    <w:rsid w:val="00176F0B"/>
    <w:rsid w:val="00177DD6"/>
    <w:rsid w:val="0018085C"/>
    <w:rsid w:val="00184300"/>
    <w:rsid w:val="00184744"/>
    <w:rsid w:val="001914F7"/>
    <w:rsid w:val="00191E60"/>
    <w:rsid w:val="00194094"/>
    <w:rsid w:val="001971AC"/>
    <w:rsid w:val="001A27EF"/>
    <w:rsid w:val="001A39E4"/>
    <w:rsid w:val="001A3F54"/>
    <w:rsid w:val="001A4262"/>
    <w:rsid w:val="001A44B1"/>
    <w:rsid w:val="001A5342"/>
    <w:rsid w:val="001A794B"/>
    <w:rsid w:val="001A7A07"/>
    <w:rsid w:val="001B28EA"/>
    <w:rsid w:val="001B362F"/>
    <w:rsid w:val="001B55FD"/>
    <w:rsid w:val="001B7045"/>
    <w:rsid w:val="001B7D9D"/>
    <w:rsid w:val="001C0AC9"/>
    <w:rsid w:val="001C2571"/>
    <w:rsid w:val="001C2680"/>
    <w:rsid w:val="001C3544"/>
    <w:rsid w:val="001C55F7"/>
    <w:rsid w:val="001D21D1"/>
    <w:rsid w:val="001D76F5"/>
    <w:rsid w:val="001E0DAC"/>
    <w:rsid w:val="001E1311"/>
    <w:rsid w:val="001E14D5"/>
    <w:rsid w:val="001E2700"/>
    <w:rsid w:val="001E52BF"/>
    <w:rsid w:val="001E5C9F"/>
    <w:rsid w:val="001F2F2F"/>
    <w:rsid w:val="001F390D"/>
    <w:rsid w:val="001F57FB"/>
    <w:rsid w:val="001F69AF"/>
    <w:rsid w:val="00200E9B"/>
    <w:rsid w:val="0020285E"/>
    <w:rsid w:val="00202CCB"/>
    <w:rsid w:val="00205E52"/>
    <w:rsid w:val="00206BD3"/>
    <w:rsid w:val="00207522"/>
    <w:rsid w:val="00207CCA"/>
    <w:rsid w:val="0021167C"/>
    <w:rsid w:val="00211EF7"/>
    <w:rsid w:val="00213E62"/>
    <w:rsid w:val="002142E4"/>
    <w:rsid w:val="00217D29"/>
    <w:rsid w:val="00221B38"/>
    <w:rsid w:val="00225FAA"/>
    <w:rsid w:val="002260C5"/>
    <w:rsid w:val="00226664"/>
    <w:rsid w:val="00233A26"/>
    <w:rsid w:val="002345E4"/>
    <w:rsid w:val="00234A33"/>
    <w:rsid w:val="00235170"/>
    <w:rsid w:val="0023631B"/>
    <w:rsid w:val="002363D1"/>
    <w:rsid w:val="00236603"/>
    <w:rsid w:val="002405BC"/>
    <w:rsid w:val="00241E66"/>
    <w:rsid w:val="0024200C"/>
    <w:rsid w:val="00242401"/>
    <w:rsid w:val="0024299E"/>
    <w:rsid w:val="002439E9"/>
    <w:rsid w:val="0024454F"/>
    <w:rsid w:val="0024467B"/>
    <w:rsid w:val="002452B1"/>
    <w:rsid w:val="002461FF"/>
    <w:rsid w:val="00247644"/>
    <w:rsid w:val="002512BB"/>
    <w:rsid w:val="00252B31"/>
    <w:rsid w:val="002558D9"/>
    <w:rsid w:val="0025636F"/>
    <w:rsid w:val="00256A10"/>
    <w:rsid w:val="00256BCE"/>
    <w:rsid w:val="00257892"/>
    <w:rsid w:val="002621A5"/>
    <w:rsid w:val="00262227"/>
    <w:rsid w:val="00262C88"/>
    <w:rsid w:val="00266083"/>
    <w:rsid w:val="0026626A"/>
    <w:rsid w:val="00270252"/>
    <w:rsid w:val="0027063A"/>
    <w:rsid w:val="00273C4C"/>
    <w:rsid w:val="00275A36"/>
    <w:rsid w:val="00282853"/>
    <w:rsid w:val="002857E1"/>
    <w:rsid w:val="00291398"/>
    <w:rsid w:val="002945D2"/>
    <w:rsid w:val="002966D2"/>
    <w:rsid w:val="002A1839"/>
    <w:rsid w:val="002A3BC1"/>
    <w:rsid w:val="002A4261"/>
    <w:rsid w:val="002A4B84"/>
    <w:rsid w:val="002B1C60"/>
    <w:rsid w:val="002B2C54"/>
    <w:rsid w:val="002B3EAC"/>
    <w:rsid w:val="002C0AF6"/>
    <w:rsid w:val="002C2B40"/>
    <w:rsid w:val="002C67C7"/>
    <w:rsid w:val="002C74F7"/>
    <w:rsid w:val="002D152A"/>
    <w:rsid w:val="002D3C08"/>
    <w:rsid w:val="002D50CF"/>
    <w:rsid w:val="002D581C"/>
    <w:rsid w:val="002D6565"/>
    <w:rsid w:val="002E13EC"/>
    <w:rsid w:val="002E1A22"/>
    <w:rsid w:val="002E2BE2"/>
    <w:rsid w:val="002E350D"/>
    <w:rsid w:val="002E37F1"/>
    <w:rsid w:val="002E3EE1"/>
    <w:rsid w:val="002E5ED3"/>
    <w:rsid w:val="002E616F"/>
    <w:rsid w:val="002F0472"/>
    <w:rsid w:val="002F4ECB"/>
    <w:rsid w:val="002F53E5"/>
    <w:rsid w:val="002F70E9"/>
    <w:rsid w:val="0030038B"/>
    <w:rsid w:val="00300699"/>
    <w:rsid w:val="00302E2F"/>
    <w:rsid w:val="00303FDE"/>
    <w:rsid w:val="00304398"/>
    <w:rsid w:val="00304BF1"/>
    <w:rsid w:val="00305C7B"/>
    <w:rsid w:val="003071BC"/>
    <w:rsid w:val="00307FE2"/>
    <w:rsid w:val="0031335E"/>
    <w:rsid w:val="00314260"/>
    <w:rsid w:val="00314D4E"/>
    <w:rsid w:val="00320A7D"/>
    <w:rsid w:val="00322A23"/>
    <w:rsid w:val="00323260"/>
    <w:rsid w:val="00323FE7"/>
    <w:rsid w:val="00324468"/>
    <w:rsid w:val="00326605"/>
    <w:rsid w:val="00326B5C"/>
    <w:rsid w:val="00327BB0"/>
    <w:rsid w:val="00333B0C"/>
    <w:rsid w:val="003366FD"/>
    <w:rsid w:val="003379D1"/>
    <w:rsid w:val="003415C9"/>
    <w:rsid w:val="0034489A"/>
    <w:rsid w:val="00353C9A"/>
    <w:rsid w:val="00363628"/>
    <w:rsid w:val="003638DE"/>
    <w:rsid w:val="0036663A"/>
    <w:rsid w:val="00367112"/>
    <w:rsid w:val="00371244"/>
    <w:rsid w:val="003723AE"/>
    <w:rsid w:val="00374016"/>
    <w:rsid w:val="0037682D"/>
    <w:rsid w:val="00382474"/>
    <w:rsid w:val="0038300A"/>
    <w:rsid w:val="00391040"/>
    <w:rsid w:val="00391BF2"/>
    <w:rsid w:val="003936A5"/>
    <w:rsid w:val="003955F5"/>
    <w:rsid w:val="00395ECA"/>
    <w:rsid w:val="003979D7"/>
    <w:rsid w:val="003A16A5"/>
    <w:rsid w:val="003A247B"/>
    <w:rsid w:val="003A2BCF"/>
    <w:rsid w:val="003A4EDD"/>
    <w:rsid w:val="003A6075"/>
    <w:rsid w:val="003A6415"/>
    <w:rsid w:val="003B0F6C"/>
    <w:rsid w:val="003B1806"/>
    <w:rsid w:val="003B4955"/>
    <w:rsid w:val="003B5BA1"/>
    <w:rsid w:val="003B6E09"/>
    <w:rsid w:val="003C02C4"/>
    <w:rsid w:val="003C3A13"/>
    <w:rsid w:val="003C3A73"/>
    <w:rsid w:val="003C51B3"/>
    <w:rsid w:val="003C5F5C"/>
    <w:rsid w:val="003C6D39"/>
    <w:rsid w:val="003C7BEB"/>
    <w:rsid w:val="003C7C25"/>
    <w:rsid w:val="003D04E1"/>
    <w:rsid w:val="003D3BC1"/>
    <w:rsid w:val="003D3C91"/>
    <w:rsid w:val="003D41B1"/>
    <w:rsid w:val="003D71BE"/>
    <w:rsid w:val="003E041D"/>
    <w:rsid w:val="003E08B6"/>
    <w:rsid w:val="003E266A"/>
    <w:rsid w:val="003E5DCB"/>
    <w:rsid w:val="003F0CAA"/>
    <w:rsid w:val="003F1F24"/>
    <w:rsid w:val="003F33D5"/>
    <w:rsid w:val="003F40AA"/>
    <w:rsid w:val="003F5174"/>
    <w:rsid w:val="00404ACD"/>
    <w:rsid w:val="00407E88"/>
    <w:rsid w:val="00410736"/>
    <w:rsid w:val="00410812"/>
    <w:rsid w:val="00413594"/>
    <w:rsid w:val="00416C49"/>
    <w:rsid w:val="00422142"/>
    <w:rsid w:val="00422170"/>
    <w:rsid w:val="0042257A"/>
    <w:rsid w:val="00422A8D"/>
    <w:rsid w:val="00423EEF"/>
    <w:rsid w:val="004246B5"/>
    <w:rsid w:val="004247E4"/>
    <w:rsid w:val="00425B3F"/>
    <w:rsid w:val="00425D38"/>
    <w:rsid w:val="00431AC5"/>
    <w:rsid w:val="00432907"/>
    <w:rsid w:val="00432F14"/>
    <w:rsid w:val="00434CA0"/>
    <w:rsid w:val="00435505"/>
    <w:rsid w:val="004355BE"/>
    <w:rsid w:val="00435DE5"/>
    <w:rsid w:val="00436407"/>
    <w:rsid w:val="00442670"/>
    <w:rsid w:val="0044397B"/>
    <w:rsid w:val="00444B06"/>
    <w:rsid w:val="00446B32"/>
    <w:rsid w:val="004501E8"/>
    <w:rsid w:val="00452B89"/>
    <w:rsid w:val="00452BAE"/>
    <w:rsid w:val="00453D2B"/>
    <w:rsid w:val="00454090"/>
    <w:rsid w:val="004548EA"/>
    <w:rsid w:val="0045680E"/>
    <w:rsid w:val="00456CAD"/>
    <w:rsid w:val="00460495"/>
    <w:rsid w:val="004634B5"/>
    <w:rsid w:val="00463684"/>
    <w:rsid w:val="004654C3"/>
    <w:rsid w:val="0046610D"/>
    <w:rsid w:val="00466491"/>
    <w:rsid w:val="00466E45"/>
    <w:rsid w:val="00467167"/>
    <w:rsid w:val="004675C1"/>
    <w:rsid w:val="004679ED"/>
    <w:rsid w:val="004706AE"/>
    <w:rsid w:val="00470DAC"/>
    <w:rsid w:val="00472053"/>
    <w:rsid w:val="0047600F"/>
    <w:rsid w:val="00477EF7"/>
    <w:rsid w:val="0048096C"/>
    <w:rsid w:val="00480B23"/>
    <w:rsid w:val="004850D5"/>
    <w:rsid w:val="00487712"/>
    <w:rsid w:val="004902DA"/>
    <w:rsid w:val="00490AF3"/>
    <w:rsid w:val="0049210C"/>
    <w:rsid w:val="0049358B"/>
    <w:rsid w:val="00493F59"/>
    <w:rsid w:val="00495C8C"/>
    <w:rsid w:val="00496D92"/>
    <w:rsid w:val="004975C8"/>
    <w:rsid w:val="004A0284"/>
    <w:rsid w:val="004A0C32"/>
    <w:rsid w:val="004A2E8F"/>
    <w:rsid w:val="004A4413"/>
    <w:rsid w:val="004A4BD6"/>
    <w:rsid w:val="004A5916"/>
    <w:rsid w:val="004A6595"/>
    <w:rsid w:val="004A7A34"/>
    <w:rsid w:val="004B16A2"/>
    <w:rsid w:val="004B178F"/>
    <w:rsid w:val="004B2862"/>
    <w:rsid w:val="004B3835"/>
    <w:rsid w:val="004B39F5"/>
    <w:rsid w:val="004B415E"/>
    <w:rsid w:val="004B687A"/>
    <w:rsid w:val="004B7FE3"/>
    <w:rsid w:val="004C06F2"/>
    <w:rsid w:val="004C2B26"/>
    <w:rsid w:val="004C4648"/>
    <w:rsid w:val="004C64DB"/>
    <w:rsid w:val="004C6D8F"/>
    <w:rsid w:val="004C77DF"/>
    <w:rsid w:val="004D3688"/>
    <w:rsid w:val="004D4B4E"/>
    <w:rsid w:val="004D5A93"/>
    <w:rsid w:val="004E0BC8"/>
    <w:rsid w:val="004E1A6E"/>
    <w:rsid w:val="004E439A"/>
    <w:rsid w:val="004E4EDE"/>
    <w:rsid w:val="004E6580"/>
    <w:rsid w:val="004E71DD"/>
    <w:rsid w:val="004F4469"/>
    <w:rsid w:val="004F5B5B"/>
    <w:rsid w:val="004F6E9A"/>
    <w:rsid w:val="004F6FA6"/>
    <w:rsid w:val="004F745B"/>
    <w:rsid w:val="004F764E"/>
    <w:rsid w:val="00500C71"/>
    <w:rsid w:val="00501059"/>
    <w:rsid w:val="00502A88"/>
    <w:rsid w:val="005049F9"/>
    <w:rsid w:val="00505C3E"/>
    <w:rsid w:val="005064F4"/>
    <w:rsid w:val="005079F6"/>
    <w:rsid w:val="00511532"/>
    <w:rsid w:val="005138D9"/>
    <w:rsid w:val="00513EBA"/>
    <w:rsid w:val="005145B3"/>
    <w:rsid w:val="00514812"/>
    <w:rsid w:val="00517AA1"/>
    <w:rsid w:val="00522485"/>
    <w:rsid w:val="005259C8"/>
    <w:rsid w:val="005263C5"/>
    <w:rsid w:val="00526A3D"/>
    <w:rsid w:val="00527802"/>
    <w:rsid w:val="00530763"/>
    <w:rsid w:val="00532260"/>
    <w:rsid w:val="005338C6"/>
    <w:rsid w:val="005353CA"/>
    <w:rsid w:val="005371B8"/>
    <w:rsid w:val="00537D44"/>
    <w:rsid w:val="00541457"/>
    <w:rsid w:val="00541F01"/>
    <w:rsid w:val="005430AC"/>
    <w:rsid w:val="005462CC"/>
    <w:rsid w:val="005464BF"/>
    <w:rsid w:val="00547FE2"/>
    <w:rsid w:val="00550719"/>
    <w:rsid w:val="00550958"/>
    <w:rsid w:val="00550DB9"/>
    <w:rsid w:val="0055377E"/>
    <w:rsid w:val="005537E5"/>
    <w:rsid w:val="00553BFE"/>
    <w:rsid w:val="005608BA"/>
    <w:rsid w:val="00560FF6"/>
    <w:rsid w:val="00561A58"/>
    <w:rsid w:val="005650EE"/>
    <w:rsid w:val="005660D0"/>
    <w:rsid w:val="00566CFA"/>
    <w:rsid w:val="00567BBF"/>
    <w:rsid w:val="00567BD9"/>
    <w:rsid w:val="00571311"/>
    <w:rsid w:val="005715D5"/>
    <w:rsid w:val="00571AF0"/>
    <w:rsid w:val="005746E6"/>
    <w:rsid w:val="0057714E"/>
    <w:rsid w:val="00577844"/>
    <w:rsid w:val="005778CC"/>
    <w:rsid w:val="00580B69"/>
    <w:rsid w:val="00586880"/>
    <w:rsid w:val="00587791"/>
    <w:rsid w:val="00591B6F"/>
    <w:rsid w:val="005946CC"/>
    <w:rsid w:val="0059481A"/>
    <w:rsid w:val="00595042"/>
    <w:rsid w:val="0059526F"/>
    <w:rsid w:val="0059707C"/>
    <w:rsid w:val="005A37A5"/>
    <w:rsid w:val="005A3805"/>
    <w:rsid w:val="005A4028"/>
    <w:rsid w:val="005A6809"/>
    <w:rsid w:val="005A7EDF"/>
    <w:rsid w:val="005B2620"/>
    <w:rsid w:val="005B6C8C"/>
    <w:rsid w:val="005B7FE0"/>
    <w:rsid w:val="005C16EC"/>
    <w:rsid w:val="005C1FD5"/>
    <w:rsid w:val="005C2BD4"/>
    <w:rsid w:val="005C4E0D"/>
    <w:rsid w:val="005C5507"/>
    <w:rsid w:val="005C636E"/>
    <w:rsid w:val="005C7192"/>
    <w:rsid w:val="005C76FE"/>
    <w:rsid w:val="005D1848"/>
    <w:rsid w:val="005D38C9"/>
    <w:rsid w:val="005D5BC7"/>
    <w:rsid w:val="005D6EBF"/>
    <w:rsid w:val="005D773A"/>
    <w:rsid w:val="005D77B9"/>
    <w:rsid w:val="005D7D3B"/>
    <w:rsid w:val="005E0237"/>
    <w:rsid w:val="005E18E9"/>
    <w:rsid w:val="005E6AD1"/>
    <w:rsid w:val="005E6CFC"/>
    <w:rsid w:val="005E7BD3"/>
    <w:rsid w:val="005F1F9D"/>
    <w:rsid w:val="005F2B24"/>
    <w:rsid w:val="005F6371"/>
    <w:rsid w:val="005F638E"/>
    <w:rsid w:val="005F6830"/>
    <w:rsid w:val="006001D0"/>
    <w:rsid w:val="0060705B"/>
    <w:rsid w:val="006100B7"/>
    <w:rsid w:val="0061045E"/>
    <w:rsid w:val="00611D9B"/>
    <w:rsid w:val="006120B8"/>
    <w:rsid w:val="00614BA6"/>
    <w:rsid w:val="00621127"/>
    <w:rsid w:val="006220D7"/>
    <w:rsid w:val="006264EC"/>
    <w:rsid w:val="0063072B"/>
    <w:rsid w:val="00631795"/>
    <w:rsid w:val="00632EEB"/>
    <w:rsid w:val="00637B9C"/>
    <w:rsid w:val="006418B2"/>
    <w:rsid w:val="00641EA5"/>
    <w:rsid w:val="006476B5"/>
    <w:rsid w:val="00651E7C"/>
    <w:rsid w:val="0065321D"/>
    <w:rsid w:val="00653278"/>
    <w:rsid w:val="00653705"/>
    <w:rsid w:val="00654B16"/>
    <w:rsid w:val="00655875"/>
    <w:rsid w:val="00655AFC"/>
    <w:rsid w:val="0065681F"/>
    <w:rsid w:val="00657FD2"/>
    <w:rsid w:val="0066009C"/>
    <w:rsid w:val="00660ADD"/>
    <w:rsid w:val="00663523"/>
    <w:rsid w:val="00664763"/>
    <w:rsid w:val="006648AB"/>
    <w:rsid w:val="00667BE4"/>
    <w:rsid w:val="00667C18"/>
    <w:rsid w:val="00670CEE"/>
    <w:rsid w:val="00672A9F"/>
    <w:rsid w:val="00675998"/>
    <w:rsid w:val="00677A3F"/>
    <w:rsid w:val="00677FE0"/>
    <w:rsid w:val="00680EDD"/>
    <w:rsid w:val="0068229E"/>
    <w:rsid w:val="00682563"/>
    <w:rsid w:val="006866C5"/>
    <w:rsid w:val="00686EBE"/>
    <w:rsid w:val="00690F17"/>
    <w:rsid w:val="0069716E"/>
    <w:rsid w:val="00697916"/>
    <w:rsid w:val="006979F4"/>
    <w:rsid w:val="006A1A74"/>
    <w:rsid w:val="006A647D"/>
    <w:rsid w:val="006A71E3"/>
    <w:rsid w:val="006A7E98"/>
    <w:rsid w:val="006B2402"/>
    <w:rsid w:val="006B2670"/>
    <w:rsid w:val="006B2EE9"/>
    <w:rsid w:val="006B64B8"/>
    <w:rsid w:val="006B72C0"/>
    <w:rsid w:val="006C03C8"/>
    <w:rsid w:val="006C0D25"/>
    <w:rsid w:val="006C2D83"/>
    <w:rsid w:val="006C48FC"/>
    <w:rsid w:val="006C6293"/>
    <w:rsid w:val="006D3F0D"/>
    <w:rsid w:val="006D561A"/>
    <w:rsid w:val="006D574F"/>
    <w:rsid w:val="006D7526"/>
    <w:rsid w:val="006D7BD2"/>
    <w:rsid w:val="006E0D2E"/>
    <w:rsid w:val="006E2552"/>
    <w:rsid w:val="006E6A4A"/>
    <w:rsid w:val="006F0F8C"/>
    <w:rsid w:val="006F28D8"/>
    <w:rsid w:val="006F3960"/>
    <w:rsid w:val="006F3A76"/>
    <w:rsid w:val="006F513A"/>
    <w:rsid w:val="00700196"/>
    <w:rsid w:val="007002DD"/>
    <w:rsid w:val="00704513"/>
    <w:rsid w:val="00705A5F"/>
    <w:rsid w:val="00705C0E"/>
    <w:rsid w:val="007065E7"/>
    <w:rsid w:val="00712802"/>
    <w:rsid w:val="00715AB2"/>
    <w:rsid w:val="00716661"/>
    <w:rsid w:val="00717133"/>
    <w:rsid w:val="007179F2"/>
    <w:rsid w:val="00717F8A"/>
    <w:rsid w:val="00725CB0"/>
    <w:rsid w:val="00732673"/>
    <w:rsid w:val="00733360"/>
    <w:rsid w:val="00734E01"/>
    <w:rsid w:val="00735B53"/>
    <w:rsid w:val="00736708"/>
    <w:rsid w:val="00736C6C"/>
    <w:rsid w:val="00737CE5"/>
    <w:rsid w:val="00740773"/>
    <w:rsid w:val="007456D1"/>
    <w:rsid w:val="00746090"/>
    <w:rsid w:val="00747482"/>
    <w:rsid w:val="00756CD9"/>
    <w:rsid w:val="00757359"/>
    <w:rsid w:val="00761C27"/>
    <w:rsid w:val="00762E0A"/>
    <w:rsid w:val="00763872"/>
    <w:rsid w:val="007638FC"/>
    <w:rsid w:val="00763946"/>
    <w:rsid w:val="00763A43"/>
    <w:rsid w:val="00763FAB"/>
    <w:rsid w:val="00764EAD"/>
    <w:rsid w:val="007669FC"/>
    <w:rsid w:val="00766FCF"/>
    <w:rsid w:val="007674CC"/>
    <w:rsid w:val="00767CA2"/>
    <w:rsid w:val="0077284B"/>
    <w:rsid w:val="00777384"/>
    <w:rsid w:val="00785144"/>
    <w:rsid w:val="007864A7"/>
    <w:rsid w:val="007871AC"/>
    <w:rsid w:val="00787523"/>
    <w:rsid w:val="00790C99"/>
    <w:rsid w:val="007953DF"/>
    <w:rsid w:val="007A06BA"/>
    <w:rsid w:val="007A2D96"/>
    <w:rsid w:val="007A3D38"/>
    <w:rsid w:val="007A4B17"/>
    <w:rsid w:val="007A782B"/>
    <w:rsid w:val="007B1CDB"/>
    <w:rsid w:val="007B2F40"/>
    <w:rsid w:val="007B3087"/>
    <w:rsid w:val="007B40F4"/>
    <w:rsid w:val="007B4AFB"/>
    <w:rsid w:val="007B4F27"/>
    <w:rsid w:val="007B7F32"/>
    <w:rsid w:val="007C0339"/>
    <w:rsid w:val="007C1A7A"/>
    <w:rsid w:val="007C4EFD"/>
    <w:rsid w:val="007D04C3"/>
    <w:rsid w:val="007D063F"/>
    <w:rsid w:val="007D1DF5"/>
    <w:rsid w:val="007D4F49"/>
    <w:rsid w:val="007D509C"/>
    <w:rsid w:val="007D6422"/>
    <w:rsid w:val="007D70EA"/>
    <w:rsid w:val="007E05AB"/>
    <w:rsid w:val="007E0AB6"/>
    <w:rsid w:val="007E443D"/>
    <w:rsid w:val="007E523C"/>
    <w:rsid w:val="007F2871"/>
    <w:rsid w:val="007F3C4C"/>
    <w:rsid w:val="007F509E"/>
    <w:rsid w:val="008009B5"/>
    <w:rsid w:val="00802B46"/>
    <w:rsid w:val="00803944"/>
    <w:rsid w:val="00804864"/>
    <w:rsid w:val="008052B5"/>
    <w:rsid w:val="008065C4"/>
    <w:rsid w:val="00813118"/>
    <w:rsid w:val="0081390B"/>
    <w:rsid w:val="00814623"/>
    <w:rsid w:val="00814E81"/>
    <w:rsid w:val="0081703A"/>
    <w:rsid w:val="00817D4A"/>
    <w:rsid w:val="0082256B"/>
    <w:rsid w:val="00823618"/>
    <w:rsid w:val="00826421"/>
    <w:rsid w:val="008277E1"/>
    <w:rsid w:val="008305AA"/>
    <w:rsid w:val="00832B9D"/>
    <w:rsid w:val="00833768"/>
    <w:rsid w:val="00834D8E"/>
    <w:rsid w:val="00834DA7"/>
    <w:rsid w:val="00835712"/>
    <w:rsid w:val="00836E60"/>
    <w:rsid w:val="00840221"/>
    <w:rsid w:val="0084185E"/>
    <w:rsid w:val="00844652"/>
    <w:rsid w:val="0084562F"/>
    <w:rsid w:val="00845C66"/>
    <w:rsid w:val="008512DE"/>
    <w:rsid w:val="0085644E"/>
    <w:rsid w:val="00860246"/>
    <w:rsid w:val="00860679"/>
    <w:rsid w:val="0086132E"/>
    <w:rsid w:val="00861F13"/>
    <w:rsid w:val="00862770"/>
    <w:rsid w:val="0086369E"/>
    <w:rsid w:val="00863B19"/>
    <w:rsid w:val="00864D44"/>
    <w:rsid w:val="00864E97"/>
    <w:rsid w:val="0086708B"/>
    <w:rsid w:val="00870412"/>
    <w:rsid w:val="00870695"/>
    <w:rsid w:val="008707BC"/>
    <w:rsid w:val="0087184F"/>
    <w:rsid w:val="00871E07"/>
    <w:rsid w:val="00871E54"/>
    <w:rsid w:val="00871F11"/>
    <w:rsid w:val="008730D4"/>
    <w:rsid w:val="00876B2F"/>
    <w:rsid w:val="008823BA"/>
    <w:rsid w:val="008826C5"/>
    <w:rsid w:val="008839C3"/>
    <w:rsid w:val="00883D6F"/>
    <w:rsid w:val="008862AC"/>
    <w:rsid w:val="00886302"/>
    <w:rsid w:val="00887FE6"/>
    <w:rsid w:val="00890A34"/>
    <w:rsid w:val="00891991"/>
    <w:rsid w:val="00891E50"/>
    <w:rsid w:val="00892A41"/>
    <w:rsid w:val="0089451E"/>
    <w:rsid w:val="008954B2"/>
    <w:rsid w:val="00896FC1"/>
    <w:rsid w:val="0089777D"/>
    <w:rsid w:val="008A0250"/>
    <w:rsid w:val="008A08E9"/>
    <w:rsid w:val="008A0E53"/>
    <w:rsid w:val="008B34A2"/>
    <w:rsid w:val="008B48AF"/>
    <w:rsid w:val="008B6821"/>
    <w:rsid w:val="008B6A6E"/>
    <w:rsid w:val="008C1D94"/>
    <w:rsid w:val="008C462B"/>
    <w:rsid w:val="008C5D59"/>
    <w:rsid w:val="008C5F5F"/>
    <w:rsid w:val="008C68E4"/>
    <w:rsid w:val="008C7898"/>
    <w:rsid w:val="008D3638"/>
    <w:rsid w:val="008D65F1"/>
    <w:rsid w:val="008D6A2E"/>
    <w:rsid w:val="008E00AA"/>
    <w:rsid w:val="008E12B0"/>
    <w:rsid w:val="008E27BC"/>
    <w:rsid w:val="008E2CD2"/>
    <w:rsid w:val="008E5126"/>
    <w:rsid w:val="008E5631"/>
    <w:rsid w:val="008E6FFD"/>
    <w:rsid w:val="008F2323"/>
    <w:rsid w:val="008F34C7"/>
    <w:rsid w:val="008F5935"/>
    <w:rsid w:val="008F5BA4"/>
    <w:rsid w:val="008F5DD7"/>
    <w:rsid w:val="008F7582"/>
    <w:rsid w:val="00900D37"/>
    <w:rsid w:val="00905330"/>
    <w:rsid w:val="009120C7"/>
    <w:rsid w:val="00912F53"/>
    <w:rsid w:val="0091354C"/>
    <w:rsid w:val="00914404"/>
    <w:rsid w:val="00915695"/>
    <w:rsid w:val="00917EB4"/>
    <w:rsid w:val="00921594"/>
    <w:rsid w:val="0092271E"/>
    <w:rsid w:val="00922843"/>
    <w:rsid w:val="009229D2"/>
    <w:rsid w:val="00924F7B"/>
    <w:rsid w:val="0093113B"/>
    <w:rsid w:val="00931604"/>
    <w:rsid w:val="009335C7"/>
    <w:rsid w:val="009336FC"/>
    <w:rsid w:val="00937DAA"/>
    <w:rsid w:val="00942F47"/>
    <w:rsid w:val="00944B53"/>
    <w:rsid w:val="00947E8A"/>
    <w:rsid w:val="009523E0"/>
    <w:rsid w:val="009532A5"/>
    <w:rsid w:val="00955DCC"/>
    <w:rsid w:val="009561DE"/>
    <w:rsid w:val="00956988"/>
    <w:rsid w:val="00957029"/>
    <w:rsid w:val="009571F6"/>
    <w:rsid w:val="0096005F"/>
    <w:rsid w:val="0096107D"/>
    <w:rsid w:val="009638C2"/>
    <w:rsid w:val="00964BF9"/>
    <w:rsid w:val="00966BA2"/>
    <w:rsid w:val="00966BA9"/>
    <w:rsid w:val="00967A8C"/>
    <w:rsid w:val="00970D63"/>
    <w:rsid w:val="009733B5"/>
    <w:rsid w:val="00974091"/>
    <w:rsid w:val="0097503F"/>
    <w:rsid w:val="0097522F"/>
    <w:rsid w:val="009816FB"/>
    <w:rsid w:val="00982F32"/>
    <w:rsid w:val="00986A17"/>
    <w:rsid w:val="00987A72"/>
    <w:rsid w:val="00987DC0"/>
    <w:rsid w:val="00990177"/>
    <w:rsid w:val="00990197"/>
    <w:rsid w:val="00991A64"/>
    <w:rsid w:val="00995148"/>
    <w:rsid w:val="00995A4F"/>
    <w:rsid w:val="00995EB0"/>
    <w:rsid w:val="00996AA8"/>
    <w:rsid w:val="00997AD1"/>
    <w:rsid w:val="009A24EF"/>
    <w:rsid w:val="009A5B34"/>
    <w:rsid w:val="009A6F35"/>
    <w:rsid w:val="009A7496"/>
    <w:rsid w:val="009B2FDE"/>
    <w:rsid w:val="009B66F6"/>
    <w:rsid w:val="009B6B0B"/>
    <w:rsid w:val="009C23BF"/>
    <w:rsid w:val="009C52DE"/>
    <w:rsid w:val="009C5388"/>
    <w:rsid w:val="009C6342"/>
    <w:rsid w:val="009C6E29"/>
    <w:rsid w:val="009C7987"/>
    <w:rsid w:val="009D0346"/>
    <w:rsid w:val="009D0EE8"/>
    <w:rsid w:val="009D18E9"/>
    <w:rsid w:val="009D204E"/>
    <w:rsid w:val="009D3DC3"/>
    <w:rsid w:val="009D7FDA"/>
    <w:rsid w:val="009E0E54"/>
    <w:rsid w:val="009E1313"/>
    <w:rsid w:val="009E1656"/>
    <w:rsid w:val="009E1E37"/>
    <w:rsid w:val="009E3036"/>
    <w:rsid w:val="009E690A"/>
    <w:rsid w:val="009E7277"/>
    <w:rsid w:val="009E7E21"/>
    <w:rsid w:val="009F0CCE"/>
    <w:rsid w:val="009F17F3"/>
    <w:rsid w:val="009F1F95"/>
    <w:rsid w:val="009F20C5"/>
    <w:rsid w:val="009F20F0"/>
    <w:rsid w:val="009F4404"/>
    <w:rsid w:val="009F4481"/>
    <w:rsid w:val="009F6812"/>
    <w:rsid w:val="009F6F89"/>
    <w:rsid w:val="009F7322"/>
    <w:rsid w:val="009F7CC0"/>
    <w:rsid w:val="00A0124F"/>
    <w:rsid w:val="00A02BD8"/>
    <w:rsid w:val="00A034A0"/>
    <w:rsid w:val="00A04ADE"/>
    <w:rsid w:val="00A05E9D"/>
    <w:rsid w:val="00A10196"/>
    <w:rsid w:val="00A11C88"/>
    <w:rsid w:val="00A1285C"/>
    <w:rsid w:val="00A12CDD"/>
    <w:rsid w:val="00A13295"/>
    <w:rsid w:val="00A15315"/>
    <w:rsid w:val="00A168E3"/>
    <w:rsid w:val="00A16ACA"/>
    <w:rsid w:val="00A21D01"/>
    <w:rsid w:val="00A22607"/>
    <w:rsid w:val="00A22DC8"/>
    <w:rsid w:val="00A23F35"/>
    <w:rsid w:val="00A259DD"/>
    <w:rsid w:val="00A2696D"/>
    <w:rsid w:val="00A30AC5"/>
    <w:rsid w:val="00A31317"/>
    <w:rsid w:val="00A32E5F"/>
    <w:rsid w:val="00A3378A"/>
    <w:rsid w:val="00A345AE"/>
    <w:rsid w:val="00A346A5"/>
    <w:rsid w:val="00A379B9"/>
    <w:rsid w:val="00A43FBA"/>
    <w:rsid w:val="00A43FFF"/>
    <w:rsid w:val="00A47365"/>
    <w:rsid w:val="00A50C95"/>
    <w:rsid w:val="00A51500"/>
    <w:rsid w:val="00A51FEB"/>
    <w:rsid w:val="00A53B6A"/>
    <w:rsid w:val="00A53FEA"/>
    <w:rsid w:val="00A5432B"/>
    <w:rsid w:val="00A602A3"/>
    <w:rsid w:val="00A61B99"/>
    <w:rsid w:val="00A63D50"/>
    <w:rsid w:val="00A651A5"/>
    <w:rsid w:val="00A65273"/>
    <w:rsid w:val="00A669EF"/>
    <w:rsid w:val="00A7026F"/>
    <w:rsid w:val="00A70E02"/>
    <w:rsid w:val="00A73E62"/>
    <w:rsid w:val="00A749D0"/>
    <w:rsid w:val="00A756DD"/>
    <w:rsid w:val="00A75CBA"/>
    <w:rsid w:val="00A77F12"/>
    <w:rsid w:val="00A8038E"/>
    <w:rsid w:val="00A80511"/>
    <w:rsid w:val="00A80A37"/>
    <w:rsid w:val="00A81DEF"/>
    <w:rsid w:val="00A82108"/>
    <w:rsid w:val="00A834AE"/>
    <w:rsid w:val="00A83C38"/>
    <w:rsid w:val="00A83E54"/>
    <w:rsid w:val="00A872A7"/>
    <w:rsid w:val="00A9061B"/>
    <w:rsid w:val="00A9134F"/>
    <w:rsid w:val="00A93C19"/>
    <w:rsid w:val="00A9470A"/>
    <w:rsid w:val="00A94ED2"/>
    <w:rsid w:val="00A954C5"/>
    <w:rsid w:val="00A962EB"/>
    <w:rsid w:val="00A9787B"/>
    <w:rsid w:val="00AA01B7"/>
    <w:rsid w:val="00AA34D9"/>
    <w:rsid w:val="00AA4B9A"/>
    <w:rsid w:val="00AA5B2F"/>
    <w:rsid w:val="00AA6475"/>
    <w:rsid w:val="00AB183B"/>
    <w:rsid w:val="00AB32FD"/>
    <w:rsid w:val="00AB4B8C"/>
    <w:rsid w:val="00AB4FC8"/>
    <w:rsid w:val="00AB5DE3"/>
    <w:rsid w:val="00AB6192"/>
    <w:rsid w:val="00AB635D"/>
    <w:rsid w:val="00AB7494"/>
    <w:rsid w:val="00AC3AB9"/>
    <w:rsid w:val="00AC4199"/>
    <w:rsid w:val="00AC4564"/>
    <w:rsid w:val="00AD16FC"/>
    <w:rsid w:val="00AD1EB9"/>
    <w:rsid w:val="00AD21E2"/>
    <w:rsid w:val="00AD2662"/>
    <w:rsid w:val="00AD2C7B"/>
    <w:rsid w:val="00AD3BF0"/>
    <w:rsid w:val="00AD43AF"/>
    <w:rsid w:val="00AD4C9B"/>
    <w:rsid w:val="00AD5C82"/>
    <w:rsid w:val="00AE0ADC"/>
    <w:rsid w:val="00AE186F"/>
    <w:rsid w:val="00AE3308"/>
    <w:rsid w:val="00AE4B42"/>
    <w:rsid w:val="00AE552C"/>
    <w:rsid w:val="00AE6BBB"/>
    <w:rsid w:val="00AF330E"/>
    <w:rsid w:val="00AF4517"/>
    <w:rsid w:val="00AF613D"/>
    <w:rsid w:val="00B1128D"/>
    <w:rsid w:val="00B1173D"/>
    <w:rsid w:val="00B12495"/>
    <w:rsid w:val="00B13C35"/>
    <w:rsid w:val="00B22B39"/>
    <w:rsid w:val="00B2349C"/>
    <w:rsid w:val="00B32D05"/>
    <w:rsid w:val="00B3457B"/>
    <w:rsid w:val="00B34D7A"/>
    <w:rsid w:val="00B35C9B"/>
    <w:rsid w:val="00B37CA4"/>
    <w:rsid w:val="00B42DBC"/>
    <w:rsid w:val="00B432BB"/>
    <w:rsid w:val="00B44B19"/>
    <w:rsid w:val="00B45809"/>
    <w:rsid w:val="00B509C5"/>
    <w:rsid w:val="00B50BA7"/>
    <w:rsid w:val="00B518A6"/>
    <w:rsid w:val="00B52491"/>
    <w:rsid w:val="00B525A8"/>
    <w:rsid w:val="00B525D0"/>
    <w:rsid w:val="00B540ED"/>
    <w:rsid w:val="00B555ED"/>
    <w:rsid w:val="00B61879"/>
    <w:rsid w:val="00B64E48"/>
    <w:rsid w:val="00B70EB0"/>
    <w:rsid w:val="00B727F3"/>
    <w:rsid w:val="00B766FF"/>
    <w:rsid w:val="00B76C3E"/>
    <w:rsid w:val="00B772E5"/>
    <w:rsid w:val="00B806EB"/>
    <w:rsid w:val="00B8089B"/>
    <w:rsid w:val="00B82756"/>
    <w:rsid w:val="00B836CA"/>
    <w:rsid w:val="00B85FD7"/>
    <w:rsid w:val="00B904FF"/>
    <w:rsid w:val="00B9210D"/>
    <w:rsid w:val="00B94616"/>
    <w:rsid w:val="00B95044"/>
    <w:rsid w:val="00B95850"/>
    <w:rsid w:val="00B95DCF"/>
    <w:rsid w:val="00B97AB5"/>
    <w:rsid w:val="00B97C6C"/>
    <w:rsid w:val="00BA041B"/>
    <w:rsid w:val="00BA2F5F"/>
    <w:rsid w:val="00BA40EB"/>
    <w:rsid w:val="00BA4EBD"/>
    <w:rsid w:val="00BA6033"/>
    <w:rsid w:val="00BA6DB4"/>
    <w:rsid w:val="00BA6E4C"/>
    <w:rsid w:val="00BB6223"/>
    <w:rsid w:val="00BB64BE"/>
    <w:rsid w:val="00BB6822"/>
    <w:rsid w:val="00BC0E38"/>
    <w:rsid w:val="00BC385E"/>
    <w:rsid w:val="00BC423A"/>
    <w:rsid w:val="00BC65EF"/>
    <w:rsid w:val="00BC70AC"/>
    <w:rsid w:val="00BD0469"/>
    <w:rsid w:val="00BD084F"/>
    <w:rsid w:val="00BD179B"/>
    <w:rsid w:val="00BD2F5F"/>
    <w:rsid w:val="00BD37A9"/>
    <w:rsid w:val="00BD45C6"/>
    <w:rsid w:val="00BD4CA3"/>
    <w:rsid w:val="00BD5A5E"/>
    <w:rsid w:val="00BD7343"/>
    <w:rsid w:val="00BD77E6"/>
    <w:rsid w:val="00BE2C29"/>
    <w:rsid w:val="00BE556B"/>
    <w:rsid w:val="00BE6943"/>
    <w:rsid w:val="00BE6CF7"/>
    <w:rsid w:val="00BE7467"/>
    <w:rsid w:val="00BE7EE2"/>
    <w:rsid w:val="00BF0E02"/>
    <w:rsid w:val="00BF22DC"/>
    <w:rsid w:val="00BF2375"/>
    <w:rsid w:val="00BF575F"/>
    <w:rsid w:val="00C018C7"/>
    <w:rsid w:val="00C0260F"/>
    <w:rsid w:val="00C031F8"/>
    <w:rsid w:val="00C1167E"/>
    <w:rsid w:val="00C1349C"/>
    <w:rsid w:val="00C1382C"/>
    <w:rsid w:val="00C16253"/>
    <w:rsid w:val="00C215C7"/>
    <w:rsid w:val="00C21DB7"/>
    <w:rsid w:val="00C22025"/>
    <w:rsid w:val="00C231D1"/>
    <w:rsid w:val="00C25E14"/>
    <w:rsid w:val="00C26FE7"/>
    <w:rsid w:val="00C27023"/>
    <w:rsid w:val="00C27C5C"/>
    <w:rsid w:val="00C313E4"/>
    <w:rsid w:val="00C31FC1"/>
    <w:rsid w:val="00C3415C"/>
    <w:rsid w:val="00C34927"/>
    <w:rsid w:val="00C378E2"/>
    <w:rsid w:val="00C401A1"/>
    <w:rsid w:val="00C40235"/>
    <w:rsid w:val="00C40927"/>
    <w:rsid w:val="00C4235A"/>
    <w:rsid w:val="00C44809"/>
    <w:rsid w:val="00C45D20"/>
    <w:rsid w:val="00C45ED5"/>
    <w:rsid w:val="00C4613B"/>
    <w:rsid w:val="00C476C4"/>
    <w:rsid w:val="00C518BB"/>
    <w:rsid w:val="00C51B50"/>
    <w:rsid w:val="00C53E1E"/>
    <w:rsid w:val="00C53EF6"/>
    <w:rsid w:val="00C54F8B"/>
    <w:rsid w:val="00C55EB9"/>
    <w:rsid w:val="00C621BD"/>
    <w:rsid w:val="00C623CE"/>
    <w:rsid w:val="00C62493"/>
    <w:rsid w:val="00C62C76"/>
    <w:rsid w:val="00C6306D"/>
    <w:rsid w:val="00C6384E"/>
    <w:rsid w:val="00C6598F"/>
    <w:rsid w:val="00C65E19"/>
    <w:rsid w:val="00C66D60"/>
    <w:rsid w:val="00C67AB5"/>
    <w:rsid w:val="00C71567"/>
    <w:rsid w:val="00C74AEF"/>
    <w:rsid w:val="00C74FB1"/>
    <w:rsid w:val="00C769B1"/>
    <w:rsid w:val="00C8006E"/>
    <w:rsid w:val="00C8362F"/>
    <w:rsid w:val="00C8406C"/>
    <w:rsid w:val="00C8590C"/>
    <w:rsid w:val="00C87351"/>
    <w:rsid w:val="00C90721"/>
    <w:rsid w:val="00C91931"/>
    <w:rsid w:val="00C922E7"/>
    <w:rsid w:val="00C92943"/>
    <w:rsid w:val="00C953AC"/>
    <w:rsid w:val="00C95533"/>
    <w:rsid w:val="00C970BB"/>
    <w:rsid w:val="00CA0296"/>
    <w:rsid w:val="00CA6D37"/>
    <w:rsid w:val="00CA7733"/>
    <w:rsid w:val="00CA7CFC"/>
    <w:rsid w:val="00CB0155"/>
    <w:rsid w:val="00CB178B"/>
    <w:rsid w:val="00CB1B47"/>
    <w:rsid w:val="00CB43C6"/>
    <w:rsid w:val="00CB6585"/>
    <w:rsid w:val="00CB7971"/>
    <w:rsid w:val="00CC3BC3"/>
    <w:rsid w:val="00CC5455"/>
    <w:rsid w:val="00CC6CDD"/>
    <w:rsid w:val="00CD22BB"/>
    <w:rsid w:val="00CD2BEE"/>
    <w:rsid w:val="00CD369F"/>
    <w:rsid w:val="00CD57F7"/>
    <w:rsid w:val="00CD761D"/>
    <w:rsid w:val="00CD77F0"/>
    <w:rsid w:val="00CD79C1"/>
    <w:rsid w:val="00CD7F8B"/>
    <w:rsid w:val="00CE143C"/>
    <w:rsid w:val="00CE72F3"/>
    <w:rsid w:val="00CE7F17"/>
    <w:rsid w:val="00CF1CDA"/>
    <w:rsid w:val="00CF38A0"/>
    <w:rsid w:val="00CF5541"/>
    <w:rsid w:val="00CF669B"/>
    <w:rsid w:val="00CF7D39"/>
    <w:rsid w:val="00D04735"/>
    <w:rsid w:val="00D061FC"/>
    <w:rsid w:val="00D06D1C"/>
    <w:rsid w:val="00D103A1"/>
    <w:rsid w:val="00D114B9"/>
    <w:rsid w:val="00D166DB"/>
    <w:rsid w:val="00D16DFB"/>
    <w:rsid w:val="00D17CE0"/>
    <w:rsid w:val="00D211EC"/>
    <w:rsid w:val="00D22293"/>
    <w:rsid w:val="00D261C7"/>
    <w:rsid w:val="00D31E77"/>
    <w:rsid w:val="00D32664"/>
    <w:rsid w:val="00D334F9"/>
    <w:rsid w:val="00D340F8"/>
    <w:rsid w:val="00D367DC"/>
    <w:rsid w:val="00D36E14"/>
    <w:rsid w:val="00D37267"/>
    <w:rsid w:val="00D372F5"/>
    <w:rsid w:val="00D376AF"/>
    <w:rsid w:val="00D40032"/>
    <w:rsid w:val="00D413D3"/>
    <w:rsid w:val="00D41588"/>
    <w:rsid w:val="00D44004"/>
    <w:rsid w:val="00D44EA6"/>
    <w:rsid w:val="00D45EF8"/>
    <w:rsid w:val="00D45F40"/>
    <w:rsid w:val="00D47D4A"/>
    <w:rsid w:val="00D514B3"/>
    <w:rsid w:val="00D5175F"/>
    <w:rsid w:val="00D51ADF"/>
    <w:rsid w:val="00D52059"/>
    <w:rsid w:val="00D62B59"/>
    <w:rsid w:val="00D6443A"/>
    <w:rsid w:val="00D66FAE"/>
    <w:rsid w:val="00D67632"/>
    <w:rsid w:val="00D7044B"/>
    <w:rsid w:val="00D711D4"/>
    <w:rsid w:val="00D72547"/>
    <w:rsid w:val="00D74481"/>
    <w:rsid w:val="00D7448E"/>
    <w:rsid w:val="00D747B2"/>
    <w:rsid w:val="00D75696"/>
    <w:rsid w:val="00D75E63"/>
    <w:rsid w:val="00D7728C"/>
    <w:rsid w:val="00D809BE"/>
    <w:rsid w:val="00D81515"/>
    <w:rsid w:val="00D860B7"/>
    <w:rsid w:val="00D9026F"/>
    <w:rsid w:val="00D9118C"/>
    <w:rsid w:val="00D914FA"/>
    <w:rsid w:val="00D91D85"/>
    <w:rsid w:val="00D96A40"/>
    <w:rsid w:val="00D975F7"/>
    <w:rsid w:val="00DA0788"/>
    <w:rsid w:val="00DA1966"/>
    <w:rsid w:val="00DA4590"/>
    <w:rsid w:val="00DA623D"/>
    <w:rsid w:val="00DB4C53"/>
    <w:rsid w:val="00DB4F15"/>
    <w:rsid w:val="00DC0990"/>
    <w:rsid w:val="00DC15F5"/>
    <w:rsid w:val="00DC20D4"/>
    <w:rsid w:val="00DC3395"/>
    <w:rsid w:val="00DC3F7B"/>
    <w:rsid w:val="00DC4374"/>
    <w:rsid w:val="00DC4821"/>
    <w:rsid w:val="00DD3474"/>
    <w:rsid w:val="00DD44D1"/>
    <w:rsid w:val="00DD695B"/>
    <w:rsid w:val="00DE3941"/>
    <w:rsid w:val="00DE3D73"/>
    <w:rsid w:val="00DE7EEA"/>
    <w:rsid w:val="00DF033B"/>
    <w:rsid w:val="00DF57AC"/>
    <w:rsid w:val="00DF5E82"/>
    <w:rsid w:val="00DF7CF5"/>
    <w:rsid w:val="00E00733"/>
    <w:rsid w:val="00E01B49"/>
    <w:rsid w:val="00E02101"/>
    <w:rsid w:val="00E02B2C"/>
    <w:rsid w:val="00E035A7"/>
    <w:rsid w:val="00E03A8A"/>
    <w:rsid w:val="00E05B3F"/>
    <w:rsid w:val="00E11913"/>
    <w:rsid w:val="00E13A79"/>
    <w:rsid w:val="00E1417D"/>
    <w:rsid w:val="00E15173"/>
    <w:rsid w:val="00E151AA"/>
    <w:rsid w:val="00E20475"/>
    <w:rsid w:val="00E21C8A"/>
    <w:rsid w:val="00E24D13"/>
    <w:rsid w:val="00E27A4C"/>
    <w:rsid w:val="00E27CE1"/>
    <w:rsid w:val="00E3127C"/>
    <w:rsid w:val="00E33C8E"/>
    <w:rsid w:val="00E352B9"/>
    <w:rsid w:val="00E3673D"/>
    <w:rsid w:val="00E37ABC"/>
    <w:rsid w:val="00E40FF6"/>
    <w:rsid w:val="00E41CB3"/>
    <w:rsid w:val="00E42712"/>
    <w:rsid w:val="00E43CBB"/>
    <w:rsid w:val="00E44693"/>
    <w:rsid w:val="00E45791"/>
    <w:rsid w:val="00E500A5"/>
    <w:rsid w:val="00E525D9"/>
    <w:rsid w:val="00E55A62"/>
    <w:rsid w:val="00E56B0F"/>
    <w:rsid w:val="00E57458"/>
    <w:rsid w:val="00E60A82"/>
    <w:rsid w:val="00E61CA2"/>
    <w:rsid w:val="00E63B9B"/>
    <w:rsid w:val="00E64B7F"/>
    <w:rsid w:val="00E6514E"/>
    <w:rsid w:val="00E65C57"/>
    <w:rsid w:val="00E662FF"/>
    <w:rsid w:val="00E66516"/>
    <w:rsid w:val="00E66C4B"/>
    <w:rsid w:val="00E70F48"/>
    <w:rsid w:val="00E718CD"/>
    <w:rsid w:val="00E719C4"/>
    <w:rsid w:val="00E72E57"/>
    <w:rsid w:val="00E73417"/>
    <w:rsid w:val="00E76D25"/>
    <w:rsid w:val="00E81591"/>
    <w:rsid w:val="00E81B6C"/>
    <w:rsid w:val="00E828BF"/>
    <w:rsid w:val="00E84BF6"/>
    <w:rsid w:val="00E87D3D"/>
    <w:rsid w:val="00E911EA"/>
    <w:rsid w:val="00E913EE"/>
    <w:rsid w:val="00E932DD"/>
    <w:rsid w:val="00E948FF"/>
    <w:rsid w:val="00E96831"/>
    <w:rsid w:val="00EA41E8"/>
    <w:rsid w:val="00EA4733"/>
    <w:rsid w:val="00EA5E1C"/>
    <w:rsid w:val="00EB0375"/>
    <w:rsid w:val="00EB1D08"/>
    <w:rsid w:val="00EB1E9F"/>
    <w:rsid w:val="00EB31FC"/>
    <w:rsid w:val="00EB4EC6"/>
    <w:rsid w:val="00EC0AF4"/>
    <w:rsid w:val="00EC21CC"/>
    <w:rsid w:val="00EC32FA"/>
    <w:rsid w:val="00EC3622"/>
    <w:rsid w:val="00EC4006"/>
    <w:rsid w:val="00EC4295"/>
    <w:rsid w:val="00EC42C6"/>
    <w:rsid w:val="00EC685B"/>
    <w:rsid w:val="00ED1A2C"/>
    <w:rsid w:val="00ED3F52"/>
    <w:rsid w:val="00ED4E9B"/>
    <w:rsid w:val="00ED6FEF"/>
    <w:rsid w:val="00ED7711"/>
    <w:rsid w:val="00EE082A"/>
    <w:rsid w:val="00EE0A32"/>
    <w:rsid w:val="00EE17A9"/>
    <w:rsid w:val="00EE1F2F"/>
    <w:rsid w:val="00EE57B7"/>
    <w:rsid w:val="00EE5A6D"/>
    <w:rsid w:val="00EF27B8"/>
    <w:rsid w:val="00EF49FC"/>
    <w:rsid w:val="00EF70C1"/>
    <w:rsid w:val="00F0702B"/>
    <w:rsid w:val="00F073B4"/>
    <w:rsid w:val="00F1274A"/>
    <w:rsid w:val="00F12FFE"/>
    <w:rsid w:val="00F14BD2"/>
    <w:rsid w:val="00F15900"/>
    <w:rsid w:val="00F161C8"/>
    <w:rsid w:val="00F21CC5"/>
    <w:rsid w:val="00F22F22"/>
    <w:rsid w:val="00F25FE0"/>
    <w:rsid w:val="00F27029"/>
    <w:rsid w:val="00F31BDD"/>
    <w:rsid w:val="00F35A67"/>
    <w:rsid w:val="00F36C49"/>
    <w:rsid w:val="00F4116E"/>
    <w:rsid w:val="00F43758"/>
    <w:rsid w:val="00F44218"/>
    <w:rsid w:val="00F4472E"/>
    <w:rsid w:val="00F50B29"/>
    <w:rsid w:val="00F5107E"/>
    <w:rsid w:val="00F52232"/>
    <w:rsid w:val="00F53855"/>
    <w:rsid w:val="00F53C9A"/>
    <w:rsid w:val="00F63250"/>
    <w:rsid w:val="00F647DE"/>
    <w:rsid w:val="00F6480D"/>
    <w:rsid w:val="00F65F58"/>
    <w:rsid w:val="00F70963"/>
    <w:rsid w:val="00F71387"/>
    <w:rsid w:val="00F71723"/>
    <w:rsid w:val="00F71FEA"/>
    <w:rsid w:val="00F73566"/>
    <w:rsid w:val="00F735B1"/>
    <w:rsid w:val="00F753EF"/>
    <w:rsid w:val="00F75C0A"/>
    <w:rsid w:val="00F7669C"/>
    <w:rsid w:val="00F7707F"/>
    <w:rsid w:val="00F77EE8"/>
    <w:rsid w:val="00F77FDE"/>
    <w:rsid w:val="00F81754"/>
    <w:rsid w:val="00F84544"/>
    <w:rsid w:val="00F85D90"/>
    <w:rsid w:val="00F86F4E"/>
    <w:rsid w:val="00F87297"/>
    <w:rsid w:val="00F9046D"/>
    <w:rsid w:val="00F90516"/>
    <w:rsid w:val="00F90556"/>
    <w:rsid w:val="00F90897"/>
    <w:rsid w:val="00F9192D"/>
    <w:rsid w:val="00F93D9A"/>
    <w:rsid w:val="00F93D9D"/>
    <w:rsid w:val="00F969CD"/>
    <w:rsid w:val="00F974D9"/>
    <w:rsid w:val="00F97DDA"/>
    <w:rsid w:val="00FA046B"/>
    <w:rsid w:val="00FA25F5"/>
    <w:rsid w:val="00FA5315"/>
    <w:rsid w:val="00FA56BE"/>
    <w:rsid w:val="00FC01F7"/>
    <w:rsid w:val="00FC352C"/>
    <w:rsid w:val="00FC78B5"/>
    <w:rsid w:val="00FD18B0"/>
    <w:rsid w:val="00FD35C7"/>
    <w:rsid w:val="00FD5019"/>
    <w:rsid w:val="00FD75FB"/>
    <w:rsid w:val="00FE1A7E"/>
    <w:rsid w:val="00FE4827"/>
    <w:rsid w:val="00FE48BA"/>
    <w:rsid w:val="00FE6484"/>
    <w:rsid w:val="00FF098B"/>
    <w:rsid w:val="00FF10BA"/>
    <w:rsid w:val="00FF22EB"/>
    <w:rsid w:val="00FF3AAC"/>
    <w:rsid w:val="00FF3FA4"/>
    <w:rsid w:val="00FF4D1B"/>
    <w:rsid w:val="00FF6686"/>
    <w:rsid w:val="00FF6822"/>
    <w:rsid w:val="00FF7A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2B9A155"/>
  <w15:docId w15:val="{3CD70602-4560-4C88-B38F-A3A2AE7B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D01"/>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סגנון4"/>
    <w:basedOn w:val="a"/>
    <w:qFormat/>
    <w:rsid w:val="006418B2"/>
    <w:pPr>
      <w:numPr>
        <w:numId w:val="8"/>
      </w:numPr>
      <w:tabs>
        <w:tab w:val="left" w:pos="567"/>
        <w:tab w:val="left" w:pos="1134"/>
        <w:tab w:val="left" w:pos="1814"/>
        <w:tab w:val="left" w:pos="2665"/>
      </w:tabs>
      <w:spacing w:line="360" w:lineRule="auto"/>
      <w:contextualSpacing/>
      <w:jc w:val="both"/>
    </w:pPr>
    <w:rPr>
      <w:rFonts w:cs="David"/>
    </w:rPr>
  </w:style>
  <w:style w:type="paragraph" w:customStyle="1" w:styleId="5">
    <w:name w:val="סגנון5"/>
    <w:basedOn w:val="4"/>
    <w:qFormat/>
    <w:rsid w:val="006418B2"/>
    <w:pPr>
      <w:numPr>
        <w:ilvl w:val="1"/>
      </w:numPr>
    </w:pPr>
  </w:style>
  <w:style w:type="paragraph" w:customStyle="1" w:styleId="6">
    <w:name w:val="סגנון6"/>
    <w:basedOn w:val="5"/>
    <w:qFormat/>
    <w:rsid w:val="006418B2"/>
    <w:pPr>
      <w:numPr>
        <w:ilvl w:val="2"/>
      </w:numPr>
      <w:tabs>
        <w:tab w:val="left" w:pos="1871"/>
      </w:tabs>
    </w:pPr>
  </w:style>
  <w:style w:type="paragraph" w:styleId="a3">
    <w:name w:val="header"/>
    <w:basedOn w:val="a"/>
    <w:link w:val="a4"/>
    <w:uiPriority w:val="99"/>
    <w:unhideWhenUsed/>
    <w:rsid w:val="00AD16FC"/>
    <w:pPr>
      <w:tabs>
        <w:tab w:val="center" w:pos="4153"/>
        <w:tab w:val="right" w:pos="8306"/>
      </w:tabs>
    </w:pPr>
  </w:style>
  <w:style w:type="character" w:customStyle="1" w:styleId="a4">
    <w:name w:val="כותרת עליונה תו"/>
    <w:basedOn w:val="a0"/>
    <w:link w:val="a3"/>
    <w:uiPriority w:val="99"/>
    <w:rsid w:val="00AD16FC"/>
  </w:style>
  <w:style w:type="paragraph" w:styleId="a5">
    <w:name w:val="footer"/>
    <w:basedOn w:val="a"/>
    <w:link w:val="a6"/>
    <w:uiPriority w:val="99"/>
    <w:unhideWhenUsed/>
    <w:rsid w:val="00AD16FC"/>
    <w:pPr>
      <w:tabs>
        <w:tab w:val="center" w:pos="4153"/>
        <w:tab w:val="right" w:pos="8306"/>
      </w:tabs>
    </w:pPr>
  </w:style>
  <w:style w:type="character" w:customStyle="1" w:styleId="a6">
    <w:name w:val="כותרת תחתונה תו"/>
    <w:basedOn w:val="a0"/>
    <w:link w:val="a5"/>
    <w:uiPriority w:val="99"/>
    <w:rsid w:val="00AD16FC"/>
  </w:style>
  <w:style w:type="table" w:styleId="a7">
    <w:name w:val="Table Grid"/>
    <w:basedOn w:val="a1"/>
    <w:uiPriority w:val="59"/>
    <w:rsid w:val="00AD16FC"/>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D16FC"/>
    <w:rPr>
      <w:rFonts w:ascii="Tahoma" w:hAnsi="Tahoma" w:cs="Tahoma"/>
      <w:sz w:val="16"/>
      <w:szCs w:val="16"/>
    </w:rPr>
  </w:style>
  <w:style w:type="character" w:customStyle="1" w:styleId="a9">
    <w:name w:val="טקסט בלונים תו"/>
    <w:basedOn w:val="a0"/>
    <w:link w:val="a8"/>
    <w:uiPriority w:val="99"/>
    <w:semiHidden/>
    <w:rsid w:val="00AD16FC"/>
    <w:rPr>
      <w:rFonts w:ascii="Tahoma" w:hAnsi="Tahoma" w:cs="Tahoma"/>
      <w:sz w:val="16"/>
      <w:szCs w:val="16"/>
    </w:rPr>
  </w:style>
  <w:style w:type="paragraph" w:styleId="aa">
    <w:name w:val="footnote text"/>
    <w:basedOn w:val="a"/>
    <w:link w:val="ab"/>
    <w:uiPriority w:val="99"/>
    <w:semiHidden/>
    <w:rsid w:val="00A21D01"/>
    <w:rPr>
      <w:sz w:val="20"/>
      <w:szCs w:val="20"/>
    </w:rPr>
  </w:style>
  <w:style w:type="character" w:customStyle="1" w:styleId="ab">
    <w:name w:val="טקסט הערת שוליים תו"/>
    <w:basedOn w:val="a0"/>
    <w:link w:val="aa"/>
    <w:uiPriority w:val="99"/>
    <w:semiHidden/>
    <w:rsid w:val="00A21D01"/>
    <w:rPr>
      <w:rFonts w:ascii="Times New Roman" w:eastAsia="Times New Roman" w:hAnsi="Times New Roman" w:cs="Times New Roman"/>
      <w:sz w:val="20"/>
      <w:szCs w:val="20"/>
    </w:rPr>
  </w:style>
  <w:style w:type="character" w:styleId="ac">
    <w:name w:val="footnote reference"/>
    <w:basedOn w:val="a0"/>
    <w:uiPriority w:val="99"/>
    <w:semiHidden/>
    <w:rsid w:val="00A21D01"/>
    <w:rPr>
      <w:rFonts w:cs="Times New Roman"/>
      <w:vertAlign w:val="superscript"/>
    </w:rPr>
  </w:style>
  <w:style w:type="character" w:styleId="ad">
    <w:name w:val="annotation reference"/>
    <w:basedOn w:val="a0"/>
    <w:uiPriority w:val="99"/>
    <w:semiHidden/>
    <w:unhideWhenUsed/>
    <w:rsid w:val="00BF2375"/>
    <w:rPr>
      <w:sz w:val="16"/>
      <w:szCs w:val="16"/>
    </w:rPr>
  </w:style>
  <w:style w:type="paragraph" w:styleId="ae">
    <w:name w:val="annotation text"/>
    <w:basedOn w:val="a"/>
    <w:link w:val="af"/>
    <w:uiPriority w:val="99"/>
    <w:semiHidden/>
    <w:unhideWhenUsed/>
    <w:rsid w:val="00BF2375"/>
    <w:rPr>
      <w:sz w:val="20"/>
      <w:szCs w:val="20"/>
    </w:rPr>
  </w:style>
  <w:style w:type="character" w:customStyle="1" w:styleId="af">
    <w:name w:val="טקסט הערה תו"/>
    <w:basedOn w:val="a0"/>
    <w:link w:val="ae"/>
    <w:uiPriority w:val="99"/>
    <w:semiHidden/>
    <w:rsid w:val="00BF2375"/>
    <w:rPr>
      <w:rFonts w:ascii="Times New Roman" w:eastAsia="Times New Roman" w:hAnsi="Times New Roman" w:cs="Times New Roman"/>
      <w:sz w:val="20"/>
      <w:szCs w:val="20"/>
    </w:rPr>
  </w:style>
  <w:style w:type="paragraph" w:styleId="af0">
    <w:name w:val="annotation subject"/>
    <w:basedOn w:val="ae"/>
    <w:next w:val="ae"/>
    <w:link w:val="af1"/>
    <w:uiPriority w:val="99"/>
    <w:semiHidden/>
    <w:unhideWhenUsed/>
    <w:rsid w:val="00BF2375"/>
    <w:rPr>
      <w:b/>
      <w:bCs/>
    </w:rPr>
  </w:style>
  <w:style w:type="character" w:customStyle="1" w:styleId="af1">
    <w:name w:val="נושא הערה תו"/>
    <w:basedOn w:val="af"/>
    <w:link w:val="af0"/>
    <w:uiPriority w:val="99"/>
    <w:semiHidden/>
    <w:rsid w:val="00BF2375"/>
    <w:rPr>
      <w:rFonts w:ascii="Times New Roman" w:eastAsia="Times New Roman" w:hAnsi="Times New Roman" w:cs="Times New Roman"/>
      <w:b/>
      <w:bCs/>
      <w:sz w:val="20"/>
      <w:szCs w:val="20"/>
    </w:rPr>
  </w:style>
  <w:style w:type="paragraph" w:styleId="af2">
    <w:name w:val="Revision"/>
    <w:hidden/>
    <w:uiPriority w:val="99"/>
    <w:semiHidden/>
    <w:rsid w:val="00BE7EE2"/>
    <w:pPr>
      <w:spacing w:after="0" w:line="240" w:lineRule="auto"/>
    </w:pPr>
    <w:rPr>
      <w:rFonts w:ascii="Times New Roman" w:eastAsia="Times New Roman" w:hAnsi="Times New Roman" w:cs="Times New Roman"/>
      <w:sz w:val="24"/>
      <w:szCs w:val="24"/>
    </w:rPr>
  </w:style>
  <w:style w:type="paragraph" w:styleId="af3">
    <w:name w:val="List Paragraph"/>
    <w:basedOn w:val="a"/>
    <w:uiPriority w:val="34"/>
    <w:qFormat/>
    <w:rsid w:val="00136000"/>
    <w:pPr>
      <w:ind w:left="720"/>
      <w:contextualSpacing/>
    </w:pPr>
  </w:style>
  <w:style w:type="paragraph" w:customStyle="1" w:styleId="Tablenc">
    <w:name w:val="Table_nc"/>
    <w:basedOn w:val="a"/>
    <w:link w:val="TablencChar"/>
    <w:qFormat/>
    <w:rsid w:val="001D21D1"/>
    <w:pPr>
      <w:ind w:left="113"/>
      <w:jc w:val="both"/>
    </w:pPr>
    <w:rPr>
      <w:rFonts w:asciiTheme="minorHAnsi" w:eastAsiaTheme="minorHAnsi" w:hAnsiTheme="minorHAnsi" w:cstheme="minorBidi"/>
      <w:sz w:val="20"/>
      <w:szCs w:val="20"/>
    </w:rPr>
  </w:style>
  <w:style w:type="character" w:customStyle="1" w:styleId="TablencChar">
    <w:name w:val="Table_nc Char"/>
    <w:basedOn w:val="a0"/>
    <w:link w:val="Tablenc"/>
    <w:rsid w:val="001D21D1"/>
    <w:rPr>
      <w:sz w:val="20"/>
      <w:szCs w:val="20"/>
    </w:rPr>
  </w:style>
  <w:style w:type="paragraph" w:customStyle="1" w:styleId="LetterheadBOI">
    <w:name w:val="Letterhead BOI"/>
    <w:basedOn w:val="a"/>
    <w:link w:val="LetterheadBOIChar"/>
    <w:qFormat/>
    <w:rsid w:val="00B44B19"/>
    <w:pPr>
      <w:bidi w:val="0"/>
      <w:spacing w:line="300" w:lineRule="atLeast"/>
      <w:jc w:val="center"/>
    </w:pPr>
    <w:rPr>
      <w:rFonts w:cs="David"/>
      <w:b/>
    </w:rPr>
  </w:style>
  <w:style w:type="paragraph" w:customStyle="1" w:styleId="Letterhead2">
    <w:name w:val="Letterhead 2"/>
    <w:basedOn w:val="a"/>
    <w:link w:val="Letterhead2Char"/>
    <w:qFormat/>
    <w:rsid w:val="00B44B19"/>
    <w:pPr>
      <w:bidi w:val="0"/>
      <w:spacing w:line="300" w:lineRule="atLeast"/>
      <w:jc w:val="center"/>
    </w:pPr>
    <w:rPr>
      <w:sz w:val="26"/>
      <w:szCs w:val="26"/>
    </w:rPr>
  </w:style>
  <w:style w:type="character" w:customStyle="1" w:styleId="LetterheadBOIChar">
    <w:name w:val="Letterhead BOI Char"/>
    <w:basedOn w:val="a0"/>
    <w:link w:val="LetterheadBOI"/>
    <w:rsid w:val="00B44B19"/>
    <w:rPr>
      <w:rFonts w:ascii="Times New Roman" w:eastAsia="Times New Roman" w:hAnsi="Times New Roman" w:cs="David"/>
      <w:b/>
      <w:sz w:val="24"/>
      <w:szCs w:val="24"/>
    </w:rPr>
  </w:style>
  <w:style w:type="character" w:customStyle="1" w:styleId="Letterhead2Char">
    <w:name w:val="Letterhead 2 Char"/>
    <w:basedOn w:val="a0"/>
    <w:link w:val="Letterhead2"/>
    <w:rsid w:val="00B44B19"/>
    <w:rPr>
      <w:rFonts w:ascii="Times New Roman" w:eastAsia="Times New Roman" w:hAnsi="Times New Roman" w:cs="Times New Roman"/>
      <w:sz w:val="26"/>
      <w:szCs w:val="26"/>
    </w:rPr>
  </w:style>
  <w:style w:type="character" w:customStyle="1" w:styleId="fui-primitive">
    <w:name w:val="fui-primitive"/>
    <w:basedOn w:val="a0"/>
    <w:rsid w:val="00416C49"/>
  </w:style>
  <w:style w:type="paragraph" w:styleId="NormalWeb">
    <w:name w:val="Normal (Web)"/>
    <w:basedOn w:val="a"/>
    <w:uiPriority w:val="99"/>
    <w:unhideWhenUsed/>
    <w:rsid w:val="00416C49"/>
    <w:pPr>
      <w:bidi w:val="0"/>
      <w:spacing w:before="100" w:beforeAutospacing="1" w:after="100" w:afterAutospacing="1"/>
    </w:pPr>
  </w:style>
  <w:style w:type="character" w:customStyle="1" w:styleId="fui-readerheading">
    <w:name w:val="fui-readerheading"/>
    <w:basedOn w:val="a0"/>
    <w:rsid w:val="00F93D9D"/>
  </w:style>
  <w:style w:type="character" w:customStyle="1" w:styleId="fui-styledtext">
    <w:name w:val="fui-styledtext"/>
    <w:basedOn w:val="a0"/>
    <w:rsid w:val="00F93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42801">
      <w:bodyDiv w:val="1"/>
      <w:marLeft w:val="0"/>
      <w:marRight w:val="0"/>
      <w:marTop w:val="0"/>
      <w:marBottom w:val="0"/>
      <w:divBdr>
        <w:top w:val="none" w:sz="0" w:space="0" w:color="auto"/>
        <w:left w:val="none" w:sz="0" w:space="0" w:color="auto"/>
        <w:bottom w:val="none" w:sz="0" w:space="0" w:color="auto"/>
        <w:right w:val="none" w:sz="0" w:space="0" w:color="auto"/>
      </w:divBdr>
    </w:div>
    <w:div w:id="241381015">
      <w:bodyDiv w:val="1"/>
      <w:marLeft w:val="0"/>
      <w:marRight w:val="0"/>
      <w:marTop w:val="0"/>
      <w:marBottom w:val="0"/>
      <w:divBdr>
        <w:top w:val="none" w:sz="0" w:space="0" w:color="auto"/>
        <w:left w:val="none" w:sz="0" w:space="0" w:color="auto"/>
        <w:bottom w:val="none" w:sz="0" w:space="0" w:color="auto"/>
        <w:right w:val="none" w:sz="0" w:space="0" w:color="auto"/>
      </w:divBdr>
    </w:div>
    <w:div w:id="418716691">
      <w:bodyDiv w:val="1"/>
      <w:marLeft w:val="0"/>
      <w:marRight w:val="0"/>
      <w:marTop w:val="0"/>
      <w:marBottom w:val="0"/>
      <w:divBdr>
        <w:top w:val="none" w:sz="0" w:space="0" w:color="auto"/>
        <w:left w:val="none" w:sz="0" w:space="0" w:color="auto"/>
        <w:bottom w:val="none" w:sz="0" w:space="0" w:color="auto"/>
        <w:right w:val="none" w:sz="0" w:space="0" w:color="auto"/>
      </w:divBdr>
    </w:div>
    <w:div w:id="460417961">
      <w:bodyDiv w:val="1"/>
      <w:marLeft w:val="0"/>
      <w:marRight w:val="0"/>
      <w:marTop w:val="0"/>
      <w:marBottom w:val="0"/>
      <w:divBdr>
        <w:top w:val="none" w:sz="0" w:space="0" w:color="auto"/>
        <w:left w:val="none" w:sz="0" w:space="0" w:color="auto"/>
        <w:bottom w:val="none" w:sz="0" w:space="0" w:color="auto"/>
        <w:right w:val="none" w:sz="0" w:space="0" w:color="auto"/>
      </w:divBdr>
    </w:div>
    <w:div w:id="635914100">
      <w:bodyDiv w:val="1"/>
      <w:marLeft w:val="0"/>
      <w:marRight w:val="0"/>
      <w:marTop w:val="0"/>
      <w:marBottom w:val="0"/>
      <w:divBdr>
        <w:top w:val="none" w:sz="0" w:space="0" w:color="auto"/>
        <w:left w:val="none" w:sz="0" w:space="0" w:color="auto"/>
        <w:bottom w:val="none" w:sz="0" w:space="0" w:color="auto"/>
        <w:right w:val="none" w:sz="0" w:space="0" w:color="auto"/>
      </w:divBdr>
    </w:div>
    <w:div w:id="674461002">
      <w:bodyDiv w:val="1"/>
      <w:marLeft w:val="0"/>
      <w:marRight w:val="0"/>
      <w:marTop w:val="0"/>
      <w:marBottom w:val="0"/>
      <w:divBdr>
        <w:top w:val="none" w:sz="0" w:space="0" w:color="auto"/>
        <w:left w:val="none" w:sz="0" w:space="0" w:color="auto"/>
        <w:bottom w:val="none" w:sz="0" w:space="0" w:color="auto"/>
        <w:right w:val="none" w:sz="0" w:space="0" w:color="auto"/>
      </w:divBdr>
    </w:div>
    <w:div w:id="1182743306">
      <w:bodyDiv w:val="1"/>
      <w:marLeft w:val="0"/>
      <w:marRight w:val="0"/>
      <w:marTop w:val="0"/>
      <w:marBottom w:val="0"/>
      <w:divBdr>
        <w:top w:val="none" w:sz="0" w:space="0" w:color="auto"/>
        <w:left w:val="none" w:sz="0" w:space="0" w:color="auto"/>
        <w:bottom w:val="none" w:sz="0" w:space="0" w:color="auto"/>
        <w:right w:val="none" w:sz="0" w:space="0" w:color="auto"/>
      </w:divBdr>
    </w:div>
    <w:div w:id="1235815620">
      <w:bodyDiv w:val="1"/>
      <w:marLeft w:val="0"/>
      <w:marRight w:val="0"/>
      <w:marTop w:val="0"/>
      <w:marBottom w:val="0"/>
      <w:divBdr>
        <w:top w:val="none" w:sz="0" w:space="0" w:color="auto"/>
        <w:left w:val="none" w:sz="0" w:space="0" w:color="auto"/>
        <w:bottom w:val="none" w:sz="0" w:space="0" w:color="auto"/>
        <w:right w:val="none" w:sz="0" w:space="0" w:color="auto"/>
      </w:divBdr>
    </w:div>
    <w:div w:id="1452284682">
      <w:bodyDiv w:val="1"/>
      <w:marLeft w:val="0"/>
      <w:marRight w:val="0"/>
      <w:marTop w:val="0"/>
      <w:marBottom w:val="0"/>
      <w:divBdr>
        <w:top w:val="none" w:sz="0" w:space="0" w:color="auto"/>
        <w:left w:val="none" w:sz="0" w:space="0" w:color="auto"/>
        <w:bottom w:val="none" w:sz="0" w:space="0" w:color="auto"/>
        <w:right w:val="none" w:sz="0" w:space="0" w:color="auto"/>
      </w:divBdr>
    </w:div>
    <w:div w:id="169634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eec667c192e179fa3ca9d2ff5e61b8e9">
  <xsd:schema xmlns:xsd="http://www.w3.org/2001/XMLSchema" xmlns:xs="http://www.w3.org/2001/XMLSchema" xmlns:p="http://schemas.microsoft.com/office/2006/metadata/properties" xmlns:ns1="http://schemas.microsoft.com/sharepoint/v3" targetNamespace="http://schemas.microsoft.com/office/2006/metadata/properties" ma:root="true" ma:fieldsID="746174814a43a1a05660744d66829a9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WaveListOrderValue xmlns="http://schemas.microsoft.com/sharepoint/v3"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A32405-AFA6-4CB9-BBAF-433B329A7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C57AAB-9898-4DE2-BDAA-17A292961A9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48E4F78-4ADB-41F4-A694-4EA04E6865D5}">
  <ds:schemaRefs>
    <ds:schemaRef ds:uri="http://schemas.microsoft.com/sharepoint/v3/contenttype/forms"/>
  </ds:schemaRefs>
</ds:datastoreItem>
</file>

<file path=customXml/itemProps4.xml><?xml version="1.0" encoding="utf-8"?>
<ds:datastoreItem xmlns:ds="http://schemas.openxmlformats.org/officeDocument/2006/customXml" ds:itemID="{241A7EAB-55E7-4D8A-B913-F03C88F36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2072</Words>
  <Characters>10360</Characters>
  <Application>Microsoft Office Word</Application>
  <DocSecurity>0</DocSecurity>
  <Lines>86</Lines>
  <Paragraphs>24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BOI</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דוד בן מיכאל</dc:creator>
  <cp:lastModifiedBy>אילנית שרון</cp:lastModifiedBy>
  <cp:revision>2</cp:revision>
  <cp:lastPrinted>2018-07-08T13:15:00Z</cp:lastPrinted>
  <dcterms:created xsi:type="dcterms:W3CDTF">2026-01-18T07:51:00Z</dcterms:created>
  <dcterms:modified xsi:type="dcterms:W3CDTF">2026-01-18T07:51:00Z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