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100427">
              <w:rPr>
                <w:rFonts w:asciiTheme="minorHAnsi" w:hAnsiTheme="minorHAnsi" w:cstheme="minorHAnsi"/>
                <w:noProof/>
                <w:rtl/>
              </w:rPr>
              <w:t>‏כ"ז תשרי, תשפ"ו</w:t>
            </w:r>
            <w:bookmarkStart w:id="0" w:name="_GoBack"/>
            <w:bookmarkEnd w:id="0"/>
            <w:r w:rsidRPr="005E28F6">
              <w:rPr>
                <w:rFonts w:asciiTheme="minorHAnsi" w:hAnsiTheme="minorHAnsi" w:cstheme="minorHAnsi"/>
                <w:rtl/>
              </w:rPr>
              <w:fldChar w:fldCharType="end"/>
            </w:r>
          </w:p>
          <w:p w:rsidR="00031A9D" w:rsidRPr="005E28F6" w:rsidRDefault="00031A9D" w:rsidP="00BF1748">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C119B3">
              <w:rPr>
                <w:rFonts w:asciiTheme="minorHAnsi" w:hAnsiTheme="minorHAnsi" w:cstheme="minorHAnsi"/>
                <w:noProof/>
                <w:rtl/>
              </w:rPr>
              <w:t>‏</w:t>
            </w:r>
            <w:r w:rsidR="00BF1748">
              <w:rPr>
                <w:rFonts w:asciiTheme="minorHAnsi" w:hAnsiTheme="minorHAnsi" w:cstheme="minorHAnsi" w:hint="cs"/>
                <w:noProof/>
                <w:rtl/>
              </w:rPr>
              <w:t>19</w:t>
            </w:r>
            <w:r w:rsidR="00C119B3">
              <w:rPr>
                <w:rFonts w:asciiTheme="minorHAnsi" w:hAnsiTheme="minorHAnsi" w:cstheme="minorHAnsi"/>
                <w:noProof/>
                <w:rtl/>
              </w:rPr>
              <w:t xml:space="preserve"> אוקטובר,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CE523D" w:rsidRPr="00CE523D" w:rsidRDefault="00CE523D" w:rsidP="00CE523D">
      <w:pPr>
        <w:bidi/>
        <w:spacing w:line="360" w:lineRule="auto"/>
        <w:jc w:val="center"/>
        <w:rPr>
          <w:rFonts w:asciiTheme="minorHAnsi" w:hAnsiTheme="minorHAnsi" w:cstheme="minorHAnsi"/>
          <w:b/>
          <w:bCs/>
          <w:rtl/>
        </w:rPr>
      </w:pPr>
      <w:r w:rsidRPr="00CE523D">
        <w:rPr>
          <w:rFonts w:asciiTheme="minorHAnsi" w:hAnsiTheme="minorHAnsi" w:cs="Calibri"/>
          <w:b/>
          <w:bCs/>
          <w:sz w:val="28"/>
          <w:szCs w:val="28"/>
          <w:rtl/>
        </w:rPr>
        <w:t>בנק ישראל מברך על החלטות רשות שוק הון והרשות לניירות ערך לצאת באסדרה על חשיפת גופים מוסדיים וקרנות נאמנות למטבע חוץ באמצעות נגזרים</w:t>
      </w:r>
    </w:p>
    <w:p w:rsidR="00CE523D" w:rsidRPr="00CE523D" w:rsidRDefault="00CE523D" w:rsidP="00CE523D">
      <w:pPr>
        <w:bidi/>
        <w:spacing w:line="360" w:lineRule="auto"/>
        <w:jc w:val="both"/>
        <w:rPr>
          <w:rFonts w:asciiTheme="minorHAnsi" w:hAnsiTheme="minorHAnsi" w:cstheme="minorHAnsi"/>
          <w:rtl/>
        </w:rPr>
      </w:pPr>
    </w:p>
    <w:p w:rsidR="00CE523D" w:rsidRPr="00CE523D" w:rsidRDefault="00CE523D" w:rsidP="00CE523D">
      <w:pPr>
        <w:bidi/>
        <w:spacing w:line="360" w:lineRule="auto"/>
        <w:jc w:val="both"/>
        <w:rPr>
          <w:rFonts w:asciiTheme="minorHAnsi" w:hAnsiTheme="minorHAnsi" w:cstheme="minorHAnsi"/>
          <w:rtl/>
        </w:rPr>
      </w:pPr>
      <w:r w:rsidRPr="00CE523D">
        <w:rPr>
          <w:rFonts w:asciiTheme="minorHAnsi" w:hAnsiTheme="minorHAnsi" w:cs="Calibri"/>
          <w:rtl/>
        </w:rPr>
        <w:t xml:space="preserve">מניתוח תובנות משבר הקורונה שנעשה בבנק ישראל עולה כי לחשיפתם של גופים מוסדיים למדדי מניות בחו"ל באמצעות נגזרים עלולה להיות השפעה </w:t>
      </w:r>
      <w:proofErr w:type="spellStart"/>
      <w:r w:rsidRPr="00CE523D">
        <w:rPr>
          <w:rFonts w:asciiTheme="minorHAnsi" w:hAnsiTheme="minorHAnsi" w:cs="Calibri"/>
          <w:rtl/>
        </w:rPr>
        <w:t>יציבותית</w:t>
      </w:r>
      <w:proofErr w:type="spellEnd"/>
      <w:r w:rsidRPr="00CE523D">
        <w:rPr>
          <w:rFonts w:asciiTheme="minorHAnsi" w:hAnsiTheme="minorHAnsi" w:cs="Calibri"/>
          <w:rtl/>
        </w:rPr>
        <w:t xml:space="preserve"> על השווקים הפיננסיים בישראל. על רקע זה, יזם בנק ישראל הקמת צוות עבודה משותף עם הרשות לניירות ערך ורשות שוק ההון, ביטוח וחיסכון, שנועד לבחון סוגיה זו. מסקנות הצוות הובילו לגיבוש אסדרה של חשיפת הגופים המוסדיים וקרנות נאמנות למטבע חוץ באמצעות נגזרים. במסגרת האסדרה, ייקבע סף נזילות במט"ח של 10% מסך החשיפה לנגזרים במטבע חוץ</w:t>
      </w:r>
      <w:r w:rsidRPr="00CE523D">
        <w:rPr>
          <w:rFonts w:asciiTheme="minorHAnsi" w:hAnsiTheme="minorHAnsi" w:cstheme="minorHAnsi"/>
        </w:rPr>
        <w:t>.</w:t>
      </w:r>
    </w:p>
    <w:p w:rsidR="00CE523D" w:rsidRPr="00CE523D" w:rsidRDefault="00CE523D" w:rsidP="00CE523D">
      <w:pPr>
        <w:bidi/>
        <w:spacing w:line="360" w:lineRule="auto"/>
        <w:jc w:val="both"/>
        <w:rPr>
          <w:rFonts w:asciiTheme="minorHAnsi" w:hAnsiTheme="minorHAnsi" w:cstheme="minorHAnsi"/>
          <w:rtl/>
        </w:rPr>
      </w:pPr>
      <w:r w:rsidRPr="00CE523D">
        <w:rPr>
          <w:rFonts w:asciiTheme="minorHAnsi" w:hAnsiTheme="minorHAnsi" w:cs="Calibri"/>
          <w:rtl/>
        </w:rPr>
        <w:t xml:space="preserve">בשנים האחרונות ניכרת עלייה משמעותית בחשיפה למדדי מניות בחו"ל ע"י גופים מוסדיים וקרנות נאמנות באמצעות </w:t>
      </w:r>
      <w:proofErr w:type="spellStart"/>
      <w:r w:rsidRPr="00CE523D">
        <w:rPr>
          <w:rFonts w:asciiTheme="minorHAnsi" w:hAnsiTheme="minorHAnsi" w:cs="Calibri"/>
          <w:rtl/>
        </w:rPr>
        <w:t>נגזרי</w:t>
      </w:r>
      <w:proofErr w:type="spellEnd"/>
      <w:r w:rsidRPr="00CE523D">
        <w:rPr>
          <w:rFonts w:asciiTheme="minorHAnsi" w:hAnsiTheme="minorHAnsi" w:cs="Calibri"/>
          <w:rtl/>
        </w:rPr>
        <w:t xml:space="preserve"> מניות בחו"ל</w:t>
      </w:r>
      <w:r w:rsidRPr="00CE523D">
        <w:rPr>
          <w:rFonts w:asciiTheme="minorHAnsi" w:hAnsiTheme="minorHAnsi" w:cstheme="minorHAnsi"/>
        </w:rPr>
        <w:t xml:space="preserve">. </w:t>
      </w:r>
    </w:p>
    <w:p w:rsidR="00CE523D" w:rsidRPr="00CE523D" w:rsidRDefault="00CE523D" w:rsidP="00CE523D">
      <w:pPr>
        <w:bidi/>
        <w:spacing w:line="360" w:lineRule="auto"/>
        <w:jc w:val="both"/>
        <w:rPr>
          <w:rFonts w:asciiTheme="minorHAnsi" w:hAnsiTheme="minorHAnsi" w:cstheme="minorHAnsi"/>
          <w:rtl/>
        </w:rPr>
      </w:pPr>
      <w:r w:rsidRPr="00CE523D">
        <w:rPr>
          <w:rFonts w:asciiTheme="minorHAnsi" w:hAnsiTheme="minorHAnsi" w:cs="Calibri"/>
          <w:rtl/>
        </w:rPr>
        <w:t>במצבי שוק מסוימים, חשיפה זו עלולה לגרום לדרישה להעברת ביטחונות במט"ח</w:t>
      </w:r>
      <w:r w:rsidRPr="00CE523D">
        <w:rPr>
          <w:rFonts w:asciiTheme="minorHAnsi" w:hAnsiTheme="minorHAnsi" w:cstheme="minorHAnsi"/>
        </w:rPr>
        <w:t xml:space="preserve"> (Margin Call), </w:t>
      </w:r>
      <w:r w:rsidRPr="00CE523D">
        <w:rPr>
          <w:rFonts w:asciiTheme="minorHAnsi" w:hAnsiTheme="minorHAnsi" w:cs="Calibri"/>
          <w:rtl/>
        </w:rPr>
        <w:t xml:space="preserve">בפרק זמן קצר ובהיקפים משמעותיים, מה שעלול להביא למצב בו אין לגופים המשקיעים נזילות מספקת במט"ח, ובכך להעצים את התנודתיות בשוק ההון </w:t>
      </w:r>
      <w:proofErr w:type="spellStart"/>
      <w:r w:rsidRPr="00CE523D">
        <w:rPr>
          <w:rFonts w:asciiTheme="minorHAnsi" w:hAnsiTheme="minorHAnsi" w:cs="Calibri"/>
          <w:rtl/>
        </w:rPr>
        <w:t>והמט"ח</w:t>
      </w:r>
      <w:proofErr w:type="spellEnd"/>
      <w:r w:rsidRPr="00CE523D">
        <w:rPr>
          <w:rFonts w:asciiTheme="minorHAnsi" w:hAnsiTheme="minorHAnsi" w:cs="Calibri"/>
          <w:rtl/>
        </w:rPr>
        <w:t xml:space="preserve"> המקומיים</w:t>
      </w:r>
      <w:r w:rsidRPr="00CE523D">
        <w:rPr>
          <w:rFonts w:asciiTheme="minorHAnsi" w:hAnsiTheme="minorHAnsi" w:cstheme="minorHAnsi"/>
        </w:rPr>
        <w:t>.</w:t>
      </w:r>
    </w:p>
    <w:p w:rsidR="00CE523D" w:rsidRPr="00CE523D" w:rsidRDefault="00CE523D" w:rsidP="00CE523D">
      <w:pPr>
        <w:bidi/>
        <w:spacing w:line="360" w:lineRule="auto"/>
        <w:jc w:val="both"/>
        <w:rPr>
          <w:rFonts w:asciiTheme="minorHAnsi" w:hAnsiTheme="minorHAnsi" w:cstheme="minorHAnsi"/>
          <w:rtl/>
        </w:rPr>
      </w:pPr>
      <w:r w:rsidRPr="00CE523D">
        <w:rPr>
          <w:rFonts w:asciiTheme="minorHAnsi" w:hAnsiTheme="minorHAnsi" w:cs="Calibri"/>
          <w:rtl/>
        </w:rPr>
        <w:t xml:space="preserve">ההמלצה נידונה בוועדה ליציבות פיננסית וזכתה לתמיכתה ומהווה צעד חשוב לחיזוק יציבות שוק ההון, שוק </w:t>
      </w:r>
      <w:proofErr w:type="spellStart"/>
      <w:r w:rsidRPr="00CE523D">
        <w:rPr>
          <w:rFonts w:asciiTheme="minorHAnsi" w:hAnsiTheme="minorHAnsi" w:cs="Calibri"/>
          <w:rtl/>
        </w:rPr>
        <w:t>המט"ח</w:t>
      </w:r>
      <w:proofErr w:type="spellEnd"/>
      <w:r w:rsidRPr="00CE523D">
        <w:rPr>
          <w:rFonts w:asciiTheme="minorHAnsi" w:hAnsiTheme="minorHAnsi" w:cs="Calibri"/>
          <w:rtl/>
        </w:rPr>
        <w:t xml:space="preserve"> והמערכת הפיננסית בכללותה</w:t>
      </w:r>
      <w:r w:rsidRPr="00CE523D">
        <w:rPr>
          <w:rFonts w:asciiTheme="minorHAnsi" w:hAnsiTheme="minorHAnsi" w:cstheme="minorHAnsi"/>
        </w:rPr>
        <w:t>.</w:t>
      </w:r>
    </w:p>
    <w:p w:rsidR="00CE523D" w:rsidRPr="00CE523D" w:rsidRDefault="00CE523D" w:rsidP="00CE523D">
      <w:pPr>
        <w:bidi/>
        <w:spacing w:line="360" w:lineRule="auto"/>
        <w:jc w:val="both"/>
        <w:rPr>
          <w:rFonts w:asciiTheme="minorHAnsi" w:hAnsiTheme="minorHAnsi" w:cstheme="minorHAnsi"/>
          <w:b/>
          <w:bCs/>
          <w:rtl/>
        </w:rPr>
      </w:pPr>
      <w:r w:rsidRPr="00CE523D">
        <w:rPr>
          <w:rFonts w:asciiTheme="minorHAnsi" w:hAnsiTheme="minorHAnsi" w:cs="Calibri"/>
          <w:b/>
          <w:bCs/>
          <w:rtl/>
        </w:rPr>
        <w:t xml:space="preserve">נגיד בנק ישראל, פרופ' אמיר ירון: "חשיפת הגופים המוסדיים וקרנות הנאמנות למדדי מניות בחו"ל באמצעות נגזרים, שעלתה מאוד בשנים האחרונות, עלולה בנסיבות מסוימות לייצר סיכונים משמעותיים בשוק ההון בכלל ובשוק </w:t>
      </w:r>
      <w:proofErr w:type="spellStart"/>
      <w:r w:rsidRPr="00CE523D">
        <w:rPr>
          <w:rFonts w:asciiTheme="minorHAnsi" w:hAnsiTheme="minorHAnsi" w:cs="Calibri"/>
          <w:b/>
          <w:bCs/>
          <w:rtl/>
        </w:rPr>
        <w:t>המט"ח</w:t>
      </w:r>
      <w:proofErr w:type="spellEnd"/>
      <w:r w:rsidRPr="00CE523D">
        <w:rPr>
          <w:rFonts w:asciiTheme="minorHAnsi" w:hAnsiTheme="minorHAnsi" w:cs="Calibri"/>
          <w:b/>
          <w:bCs/>
          <w:rtl/>
        </w:rPr>
        <w:t xml:space="preserve"> בפרט. האסדרה לסף נזילות דולרי היא צעד חשוב מאוד לתרומה לאיתנות המערכת הפיננסית בישראל. אני מברך על קידומה</w:t>
      </w:r>
      <w:r w:rsidRPr="00CE523D">
        <w:rPr>
          <w:rFonts w:asciiTheme="minorHAnsi" w:hAnsiTheme="minorHAnsi" w:cstheme="minorHAnsi"/>
          <w:b/>
          <w:bCs/>
        </w:rPr>
        <w:t>."</w:t>
      </w:r>
    </w:p>
    <w:p w:rsidR="00CE523D" w:rsidRPr="00CE523D" w:rsidRDefault="00CE523D" w:rsidP="00CE523D">
      <w:pPr>
        <w:bidi/>
        <w:spacing w:line="360" w:lineRule="auto"/>
        <w:rPr>
          <w:rFonts w:asciiTheme="minorHAnsi" w:hAnsiTheme="minorHAnsi" w:cstheme="minorHAnsi"/>
          <w:b/>
          <w:bCs/>
          <w:rtl/>
        </w:rPr>
      </w:pPr>
    </w:p>
    <w:p w:rsidR="00F25BB5" w:rsidRDefault="00F25BB5" w:rsidP="00F25BB5">
      <w:pPr>
        <w:bidi/>
        <w:spacing w:line="360" w:lineRule="auto"/>
        <w:rPr>
          <w:rFonts w:asciiTheme="minorHAnsi" w:hAnsiTheme="minorHAnsi" w:cstheme="minorHAnsi"/>
          <w:rtl/>
        </w:rPr>
      </w:pPr>
    </w:p>
    <w:p w:rsidR="00F25BB5" w:rsidRPr="005E28F6" w:rsidRDefault="00F25BB5" w:rsidP="00F25BB5">
      <w:pPr>
        <w:bidi/>
        <w:spacing w:line="360" w:lineRule="auto"/>
        <w:rPr>
          <w:rFonts w:asciiTheme="minorHAnsi" w:hAnsiTheme="minorHAnsi" w:cstheme="minorHAnsi"/>
          <w:rtl/>
        </w:rPr>
      </w:pPr>
    </w:p>
    <w:p w:rsidR="003E7478" w:rsidRPr="005E28F6" w:rsidRDefault="003E7478" w:rsidP="005E28F6">
      <w:pPr>
        <w:bidi/>
        <w:spacing w:line="360" w:lineRule="auto"/>
        <w:jc w:val="both"/>
        <w:rPr>
          <w:rFonts w:asciiTheme="minorHAnsi" w:hAnsiTheme="minorHAnsi" w:cstheme="minorHAnsi"/>
        </w:rPr>
      </w:pPr>
    </w:p>
    <w:sectPr w:rsidR="003E7478" w:rsidRPr="005E28F6"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2"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00427"/>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0AA5"/>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6620"/>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F1748"/>
    <w:rsid w:val="00BF4F97"/>
    <w:rsid w:val="00BF5589"/>
    <w:rsid w:val="00C0095C"/>
    <w:rsid w:val="00C02512"/>
    <w:rsid w:val="00C10172"/>
    <w:rsid w:val="00C119B3"/>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CE523D"/>
    <w:rsid w:val="00D004D1"/>
    <w:rsid w:val="00D02324"/>
    <w:rsid w:val="00D06884"/>
    <w:rsid w:val="00D15579"/>
    <w:rsid w:val="00D45541"/>
    <w:rsid w:val="00D53BFE"/>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470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1285</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2025-10-15T12:46:00Z</dcterms:created>
  <dcterms:modified xsi:type="dcterms:W3CDTF">2025-10-19T09:26:00Z</dcterms:modified>
</cp:coreProperties>
</file>