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03F51" w:rsidRPr="00003F51" w:rsidTr="00C814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51" w:rsidRPr="00003F51" w:rsidRDefault="00003F51" w:rsidP="00003F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003F51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בנק ישראל</w:t>
            </w:r>
          </w:p>
          <w:p w:rsidR="00003F51" w:rsidRPr="00003F51" w:rsidRDefault="00003F51" w:rsidP="00003F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3F51" w:rsidRPr="00003F51" w:rsidRDefault="00003F51" w:rsidP="00003F51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03F51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A0D0533" wp14:editId="108D5F2E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51" w:rsidRPr="00003F51" w:rsidRDefault="00003F51" w:rsidP="00003F51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003F51">
              <w:rPr>
                <w:rFonts w:ascii="Calibri" w:eastAsia="Calibri" w:hAnsi="Calibri" w:cs="Calibri"/>
                <w:sz w:val="24"/>
                <w:szCs w:val="24"/>
                <w:highlight w:val="green"/>
                <w:rtl/>
              </w:rPr>
              <w:t>‏</w: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ירושלים, </w: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fldChar w:fldCharType="begin"/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instrText xml:space="preserve"> 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</w:rPr>
              <w:instrText>DATE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instrText xml:space="preserve"> \@ "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</w:rPr>
              <w:instrText>d MMMM, yyyy" \h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instrText xml:space="preserve"> 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fldChar w:fldCharType="separate"/>
            </w:r>
            <w:r w:rsidRPr="00003F51">
              <w:rPr>
                <w:rFonts w:ascii="Calibri" w:eastAsia="Calibri" w:hAnsi="Calibri" w:cs="Calibri"/>
                <w:noProof/>
                <w:sz w:val="24"/>
                <w:szCs w:val="24"/>
                <w:rtl/>
              </w:rPr>
              <w:t>‏כ"ג אייר, תשפ"ו</w: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fldChar w:fldCharType="end"/>
            </w:r>
          </w:p>
          <w:p w:rsidR="00003F51" w:rsidRPr="00003F51" w:rsidRDefault="00003F51" w:rsidP="00003F51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fldChar w:fldCharType="begin"/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instrText xml:space="preserve"> 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</w:rPr>
              <w:instrText>DATE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instrText xml:space="preserve"> \@ "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</w:rPr>
              <w:instrText>d MMMM, yyyy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instrText xml:space="preserve">" </w:instrTex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fldChar w:fldCharType="separate"/>
            </w:r>
            <w:r w:rsidRPr="00003F51">
              <w:rPr>
                <w:rFonts w:ascii="Calibri" w:eastAsia="Calibri" w:hAnsi="Calibri" w:cs="Calibri"/>
                <w:noProof/>
                <w:sz w:val="24"/>
                <w:szCs w:val="24"/>
                <w:rtl/>
              </w:rPr>
              <w:t>‏10 מאי, 2026</w:t>
            </w:r>
            <w:r w:rsidRPr="00003F51">
              <w:rPr>
                <w:rFonts w:ascii="Calibri" w:eastAsia="Calibri" w:hAnsi="Calibri" w:cs="Calibri"/>
                <w:sz w:val="24"/>
                <w:szCs w:val="24"/>
                <w:rtl/>
              </w:rPr>
              <w:fldChar w:fldCharType="end"/>
            </w:r>
          </w:p>
        </w:tc>
      </w:tr>
    </w:tbl>
    <w:p w:rsidR="00003F51" w:rsidRDefault="00003F51" w:rsidP="00003F51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Assistant" w:eastAsia="Times New Roman" w:hAnsi="Assistant" w:cs="Assistant"/>
          <w:rtl/>
        </w:rPr>
      </w:pPr>
    </w:p>
    <w:p w:rsidR="00003F51" w:rsidRDefault="00003F51" w:rsidP="00003F51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Assistant" w:eastAsia="Times New Roman" w:hAnsi="Assistant" w:cs="Assistant"/>
          <w:rtl/>
        </w:rPr>
      </w:pPr>
      <w:r>
        <w:rPr>
          <w:rFonts w:ascii="Assistant" w:eastAsia="Times New Roman" w:hAnsi="Assistant" w:cs="Assistant" w:hint="cs"/>
          <w:rtl/>
        </w:rPr>
        <w:t>הודעה לעיתונות:</w:t>
      </w:r>
    </w:p>
    <w:p w:rsidR="00003F51" w:rsidRDefault="00003F51" w:rsidP="00003F51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Assistant" w:eastAsia="Times New Roman" w:hAnsi="Assistant" w:cs="Assistant"/>
          <w:rtl/>
        </w:rPr>
      </w:pPr>
      <w:r w:rsidRPr="00003F51">
        <w:rPr>
          <w:rFonts w:ascii="Assistant" w:eastAsia="Times New Roman" w:hAnsi="Assistant" w:cs="Assistant"/>
          <w:b/>
          <w:bCs/>
          <w:rtl/>
        </w:rPr>
        <w:t>תיבה מתוך סקירת מערכת הבנקאות בישראל לשנת 2025 שתפורסם בקרוב</w:t>
      </w:r>
      <w:r w:rsidRPr="00003F51">
        <w:rPr>
          <w:rFonts w:ascii="Assistant" w:eastAsia="Times New Roman" w:hAnsi="Assistant" w:cs="Assistant"/>
          <w:b/>
          <w:bCs/>
        </w:rPr>
        <w:t>:</w:t>
      </w:r>
      <w:r w:rsidRPr="00003F51">
        <w:rPr>
          <w:rFonts w:ascii="Assistant" w:eastAsia="Times New Roman" w:hAnsi="Assistant" w:cs="Assistant" w:hint="cs"/>
          <w:b/>
          <w:bCs/>
          <w:rtl/>
        </w:rPr>
        <w:t xml:space="preserve"> </w:t>
      </w:r>
      <w:bookmarkStart w:id="0" w:name="_GoBack"/>
      <w:r w:rsidRPr="00003F51">
        <w:rPr>
          <w:rFonts w:ascii="Assistant" w:eastAsia="Times New Roman" w:hAnsi="Assistant" w:cs="Assistant"/>
          <w:b/>
          <w:bCs/>
          <w:rtl/>
        </w:rPr>
        <w:t xml:space="preserve">אפקטיביות </w:t>
      </w:r>
      <w:proofErr w:type="spellStart"/>
      <w:r w:rsidRPr="00003F51">
        <w:rPr>
          <w:rFonts w:ascii="Assistant" w:eastAsia="Times New Roman" w:hAnsi="Assistant" w:cs="Assistant"/>
          <w:b/>
          <w:bCs/>
          <w:rtl/>
        </w:rPr>
        <w:t>מתווי־הסיוע</w:t>
      </w:r>
      <w:proofErr w:type="spellEnd"/>
      <w:r w:rsidRPr="00003F51">
        <w:rPr>
          <w:rFonts w:ascii="Assistant" w:eastAsia="Times New Roman" w:hAnsi="Assistant" w:cs="Assistant"/>
          <w:b/>
          <w:bCs/>
          <w:rtl/>
        </w:rPr>
        <w:t xml:space="preserve"> לציבור שגיבש הפיקוח על הבנקים בעקבות אירועי משבר</w:t>
      </w:r>
      <w:bookmarkEnd w:id="0"/>
    </w:p>
    <w:p w:rsidR="00003F51" w:rsidRPr="00003F51" w:rsidRDefault="00003F51" w:rsidP="00003F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Assistant" w:eastAsia="Times New Roman" w:hAnsi="Assistant" w:cs="Assistant"/>
        </w:rPr>
      </w:pPr>
      <w:r w:rsidRPr="00003F51">
        <w:rPr>
          <w:rFonts w:ascii="Assistant" w:eastAsia="Times New Roman" w:hAnsi="Assistant" w:cs="Assistant"/>
          <w:rtl/>
        </w:rPr>
        <w:t xml:space="preserve">בשנים האחרונות גיבש הפיקוח על הבנקים מספר </w:t>
      </w:r>
      <w:proofErr w:type="spellStart"/>
      <w:r w:rsidRPr="00003F51">
        <w:rPr>
          <w:rFonts w:ascii="Assistant" w:eastAsia="Times New Roman" w:hAnsi="Assistant" w:cs="Assistant"/>
          <w:rtl/>
        </w:rPr>
        <w:t>מתווי־סיוע</w:t>
      </w:r>
      <w:proofErr w:type="spellEnd"/>
      <w:r w:rsidRPr="00003F51">
        <w:rPr>
          <w:rFonts w:ascii="Assistant" w:eastAsia="Times New Roman" w:hAnsi="Assistant" w:cs="Assistant"/>
          <w:rtl/>
        </w:rPr>
        <w:t xml:space="preserve"> להתמודדות של לקוחות מערכת הבנקאות עם קשיים </w:t>
      </w:r>
      <w:proofErr w:type="spellStart"/>
      <w:r w:rsidRPr="00003F51">
        <w:rPr>
          <w:rFonts w:ascii="Assistant" w:eastAsia="Times New Roman" w:hAnsi="Assistant" w:cs="Assistant"/>
          <w:rtl/>
        </w:rPr>
        <w:t>תזרימיים</w:t>
      </w:r>
      <w:proofErr w:type="spellEnd"/>
      <w:r w:rsidRPr="00003F51">
        <w:rPr>
          <w:rFonts w:ascii="Assistant" w:eastAsia="Times New Roman" w:hAnsi="Assistant" w:cs="Assistant"/>
          <w:rtl/>
        </w:rPr>
        <w:t xml:space="preserve"> בעקבות משברים שונים שחווה המשק הישראלי. משברים אלו כללו את </w:t>
      </w:r>
      <w:proofErr w:type="spellStart"/>
      <w:r w:rsidRPr="00003F51">
        <w:rPr>
          <w:rFonts w:ascii="Assistant" w:eastAsia="Times New Roman" w:hAnsi="Assistant" w:cs="Assistant"/>
          <w:rtl/>
        </w:rPr>
        <w:t>מגיפת</w:t>
      </w:r>
      <w:proofErr w:type="spellEnd"/>
      <w:r w:rsidRPr="00003F51">
        <w:rPr>
          <w:rFonts w:ascii="Assistant" w:eastAsia="Times New Roman" w:hAnsi="Assistant" w:cs="Assistant"/>
          <w:rtl/>
        </w:rPr>
        <w:t xml:space="preserve"> הקורונה, המלחמה שפרצה ב-7 באוקטובר,  מבצע "עם כלביא" ואת "שאגת הארי".</w:t>
      </w:r>
    </w:p>
    <w:p w:rsidR="00003F51" w:rsidRPr="00003F51" w:rsidRDefault="00003F51" w:rsidP="00003F5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Assistant" w:hAnsi="Assistant" w:cs="Assistant"/>
        </w:rPr>
      </w:pPr>
      <w:r w:rsidRPr="00003F51">
        <w:rPr>
          <w:rFonts w:ascii="Assistant" w:hAnsi="Assistant" w:cs="Assistant"/>
          <w:rtl/>
        </w:rPr>
        <w:t>לאורך תקופות המשבר קיים הפיקוח מעקב הדוק ושוטף אחר הנתונים וההתפתחויות, שכלל קבלת אינדיקציות מהשטח ושיח מתמשך עם המערכת הבנקאית. נעשו התאמות והארכות למתווים במידת הצורך והורחבו ההקלות הניתנות במסגרתם.</w:t>
      </w:r>
    </w:p>
    <w:p w:rsidR="00003F51" w:rsidRPr="00003F51" w:rsidRDefault="00003F51" w:rsidP="00003F51">
      <w:pPr>
        <w:pStyle w:val="a3"/>
        <w:numPr>
          <w:ilvl w:val="0"/>
          <w:numId w:val="1"/>
        </w:numPr>
        <w:spacing w:line="360" w:lineRule="auto"/>
        <w:jc w:val="both"/>
        <w:rPr>
          <w:rFonts w:ascii="Assistant" w:eastAsia="Times New Roman" w:hAnsi="Assistant" w:cs="Assistant"/>
        </w:rPr>
      </w:pPr>
      <w:r w:rsidRPr="00003F51">
        <w:rPr>
          <w:rFonts w:ascii="Assistant" w:hAnsi="Assistant" w:cs="Assistant"/>
          <w:rtl/>
        </w:rPr>
        <w:t xml:space="preserve">מבחינה משקית שימשו המתווים צעד רוחבי ראשון ומהיר להשגת יציבות וודאות בקרב </w:t>
      </w:r>
      <w:proofErr w:type="spellStart"/>
      <w:r w:rsidRPr="00003F51">
        <w:rPr>
          <w:rFonts w:ascii="Assistant" w:hAnsi="Assistant" w:cs="Assistant"/>
          <w:rtl/>
        </w:rPr>
        <w:t>משקי־בית</w:t>
      </w:r>
      <w:proofErr w:type="spellEnd"/>
      <w:r w:rsidRPr="00003F51">
        <w:rPr>
          <w:rFonts w:ascii="Assistant" w:hAnsi="Assistant" w:cs="Assistant"/>
          <w:rtl/>
        </w:rPr>
        <w:t xml:space="preserve"> ועסקים</w:t>
      </w:r>
      <w:r w:rsidRPr="00003F51">
        <w:rPr>
          <w:rFonts w:ascii="Assistant" w:eastAsia="Times New Roman" w:hAnsi="Assistant" w:cs="Assistant"/>
          <w:rtl/>
        </w:rPr>
        <w:t xml:space="preserve"> ושימשו גשר תזרימי עד לקבלת סיוע מהמדינה או התאוששות מהמצב הפיננסי שאליו נקלעו. </w:t>
      </w:r>
    </w:p>
    <w:p w:rsidR="00003F51" w:rsidRPr="00003F51" w:rsidRDefault="00003F51" w:rsidP="00003F51">
      <w:pPr>
        <w:pStyle w:val="a3"/>
        <w:numPr>
          <w:ilvl w:val="0"/>
          <w:numId w:val="1"/>
        </w:numPr>
        <w:spacing w:line="360" w:lineRule="auto"/>
        <w:jc w:val="both"/>
        <w:rPr>
          <w:rFonts w:ascii="Assistant" w:eastAsia="Times New Roman" w:hAnsi="Assistant" w:cs="Assistant"/>
        </w:rPr>
      </w:pPr>
      <w:r w:rsidRPr="00003F51">
        <w:rPr>
          <w:rFonts w:ascii="Assistant" w:eastAsia="Times New Roman" w:hAnsi="Assistant" w:cs="Assistant"/>
          <w:rtl/>
        </w:rPr>
        <w:t>המתווים היו חלק מהסינרגיה שנוצרה הודות לצעדי המדיניות המוניטרית והצעדים שננקטו מול המערכת הבנקאית</w:t>
      </w:r>
      <w:r w:rsidRPr="00003F51">
        <w:rPr>
          <w:rFonts w:ascii="Assistant" w:eastAsia="Times New Roman" w:hAnsi="Assistant" w:cs="Assistant" w:hint="cs"/>
          <w:rtl/>
        </w:rPr>
        <w:t>, לרבות ביצוע ה</w:t>
      </w:r>
      <w:r w:rsidRPr="00003F51">
        <w:rPr>
          <w:rFonts w:ascii="Assistant" w:eastAsia="Times New Roman" w:hAnsi="Assistant" w:cs="Assistant"/>
          <w:rtl/>
        </w:rPr>
        <w:t xml:space="preserve">תאמות והקלות </w:t>
      </w:r>
      <w:r w:rsidRPr="00003F51">
        <w:rPr>
          <w:rFonts w:ascii="Assistant" w:eastAsia="Times New Roman" w:hAnsi="Assistant" w:cs="Assistant" w:hint="cs"/>
          <w:rtl/>
        </w:rPr>
        <w:t xml:space="preserve">רגולטוריות </w:t>
      </w:r>
      <w:r w:rsidRPr="00003F51">
        <w:rPr>
          <w:rFonts w:ascii="Assistant" w:eastAsia="Times New Roman" w:hAnsi="Assistant" w:cs="Assistant"/>
          <w:rtl/>
        </w:rPr>
        <w:t xml:space="preserve">אשר יסייעו במתן מענה בהתמודדות </w:t>
      </w:r>
      <w:r w:rsidRPr="00003F51">
        <w:rPr>
          <w:rFonts w:ascii="Assistant" w:eastAsia="Times New Roman" w:hAnsi="Assistant" w:cs="Assistant" w:hint="cs"/>
          <w:rtl/>
        </w:rPr>
        <w:t xml:space="preserve">משקי הבית והעסקים </w:t>
      </w:r>
      <w:r w:rsidRPr="00003F51">
        <w:rPr>
          <w:rFonts w:ascii="Assistant" w:eastAsia="Times New Roman" w:hAnsi="Assistant" w:cs="Assistant"/>
          <w:rtl/>
        </w:rPr>
        <w:t xml:space="preserve">עם </w:t>
      </w:r>
      <w:r w:rsidRPr="00003F51">
        <w:rPr>
          <w:rFonts w:ascii="Assistant" w:eastAsia="Times New Roman" w:hAnsi="Assistant" w:cs="Assistant" w:hint="cs"/>
          <w:rtl/>
        </w:rPr>
        <w:t>ה</w:t>
      </w:r>
      <w:r w:rsidRPr="00003F51">
        <w:rPr>
          <w:rFonts w:ascii="Assistant" w:eastAsia="Times New Roman" w:hAnsi="Assistant" w:cs="Assistant"/>
          <w:rtl/>
        </w:rPr>
        <w:t>אתגרי</w:t>
      </w:r>
      <w:r w:rsidRPr="00003F51">
        <w:rPr>
          <w:rFonts w:ascii="Assistant" w:eastAsia="Times New Roman" w:hAnsi="Assistant" w:cs="Assistant" w:hint="cs"/>
          <w:rtl/>
        </w:rPr>
        <w:t xml:space="preserve">ם שנוצרו, והמאפשרים </w:t>
      </w:r>
      <w:r w:rsidRPr="00003F51">
        <w:rPr>
          <w:rFonts w:ascii="Assistant" w:eastAsia="Times New Roman" w:hAnsi="Assistant" w:cs="Assistant"/>
          <w:rtl/>
        </w:rPr>
        <w:t xml:space="preserve">לבנקים </w:t>
      </w:r>
      <w:r w:rsidRPr="00003F51">
        <w:rPr>
          <w:rFonts w:ascii="Assistant" w:eastAsia="Times New Roman" w:hAnsi="Assistant" w:cs="Assistant" w:hint="cs"/>
          <w:rtl/>
        </w:rPr>
        <w:t xml:space="preserve">להחזיק </w:t>
      </w:r>
      <w:r w:rsidRPr="00003F51">
        <w:rPr>
          <w:rFonts w:ascii="Assistant" w:eastAsia="Times New Roman" w:hAnsi="Assistant" w:cs="Assistant"/>
          <w:rtl/>
        </w:rPr>
        <w:t>הון עצמי נמוך יותר כדי להגדיל את האשראי לציבור ולעסקים, תוך הקפדה על ניהול סיכונים תקי</w:t>
      </w:r>
      <w:r w:rsidRPr="00003F51">
        <w:rPr>
          <w:rFonts w:ascii="Assistant" w:eastAsia="Times New Roman" w:hAnsi="Assistant" w:cs="Assistant" w:hint="cs"/>
          <w:rtl/>
        </w:rPr>
        <w:t>ן</w:t>
      </w:r>
      <w:r w:rsidRPr="00003F51">
        <w:rPr>
          <w:rFonts w:ascii="Assistant" w:eastAsia="Times New Roman" w:hAnsi="Assistant" w:cs="Assistant"/>
          <w:rtl/>
        </w:rPr>
        <w:t xml:space="preserve">. אלו אפשרו לבנק ישראל לוודא כי אספקת האשראי לצליחת המשבר ולגישור על קשיי נזילות ותזרים נפרסה על־פני כלל רובדי המשק וברמת מחיר דומה, זאת </w:t>
      </w:r>
      <w:proofErr w:type="spellStart"/>
      <w:r w:rsidRPr="00003F51">
        <w:rPr>
          <w:rFonts w:ascii="Assistant" w:eastAsia="Times New Roman" w:hAnsi="Assistant" w:cs="Assistant"/>
          <w:rtl/>
        </w:rPr>
        <w:t>על־אף</w:t>
      </w:r>
      <w:proofErr w:type="spellEnd"/>
      <w:r w:rsidRPr="00003F51">
        <w:rPr>
          <w:rFonts w:ascii="Assistant" w:eastAsia="Times New Roman" w:hAnsi="Assistant" w:cs="Assistant"/>
          <w:rtl/>
        </w:rPr>
        <w:t xml:space="preserve"> הגידול בסביבת הסיכון</w:t>
      </w:r>
      <w:r w:rsidRPr="00003F51">
        <w:rPr>
          <w:rFonts w:ascii="Assistant" w:eastAsia="Times New Roman" w:hAnsi="Assistant" w:cs="Assistant"/>
        </w:rPr>
        <w:t>.</w:t>
      </w:r>
    </w:p>
    <w:p w:rsidR="00003F51" w:rsidRPr="00003F51" w:rsidRDefault="00003F51" w:rsidP="00003F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Assistant" w:eastAsia="Times New Roman" w:hAnsi="Assistant" w:cs="Assistant"/>
        </w:rPr>
      </w:pPr>
      <w:r w:rsidRPr="00003F51">
        <w:rPr>
          <w:rFonts w:ascii="Assistant" w:hAnsi="Assistant" w:cs="Assistant"/>
          <w:rtl/>
        </w:rPr>
        <w:t xml:space="preserve">במסגרת השימוש במתווים השונים בוצעו במצטבר דחיות תשלומים </w:t>
      </w:r>
      <w:proofErr w:type="spellStart"/>
      <w:r w:rsidRPr="00003F51">
        <w:rPr>
          <w:rFonts w:ascii="Assistant" w:hAnsi="Assistant" w:cs="Assistant"/>
          <w:rtl/>
        </w:rPr>
        <w:t>בלמעלה</w:t>
      </w:r>
      <w:proofErr w:type="spellEnd"/>
      <w:r w:rsidRPr="00003F51">
        <w:rPr>
          <w:rFonts w:ascii="Assistant" w:hAnsi="Assistant" w:cs="Assistant"/>
          <w:rtl/>
        </w:rPr>
        <w:t xml:space="preserve"> ממיליון הלוואות. הארכת הדחיות בהתאם לצרכים שעלו מהשטח והיקף השימוש הגבוה מעידים על האפקטיביות שלהם בעבור </w:t>
      </w:r>
      <w:proofErr w:type="spellStart"/>
      <w:r w:rsidRPr="00003F51">
        <w:rPr>
          <w:rFonts w:ascii="Assistant" w:hAnsi="Assistant" w:cs="Assistant"/>
          <w:rtl/>
        </w:rPr>
        <w:t>משקי־הבית</w:t>
      </w:r>
      <w:proofErr w:type="spellEnd"/>
      <w:r w:rsidRPr="00003F51">
        <w:rPr>
          <w:rFonts w:ascii="Assistant" w:hAnsi="Assistant" w:cs="Assistant"/>
          <w:rtl/>
        </w:rPr>
        <w:t xml:space="preserve"> והעסקים הקטנים. </w:t>
      </w:r>
    </w:p>
    <w:p w:rsidR="00003F51" w:rsidRPr="00003F51" w:rsidRDefault="00003F51" w:rsidP="00003F5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0"/>
        <w:rPr>
          <w:rFonts w:ascii="Assistant" w:hAnsi="Assistant" w:cs="Assistant"/>
        </w:rPr>
      </w:pPr>
      <w:r w:rsidRPr="00003F51">
        <w:rPr>
          <w:rFonts w:ascii="Assistant" w:hAnsi="Assistant" w:cs="Assistant"/>
          <w:rtl/>
        </w:rPr>
        <w:t xml:space="preserve">הרוב המוחלט (למעלה מ-90 אחוזים) של מי שדחו הלוואות במסגרת המתווים השונים שבו לשלם את חובם באופן סדיר, ובמקביל במהלך המשברים השונים לא חלו עליות </w:t>
      </w:r>
      <w:proofErr w:type="spellStart"/>
      <w:r w:rsidRPr="00003F51">
        <w:rPr>
          <w:rFonts w:ascii="Assistant" w:hAnsi="Assistant" w:cs="Assistant"/>
          <w:rtl/>
        </w:rPr>
        <w:t>בלתי־מבוקרות</w:t>
      </w:r>
      <w:proofErr w:type="spellEnd"/>
      <w:r w:rsidRPr="00003F51">
        <w:rPr>
          <w:rFonts w:ascii="Assistant" w:hAnsi="Assistant" w:cs="Assistant"/>
          <w:rtl/>
        </w:rPr>
        <w:t xml:space="preserve"> בהוצאה להפסדי אשראי וכמו־כן המשיך גידול האשראי במשק. ובכך נמנע נזק </w:t>
      </w:r>
      <w:proofErr w:type="spellStart"/>
      <w:r w:rsidRPr="00003F51">
        <w:rPr>
          <w:rFonts w:ascii="Assistant" w:hAnsi="Assistant" w:cs="Assistant"/>
          <w:rtl/>
        </w:rPr>
        <w:t>ארוך־טווח</w:t>
      </w:r>
      <w:proofErr w:type="spellEnd"/>
      <w:r w:rsidRPr="00003F51">
        <w:rPr>
          <w:rFonts w:ascii="Assistant" w:hAnsi="Assistant" w:cs="Assistant"/>
          <w:rtl/>
        </w:rPr>
        <w:t xml:space="preserve"> - הן ללווים הן למערכת הבנקאית.</w:t>
      </w:r>
    </w:p>
    <w:p w:rsidR="003E05EC" w:rsidRPr="00003F51" w:rsidRDefault="003E05EC">
      <w:pPr>
        <w:rPr>
          <w:b/>
          <w:bCs/>
        </w:rPr>
      </w:pPr>
    </w:p>
    <w:sectPr w:rsidR="003E05EC" w:rsidRPr="00003F51" w:rsidSect="00FA27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285C"/>
    <w:multiLevelType w:val="hybridMultilevel"/>
    <w:tmpl w:val="1E7E4EE6"/>
    <w:lvl w:ilvl="0" w:tplc="EA1A8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26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5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01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E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A8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A1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89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88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7218"/>
    <w:multiLevelType w:val="multilevel"/>
    <w:tmpl w:val="964A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00"/>
    <w:rsid w:val="00003F51"/>
    <w:rsid w:val="00050AA1"/>
    <w:rsid w:val="000A4100"/>
    <w:rsid w:val="000D699D"/>
    <w:rsid w:val="0013258C"/>
    <w:rsid w:val="001B29B9"/>
    <w:rsid w:val="00372822"/>
    <w:rsid w:val="003E05EC"/>
    <w:rsid w:val="0043782F"/>
    <w:rsid w:val="00572E7D"/>
    <w:rsid w:val="006479D6"/>
    <w:rsid w:val="0088198B"/>
    <w:rsid w:val="009002B2"/>
    <w:rsid w:val="009554E0"/>
    <w:rsid w:val="009D68DB"/>
    <w:rsid w:val="00AD49BB"/>
    <w:rsid w:val="00B25D00"/>
    <w:rsid w:val="00C90EDF"/>
    <w:rsid w:val="00D36A9A"/>
    <w:rsid w:val="00D72C51"/>
    <w:rsid w:val="00D8376F"/>
    <w:rsid w:val="00DC337E"/>
    <w:rsid w:val="00F726A6"/>
    <w:rsid w:val="00F80107"/>
    <w:rsid w:val="00FA2761"/>
    <w:rsid w:val="00FC3B9A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E466"/>
  <w15:chartTrackingRefBased/>
  <w15:docId w15:val="{432019C7-1EBB-470A-95F5-E7712378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5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פיסקת bullets,פיסקת רשימה1,List Paragraph1,פיסקת רשימה11,פיסקת רשימה12,פיסקת רשימה121,List Paragraph_0,פיסקת רשימה2,List Paragraph2,List Paragraph11,List Paragraph3,List Paragraph_0_0"/>
    <w:basedOn w:val="a"/>
    <w:link w:val="a4"/>
    <w:uiPriority w:val="34"/>
    <w:qFormat/>
    <w:rsid w:val="00003F51"/>
    <w:pPr>
      <w:ind w:left="720"/>
      <w:contextualSpacing/>
    </w:pPr>
  </w:style>
  <w:style w:type="character" w:customStyle="1" w:styleId="a4">
    <w:name w:val="פיסקת רשימה תו"/>
    <w:aliases w:val="פיסקת bullets תו,פיסקת רשימה1 תו,List Paragraph1 תו,פיסקת רשימה11 תו,פיסקת רשימה12 תו,פיסקת רשימה121 תו,List Paragraph_0 תו,פיסקת רשימה2 תו,List Paragraph2 תו,List Paragraph11 תו,List Paragraph3 תו,List Paragraph_0_0 תו"/>
    <w:basedOn w:val="a0"/>
    <w:link w:val="a3"/>
    <w:uiPriority w:val="34"/>
    <w:locked/>
    <w:rsid w:val="0000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BOI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בן עמוס</dc:creator>
  <cp:keywords/>
  <dc:description/>
  <cp:lastModifiedBy>לירון בן עמוס</cp:lastModifiedBy>
  <cp:revision>2</cp:revision>
  <dcterms:created xsi:type="dcterms:W3CDTF">2026-05-10T07:54:00Z</dcterms:created>
  <dcterms:modified xsi:type="dcterms:W3CDTF">2026-05-10T07:54:00Z</dcterms:modified>
</cp:coreProperties>
</file>