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202A0" w14:textId="77777777" w:rsidR="001732BA" w:rsidRPr="001732BA" w:rsidRDefault="001732BA" w:rsidP="000803DF">
      <w:pPr>
        <w:pStyle w:val="font-claude-response-body"/>
        <w:bidi/>
        <w:spacing w:line="360" w:lineRule="auto"/>
        <w:rPr>
          <w:rFonts w:asciiTheme="minorHAnsi" w:hAnsiTheme="minorHAnsi" w:cstheme="minorHAnsi"/>
          <w:b/>
          <w:bCs/>
          <w:rtl/>
        </w:rPr>
      </w:pPr>
    </w:p>
    <w:tbl>
      <w:tblPr>
        <w:tblpPr w:leftFromText="180" w:rightFromText="180" w:vertAnchor="page" w:horzAnchor="margin" w:tblpXSpec="center" w:tblpY="961"/>
        <w:bidiVisual/>
        <w:tblW w:w="0" w:type="auto"/>
        <w:tblLayout w:type="fixed"/>
        <w:tblLook w:val="0000" w:firstRow="0" w:lastRow="0" w:firstColumn="0" w:lastColumn="0" w:noHBand="0" w:noVBand="0"/>
      </w:tblPr>
      <w:tblGrid>
        <w:gridCol w:w="2840"/>
        <w:gridCol w:w="2596"/>
        <w:gridCol w:w="3084"/>
      </w:tblGrid>
      <w:tr w:rsidR="001732BA" w:rsidRPr="001732BA" w14:paraId="09872D81" w14:textId="77777777" w:rsidTr="003061E5">
        <w:tc>
          <w:tcPr>
            <w:tcW w:w="2840" w:type="dxa"/>
            <w:vAlign w:val="center"/>
          </w:tcPr>
          <w:p w14:paraId="53351EE1" w14:textId="77777777" w:rsidR="001732BA" w:rsidRPr="001732BA" w:rsidRDefault="001732BA" w:rsidP="001732BA">
            <w:pPr>
              <w:spacing w:line="360" w:lineRule="auto"/>
              <w:rPr>
                <w:rFonts w:eastAsia="Calibri" w:cstheme="minorHAnsi"/>
                <w:b/>
                <w:bCs/>
                <w:sz w:val="28"/>
                <w:szCs w:val="28"/>
              </w:rPr>
            </w:pPr>
            <w:r w:rsidRPr="001732BA">
              <w:rPr>
                <w:rFonts w:eastAsia="Calibri" w:cstheme="minorHAnsi"/>
                <w:b/>
                <w:bCs/>
                <w:sz w:val="28"/>
                <w:szCs w:val="28"/>
                <w:rtl/>
              </w:rPr>
              <w:t>בנק ישראל</w:t>
            </w:r>
          </w:p>
          <w:p w14:paraId="37EE7B06" w14:textId="77777777" w:rsidR="001732BA" w:rsidRPr="001732BA" w:rsidRDefault="001732BA" w:rsidP="001732BA">
            <w:pPr>
              <w:spacing w:line="360" w:lineRule="auto"/>
              <w:ind w:right="-101"/>
              <w:rPr>
                <w:rFonts w:eastAsia="Calibri" w:cstheme="minorHAnsi"/>
              </w:rPr>
            </w:pPr>
            <w:r w:rsidRPr="001732BA">
              <w:rPr>
                <w:rFonts w:eastAsia="Calibri" w:cstheme="minorHAnsi"/>
                <w:rtl/>
              </w:rPr>
              <w:t>דוברות והסברה כלכלית</w:t>
            </w:r>
          </w:p>
        </w:tc>
        <w:tc>
          <w:tcPr>
            <w:tcW w:w="2596" w:type="dxa"/>
          </w:tcPr>
          <w:p w14:paraId="52F2747D" w14:textId="77777777" w:rsidR="001732BA" w:rsidRPr="001732BA" w:rsidRDefault="001732BA" w:rsidP="001732BA">
            <w:pPr>
              <w:spacing w:line="360" w:lineRule="auto"/>
              <w:rPr>
                <w:rFonts w:eastAsia="Calibri" w:cstheme="minorHAnsi"/>
              </w:rPr>
            </w:pPr>
            <w:r w:rsidRPr="001732BA">
              <w:rPr>
                <w:rFonts w:eastAsia="Calibri" w:cstheme="minorHAnsi"/>
                <w:noProof/>
              </w:rPr>
              <w:drawing>
                <wp:inline distT="0" distB="0" distL="0" distR="0" wp14:anchorId="2F0E2334" wp14:editId="4C6955D0">
                  <wp:extent cx="981075" cy="771525"/>
                  <wp:effectExtent l="0" t="0" r="0" b="0"/>
                  <wp:docPr id="2" name="תמונה 3" descr="Title: לוגו בנק ישראל - Description: 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Title: לוגו בנק ישראל - Description: לוגו בנק ישראל"/>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771525"/>
                          </a:xfrm>
                          <a:prstGeom prst="rect">
                            <a:avLst/>
                          </a:prstGeom>
                          <a:noFill/>
                          <a:ln>
                            <a:noFill/>
                          </a:ln>
                        </pic:spPr>
                      </pic:pic>
                    </a:graphicData>
                  </a:graphic>
                </wp:inline>
              </w:drawing>
            </w:r>
          </w:p>
        </w:tc>
        <w:tc>
          <w:tcPr>
            <w:tcW w:w="3084" w:type="dxa"/>
            <w:vAlign w:val="center"/>
          </w:tcPr>
          <w:p w14:paraId="3A6BBB0C" w14:textId="66E731CF" w:rsidR="001732BA" w:rsidRPr="001732BA" w:rsidRDefault="001732BA" w:rsidP="001732BA">
            <w:pPr>
              <w:spacing w:line="360" w:lineRule="auto"/>
              <w:rPr>
                <w:rFonts w:eastAsia="Calibri" w:cstheme="minorHAnsi"/>
                <w:rtl/>
              </w:rPr>
            </w:pPr>
            <w:r w:rsidRPr="001732BA">
              <w:rPr>
                <w:rFonts w:eastAsia="Calibri" w:cstheme="minorHAnsi"/>
                <w:rtl/>
              </w:rPr>
              <w:t>‏ירושלים,</w:t>
            </w:r>
            <w:r w:rsidRPr="001732BA">
              <w:rPr>
                <w:rFonts w:eastAsia="Calibri" w:cstheme="minorHAnsi"/>
                <w:rtl/>
              </w:rPr>
              <w:t xml:space="preserve"> י"א </w:t>
            </w:r>
            <w:r w:rsidRPr="001732BA">
              <w:rPr>
                <w:rFonts w:eastAsia="Calibri" w:cstheme="minorHAnsi"/>
                <w:rtl/>
              </w:rPr>
              <w:t xml:space="preserve"> סיון תשפ"ו</w:t>
            </w:r>
          </w:p>
          <w:p w14:paraId="51F39AD1" w14:textId="45BF1651" w:rsidR="001732BA" w:rsidRPr="001732BA" w:rsidRDefault="001732BA" w:rsidP="001732BA">
            <w:pPr>
              <w:spacing w:line="360" w:lineRule="auto"/>
              <w:rPr>
                <w:rFonts w:eastAsia="Calibri" w:cstheme="minorHAnsi"/>
              </w:rPr>
            </w:pPr>
            <w:r w:rsidRPr="001732BA">
              <w:rPr>
                <w:rFonts w:eastAsia="Calibri" w:cstheme="minorHAnsi"/>
                <w:rtl/>
              </w:rPr>
              <w:t>‏‏‏‏</w:t>
            </w:r>
            <w:r w:rsidRPr="001732BA">
              <w:rPr>
                <w:rFonts w:eastAsia="Calibri" w:cstheme="minorHAnsi"/>
                <w:rtl/>
              </w:rPr>
              <w:t>27</w:t>
            </w:r>
            <w:r w:rsidRPr="001732BA">
              <w:rPr>
                <w:rFonts w:eastAsia="Calibri" w:cstheme="minorHAnsi"/>
                <w:rtl/>
              </w:rPr>
              <w:t xml:space="preserve"> מאי 2026</w:t>
            </w:r>
          </w:p>
        </w:tc>
      </w:tr>
    </w:tbl>
    <w:p w14:paraId="10E37CCF" w14:textId="3AB08038" w:rsidR="001732BA" w:rsidRPr="001732BA" w:rsidRDefault="001732BA" w:rsidP="001732BA">
      <w:pPr>
        <w:spacing w:line="360" w:lineRule="auto"/>
        <w:ind w:right="-101"/>
        <w:rPr>
          <w:rFonts w:eastAsia="Calibri" w:cstheme="minorHAnsi"/>
          <w:sz w:val="24"/>
          <w:szCs w:val="24"/>
        </w:rPr>
      </w:pPr>
      <w:r w:rsidRPr="001732BA">
        <w:rPr>
          <w:rFonts w:eastAsia="Calibri" w:cstheme="minorHAnsi"/>
          <w:sz w:val="24"/>
          <w:szCs w:val="24"/>
          <w:rtl/>
        </w:rPr>
        <w:t>הודעה לעיתונות:</w:t>
      </w:r>
    </w:p>
    <w:p w14:paraId="6082B798" w14:textId="261625AF" w:rsidR="000803DF" w:rsidRPr="001732BA" w:rsidRDefault="001732BA" w:rsidP="001732BA">
      <w:pPr>
        <w:spacing w:after="120" w:line="360" w:lineRule="auto"/>
        <w:jc w:val="center"/>
        <w:rPr>
          <w:rFonts w:eastAsia="Calibri" w:cstheme="minorHAnsi"/>
          <w:sz w:val="28"/>
          <w:szCs w:val="28"/>
          <w:rtl/>
        </w:rPr>
      </w:pPr>
      <w:r w:rsidRPr="001732BA">
        <w:rPr>
          <w:rFonts w:eastAsia="Calibri" w:cstheme="minorHAnsi"/>
          <w:b/>
          <w:bCs/>
          <w:sz w:val="28"/>
          <w:szCs w:val="28"/>
          <w:rtl/>
        </w:rPr>
        <w:t xml:space="preserve">מחקר חדש בבנק ישראל: </w:t>
      </w:r>
      <w:bookmarkStart w:id="0" w:name="_GoBack"/>
      <w:r w:rsidR="000803DF" w:rsidRPr="001732BA">
        <w:rPr>
          <w:rFonts w:cstheme="minorHAnsi"/>
          <w:b/>
          <w:bCs/>
          <w:sz w:val="28"/>
          <w:szCs w:val="28"/>
          <w:rtl/>
        </w:rPr>
        <w:t>אמון, אוריינות פיננסית והחלטות כלכליות: השלכות על הביטחון הפנסיוני</w:t>
      </w:r>
      <w:bookmarkEnd w:id="0"/>
    </w:p>
    <w:p w14:paraId="086D44EA" w14:textId="6D0FD3EB" w:rsidR="00A61106" w:rsidRPr="001732BA" w:rsidRDefault="00A61106" w:rsidP="00A61106">
      <w:pPr>
        <w:pStyle w:val="af"/>
        <w:numPr>
          <w:ilvl w:val="0"/>
          <w:numId w:val="2"/>
        </w:numPr>
        <w:spacing w:before="100" w:beforeAutospacing="1" w:after="100" w:afterAutospacing="1"/>
        <w:rPr>
          <w:rFonts w:eastAsia="Times New Roman" w:cstheme="minorHAnsi"/>
          <w:sz w:val="24"/>
          <w:szCs w:val="24"/>
          <w:rtl/>
        </w:rPr>
      </w:pPr>
      <w:r w:rsidRPr="001732BA">
        <w:rPr>
          <w:rFonts w:eastAsia="Times New Roman" w:cstheme="minorHAnsi"/>
          <w:sz w:val="24"/>
          <w:szCs w:val="24"/>
          <w:rtl/>
        </w:rPr>
        <w:t>מחקר חדש בוחן את הקשר בין אמון במוסדות פיננסיים ובתוכניות ממשלתיות לבין חיסכון פנסיוני, השקעה בשוק ההון וצבירת עושר בגיל הפרישה בארה"ב.</w:t>
      </w:r>
    </w:p>
    <w:p w14:paraId="17454216" w14:textId="5E67902F" w:rsidR="00A61106" w:rsidRPr="001732BA" w:rsidRDefault="00A61106" w:rsidP="00A61106">
      <w:pPr>
        <w:pStyle w:val="af"/>
        <w:numPr>
          <w:ilvl w:val="0"/>
          <w:numId w:val="2"/>
        </w:numPr>
        <w:spacing w:before="100" w:beforeAutospacing="1" w:after="100" w:afterAutospacing="1"/>
        <w:rPr>
          <w:rFonts w:eastAsia="Times New Roman" w:cstheme="minorHAnsi"/>
          <w:sz w:val="24"/>
          <w:szCs w:val="24"/>
          <w:rtl/>
        </w:rPr>
      </w:pPr>
      <w:r w:rsidRPr="001732BA">
        <w:rPr>
          <w:rFonts w:eastAsia="Times New Roman" w:cstheme="minorHAnsi"/>
          <w:sz w:val="24"/>
          <w:szCs w:val="24"/>
          <w:rtl/>
        </w:rPr>
        <w:t>אמון במוסדות פיננסיים מתואם עם התנהגויות פיננסיות התומכות בביטחון כלכלי בגיל הפרישה, בעוד שאמון גבוה בתוכניות ממשלתיות מתואם שלילית.</w:t>
      </w:r>
    </w:p>
    <w:p w14:paraId="73A150BF" w14:textId="03CCD0FB" w:rsidR="00A61106" w:rsidRPr="001732BA" w:rsidRDefault="00A61106" w:rsidP="00A61106">
      <w:pPr>
        <w:pStyle w:val="af"/>
        <w:numPr>
          <w:ilvl w:val="0"/>
          <w:numId w:val="2"/>
        </w:numPr>
        <w:spacing w:before="100" w:beforeAutospacing="1" w:after="100" w:afterAutospacing="1"/>
        <w:rPr>
          <w:rFonts w:eastAsia="Times New Roman" w:cstheme="minorHAnsi"/>
          <w:sz w:val="24"/>
          <w:szCs w:val="24"/>
          <w:rtl/>
        </w:rPr>
      </w:pPr>
      <w:r w:rsidRPr="001732BA">
        <w:rPr>
          <w:rFonts w:eastAsia="Times New Roman" w:cstheme="minorHAnsi"/>
          <w:sz w:val="24"/>
          <w:szCs w:val="24"/>
          <w:rtl/>
        </w:rPr>
        <w:t>המחקר מצא כי לאוריינות פיננסית יש קשר חיובי, מובהק</w:t>
      </w:r>
      <w:r w:rsidR="00C96819" w:rsidRPr="001732BA">
        <w:rPr>
          <w:rFonts w:eastAsia="Times New Roman" w:cstheme="minorHAnsi"/>
          <w:sz w:val="24"/>
          <w:szCs w:val="24"/>
          <w:rtl/>
        </w:rPr>
        <w:t>, ונפרד מהשפעת האמון</w:t>
      </w:r>
      <w:r w:rsidRPr="001732BA">
        <w:rPr>
          <w:rFonts w:eastAsia="Times New Roman" w:cstheme="minorHAnsi"/>
          <w:sz w:val="24"/>
          <w:szCs w:val="24"/>
          <w:rtl/>
        </w:rPr>
        <w:t xml:space="preserve"> על ההיערכות לפרישה. בנוסף, נמצאו פערים בין קבוצות אוכלוסייה בארצות הברית ברמות האמון, האוריינות הפיננסית והקשר שלהן להתנהגות פיננסית.</w:t>
      </w:r>
    </w:p>
    <w:p w14:paraId="70283C6E" w14:textId="077408B4" w:rsidR="00A61106" w:rsidRPr="001732BA" w:rsidRDefault="00A61106" w:rsidP="00A61106">
      <w:pPr>
        <w:pStyle w:val="af"/>
        <w:numPr>
          <w:ilvl w:val="0"/>
          <w:numId w:val="2"/>
        </w:numPr>
        <w:spacing w:before="100" w:beforeAutospacing="1" w:after="100" w:afterAutospacing="1"/>
        <w:rPr>
          <w:rFonts w:eastAsia="Times New Roman" w:cstheme="minorHAnsi"/>
          <w:sz w:val="24"/>
          <w:szCs w:val="24"/>
          <w:rtl/>
        </w:rPr>
      </w:pPr>
      <w:r w:rsidRPr="001732BA">
        <w:rPr>
          <w:rFonts w:eastAsia="Times New Roman" w:cstheme="minorHAnsi"/>
          <w:sz w:val="24"/>
          <w:szCs w:val="24"/>
          <w:rtl/>
        </w:rPr>
        <w:t>ממצאי המחקר מדגישים את החשיבות של חיזוק האמון במערכת הפיננסית לצד קידום אוריינות פיננסית, ואת הצורך בהתאמת צעדי מדיניות וחינוך פיננסי לקבוצות אוכלוסייה שונות.</w:t>
      </w:r>
    </w:p>
    <w:p w14:paraId="14A2BA98" w14:textId="0843FF90" w:rsidR="00E7278A" w:rsidRPr="001732BA" w:rsidRDefault="00E7278A" w:rsidP="00BD72C0">
      <w:pPr>
        <w:spacing w:before="100" w:beforeAutospacing="1" w:after="100" w:afterAutospacing="1" w:line="360" w:lineRule="auto"/>
        <w:rPr>
          <w:rFonts w:eastAsia="Times New Roman" w:cstheme="minorHAnsi"/>
          <w:sz w:val="24"/>
          <w:szCs w:val="24"/>
        </w:rPr>
      </w:pPr>
      <w:r w:rsidRPr="001732BA">
        <w:rPr>
          <w:rFonts w:eastAsia="Times New Roman" w:cstheme="minorHAnsi"/>
          <w:sz w:val="24"/>
          <w:szCs w:val="24"/>
          <w:rtl/>
        </w:rPr>
        <w:t xml:space="preserve">מחקר חדש של ד"ר מאיה הרן רוזן, אנמריה לוסרדי מאוניברסיטת סטנפורד ואוליביה מיטשל מבית ספר וורטון באוניברסיטת פנסילבניה, בוחן את </w:t>
      </w:r>
      <w:r w:rsidR="00BD72C0" w:rsidRPr="001732BA">
        <w:rPr>
          <w:rFonts w:eastAsia="Times New Roman" w:cstheme="minorHAnsi"/>
          <w:sz w:val="24"/>
          <w:szCs w:val="24"/>
          <w:rtl/>
        </w:rPr>
        <w:t>הקשר</w:t>
      </w:r>
      <w:r w:rsidRPr="001732BA">
        <w:rPr>
          <w:rFonts w:eastAsia="Times New Roman" w:cstheme="minorHAnsi"/>
          <w:sz w:val="24"/>
          <w:szCs w:val="24"/>
          <w:rtl/>
        </w:rPr>
        <w:t xml:space="preserve"> בין אמון במוסדות פיננסיים ובתוכניות ממשלתיות לבין חיסכון פנסיוני, השקעה בשוק ההון וצבירת עושר בגיל הפרישה</w:t>
      </w:r>
      <w:r w:rsidRPr="001732BA">
        <w:rPr>
          <w:rFonts w:eastAsia="Times New Roman" w:cstheme="minorHAnsi"/>
          <w:sz w:val="24"/>
          <w:szCs w:val="24"/>
        </w:rPr>
        <w:t>.</w:t>
      </w:r>
      <w:r w:rsidR="00BD72C0" w:rsidRPr="001732BA">
        <w:rPr>
          <w:rFonts w:eastAsia="Times New Roman" w:cstheme="minorHAnsi"/>
          <w:sz w:val="24"/>
          <w:szCs w:val="24"/>
          <w:rtl/>
        </w:rPr>
        <w:t xml:space="preserve"> המחקר מתבסס על נתוני ה־</w:t>
      </w:r>
      <w:r w:rsidR="00BD72C0" w:rsidRPr="001732BA">
        <w:rPr>
          <w:rFonts w:eastAsia="Times New Roman" w:cstheme="minorHAnsi"/>
          <w:sz w:val="24"/>
          <w:szCs w:val="24"/>
        </w:rPr>
        <w:t>HRS</w:t>
      </w:r>
      <w:r w:rsidR="00BD72C0" w:rsidRPr="001732BA">
        <w:rPr>
          <w:rFonts w:eastAsia="Times New Roman" w:cstheme="minorHAnsi"/>
          <w:sz w:val="24"/>
          <w:szCs w:val="24"/>
          <w:rtl/>
        </w:rPr>
        <w:t xml:space="preserve"> (</w:t>
      </w:r>
      <w:r w:rsidR="00BD72C0" w:rsidRPr="001732BA">
        <w:rPr>
          <w:rFonts w:eastAsia="Times New Roman" w:cstheme="minorHAnsi"/>
          <w:sz w:val="24"/>
          <w:szCs w:val="24"/>
        </w:rPr>
        <w:t>Health and Retirement Study</w:t>
      </w:r>
      <w:r w:rsidR="00BD72C0" w:rsidRPr="001732BA">
        <w:rPr>
          <w:rFonts w:eastAsia="Times New Roman" w:cstheme="minorHAnsi"/>
          <w:sz w:val="24"/>
          <w:szCs w:val="24"/>
          <w:rtl/>
        </w:rPr>
        <w:t>), סקר אורך רחב־היקף ואיכותי העוקב אחר מאפייניהם הכלכליים, הבריאותיים והחברתיים של משקי בית בגילאי 50 ומעלה בארה"ב.</w:t>
      </w:r>
    </w:p>
    <w:p w14:paraId="41DD1875" w14:textId="77777777" w:rsidR="00E7278A" w:rsidRPr="001732BA" w:rsidRDefault="00E7278A" w:rsidP="000803DF">
      <w:pPr>
        <w:spacing w:before="100" w:beforeAutospacing="1" w:after="100" w:afterAutospacing="1" w:line="360" w:lineRule="auto"/>
        <w:rPr>
          <w:rFonts w:eastAsia="Times New Roman" w:cstheme="minorHAnsi"/>
          <w:sz w:val="24"/>
          <w:szCs w:val="24"/>
        </w:rPr>
      </w:pPr>
      <w:r w:rsidRPr="001732BA">
        <w:rPr>
          <w:rFonts w:eastAsia="Times New Roman" w:cstheme="minorHAnsi"/>
          <w:sz w:val="24"/>
          <w:szCs w:val="24"/>
          <w:rtl/>
        </w:rPr>
        <w:t>ממצאי המחקר מצביעים על כך שאמון במוסדות פיננסיים – כגון בנקים, קרנות נאמנות ויועצים פיננסיים, מתואם באופן מובהק עם התנהגויות פיננסיות התומכות בביטחון כלכלי בגיל הפרישה, לרבות החזקה בחשבונות פנסיוניים, השקעה במניות ורמות עושר גבוהות יותר. לעומת זאת, אמון גבוה בתוכניות ממשלתיות – כדוגמת ביטוח לאומי ושירותי בריאות ציבוריים, מתואם עם סבירות נמוכה יותר לחיסכון פרטי ולהשקעה בשוק ההון</w:t>
      </w:r>
      <w:r w:rsidRPr="001732BA">
        <w:rPr>
          <w:rFonts w:eastAsia="Times New Roman" w:cstheme="minorHAnsi"/>
          <w:sz w:val="24"/>
          <w:szCs w:val="24"/>
        </w:rPr>
        <w:t>.</w:t>
      </w:r>
    </w:p>
    <w:p w14:paraId="25ECBAEA" w14:textId="011A2AFD" w:rsidR="00C15C35" w:rsidRPr="001732BA" w:rsidRDefault="00056235" w:rsidP="00BD72C0">
      <w:pPr>
        <w:spacing w:before="100" w:beforeAutospacing="1" w:after="100" w:afterAutospacing="1" w:line="360" w:lineRule="auto"/>
        <w:rPr>
          <w:rFonts w:eastAsia="Times New Roman" w:cstheme="minorHAnsi"/>
          <w:sz w:val="24"/>
          <w:szCs w:val="24"/>
        </w:rPr>
      </w:pPr>
      <w:r w:rsidRPr="001732BA">
        <w:rPr>
          <w:rFonts w:eastAsia="Times New Roman" w:cstheme="minorHAnsi"/>
          <w:sz w:val="24"/>
          <w:szCs w:val="24"/>
          <w:rtl/>
        </w:rPr>
        <w:t xml:space="preserve">המחקר מראה כי לאוריינות פיננסית יש </w:t>
      </w:r>
      <w:r w:rsidR="00702F21" w:rsidRPr="001732BA">
        <w:rPr>
          <w:rFonts w:eastAsia="Times New Roman" w:cstheme="minorHAnsi"/>
          <w:sz w:val="24"/>
          <w:szCs w:val="24"/>
          <w:rtl/>
        </w:rPr>
        <w:t>קשר</w:t>
      </w:r>
      <w:r w:rsidRPr="001732BA">
        <w:rPr>
          <w:rFonts w:eastAsia="Times New Roman" w:cstheme="minorHAnsi"/>
          <w:sz w:val="24"/>
          <w:szCs w:val="24"/>
          <w:rtl/>
        </w:rPr>
        <w:t xml:space="preserve"> חיובי</w:t>
      </w:r>
      <w:r w:rsidR="00BD72C0" w:rsidRPr="001732BA">
        <w:rPr>
          <w:rFonts w:eastAsia="Times New Roman" w:cstheme="minorHAnsi"/>
          <w:sz w:val="24"/>
          <w:szCs w:val="24"/>
          <w:rtl/>
        </w:rPr>
        <w:t>,</w:t>
      </w:r>
      <w:r w:rsidRPr="001732BA">
        <w:rPr>
          <w:rFonts w:eastAsia="Times New Roman" w:cstheme="minorHAnsi"/>
          <w:sz w:val="24"/>
          <w:szCs w:val="24"/>
          <w:rtl/>
        </w:rPr>
        <w:t xml:space="preserve"> מובהק</w:t>
      </w:r>
      <w:r w:rsidR="00BD72C0" w:rsidRPr="001732BA">
        <w:rPr>
          <w:rFonts w:eastAsia="Times New Roman" w:cstheme="minorHAnsi"/>
          <w:sz w:val="24"/>
          <w:szCs w:val="24"/>
          <w:rtl/>
        </w:rPr>
        <w:t xml:space="preserve"> </w:t>
      </w:r>
      <w:r w:rsidR="00C96819" w:rsidRPr="001732BA">
        <w:rPr>
          <w:rFonts w:eastAsia="Times New Roman" w:cstheme="minorHAnsi"/>
          <w:sz w:val="24"/>
          <w:szCs w:val="24"/>
          <w:rtl/>
        </w:rPr>
        <w:t>ונפרד מהשפעת האמון</w:t>
      </w:r>
      <w:r w:rsidRPr="001732BA">
        <w:rPr>
          <w:rFonts w:eastAsia="Times New Roman" w:cstheme="minorHAnsi"/>
          <w:sz w:val="24"/>
          <w:szCs w:val="24"/>
          <w:rtl/>
        </w:rPr>
        <w:t xml:space="preserve"> על ההיערכות לפרישה. בנוסף, נמצאו פערים מובהקים בין קבוצות אוכלוסייה בארצות הברית, הן ברמות האמון והאוריינות הפיננסית והן בעוצמת הקשר בין אמון לבין התנהגויות פיננסיות. איור 1 מציג את </w:t>
      </w:r>
      <w:r w:rsidR="00702F21" w:rsidRPr="001732BA">
        <w:rPr>
          <w:rFonts w:eastAsia="Times New Roman" w:cstheme="minorHAnsi"/>
          <w:sz w:val="24"/>
          <w:szCs w:val="24"/>
          <w:rtl/>
        </w:rPr>
        <w:lastRenderedPageBreak/>
        <w:t>הקשר בין</w:t>
      </w:r>
      <w:r w:rsidRPr="001732BA">
        <w:rPr>
          <w:rFonts w:eastAsia="Times New Roman" w:cstheme="minorHAnsi"/>
          <w:sz w:val="24"/>
          <w:szCs w:val="24"/>
          <w:rtl/>
        </w:rPr>
        <w:t xml:space="preserve"> שינוי של נקודה אחת במדד האמון על התנהגויות פיננסיות הנוגעות לביטחון כלכלי לקראת פרישה. המחקר גם מוצא כי לאחר בקרה על מאפיינים דמוגרפיים וסוציו־אקונ</w:t>
      </w:r>
      <w:r w:rsidR="00BD72C0" w:rsidRPr="001732BA">
        <w:rPr>
          <w:rFonts w:eastAsia="Times New Roman" w:cstheme="minorHAnsi"/>
          <w:sz w:val="24"/>
          <w:szCs w:val="24"/>
          <w:rtl/>
        </w:rPr>
        <w:t>ומיים, ובכלל זה רמת הכנסה, נמצא</w:t>
      </w:r>
      <w:r w:rsidRPr="001732BA">
        <w:rPr>
          <w:rFonts w:eastAsia="Times New Roman" w:cstheme="minorHAnsi"/>
          <w:sz w:val="24"/>
          <w:szCs w:val="24"/>
          <w:rtl/>
        </w:rPr>
        <w:t xml:space="preserve"> </w:t>
      </w:r>
      <w:r w:rsidR="00BD72C0" w:rsidRPr="001732BA">
        <w:rPr>
          <w:rFonts w:eastAsia="Times New Roman" w:cstheme="minorHAnsi"/>
          <w:sz w:val="24"/>
          <w:szCs w:val="24"/>
          <w:rtl/>
        </w:rPr>
        <w:t>קשר</w:t>
      </w:r>
      <w:r w:rsidRPr="001732BA">
        <w:rPr>
          <w:rFonts w:eastAsia="Times New Roman" w:cstheme="minorHAnsi"/>
          <w:sz w:val="24"/>
          <w:szCs w:val="24"/>
          <w:rtl/>
        </w:rPr>
        <w:t xml:space="preserve"> חיובי בין אמון במוסדות פיננסיים לבין תוצאות פנסיוניות בקרב משיבים המוגדרים בסקר כאוכלוסייה לבנה שאינה היספנית. לעומת זאת, בקרב משיבים המוגדרים כשחורים או כהיספנים, </w:t>
      </w:r>
      <w:r w:rsidR="00BD72C0" w:rsidRPr="001732BA">
        <w:rPr>
          <w:rFonts w:eastAsia="Times New Roman" w:cstheme="minorHAnsi"/>
          <w:sz w:val="24"/>
          <w:szCs w:val="24"/>
          <w:rtl/>
        </w:rPr>
        <w:t>קשר</w:t>
      </w:r>
      <w:r w:rsidRPr="001732BA">
        <w:rPr>
          <w:rFonts w:eastAsia="Times New Roman" w:cstheme="minorHAnsi"/>
          <w:sz w:val="24"/>
          <w:szCs w:val="24"/>
          <w:rtl/>
        </w:rPr>
        <w:t xml:space="preserve"> ז</w:t>
      </w:r>
      <w:r w:rsidR="00BD72C0" w:rsidRPr="001732BA">
        <w:rPr>
          <w:rFonts w:eastAsia="Times New Roman" w:cstheme="minorHAnsi"/>
          <w:sz w:val="24"/>
          <w:szCs w:val="24"/>
          <w:rtl/>
        </w:rPr>
        <w:t>ה</w:t>
      </w:r>
      <w:r w:rsidRPr="001732BA">
        <w:rPr>
          <w:rFonts w:eastAsia="Times New Roman" w:cstheme="minorHAnsi"/>
          <w:sz w:val="24"/>
          <w:szCs w:val="24"/>
          <w:rtl/>
        </w:rPr>
        <w:t xml:space="preserve"> לא נמצא; יתר על כן, עבור קבוצות אלו נמצא </w:t>
      </w:r>
      <w:r w:rsidR="00BD72C0" w:rsidRPr="001732BA">
        <w:rPr>
          <w:rFonts w:eastAsia="Times New Roman" w:cstheme="minorHAnsi"/>
          <w:sz w:val="24"/>
          <w:szCs w:val="24"/>
          <w:rtl/>
        </w:rPr>
        <w:t>קשר</w:t>
      </w:r>
      <w:r w:rsidRPr="001732BA">
        <w:rPr>
          <w:rFonts w:eastAsia="Times New Roman" w:cstheme="minorHAnsi"/>
          <w:sz w:val="24"/>
          <w:szCs w:val="24"/>
          <w:rtl/>
        </w:rPr>
        <w:t xml:space="preserve"> שלילי בין אמון בתוכניות ממשלה לבין תוצאות פנסיוניות. ממצאים אלו מצביעים על כך </w:t>
      </w:r>
      <w:r w:rsidR="00A61106" w:rsidRPr="001732BA">
        <w:rPr>
          <w:rFonts w:eastAsia="Times New Roman" w:cstheme="minorHAnsi"/>
          <w:sz w:val="24"/>
          <w:szCs w:val="24"/>
          <w:rtl/>
        </w:rPr>
        <w:t>שהקשר בין</w:t>
      </w:r>
      <w:r w:rsidRPr="001732BA">
        <w:rPr>
          <w:rFonts w:eastAsia="Times New Roman" w:cstheme="minorHAnsi"/>
          <w:sz w:val="24"/>
          <w:szCs w:val="24"/>
          <w:rtl/>
        </w:rPr>
        <w:t xml:space="preserve"> אמון </w:t>
      </w:r>
      <w:r w:rsidR="00A61106" w:rsidRPr="001732BA">
        <w:rPr>
          <w:rFonts w:eastAsia="Times New Roman" w:cstheme="minorHAnsi"/>
          <w:sz w:val="24"/>
          <w:szCs w:val="24"/>
          <w:rtl/>
        </w:rPr>
        <w:t>ל</w:t>
      </w:r>
      <w:r w:rsidRPr="001732BA">
        <w:rPr>
          <w:rFonts w:eastAsia="Times New Roman" w:cstheme="minorHAnsi"/>
          <w:sz w:val="24"/>
          <w:szCs w:val="24"/>
          <w:rtl/>
        </w:rPr>
        <w:t>התנהגות פיננסית אינ</w:t>
      </w:r>
      <w:r w:rsidR="00A61106" w:rsidRPr="001732BA">
        <w:rPr>
          <w:rFonts w:eastAsia="Times New Roman" w:cstheme="minorHAnsi"/>
          <w:sz w:val="24"/>
          <w:szCs w:val="24"/>
          <w:rtl/>
        </w:rPr>
        <w:t>ו</w:t>
      </w:r>
      <w:r w:rsidRPr="001732BA">
        <w:rPr>
          <w:rFonts w:eastAsia="Times New Roman" w:cstheme="minorHAnsi"/>
          <w:sz w:val="24"/>
          <w:szCs w:val="24"/>
          <w:rtl/>
        </w:rPr>
        <w:t xml:space="preserve"> אחיד בין קבוצות אוכלוסייה שונות, ומדגישים את הצורך בהתאמת צעדי מדיניות וחינוך פיננסי למאפיינים הייחודיים של קבוצות שונות באוכלוסייה.</w:t>
      </w:r>
      <w:r w:rsidR="00A61106" w:rsidRPr="001732BA">
        <w:rPr>
          <w:rFonts w:cstheme="minorHAnsi"/>
          <w:noProof/>
          <w:sz w:val="24"/>
          <w:szCs w:val="24"/>
        </w:rPr>
        <w:t xml:space="preserve"> </w:t>
      </w:r>
      <w:r w:rsidR="00A61106" w:rsidRPr="001732BA">
        <w:rPr>
          <w:rFonts w:cstheme="minorHAnsi"/>
          <w:noProof/>
          <w:sz w:val="24"/>
          <w:szCs w:val="24"/>
        </w:rPr>
        <w:drawing>
          <wp:inline distT="0" distB="0" distL="0" distR="0" wp14:anchorId="60EA850F" wp14:editId="5D9B0262">
            <wp:extent cx="5098080" cy="3221415"/>
            <wp:effectExtent l="0" t="0" r="7620" b="17145"/>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CB5EF4" w14:textId="77777777" w:rsidR="00E7278A" w:rsidRPr="001732BA" w:rsidRDefault="00E7278A" w:rsidP="000803DF">
      <w:pPr>
        <w:spacing w:before="100" w:beforeAutospacing="1" w:after="100" w:afterAutospacing="1" w:line="360" w:lineRule="auto"/>
        <w:rPr>
          <w:rFonts w:eastAsia="Times New Roman" w:cstheme="minorHAnsi"/>
          <w:sz w:val="24"/>
          <w:szCs w:val="24"/>
          <w:rtl/>
        </w:rPr>
      </w:pPr>
      <w:r w:rsidRPr="001732BA">
        <w:rPr>
          <w:rFonts w:eastAsia="Times New Roman" w:cstheme="minorHAnsi"/>
          <w:sz w:val="24"/>
          <w:szCs w:val="24"/>
          <w:rtl/>
        </w:rPr>
        <w:t>ממצאי המחקר מדגישים כי חיזוק האמון במערכת הפיננסית, לצד קידום האוריינות הפיננסית, עשויים לתרום להגדלת הביטחון הכלכלי בגיל הפרישה ולצמצום פערים כלכליים. בנוסף, הם מצביעים על הצורך בהתאמת צעדי המדיניות ואסטרטגיות החינוך הפיננסי לצרכיהן של קבוצות אוכלוסייה שונות.</w:t>
      </w:r>
    </w:p>
    <w:p w14:paraId="20EDBDE1" w14:textId="00C9024C" w:rsidR="00E7278A" w:rsidRPr="001732BA" w:rsidRDefault="00E7278A" w:rsidP="00BD72C0">
      <w:pPr>
        <w:spacing w:before="100" w:beforeAutospacing="1" w:after="100" w:afterAutospacing="1" w:line="360" w:lineRule="auto"/>
        <w:rPr>
          <w:rFonts w:eastAsia="Times New Roman" w:cstheme="minorHAnsi"/>
          <w:sz w:val="24"/>
          <w:szCs w:val="24"/>
          <w:rtl/>
        </w:rPr>
      </w:pPr>
      <w:r w:rsidRPr="001732BA">
        <w:rPr>
          <w:rFonts w:eastAsia="Times New Roman" w:cstheme="minorHAnsi"/>
          <w:sz w:val="24"/>
          <w:szCs w:val="24"/>
          <w:rtl/>
        </w:rPr>
        <w:t>נייר הדיון המלא מתפרסם בסדרת ניירות הדיון של בנק ישראל</w:t>
      </w:r>
      <w:r w:rsidRPr="001732BA">
        <w:rPr>
          <w:rFonts w:eastAsia="Times New Roman" w:cstheme="minorHAnsi"/>
          <w:sz w:val="24"/>
          <w:szCs w:val="24"/>
        </w:rPr>
        <w:t>.</w:t>
      </w:r>
    </w:p>
    <w:sectPr w:rsidR="00E7278A" w:rsidRPr="001732BA" w:rsidSect="002A37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D766C" w14:textId="77777777" w:rsidR="00E73160" w:rsidRDefault="00E73160" w:rsidP="000803DF">
      <w:pPr>
        <w:spacing w:after="0" w:line="240" w:lineRule="auto"/>
      </w:pPr>
      <w:r>
        <w:separator/>
      </w:r>
    </w:p>
  </w:endnote>
  <w:endnote w:type="continuationSeparator" w:id="0">
    <w:p w14:paraId="55436C22" w14:textId="77777777" w:rsidR="00E73160" w:rsidRDefault="00E73160" w:rsidP="0008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5DE63" w14:textId="77777777" w:rsidR="00E73160" w:rsidRDefault="00E73160" w:rsidP="000803DF">
      <w:pPr>
        <w:spacing w:after="0" w:line="240" w:lineRule="auto"/>
      </w:pPr>
      <w:r>
        <w:separator/>
      </w:r>
    </w:p>
  </w:footnote>
  <w:footnote w:type="continuationSeparator" w:id="0">
    <w:p w14:paraId="43E5707A" w14:textId="77777777" w:rsidR="00E73160" w:rsidRDefault="00E73160" w:rsidP="00080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2753"/>
    <w:multiLevelType w:val="hybridMultilevel"/>
    <w:tmpl w:val="8B3C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1616B"/>
    <w:multiLevelType w:val="hybridMultilevel"/>
    <w:tmpl w:val="DF903F9E"/>
    <w:lvl w:ilvl="0" w:tplc="5EE4C16C">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97"/>
    <w:rsid w:val="00023BF6"/>
    <w:rsid w:val="00035AC1"/>
    <w:rsid w:val="00056235"/>
    <w:rsid w:val="000803DF"/>
    <w:rsid w:val="000A6C50"/>
    <w:rsid w:val="00101BEA"/>
    <w:rsid w:val="00164B86"/>
    <w:rsid w:val="001732BA"/>
    <w:rsid w:val="00190BEA"/>
    <w:rsid w:val="002A3715"/>
    <w:rsid w:val="002C7C82"/>
    <w:rsid w:val="00382A05"/>
    <w:rsid w:val="003D611A"/>
    <w:rsid w:val="00467335"/>
    <w:rsid w:val="004F0E4D"/>
    <w:rsid w:val="00532725"/>
    <w:rsid w:val="0054670F"/>
    <w:rsid w:val="005E0430"/>
    <w:rsid w:val="00702F21"/>
    <w:rsid w:val="007F1ED6"/>
    <w:rsid w:val="00846826"/>
    <w:rsid w:val="008D41A5"/>
    <w:rsid w:val="00927A9A"/>
    <w:rsid w:val="0095664E"/>
    <w:rsid w:val="00992C71"/>
    <w:rsid w:val="009A6591"/>
    <w:rsid w:val="00A61106"/>
    <w:rsid w:val="00AE0939"/>
    <w:rsid w:val="00B13176"/>
    <w:rsid w:val="00B162A8"/>
    <w:rsid w:val="00B51574"/>
    <w:rsid w:val="00BD55F9"/>
    <w:rsid w:val="00BD72C0"/>
    <w:rsid w:val="00C15C35"/>
    <w:rsid w:val="00C85387"/>
    <w:rsid w:val="00C96819"/>
    <w:rsid w:val="00CC155F"/>
    <w:rsid w:val="00D97839"/>
    <w:rsid w:val="00DB4064"/>
    <w:rsid w:val="00DB74D1"/>
    <w:rsid w:val="00E37E8F"/>
    <w:rsid w:val="00E40718"/>
    <w:rsid w:val="00E4554C"/>
    <w:rsid w:val="00E530F6"/>
    <w:rsid w:val="00E7278A"/>
    <w:rsid w:val="00E73160"/>
    <w:rsid w:val="00EA6AEC"/>
    <w:rsid w:val="00F076D8"/>
    <w:rsid w:val="00FE3697"/>
    <w:rsid w:val="00FE49A5"/>
    <w:rsid w:val="00FE695D"/>
    <w:rsid w:val="00FF55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0B09"/>
  <w15:chartTrackingRefBased/>
  <w15:docId w15:val="{59CE7BCE-0CAF-4C2E-83F9-B1AF1F58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95664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5664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5664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claude-response-body">
    <w:name w:val="font-claude-response-body"/>
    <w:basedOn w:val="a"/>
    <w:rsid w:val="00FE369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כותרת 2 תו"/>
    <w:basedOn w:val="a0"/>
    <w:link w:val="2"/>
    <w:uiPriority w:val="9"/>
    <w:rsid w:val="0095664E"/>
    <w:rPr>
      <w:rFonts w:ascii="Times New Roman" w:eastAsia="Times New Roman" w:hAnsi="Times New Roman" w:cs="Times New Roman"/>
      <w:b/>
      <w:bCs/>
      <w:sz w:val="36"/>
      <w:szCs w:val="36"/>
    </w:rPr>
  </w:style>
  <w:style w:type="character" w:customStyle="1" w:styleId="30">
    <w:name w:val="כותרת 3 תו"/>
    <w:basedOn w:val="a0"/>
    <w:link w:val="3"/>
    <w:uiPriority w:val="9"/>
    <w:rsid w:val="0095664E"/>
    <w:rPr>
      <w:rFonts w:ascii="Times New Roman" w:eastAsia="Times New Roman" w:hAnsi="Times New Roman" w:cs="Times New Roman"/>
      <w:b/>
      <w:bCs/>
      <w:sz w:val="27"/>
      <w:szCs w:val="27"/>
    </w:rPr>
  </w:style>
  <w:style w:type="character" w:customStyle="1" w:styleId="40">
    <w:name w:val="כותרת 4 תו"/>
    <w:basedOn w:val="a0"/>
    <w:link w:val="4"/>
    <w:uiPriority w:val="9"/>
    <w:rsid w:val="0095664E"/>
    <w:rPr>
      <w:rFonts w:ascii="Times New Roman" w:eastAsia="Times New Roman" w:hAnsi="Times New Roman" w:cs="Times New Roman"/>
      <w:b/>
      <w:bCs/>
      <w:sz w:val="24"/>
      <w:szCs w:val="24"/>
    </w:rPr>
  </w:style>
  <w:style w:type="paragraph" w:styleId="NormalWeb">
    <w:name w:val="Normal (Web)"/>
    <w:basedOn w:val="a"/>
    <w:uiPriority w:val="99"/>
    <w:semiHidden/>
    <w:unhideWhenUsed/>
    <w:rsid w:val="0095664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5664E"/>
    <w:rPr>
      <w:b/>
      <w:bCs/>
    </w:rPr>
  </w:style>
  <w:style w:type="character" w:styleId="a4">
    <w:name w:val="Emphasis"/>
    <w:basedOn w:val="a0"/>
    <w:uiPriority w:val="20"/>
    <w:qFormat/>
    <w:rsid w:val="0095664E"/>
    <w:rPr>
      <w:i/>
      <w:iCs/>
    </w:rPr>
  </w:style>
  <w:style w:type="paragraph" w:styleId="a5">
    <w:name w:val="footnote text"/>
    <w:basedOn w:val="a"/>
    <w:link w:val="a6"/>
    <w:uiPriority w:val="99"/>
    <w:semiHidden/>
    <w:unhideWhenUsed/>
    <w:rsid w:val="000803DF"/>
    <w:pPr>
      <w:spacing w:after="0" w:line="240" w:lineRule="auto"/>
    </w:pPr>
    <w:rPr>
      <w:sz w:val="20"/>
      <w:szCs w:val="20"/>
    </w:rPr>
  </w:style>
  <w:style w:type="character" w:customStyle="1" w:styleId="a6">
    <w:name w:val="טקסט הערת שוליים תו"/>
    <w:basedOn w:val="a0"/>
    <w:link w:val="a5"/>
    <w:uiPriority w:val="99"/>
    <w:semiHidden/>
    <w:rsid w:val="000803DF"/>
    <w:rPr>
      <w:sz w:val="20"/>
      <w:szCs w:val="20"/>
    </w:rPr>
  </w:style>
  <w:style w:type="character" w:styleId="a7">
    <w:name w:val="footnote reference"/>
    <w:basedOn w:val="a0"/>
    <w:uiPriority w:val="99"/>
    <w:semiHidden/>
    <w:unhideWhenUsed/>
    <w:rsid w:val="000803DF"/>
    <w:rPr>
      <w:vertAlign w:val="superscript"/>
    </w:rPr>
  </w:style>
  <w:style w:type="character" w:styleId="a8">
    <w:name w:val="annotation reference"/>
    <w:basedOn w:val="a0"/>
    <w:uiPriority w:val="99"/>
    <w:semiHidden/>
    <w:unhideWhenUsed/>
    <w:rsid w:val="00B51574"/>
    <w:rPr>
      <w:sz w:val="16"/>
      <w:szCs w:val="16"/>
    </w:rPr>
  </w:style>
  <w:style w:type="paragraph" w:styleId="a9">
    <w:name w:val="annotation text"/>
    <w:basedOn w:val="a"/>
    <w:link w:val="aa"/>
    <w:uiPriority w:val="99"/>
    <w:semiHidden/>
    <w:unhideWhenUsed/>
    <w:rsid w:val="00B51574"/>
    <w:pPr>
      <w:spacing w:line="240" w:lineRule="auto"/>
    </w:pPr>
    <w:rPr>
      <w:sz w:val="20"/>
      <w:szCs w:val="20"/>
    </w:rPr>
  </w:style>
  <w:style w:type="character" w:customStyle="1" w:styleId="aa">
    <w:name w:val="טקסט הערה תו"/>
    <w:basedOn w:val="a0"/>
    <w:link w:val="a9"/>
    <w:uiPriority w:val="99"/>
    <w:semiHidden/>
    <w:rsid w:val="00B51574"/>
    <w:rPr>
      <w:sz w:val="20"/>
      <w:szCs w:val="20"/>
    </w:rPr>
  </w:style>
  <w:style w:type="paragraph" w:styleId="ab">
    <w:name w:val="annotation subject"/>
    <w:basedOn w:val="a9"/>
    <w:next w:val="a9"/>
    <w:link w:val="ac"/>
    <w:uiPriority w:val="99"/>
    <w:semiHidden/>
    <w:unhideWhenUsed/>
    <w:rsid w:val="00B51574"/>
    <w:rPr>
      <w:b/>
      <w:bCs/>
    </w:rPr>
  </w:style>
  <w:style w:type="character" w:customStyle="1" w:styleId="ac">
    <w:name w:val="נושא הערה תו"/>
    <w:basedOn w:val="aa"/>
    <w:link w:val="ab"/>
    <w:uiPriority w:val="99"/>
    <w:semiHidden/>
    <w:rsid w:val="00B51574"/>
    <w:rPr>
      <w:b/>
      <w:bCs/>
      <w:sz w:val="20"/>
      <w:szCs w:val="20"/>
    </w:rPr>
  </w:style>
  <w:style w:type="paragraph" w:styleId="ad">
    <w:name w:val="Balloon Text"/>
    <w:basedOn w:val="a"/>
    <w:link w:val="ae"/>
    <w:uiPriority w:val="99"/>
    <w:semiHidden/>
    <w:unhideWhenUsed/>
    <w:rsid w:val="00B51574"/>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B51574"/>
    <w:rPr>
      <w:rFonts w:ascii="Tahoma" w:hAnsi="Tahoma" w:cs="Tahoma"/>
      <w:sz w:val="18"/>
      <w:szCs w:val="18"/>
    </w:rPr>
  </w:style>
  <w:style w:type="paragraph" w:styleId="af">
    <w:name w:val="List Paragraph"/>
    <w:basedOn w:val="a"/>
    <w:uiPriority w:val="34"/>
    <w:qFormat/>
    <w:rsid w:val="00A61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330">
      <w:bodyDiv w:val="1"/>
      <w:marLeft w:val="0"/>
      <w:marRight w:val="0"/>
      <w:marTop w:val="0"/>
      <w:marBottom w:val="0"/>
      <w:divBdr>
        <w:top w:val="none" w:sz="0" w:space="0" w:color="auto"/>
        <w:left w:val="none" w:sz="0" w:space="0" w:color="auto"/>
        <w:bottom w:val="none" w:sz="0" w:space="0" w:color="auto"/>
        <w:right w:val="none" w:sz="0" w:space="0" w:color="auto"/>
      </w:divBdr>
      <w:divsChild>
        <w:div w:id="92823799">
          <w:marLeft w:val="0"/>
          <w:marRight w:val="0"/>
          <w:marTop w:val="0"/>
          <w:marBottom w:val="0"/>
          <w:divBdr>
            <w:top w:val="none" w:sz="0" w:space="0" w:color="auto"/>
            <w:left w:val="none" w:sz="0" w:space="0" w:color="auto"/>
            <w:bottom w:val="none" w:sz="0" w:space="0" w:color="auto"/>
            <w:right w:val="none" w:sz="0" w:space="0" w:color="auto"/>
          </w:divBdr>
        </w:div>
      </w:divsChild>
    </w:div>
    <w:div w:id="282927869">
      <w:bodyDiv w:val="1"/>
      <w:marLeft w:val="0"/>
      <w:marRight w:val="0"/>
      <w:marTop w:val="0"/>
      <w:marBottom w:val="0"/>
      <w:divBdr>
        <w:top w:val="none" w:sz="0" w:space="0" w:color="auto"/>
        <w:left w:val="none" w:sz="0" w:space="0" w:color="auto"/>
        <w:bottom w:val="none" w:sz="0" w:space="0" w:color="auto"/>
        <w:right w:val="none" w:sz="0" w:space="0" w:color="auto"/>
      </w:divBdr>
      <w:divsChild>
        <w:div w:id="355161935">
          <w:marLeft w:val="0"/>
          <w:marRight w:val="0"/>
          <w:marTop w:val="0"/>
          <w:marBottom w:val="0"/>
          <w:divBdr>
            <w:top w:val="none" w:sz="0" w:space="0" w:color="auto"/>
            <w:left w:val="none" w:sz="0" w:space="0" w:color="auto"/>
            <w:bottom w:val="none" w:sz="0" w:space="0" w:color="auto"/>
            <w:right w:val="none" w:sz="0" w:space="0" w:color="auto"/>
          </w:divBdr>
        </w:div>
      </w:divsChild>
    </w:div>
    <w:div w:id="610211661">
      <w:bodyDiv w:val="1"/>
      <w:marLeft w:val="0"/>
      <w:marRight w:val="0"/>
      <w:marTop w:val="0"/>
      <w:marBottom w:val="0"/>
      <w:divBdr>
        <w:top w:val="none" w:sz="0" w:space="0" w:color="auto"/>
        <w:left w:val="none" w:sz="0" w:space="0" w:color="auto"/>
        <w:bottom w:val="none" w:sz="0" w:space="0" w:color="auto"/>
        <w:right w:val="none" w:sz="0" w:space="0" w:color="auto"/>
      </w:divBdr>
      <w:divsChild>
        <w:div w:id="932399694">
          <w:marLeft w:val="0"/>
          <w:marRight w:val="0"/>
          <w:marTop w:val="0"/>
          <w:marBottom w:val="0"/>
          <w:divBdr>
            <w:top w:val="none" w:sz="0" w:space="0" w:color="auto"/>
            <w:left w:val="none" w:sz="0" w:space="0" w:color="auto"/>
            <w:bottom w:val="none" w:sz="0" w:space="0" w:color="auto"/>
            <w:right w:val="none" w:sz="0" w:space="0" w:color="auto"/>
          </w:divBdr>
        </w:div>
      </w:divsChild>
    </w:div>
    <w:div w:id="943927355">
      <w:bodyDiv w:val="1"/>
      <w:marLeft w:val="0"/>
      <w:marRight w:val="0"/>
      <w:marTop w:val="0"/>
      <w:marBottom w:val="0"/>
      <w:divBdr>
        <w:top w:val="none" w:sz="0" w:space="0" w:color="auto"/>
        <w:left w:val="none" w:sz="0" w:space="0" w:color="auto"/>
        <w:bottom w:val="none" w:sz="0" w:space="0" w:color="auto"/>
        <w:right w:val="none" w:sz="0" w:space="0" w:color="auto"/>
      </w:divBdr>
      <w:divsChild>
        <w:div w:id="699817995">
          <w:marLeft w:val="0"/>
          <w:marRight w:val="0"/>
          <w:marTop w:val="0"/>
          <w:marBottom w:val="0"/>
          <w:divBdr>
            <w:top w:val="none" w:sz="0" w:space="0" w:color="auto"/>
            <w:left w:val="none" w:sz="0" w:space="0" w:color="auto"/>
            <w:bottom w:val="none" w:sz="0" w:space="0" w:color="auto"/>
            <w:right w:val="none" w:sz="0" w:space="0" w:color="auto"/>
          </w:divBdr>
        </w:div>
      </w:divsChild>
    </w:div>
    <w:div w:id="1159732294">
      <w:bodyDiv w:val="1"/>
      <w:marLeft w:val="0"/>
      <w:marRight w:val="0"/>
      <w:marTop w:val="0"/>
      <w:marBottom w:val="0"/>
      <w:divBdr>
        <w:top w:val="none" w:sz="0" w:space="0" w:color="auto"/>
        <w:left w:val="none" w:sz="0" w:space="0" w:color="auto"/>
        <w:bottom w:val="none" w:sz="0" w:space="0" w:color="auto"/>
        <w:right w:val="none" w:sz="0" w:space="0" w:color="auto"/>
      </w:divBdr>
    </w:div>
    <w:div w:id="1194002137">
      <w:bodyDiv w:val="1"/>
      <w:marLeft w:val="0"/>
      <w:marRight w:val="0"/>
      <w:marTop w:val="0"/>
      <w:marBottom w:val="0"/>
      <w:divBdr>
        <w:top w:val="none" w:sz="0" w:space="0" w:color="auto"/>
        <w:left w:val="none" w:sz="0" w:space="0" w:color="auto"/>
        <w:bottom w:val="none" w:sz="0" w:space="0" w:color="auto"/>
        <w:right w:val="none" w:sz="0" w:space="0" w:color="auto"/>
      </w:divBdr>
      <w:divsChild>
        <w:div w:id="1477379044">
          <w:marLeft w:val="0"/>
          <w:marRight w:val="0"/>
          <w:marTop w:val="0"/>
          <w:marBottom w:val="0"/>
          <w:divBdr>
            <w:top w:val="none" w:sz="0" w:space="0" w:color="auto"/>
            <w:left w:val="none" w:sz="0" w:space="0" w:color="auto"/>
            <w:bottom w:val="none" w:sz="0" w:space="0" w:color="auto"/>
            <w:right w:val="none" w:sz="0" w:space="0" w:color="auto"/>
          </w:divBdr>
        </w:div>
      </w:divsChild>
    </w:div>
    <w:div w:id="1343318471">
      <w:bodyDiv w:val="1"/>
      <w:marLeft w:val="0"/>
      <w:marRight w:val="0"/>
      <w:marTop w:val="0"/>
      <w:marBottom w:val="0"/>
      <w:divBdr>
        <w:top w:val="none" w:sz="0" w:space="0" w:color="auto"/>
        <w:left w:val="none" w:sz="0" w:space="0" w:color="auto"/>
        <w:bottom w:val="none" w:sz="0" w:space="0" w:color="auto"/>
        <w:right w:val="none" w:sz="0" w:space="0" w:color="auto"/>
      </w:divBdr>
    </w:div>
    <w:div w:id="1433744701">
      <w:bodyDiv w:val="1"/>
      <w:marLeft w:val="0"/>
      <w:marRight w:val="0"/>
      <w:marTop w:val="0"/>
      <w:marBottom w:val="0"/>
      <w:divBdr>
        <w:top w:val="none" w:sz="0" w:space="0" w:color="auto"/>
        <w:left w:val="none" w:sz="0" w:space="0" w:color="auto"/>
        <w:bottom w:val="none" w:sz="0" w:space="0" w:color="auto"/>
        <w:right w:val="none" w:sz="0" w:space="0" w:color="auto"/>
      </w:divBdr>
    </w:div>
    <w:div w:id="14843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mvsrvusers\vusers\Users\u06c\&#1488;&#1502;&#1493;&#1503;\&#1488;&#1497;&#1493;&#1512;%20&#1500;&#1492;&#1493;&#1491;&#1506;&#149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100" b="0" i="0" u="none" strike="noStrike" kern="1200" spc="0" baseline="0">
                <a:solidFill>
                  <a:srgbClr val="000000"/>
                </a:solidFill>
                <a:latin typeface="+mn-lt"/>
                <a:ea typeface="+mn-ea"/>
                <a:cs typeface="Calibri" panose="020F0502020204030204" pitchFamily="34" charset="0"/>
              </a:defRPr>
            </a:pPr>
            <a:r>
              <a:rPr lang="he-IL" sz="1100" b="0">
                <a:solidFill>
                  <a:srgbClr val="000000"/>
                </a:solidFill>
                <a:cs typeface="Calibri" panose="020F0502020204030204" pitchFamily="34" charset="0"/>
              </a:rPr>
              <a:t>הקשר בין אמון להתנהגויות</a:t>
            </a:r>
            <a:r>
              <a:rPr lang="he-IL" sz="1100" b="0" baseline="0">
                <a:solidFill>
                  <a:srgbClr val="000000"/>
                </a:solidFill>
                <a:cs typeface="Calibri" panose="020F0502020204030204" pitchFamily="34" charset="0"/>
              </a:rPr>
              <a:t> פיננסיות הנוגעות לביטחון כלכלי לקראת פרישה</a:t>
            </a:r>
            <a:r>
              <a:rPr lang="he-IL" sz="1100" b="0">
                <a:solidFill>
                  <a:srgbClr val="000000"/>
                </a:solidFill>
                <a:cs typeface="Calibri" panose="020F0502020204030204" pitchFamily="34" charset="0"/>
              </a:rPr>
              <a:t> </a:t>
            </a:r>
          </a:p>
        </c:rich>
      </c:tx>
      <c:layout/>
      <c:overlay val="0"/>
      <c:spPr>
        <a:noFill/>
        <a:ln>
          <a:noFill/>
        </a:ln>
        <a:effectLst/>
      </c:spPr>
      <c:txPr>
        <a:bodyPr rot="0" spcFirstLastPara="1" vertOverflow="ellipsis" vert="horz" wrap="square" anchor="ctr" anchorCtr="1"/>
        <a:lstStyle/>
        <a:p>
          <a:pPr rtl="1">
            <a:defRPr sz="1100" b="0" i="0" u="none" strike="noStrike" kern="1200" spc="0" baseline="0">
              <a:solidFill>
                <a:srgbClr val="000000"/>
              </a:solidFill>
              <a:latin typeface="+mn-lt"/>
              <a:ea typeface="+mn-ea"/>
              <a:cs typeface="Calibri" panose="020F0502020204030204" pitchFamily="34" charset="0"/>
            </a:defRPr>
          </a:pPr>
          <a:endParaRPr lang="he-IL"/>
        </a:p>
      </c:txPr>
    </c:title>
    <c:autoTitleDeleted val="0"/>
    <c:plotArea>
      <c:layout>
        <c:manualLayout>
          <c:layoutTarget val="inner"/>
          <c:xMode val="edge"/>
          <c:yMode val="edge"/>
          <c:x val="4.5996934865900382E-2"/>
          <c:y val="0.16095255255255256"/>
          <c:w val="0.92903735632183893"/>
          <c:h val="0.50558618618618623"/>
        </c:manualLayout>
      </c:layout>
      <c:barChart>
        <c:barDir val="col"/>
        <c:grouping val="clustered"/>
        <c:varyColors val="0"/>
        <c:ser>
          <c:idx val="0"/>
          <c:order val="0"/>
          <c:tx>
            <c:strRef>
              <c:f>גיליון1!$B$1</c:f>
              <c:strCache>
                <c:ptCount val="1"/>
                <c:pt idx="0">
                  <c:v>אמון במוסדות פיננסיים</c:v>
                </c:pt>
              </c:strCache>
            </c:strRef>
          </c:tx>
          <c:spPr>
            <a:solidFill>
              <a:srgbClr val="DA8F32"/>
            </a:solidFill>
            <a:ln>
              <a:noFill/>
            </a:ln>
            <a:effectLst>
              <a:outerShdw sx="0" sy="0" rotWithShape="0">
                <a:scrgbClr r="0" g="0" b="0">
                  <a:alpha val="0"/>
                </a:scrgbClr>
              </a:outerShdw>
            </a:effectLst>
            <a:scene3d>
              <a:camera prst="orthographicFront"/>
              <a:lightRig rig="flat" dir="t"/>
            </a:scene3d>
            <a:extLst>
              <a:ext uri="{91240B29-F687-4F45-9708-019B960494DF}">
                <a14:hiddenLine xmlns:a14="http://schemas.microsoft.com/office/drawing/2010/main">
                  <a:noFill/>
                </a14:hiddenLine>
              </a:ext>
            </a:ex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Calibri"/>
                    <a:ea typeface="Calibri"/>
                    <a:cs typeface="Calibri"/>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גיליון1!$A$2:$A$4</c:f>
              <c:strCache>
                <c:ptCount val="3"/>
                <c:pt idx="0">
                  <c:v>חשבון פנסיוני</c:v>
                </c:pt>
                <c:pt idx="1">
                  <c:v>החזקה במניות</c:v>
                </c:pt>
                <c:pt idx="2">
                  <c:v>עושר נטו (%)</c:v>
                </c:pt>
              </c:strCache>
            </c:strRef>
          </c:cat>
          <c:val>
            <c:numRef>
              <c:f>גיליון1!$B$2:$B$4</c:f>
              <c:numCache>
                <c:formatCode>0.0%</c:formatCode>
                <c:ptCount val="3"/>
                <c:pt idx="0" formatCode="0%">
                  <c:v>0.06</c:v>
                </c:pt>
                <c:pt idx="1">
                  <c:v>7.4999999999999997E-2</c:v>
                </c:pt>
                <c:pt idx="2">
                  <c:v>3.2000000000000001E-2</c:v>
                </c:pt>
              </c:numCache>
            </c:numRef>
          </c:val>
          <c:extLst>
            <c:ext xmlns:c16="http://schemas.microsoft.com/office/drawing/2014/chart" uri="{C3380CC4-5D6E-409C-BE32-E72D297353CC}">
              <c16:uniqueId val="{00000000-D248-4925-A252-203BB6A85CD8}"/>
            </c:ext>
          </c:extLst>
        </c:ser>
        <c:ser>
          <c:idx val="1"/>
          <c:order val="1"/>
          <c:tx>
            <c:strRef>
              <c:f>גיליון1!$C$1</c:f>
              <c:strCache>
                <c:ptCount val="1"/>
                <c:pt idx="0">
                  <c:v>אמון בתכניות ממשלתיות</c:v>
                </c:pt>
              </c:strCache>
            </c:strRef>
          </c:tx>
          <c:spPr>
            <a:solidFill>
              <a:srgbClr val="008DA3"/>
            </a:solidFill>
            <a:ln>
              <a:noFill/>
            </a:ln>
            <a:effectLst>
              <a:outerShdw sx="0" sy="0" rotWithShape="0">
                <a:scrgbClr r="0" g="0" b="0">
                  <a:alpha val="0"/>
                </a:scrgbClr>
              </a:outerShdw>
            </a:effectLst>
            <a:scene3d>
              <a:camera prst="orthographicFront"/>
              <a:lightRig rig="flat" dir="t"/>
            </a:scene3d>
            <a:extLst>
              <a:ext uri="{91240B29-F687-4F45-9708-019B960494DF}">
                <a14:hiddenLine xmlns:a14="http://schemas.microsoft.com/office/drawing/2010/main">
                  <a:noFill/>
                </a14:hiddenLine>
              </a:ext>
            </a:ex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Calibri"/>
                    <a:ea typeface="Calibri"/>
                    <a:cs typeface="Calibri"/>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גיליון1!$A$2:$A$4</c:f>
              <c:strCache>
                <c:ptCount val="3"/>
                <c:pt idx="0">
                  <c:v>חשבון פנסיוני</c:v>
                </c:pt>
                <c:pt idx="1">
                  <c:v>החזקה במניות</c:v>
                </c:pt>
                <c:pt idx="2">
                  <c:v>עושר נטו (%)</c:v>
                </c:pt>
              </c:strCache>
            </c:strRef>
          </c:cat>
          <c:val>
            <c:numRef>
              <c:f>גיליון1!$C$2:$C$4</c:f>
              <c:numCache>
                <c:formatCode>0%</c:formatCode>
                <c:ptCount val="3"/>
                <c:pt idx="0">
                  <c:v>-0.04</c:v>
                </c:pt>
                <c:pt idx="1">
                  <c:v>-0.06</c:v>
                </c:pt>
                <c:pt idx="2" formatCode="0.0%">
                  <c:v>-1.6E-2</c:v>
                </c:pt>
              </c:numCache>
            </c:numRef>
          </c:val>
          <c:extLst>
            <c:ext xmlns:c16="http://schemas.microsoft.com/office/drawing/2014/chart" uri="{C3380CC4-5D6E-409C-BE32-E72D297353CC}">
              <c16:uniqueId val="{00000001-D248-4925-A252-203BB6A85CD8}"/>
            </c:ext>
          </c:extLst>
        </c:ser>
        <c:dLbls>
          <c:dLblPos val="outEnd"/>
          <c:showLegendKey val="0"/>
          <c:showVal val="1"/>
          <c:showCatName val="0"/>
          <c:showSerName val="0"/>
          <c:showPercent val="0"/>
          <c:showBubbleSize val="0"/>
        </c:dLbls>
        <c:gapWidth val="150"/>
        <c:axId val="783425072"/>
        <c:axId val="783426712"/>
        <c:extLst>
          <c:ext xmlns:c15="http://schemas.microsoft.com/office/drawing/2012/chart" uri="{02D57815-91ED-43cb-92C2-25804820EDAC}">
            <c15:filteredBarSeries>
              <c15:ser>
                <c:idx val="2"/>
                <c:order val="2"/>
                <c:tx>
                  <c:strRef>
                    <c:extLst>
                      <c:ext uri="{02D57815-91ED-43cb-92C2-25804820EDAC}">
                        <c15:formulaRef>
                          <c15:sqref>גיליון1!$D$1</c15:sqref>
                        </c15:formulaRef>
                      </c:ext>
                    </c:extLst>
                    <c:strCache>
                      <c:ptCount val="1"/>
                      <c:pt idx="0">
                        <c:v>מובהקות מוסדות פיננסיים</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גיליון1!$A$2:$A$4</c15:sqref>
                        </c15:formulaRef>
                      </c:ext>
                    </c:extLst>
                    <c:strCache>
                      <c:ptCount val="3"/>
                      <c:pt idx="0">
                        <c:v>חשבון פנסיוני</c:v>
                      </c:pt>
                      <c:pt idx="1">
                        <c:v>החזקה במניות</c:v>
                      </c:pt>
                      <c:pt idx="2">
                        <c:v>עושר נטו (%)</c:v>
                      </c:pt>
                    </c:strCache>
                  </c:strRef>
                </c:cat>
                <c:val>
                  <c:numRef>
                    <c:extLst>
                      <c:ext uri="{02D57815-91ED-43cb-92C2-25804820EDAC}">
                        <c15:formulaRef>
                          <c15:sqref>גיליון1!$D$2:$D$4</c15:sqref>
                        </c15:formulaRef>
                      </c:ext>
                    </c:extLst>
                    <c:numCache>
                      <c:formatCode>General</c:formatCode>
                      <c:ptCount val="3"/>
                    </c:numCache>
                  </c:numRef>
                </c:val>
                <c:extLst>
                  <c:ext xmlns:c16="http://schemas.microsoft.com/office/drawing/2014/chart" uri="{C3380CC4-5D6E-409C-BE32-E72D297353CC}">
                    <c16:uniqueId val="{00000002-D248-4925-A252-203BB6A85CD8}"/>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גיליון1!$E$1</c15:sqref>
                        </c15:formulaRef>
                      </c:ext>
                    </c:extLst>
                    <c:strCache>
                      <c:ptCount val="1"/>
                      <c:pt idx="0">
                        <c:v>מובהקות תכניות ממשלתיות</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גיליון1!$A$2:$A$4</c15:sqref>
                        </c15:formulaRef>
                      </c:ext>
                    </c:extLst>
                    <c:strCache>
                      <c:ptCount val="3"/>
                      <c:pt idx="0">
                        <c:v>חשבון פנסיוני</c:v>
                      </c:pt>
                      <c:pt idx="1">
                        <c:v>החזקה במניות</c:v>
                      </c:pt>
                      <c:pt idx="2">
                        <c:v>עושר נטו (%)</c:v>
                      </c:pt>
                    </c:strCache>
                  </c:strRef>
                </c:cat>
                <c:val>
                  <c:numRef>
                    <c:extLst xmlns:c15="http://schemas.microsoft.com/office/drawing/2012/chart">
                      <c:ext xmlns:c15="http://schemas.microsoft.com/office/drawing/2012/chart" uri="{02D57815-91ED-43cb-92C2-25804820EDAC}">
                        <c15:formulaRef>
                          <c15:sqref>גיליון1!$E$2:$E$4</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3-D248-4925-A252-203BB6A85CD8}"/>
                  </c:ext>
                </c:extLst>
              </c15:ser>
            </c15:filteredBarSeries>
          </c:ext>
        </c:extLst>
      </c:barChart>
      <c:catAx>
        <c:axId val="783425072"/>
        <c:scaling>
          <c:orientation val="minMax"/>
        </c:scaling>
        <c:delete val="0"/>
        <c:axPos val="b"/>
        <c:numFmt formatCode="General" sourceLinked="1"/>
        <c:majorTickMark val="none"/>
        <c:minorTickMark val="none"/>
        <c:tickLblPos val="low"/>
        <c:spPr>
          <a:noFill/>
          <a:ln w="6350" cap="flat" cmpd="sng" algn="ctr">
            <a:solidFill>
              <a:srgbClr val="000000"/>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crossAx val="783426712"/>
        <c:crosses val="autoZero"/>
        <c:auto val="1"/>
        <c:lblAlgn val="ctr"/>
        <c:lblOffset val="100"/>
        <c:noMultiLvlLbl val="0"/>
      </c:catAx>
      <c:valAx>
        <c:axId val="783426712"/>
        <c:scaling>
          <c:orientation val="minMax"/>
        </c:scaling>
        <c:delete val="0"/>
        <c:axPos val="l"/>
        <c:majorGridlines>
          <c:spPr>
            <a:ln w="6350" cap="flat" cmpd="sng" algn="ctr">
              <a:solidFill>
                <a:srgbClr val="D9D9D9"/>
              </a:solidFill>
              <a:prstDash val="solid"/>
              <a:round/>
            </a:ln>
            <a:effectLst/>
          </c:spPr>
        </c:majorGridlines>
        <c:title>
          <c:tx>
            <c:rich>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r>
                  <a:rPr lang="he-IL"/>
                  <a:t>שיעור</a:t>
                </a:r>
                <a:r>
                  <a:rPr lang="he-IL" baseline="0"/>
                  <a:t> שינוי</a:t>
                </a:r>
                <a:endParaRPr lang="he-IL"/>
              </a:p>
            </c:rich>
          </c:tx>
          <c:layout>
            <c:manualLayout>
              <c:xMode val="edge"/>
              <c:yMode val="edge"/>
              <c:x val="6.3620689655171639E-4"/>
              <c:y val="7.2061861861861864E-2"/>
            </c:manualLayout>
          </c:layout>
          <c:overlay val="0"/>
          <c:spPr>
            <a:noFill/>
            <a:ln>
              <a:noFill/>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title>
        <c:numFmt formatCode="0%" sourceLinked="1"/>
        <c:majorTickMark val="none"/>
        <c:minorTickMark val="none"/>
        <c:tickLblPos val="low"/>
        <c:spPr>
          <a:noFill/>
          <a:ln w="6350">
            <a:solidFill>
              <a:srgbClr val="000000"/>
            </a:solidFill>
            <a:prstDash val="solid"/>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crossAx val="783425072"/>
        <c:crosses val="autoZero"/>
        <c:crossBetween val="between"/>
      </c:valAx>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legend>
      <c:legendPos val="l"/>
      <c:layout>
        <c:manualLayout>
          <c:xMode val="edge"/>
          <c:yMode val="edge"/>
          <c:x val="1.4597701149425288E-2"/>
          <c:y val="0.7811501501501501"/>
          <c:w val="0.97475651340996183"/>
          <c:h val="0.10443543543543543"/>
        </c:manualLayout>
      </c:layout>
      <c:overlay val="0"/>
      <c:spPr>
        <a:noFill/>
        <a:ln w="25400">
          <a:noFill/>
        </a:ln>
        <a:effectLst/>
      </c:spPr>
      <c:txPr>
        <a:bodyPr rot="0" spcFirstLastPara="1" vertOverflow="ellipsis" vert="horz" wrap="square" anchor="ctr" anchorCtr="1"/>
        <a:lstStyle/>
        <a:p>
          <a:pPr>
            <a:defRPr sz="1050" b="0" i="0" u="none" strike="noStrike" kern="1200" baseline="0">
              <a:solidFill>
                <a:srgbClr val="000000"/>
              </a:solidFill>
              <a:latin typeface="Calibri"/>
              <a:ea typeface="Calibri"/>
              <a:cs typeface="Calibri"/>
            </a:defRPr>
          </a:pPr>
          <a:endParaRPr lang="he-IL"/>
        </a:p>
      </c:txPr>
    </c:legend>
    <c:plotVisOnly val="1"/>
    <c:dispBlanksAs val="gap"/>
    <c:showDLblsOverMax val="0"/>
  </c:chart>
  <c:spPr>
    <a:solidFill>
      <a:srgbClr val="FFFFFF"/>
    </a:solidFill>
    <a:ln w="9525" cap="flat" cmpd="sng" algn="ctr">
      <a:solidFill>
        <a:srgbClr val="000000"/>
      </a:solidFill>
      <a:prstDash val="solid"/>
      <a:round/>
    </a:ln>
    <a:effectLst/>
  </c:spPr>
  <c:txPr>
    <a:bodyPr/>
    <a:lstStyle/>
    <a:p>
      <a:pPr>
        <a:defRPr/>
      </a:pPr>
      <a:endParaRPr lang="he-I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0.87195</cdr:y>
    </cdr:from>
    <cdr:to>
      <cdr:x>1</cdr:x>
      <cdr:y>1</cdr:y>
    </cdr:to>
    <cdr:sp macro="" textlink="">
      <cdr:nvSpPr>
        <cdr:cNvPr id="2" name="TextBox 1"/>
        <cdr:cNvSpPr txBox="1"/>
      </cdr:nvSpPr>
      <cdr:spPr>
        <a:xfrm xmlns:a="http://schemas.openxmlformats.org/drawingml/2006/main">
          <a:off x="0" y="2808923"/>
          <a:ext cx="5098080" cy="412492"/>
        </a:xfrm>
        <a:prstGeom xmlns:a="http://schemas.openxmlformats.org/drawingml/2006/main" prst="rect">
          <a:avLst/>
        </a:prstGeom>
      </cdr:spPr>
      <cdr:txBody>
        <a:bodyPr xmlns:a="http://schemas.openxmlformats.org/drawingml/2006/main" vertOverflow="clip" vert="horz" rtlCol="1"/>
        <a:lstStyle xmlns:a="http://schemas.openxmlformats.org/drawingml/2006/main"/>
        <a:p xmlns:a="http://schemas.openxmlformats.org/drawingml/2006/main">
          <a:pPr rtl="1"/>
          <a:r>
            <a:rPr lang="he-IL" sz="900" b="1" i="0">
              <a:solidFill>
                <a:srgbClr val="000000"/>
              </a:solidFill>
              <a:cs typeface="Calibri" panose="020F0502020204030204" pitchFamily="34" charset="0"/>
            </a:rPr>
            <a:t>הערות: </a:t>
          </a:r>
          <a:r>
            <a:rPr lang="he-IL" sz="900" b="0" i="0">
              <a:solidFill>
                <a:srgbClr val="000000"/>
              </a:solidFill>
              <a:cs typeface="Calibri" panose="020F0502020204030204" pitchFamily="34" charset="0"/>
            </a:rPr>
            <a:t>האיור מציג את המתאם של שינוי בנקודה אחת במדד האמון על ההתנגויות הפיננסיות.</a:t>
          </a:r>
        </a:p>
        <a:p xmlns:a="http://schemas.openxmlformats.org/drawingml/2006/main">
          <a:pPr rtl="1"/>
          <a:r>
            <a:rPr lang="he-IL" sz="900" b="1" i="0">
              <a:solidFill>
                <a:srgbClr val="000000"/>
              </a:solidFill>
              <a:cs typeface="Calibri" panose="020F0502020204030204" pitchFamily="34" charset="0"/>
            </a:rPr>
            <a:t>המקור: </a:t>
          </a:r>
          <a:r>
            <a:rPr lang="he-IL" sz="900" b="0" i="0">
              <a:solidFill>
                <a:srgbClr val="000000"/>
              </a:solidFill>
              <a:cs typeface="Calibri" panose="020F0502020204030204" pitchFamily="34" charset="0"/>
            </a:rPr>
            <a:t>מבוסס על ממצאי הנייר ועיבודי הכותבים</a:t>
          </a:r>
        </a:p>
      </cdr:txBody>
    </cdr: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82EA3-5E7B-436B-B12C-2830B529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2362</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לירון בן עמוס</cp:lastModifiedBy>
  <cp:revision>3</cp:revision>
  <dcterms:created xsi:type="dcterms:W3CDTF">2026-05-27T09:04:00Z</dcterms:created>
  <dcterms:modified xsi:type="dcterms:W3CDTF">2026-05-27T09:04:00Z</dcterms:modified>
</cp:coreProperties>
</file>