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19" w:rsidRDefault="00B44B19" w:rsidP="00B44B19">
      <w:pPr>
        <w:bidi w:val="0"/>
        <w:jc w:val="center"/>
      </w:pPr>
      <w:r>
        <w:rPr>
          <w:rFonts w:cs="Arial" w:hint="cs"/>
          <w:noProof/>
          <w:rtl/>
        </w:rPr>
        <w:drawing>
          <wp:anchor distT="0" distB="0" distL="114300" distR="114300" simplePos="0" relativeHeight="251659264" behindDoc="0" locked="0" layoutInCell="1" allowOverlap="1" wp14:anchorId="765439AA" wp14:editId="18352BF7">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19" w:rsidRPr="00E8008F" w:rsidRDefault="00B44B19" w:rsidP="00B44B19">
      <w:pPr>
        <w:bidi w:val="0"/>
        <w:jc w:val="center"/>
        <w:rPr>
          <w:rtl/>
        </w:rPr>
      </w:pPr>
    </w:p>
    <w:p w:rsidR="00B44B19" w:rsidRDefault="00B44B19" w:rsidP="00B44B19">
      <w:pPr>
        <w:pStyle w:val="LetterheadBOI"/>
      </w:pPr>
    </w:p>
    <w:p w:rsidR="00B44B19" w:rsidRDefault="00B44B19" w:rsidP="00B44B19">
      <w:pPr>
        <w:pStyle w:val="LetterheadBOI"/>
      </w:pPr>
    </w:p>
    <w:p w:rsidR="00B44B19" w:rsidRPr="008E4D8E" w:rsidRDefault="00B44B19" w:rsidP="00B44B19">
      <w:pPr>
        <w:pStyle w:val="LetterheadBOI"/>
      </w:pPr>
      <w:r w:rsidRPr="008E4D8E">
        <w:t>BANK OF ISRAEL</w:t>
      </w:r>
    </w:p>
    <w:p w:rsidR="00B44B19" w:rsidRPr="008E4D8E" w:rsidRDefault="00B44B19" w:rsidP="00B44B19">
      <w:pPr>
        <w:pStyle w:val="Letterhead2"/>
        <w:rPr>
          <w:b/>
        </w:rPr>
      </w:pPr>
      <w:r w:rsidRPr="008E4D8E">
        <w:t>Office of the Spokesperson and Economic Information</w:t>
      </w:r>
    </w:p>
    <w:p w:rsidR="00B44B19" w:rsidRDefault="00B44B19" w:rsidP="00B44B19">
      <w:pPr>
        <w:bidi w:val="0"/>
        <w:jc w:val="center"/>
        <w:rPr>
          <w:rFonts w:cs="David"/>
          <w:b/>
          <w:bCs/>
          <w:sz w:val="26"/>
          <w:szCs w:val="26"/>
        </w:rPr>
      </w:pPr>
    </w:p>
    <w:p w:rsidR="00B44B19" w:rsidRDefault="00D975F7" w:rsidP="00D975F7">
      <w:pPr>
        <w:bidi w:val="0"/>
        <w:jc w:val="right"/>
      </w:pPr>
      <w:r>
        <w:t>October</w:t>
      </w:r>
      <w:r w:rsidR="00870695">
        <w:t xml:space="preserve"> </w:t>
      </w:r>
      <w:r>
        <w:t>23</w:t>
      </w:r>
      <w:r w:rsidR="00AA5B2F">
        <w:t xml:space="preserve">, </w:t>
      </w:r>
      <w:bookmarkStart w:id="0" w:name="_GoBack"/>
      <w:bookmarkEnd w:id="0"/>
      <w:r w:rsidR="00AA5B2F">
        <w:t>202</w:t>
      </w:r>
      <w:r w:rsidR="00E96831">
        <w:t>3</w:t>
      </w:r>
    </w:p>
    <w:p w:rsidR="00B44B19" w:rsidRDefault="00B44B19" w:rsidP="008F2323">
      <w:pPr>
        <w:bidi w:val="0"/>
        <w:jc w:val="center"/>
        <w:rPr>
          <w:b/>
          <w:bCs/>
        </w:rPr>
      </w:pPr>
    </w:p>
    <w:p w:rsidR="00A21D01" w:rsidRPr="00B44B19" w:rsidRDefault="00A21D01" w:rsidP="00D975F7">
      <w:pPr>
        <w:bidi w:val="0"/>
        <w:jc w:val="center"/>
        <w:rPr>
          <w:b/>
          <w:bCs/>
          <w:sz w:val="28"/>
          <w:szCs w:val="28"/>
        </w:rPr>
      </w:pPr>
      <w:r w:rsidRPr="00B44B19">
        <w:rPr>
          <w:b/>
          <w:bCs/>
          <w:sz w:val="28"/>
          <w:szCs w:val="28"/>
        </w:rPr>
        <w:t xml:space="preserve">Research Department Staff Forecast, </w:t>
      </w:r>
      <w:r w:rsidR="00D975F7">
        <w:rPr>
          <w:b/>
          <w:bCs/>
          <w:sz w:val="28"/>
          <w:szCs w:val="28"/>
        </w:rPr>
        <w:t>October</w:t>
      </w:r>
      <w:r w:rsidR="00E96831">
        <w:rPr>
          <w:b/>
          <w:bCs/>
          <w:sz w:val="28"/>
          <w:szCs w:val="28"/>
        </w:rPr>
        <w:t xml:space="preserve"> 2023</w:t>
      </w:r>
    </w:p>
    <w:p w:rsidR="00252B31" w:rsidRDefault="00252B31" w:rsidP="007D70EA">
      <w:pPr>
        <w:bidi w:val="0"/>
        <w:spacing w:line="360" w:lineRule="auto"/>
        <w:jc w:val="both"/>
        <w:rPr>
          <w:b/>
          <w:bCs/>
        </w:rPr>
      </w:pPr>
    </w:p>
    <w:p w:rsidR="00A21D01" w:rsidRPr="00D60117" w:rsidRDefault="00A21D01" w:rsidP="00252B31">
      <w:pPr>
        <w:bidi w:val="0"/>
        <w:spacing w:line="360" w:lineRule="auto"/>
        <w:jc w:val="both"/>
      </w:pPr>
      <w:r w:rsidRPr="00D60117">
        <w:rPr>
          <w:b/>
          <w:bCs/>
        </w:rPr>
        <w:t>Abstract</w:t>
      </w:r>
    </w:p>
    <w:p w:rsidR="00D52059" w:rsidRDefault="00B766FF" w:rsidP="00D614F7">
      <w:pPr>
        <w:bidi w:val="0"/>
        <w:jc w:val="both"/>
      </w:pPr>
      <w:r>
        <w:t xml:space="preserve">This document presents the macroeconomic staff forecast formulated by the Bank of Israel Research Department in </w:t>
      </w:r>
      <w:r w:rsidR="00D975F7">
        <w:t>October</w:t>
      </w:r>
      <w:r w:rsidR="00E96831">
        <w:t xml:space="preserve"> 2023</w:t>
      </w:r>
      <w:r w:rsidR="00A30AC5">
        <w:rPr>
          <w:rStyle w:val="ac"/>
        </w:rPr>
        <w:footnoteReference w:id="1"/>
      </w:r>
      <w:r>
        <w:t xml:space="preserve"> concerning the main macroeconomic variables—GDP, inflation, and the interest rate. </w:t>
      </w:r>
      <w:r w:rsidR="00D975F7">
        <w:t xml:space="preserve">This forecast was formulated in the midst of the “Swords of Iron” War, which broke out on October 7, 2023 with the cruel attack by </w:t>
      </w:r>
      <w:r w:rsidR="00AE3308">
        <w:t>terrorist organizations from Gaza</w:t>
      </w:r>
      <w:r w:rsidR="00D975F7">
        <w:t xml:space="preserve">.  This period features </w:t>
      </w:r>
      <w:r w:rsidR="000F4B6C">
        <w:t>a high</w:t>
      </w:r>
      <w:r w:rsidR="00D975F7">
        <w:t xml:space="preserve"> amount of uncertainty with regard to the development of the war and its economic impacts.  The forecast includes an assessment of the </w:t>
      </w:r>
      <w:r w:rsidR="008F7582">
        <w:t>economic costs of the</w:t>
      </w:r>
      <w:r w:rsidR="000F4B6C">
        <w:t xml:space="preserve"> war </w:t>
      </w:r>
      <w:r w:rsidR="00D975F7">
        <w:t xml:space="preserve">based on the information available up to </w:t>
      </w:r>
      <w:r w:rsidR="002512BB">
        <w:t>this point, assuming that the majority of the war will be concentrated on the southern front.</w:t>
      </w:r>
      <w:r w:rsidR="00121BFE">
        <w:t xml:space="preserve">  </w:t>
      </w:r>
      <w:r w:rsidR="008F7582">
        <w:t>The forecast naturally features a particularly high level of uncertainty, partly in view of the uncertainty with regard to the duration</w:t>
      </w:r>
      <w:r w:rsidR="00D614F7">
        <w:t xml:space="preserve">, scope, </w:t>
      </w:r>
      <w:r w:rsidR="008F7582">
        <w:t>and nature of the war</w:t>
      </w:r>
      <w:r w:rsidR="00121BFE">
        <w:t>.</w:t>
      </w:r>
    </w:p>
    <w:p w:rsidR="00D975F7" w:rsidRDefault="00D975F7" w:rsidP="00D975F7">
      <w:pPr>
        <w:bidi w:val="0"/>
        <w:jc w:val="both"/>
      </w:pPr>
    </w:p>
    <w:p w:rsidR="00E932DD" w:rsidRDefault="00D975F7" w:rsidP="008F7582">
      <w:pPr>
        <w:bidi w:val="0"/>
        <w:jc w:val="both"/>
      </w:pPr>
      <w:r>
        <w:t>Prior to the outbreak of the war, the level of economic activity was higher than our assessment</w:t>
      </w:r>
      <w:r w:rsidR="00121BFE">
        <w:t xml:space="preserve"> in the previous forecast from July 2023</w:t>
      </w:r>
      <w:r>
        <w:t>.  Given this starting point, as well as our assessment of the war’s macroeconomic impact, our assessment is that in 2023, GDP will grow by 2.3 percent, and that in 2023 it will grow by 2.8 percent (compared with growth of 3 percent in each year in the previous forecast).  The inflation rate in the coming four quarter (ending in the third quarter of 2024) is expected to be 2.9 percent.  According to the forecast, the interest rate in the third quarter of 2024 is ex</w:t>
      </w:r>
      <w:r w:rsidR="00D04735">
        <w:t>p</w:t>
      </w:r>
      <w:r>
        <w:t>ected to be 4.0</w:t>
      </w:r>
      <w:r w:rsidR="008F7582">
        <w:t>/</w:t>
      </w:r>
      <w:r>
        <w:t>4.25 percent.</w:t>
      </w:r>
    </w:p>
    <w:p w:rsidR="005D7D3B" w:rsidRDefault="00AE4B42" w:rsidP="00324468">
      <w:pPr>
        <w:bidi w:val="0"/>
        <w:jc w:val="both"/>
      </w:pPr>
      <w:r>
        <w:t xml:space="preserve"> </w:t>
      </w:r>
    </w:p>
    <w:p w:rsidR="00E932DD" w:rsidRDefault="00F7707F" w:rsidP="004675C1">
      <w:pPr>
        <w:bidi w:val="0"/>
        <w:jc w:val="both"/>
        <w:rPr>
          <w:b/>
          <w:bCs/>
        </w:rPr>
      </w:pPr>
      <w:r>
        <w:rPr>
          <w:b/>
          <w:bCs/>
        </w:rPr>
        <w:t>The forecast</w:t>
      </w:r>
    </w:p>
    <w:p w:rsidR="00F7707F" w:rsidRPr="00F7707F" w:rsidRDefault="00F7707F" w:rsidP="00F7707F">
      <w:pPr>
        <w:bidi w:val="0"/>
        <w:jc w:val="both"/>
        <w:rPr>
          <w:b/>
          <w:bCs/>
        </w:rPr>
      </w:pPr>
    </w:p>
    <w:p w:rsidR="004675C1" w:rsidRDefault="004675C1" w:rsidP="00A83C38">
      <w:pPr>
        <w:bidi w:val="0"/>
        <w:jc w:val="both"/>
      </w:pPr>
      <w:r w:rsidRPr="0048372A">
        <w:t xml:space="preserve">The Bank of Israel Research Department compiles a staff forecast of macroeconomic developments on a quarterly basis. The staff forecast is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ac"/>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rsidR="00D975F7" w:rsidRDefault="00D975F7" w:rsidP="00D975F7">
      <w:pPr>
        <w:bidi w:val="0"/>
        <w:jc w:val="both"/>
      </w:pPr>
    </w:p>
    <w:p w:rsidR="00D975F7" w:rsidRPr="00D60117" w:rsidRDefault="00D975F7" w:rsidP="00660ADD">
      <w:pPr>
        <w:bidi w:val="0"/>
        <w:jc w:val="both"/>
      </w:pPr>
      <w:r>
        <w:t xml:space="preserve">The </w:t>
      </w:r>
      <w:r w:rsidR="00D04735">
        <w:t xml:space="preserve">formulation </w:t>
      </w:r>
      <w:r>
        <w:t xml:space="preserve">of the current forecast and risk assessment focused particularly on an analysis of security events from the past in order to formulate estimates of the economic impact of the current war.  The analysis was based on the DSGE model and on assessments by the Bank of </w:t>
      </w:r>
      <w:r>
        <w:lastRenderedPageBreak/>
        <w:t>Israel Research Department concerning the scope of the impact on the supply side, derived from a</w:t>
      </w:r>
      <w:r w:rsidR="00660ADD">
        <w:t>n</w:t>
      </w:r>
      <w:r>
        <w:t xml:space="preserve"> </w:t>
      </w:r>
      <w:r w:rsidR="00134075">
        <w:t>absence</w:t>
      </w:r>
      <w:r w:rsidR="00D04735">
        <w:t xml:space="preserve"> </w:t>
      </w:r>
      <w:r>
        <w:t>of employees during the combat period and the security restrictions on activity.</w:t>
      </w:r>
    </w:p>
    <w:p w:rsidR="00A21D01" w:rsidRPr="00D60117" w:rsidRDefault="00A21D01" w:rsidP="00A21D01">
      <w:pPr>
        <w:bidi w:val="0"/>
        <w:jc w:val="both"/>
      </w:pPr>
    </w:p>
    <w:p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rsidR="00D52059" w:rsidRDefault="00A21D01" w:rsidP="00D166DB">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w:t>
      </w:r>
      <w:r w:rsidR="00D975F7">
        <w:t>Accordingly, we assume that growth in the advanced economies will be 1.2 percent in 2023 and 0.8 percent in 2024 (compared w</w:t>
      </w:r>
      <w:r w:rsidR="00D166DB">
        <w:t>ith 0.9 percent in each year in the July forecast). Forecasts of world trade were lowered, and our assumption is that it will grow by 0.9 percent in</w:t>
      </w:r>
      <w:r w:rsidR="00D04735">
        <w:t xml:space="preserve"> </w:t>
      </w:r>
      <w:r w:rsidR="00D166DB">
        <w:t>2023 and 3.5 percent in 2024 (compared with 1.6 percent and 3.8 percent in the July forecast.</w:t>
      </w:r>
      <w:r w:rsidR="005A37A5">
        <w:t xml:space="preserve"> The inflation forecasts for the advanced economies for 2023 </w:t>
      </w:r>
      <w:r w:rsidR="00D166DB">
        <w:t>were revised upward.  Accordingly, our assessment is that inflation in those countries will total 3.4 percent in 2023 (compared with 3.1 percent in the July forecast) and 2.4 percent in 2024 (similar to the July forecast).  Investment houses’ forecasts of average inflation in the advanced economies increased slightly.  Accordingly, we assume that the average interest rate in the advanced economies will be 4.9 percent at the end of 2023 and 3.9 percent at the end of 2024 (compared with 4.7 percent in 2023 and 3.6 percent in 2024 in the July forecast).</w:t>
      </w:r>
      <w:r w:rsidR="008F34C7">
        <w:t xml:space="preserve">  The price of Brent crude oil </w:t>
      </w:r>
      <w:r w:rsidR="00D166DB">
        <w:t>increas</w:t>
      </w:r>
      <w:r w:rsidR="008F34C7">
        <w:t>ed to about $</w:t>
      </w:r>
      <w:r w:rsidR="00D166DB">
        <w:t xml:space="preserve">90 per barrel </w:t>
      </w:r>
      <w:r w:rsidR="00323260">
        <w:t>(compared with $7</w:t>
      </w:r>
      <w:r w:rsidR="00D166DB">
        <w:t>6</w:t>
      </w:r>
      <w:r w:rsidR="00323260">
        <w:t xml:space="preserve"> when the previous forecast was prepared in </w:t>
      </w:r>
      <w:r w:rsidR="00D166DB">
        <w:t>July</w:t>
      </w:r>
      <w:r w:rsidR="00323260">
        <w:t>).</w:t>
      </w:r>
    </w:p>
    <w:p w:rsidR="00D52059" w:rsidRDefault="00D52059" w:rsidP="00D52059">
      <w:pPr>
        <w:bidi w:val="0"/>
        <w:jc w:val="both"/>
      </w:pPr>
    </w:p>
    <w:p w:rsidR="007E443D" w:rsidRDefault="007E443D" w:rsidP="007E443D">
      <w:pPr>
        <w:bidi w:val="0"/>
        <w:jc w:val="both"/>
      </w:pPr>
    </w:p>
    <w:p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rsidR="00F1274A" w:rsidRDefault="00323260" w:rsidP="00F1274A">
      <w:pPr>
        <w:bidi w:val="0"/>
        <w:jc w:val="both"/>
      </w:pPr>
      <w:r>
        <w:t xml:space="preserve">GDP is expected to grow by </w:t>
      </w:r>
      <w:r w:rsidR="00F1274A">
        <w:t>2.3</w:t>
      </w:r>
      <w:r>
        <w:t xml:space="preserve"> percent in 2023, and by </w:t>
      </w:r>
      <w:r w:rsidR="00F1274A">
        <w:t>2.8 percent</w:t>
      </w:r>
      <w:r>
        <w:t xml:space="preserve"> in 2024 (Table 1). </w:t>
      </w:r>
    </w:p>
    <w:p w:rsidR="00F1274A" w:rsidRDefault="00F1274A" w:rsidP="00F1274A">
      <w:pPr>
        <w:bidi w:val="0"/>
        <w:jc w:val="both"/>
      </w:pPr>
    </w:p>
    <w:p w:rsidR="00F1274A" w:rsidRDefault="00F1274A" w:rsidP="00D614F7">
      <w:pPr>
        <w:bidi w:val="0"/>
        <w:jc w:val="both"/>
      </w:pPr>
      <w:r>
        <w:t xml:space="preserve">Prior to the outbreak of the war, there was a high level of </w:t>
      </w:r>
      <w:r w:rsidR="006D561A">
        <w:t xml:space="preserve">economic </w:t>
      </w:r>
      <w:r>
        <w:t xml:space="preserve">activity, and the growth rate was in a slightly moderating trend.  National Accounts data for the second quarter of 2023 pointed to growth of 3.0 percent, which was higher than our forecast, and growth data for the previous quarters were revised upward.  The main contributor to growth in the second quarter was the investments component, while private consumption and exports grew at only a moderate pace.  The labor market was tight, and featured a high (although moderating) level of job vacancies. </w:t>
      </w:r>
      <w:r w:rsidR="00D614F7">
        <w:t xml:space="preserve"> </w:t>
      </w:r>
      <w:r>
        <w:t xml:space="preserve">The employment rate in the prime working ages was high, and the unemployment rate was low relative to the levels that were prominent prior to the COVID-19 crisis.  Had it not been for the outbreak of the war, these developments would have supported an increase in the growth forecast </w:t>
      </w:r>
      <w:r w:rsidR="002D6565">
        <w:t xml:space="preserve">for 2023 </w:t>
      </w:r>
      <w:r>
        <w:t>and a decline in the unemployment forecast for both 2023 and 2024.</w:t>
      </w:r>
    </w:p>
    <w:p w:rsidR="00F1274A" w:rsidRDefault="00F1274A" w:rsidP="00F1274A">
      <w:pPr>
        <w:bidi w:val="0"/>
        <w:jc w:val="both"/>
      </w:pPr>
      <w:r>
        <w:t xml:space="preserve"> </w:t>
      </w:r>
    </w:p>
    <w:p w:rsidR="00323260" w:rsidRDefault="00F1274A" w:rsidP="004A0F67">
      <w:pPr>
        <w:bidi w:val="0"/>
        <w:jc w:val="both"/>
      </w:pPr>
      <w:r>
        <w:t xml:space="preserve">The forecast in Table 1 is based on the assumption that most of the war’s direct impact on the economy </w:t>
      </w:r>
      <w:r w:rsidR="008F7582">
        <w:t xml:space="preserve">will be </w:t>
      </w:r>
      <w:r w:rsidR="004A0F67">
        <w:t>in</w:t>
      </w:r>
      <w:r w:rsidR="008F7582">
        <w:t xml:space="preserve"> the fourth quarter of 2023</w:t>
      </w:r>
      <w:r>
        <w:t xml:space="preserve">.  Accordingly, our assessment is that the war will </w:t>
      </w:r>
      <w:r w:rsidR="00D614F7">
        <w:t>reduce</w:t>
      </w:r>
      <w:r>
        <w:t xml:space="preserve"> </w:t>
      </w:r>
      <w:r w:rsidR="00121BFE">
        <w:t>0.5–1.0</w:t>
      </w:r>
      <w:r>
        <w:t xml:space="preserve"> percentage point</w:t>
      </w:r>
      <w:r w:rsidR="00121BFE">
        <w:t>s</w:t>
      </w:r>
      <w:r>
        <w:t xml:space="preserve"> from GDP</w:t>
      </w:r>
      <w:r w:rsidR="002D6565">
        <w:t xml:space="preserve"> growth</w:t>
      </w:r>
      <w:r>
        <w:t xml:space="preserve"> in each of the years 2023 and 2024.</w:t>
      </w:r>
      <w:r>
        <w:rPr>
          <w:rStyle w:val="ac"/>
        </w:rPr>
        <w:footnoteReference w:id="3"/>
      </w:r>
      <w:r>
        <w:t xml:space="preserve">  The impact is expected to be reflected in </w:t>
      </w:r>
      <w:r w:rsidR="00660ADD">
        <w:t xml:space="preserve">a </w:t>
      </w:r>
      <w:r w:rsidR="006D561A">
        <w:t>further weakening</w:t>
      </w:r>
      <w:r>
        <w:t xml:space="preserve"> of private consumption, due to the decline in demand for consumption and supply-side restrictions.  These restrictions are due to the </w:t>
      </w:r>
      <w:r w:rsidR="00134075">
        <w:t xml:space="preserve">absence </w:t>
      </w:r>
      <w:r>
        <w:t>of workers as a result of emergency mobilizations and the closure of educational institutions, as well as damage to physical capital and the ability to work in combat areas</w:t>
      </w:r>
      <w:r w:rsidR="003955F5">
        <w:t xml:space="preserve"> and threatened areas</w:t>
      </w:r>
      <w:r>
        <w:t xml:space="preserve">.  These are also creating </w:t>
      </w:r>
      <w:r w:rsidR="008F7582">
        <w:t xml:space="preserve">some disruption to the </w:t>
      </w:r>
      <w:r>
        <w:t>manufacturing and supply chain</w:t>
      </w:r>
      <w:r w:rsidR="008F7582">
        <w:t>s</w:t>
      </w:r>
      <w:r>
        <w:t xml:space="preserve">.  Industrial investment is expected to be harmed due to uncertainty and the increase in financing costs, as reflected in the increase in yields in the corporate bond market.  In addition, investment in construction is expected to be harmed due to </w:t>
      </w:r>
      <w:r w:rsidR="008F7582">
        <w:t xml:space="preserve">restrictions on the entry of laborers from </w:t>
      </w:r>
      <w:r>
        <w:t>Judea and Samaria</w:t>
      </w:r>
      <w:r w:rsidR="008F7582">
        <w:t xml:space="preserve"> and due to the complete </w:t>
      </w:r>
      <w:r>
        <w:t xml:space="preserve">cessation of employment of workers from </w:t>
      </w:r>
      <w:r>
        <w:lastRenderedPageBreak/>
        <w:t xml:space="preserve">Gaza.  The export of tourism services is also expected to suffer, </w:t>
      </w:r>
      <w:r w:rsidR="00D614F7">
        <w:t>where</w:t>
      </w:r>
      <w:r>
        <w:t xml:space="preserve"> experience from previous security incidents shows that this impact is expected to be prolonged.  In view of the decline in demand, imports are also expected to decline.  In view of these developments, our assessment is that unemployment in the prime working ages will increase during </w:t>
      </w:r>
      <w:r w:rsidR="003955F5">
        <w:t xml:space="preserve">the first part of </w:t>
      </w:r>
      <w:r>
        <w:t>2024</w:t>
      </w:r>
      <w:r w:rsidR="003955F5">
        <w:t>, before resuming its decline</w:t>
      </w:r>
      <w:r>
        <w:t>.</w:t>
      </w:r>
      <w:r>
        <w:rPr>
          <w:rStyle w:val="ac"/>
        </w:rPr>
        <w:footnoteReference w:id="4"/>
      </w:r>
    </w:p>
    <w:p w:rsidR="00F1274A" w:rsidRDefault="00F1274A" w:rsidP="00F1274A">
      <w:pPr>
        <w:bidi w:val="0"/>
        <w:jc w:val="both"/>
      </w:pPr>
    </w:p>
    <w:p w:rsidR="00C53E1E" w:rsidRPr="00C53E1E" w:rsidRDefault="00C53E1E" w:rsidP="00C53E1E">
      <w:pPr>
        <w:bidi w:val="0"/>
        <w:jc w:val="both"/>
        <w:rPr>
          <w:color w:val="FF0000"/>
        </w:rPr>
      </w:pPr>
    </w:p>
    <w:tbl>
      <w:tblPr>
        <w:tblStyle w:val="a7"/>
        <w:tblpPr w:leftFromText="181" w:rightFromText="181" w:vertAnchor="text" w:horzAnchor="margin" w:tblpXSpec="center" w:tblpY="1"/>
        <w:tblOverlap w:val="never"/>
        <w:tblW w:w="10631" w:type="dxa"/>
        <w:tblLayout w:type="fixed"/>
        <w:tblLook w:val="04A0" w:firstRow="1" w:lastRow="0" w:firstColumn="1" w:lastColumn="0" w:noHBand="0" w:noVBand="1"/>
      </w:tblPr>
      <w:tblGrid>
        <w:gridCol w:w="4680"/>
        <w:gridCol w:w="1269"/>
        <w:gridCol w:w="992"/>
        <w:gridCol w:w="1276"/>
        <w:gridCol w:w="992"/>
        <w:gridCol w:w="1422"/>
      </w:tblGrid>
      <w:tr w:rsidR="00C53E1E" w:rsidRPr="007A4B17" w:rsidTr="00C53E1E">
        <w:trPr>
          <w:trHeight w:val="200"/>
        </w:trPr>
        <w:tc>
          <w:tcPr>
            <w:tcW w:w="10631" w:type="dxa"/>
            <w:gridSpan w:val="6"/>
            <w:tcBorders>
              <w:top w:val="single" w:sz="4" w:space="0" w:color="auto"/>
              <w:bottom w:val="single" w:sz="4" w:space="0" w:color="auto"/>
              <w:right w:val="single" w:sz="4" w:space="0" w:color="auto"/>
            </w:tcBorders>
          </w:tcPr>
          <w:p w:rsidR="00C53E1E" w:rsidRPr="00B13C35" w:rsidRDefault="00C53E1E" w:rsidP="00C53E1E">
            <w:pPr>
              <w:bidi w:val="0"/>
              <w:rPr>
                <w:b/>
                <w:bCs/>
                <w:color w:val="0070C0"/>
              </w:rPr>
            </w:pPr>
            <w:r w:rsidRPr="00B13C35">
              <w:rPr>
                <w:b/>
                <w:bCs/>
                <w:color w:val="0070C0"/>
              </w:rPr>
              <w:t>Table 1</w:t>
            </w:r>
          </w:p>
          <w:p w:rsidR="00C53E1E" w:rsidRDefault="00C53E1E" w:rsidP="00C53E1E">
            <w:pPr>
              <w:bidi w:val="0"/>
              <w:rPr>
                <w:b/>
                <w:bCs/>
                <w:color w:val="0070C0"/>
              </w:rPr>
            </w:pPr>
            <w:r w:rsidRPr="00B13C35">
              <w:rPr>
                <w:b/>
                <w:bCs/>
                <w:color w:val="0070C0"/>
              </w:rPr>
              <w:t>Research Department Staff Forecast for 20</w:t>
            </w:r>
            <w:r>
              <w:rPr>
                <w:b/>
                <w:bCs/>
                <w:color w:val="0070C0"/>
              </w:rPr>
              <w:t>22–</w:t>
            </w:r>
            <w:r w:rsidRPr="00B13C35">
              <w:rPr>
                <w:b/>
                <w:bCs/>
                <w:color w:val="0070C0"/>
              </w:rPr>
              <w:t>20</w:t>
            </w:r>
            <w:r>
              <w:rPr>
                <w:b/>
                <w:bCs/>
                <w:color w:val="0070C0"/>
              </w:rPr>
              <w:t>24</w:t>
            </w:r>
          </w:p>
          <w:p w:rsidR="00C53E1E" w:rsidRPr="00B13C35" w:rsidRDefault="00C53E1E" w:rsidP="00C53E1E">
            <w:pPr>
              <w:bidi w:val="0"/>
              <w:jc w:val="right"/>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C53E1E" w:rsidRPr="007A4B17" w:rsidTr="00C53E1E">
        <w:tc>
          <w:tcPr>
            <w:tcW w:w="4680" w:type="dxa"/>
            <w:tcBorders>
              <w:bottom w:val="nil"/>
            </w:tcBorders>
            <w:vAlign w:val="bottom"/>
          </w:tcPr>
          <w:p w:rsidR="00C53E1E" w:rsidRPr="00A50C95" w:rsidRDefault="00C53E1E" w:rsidP="00C53E1E">
            <w:pPr>
              <w:bidi w:val="0"/>
              <w:rPr>
                <w:sz w:val="20"/>
                <w:szCs w:val="20"/>
              </w:rPr>
            </w:pP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2022</w:t>
            </w:r>
          </w:p>
          <w:p w:rsidR="00C53E1E" w:rsidRPr="00A50C95"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992" w:type="dxa"/>
            <w:tcBorders>
              <w:left w:val="single" w:sz="4" w:space="0" w:color="auto"/>
              <w:bottom w:val="nil"/>
              <w:right w:val="nil"/>
            </w:tcBorders>
            <w:shd w:val="clear" w:color="auto" w:fill="auto"/>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Forecast for 2023</w:t>
            </w:r>
          </w:p>
        </w:tc>
        <w:tc>
          <w:tcPr>
            <w:tcW w:w="1276" w:type="dxa"/>
            <w:tcBorders>
              <w:left w:val="nil"/>
              <w:bottom w:val="single" w:sz="4" w:space="0" w:color="auto"/>
              <w:right w:val="single" w:sz="4" w:space="0" w:color="auto"/>
            </w:tcBorders>
            <w:shd w:val="clear" w:color="auto" w:fill="C6D9F1" w:themeFill="text2" w:themeFillTint="33"/>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9F4481">
              <w:rPr>
                <w:rFonts w:asciiTheme="majorBidi" w:hAnsiTheme="majorBidi" w:cstheme="majorBidi"/>
                <w:sz w:val="20"/>
                <w:szCs w:val="20"/>
              </w:rPr>
              <w:t>July</w:t>
            </w:r>
            <w:r>
              <w:rPr>
                <w:rFonts w:asciiTheme="majorBidi" w:hAnsiTheme="majorBidi" w:cstheme="majorBidi"/>
                <w:sz w:val="20"/>
                <w:szCs w:val="20"/>
              </w:rPr>
              <w:t xml:space="preserve"> forecast</w:t>
            </w:r>
          </w:p>
        </w:tc>
        <w:tc>
          <w:tcPr>
            <w:tcW w:w="992" w:type="dxa"/>
            <w:tcBorders>
              <w:left w:val="single" w:sz="4" w:space="0" w:color="auto"/>
              <w:bottom w:val="nil"/>
              <w:right w:val="nil"/>
            </w:tcBorders>
            <w:shd w:val="clear" w:color="auto" w:fill="auto"/>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9F4481">
              <w:rPr>
                <w:rFonts w:asciiTheme="majorBidi" w:hAnsiTheme="majorBidi" w:cstheme="majorBidi"/>
                <w:sz w:val="20"/>
                <w:szCs w:val="20"/>
              </w:rPr>
              <w:t>July</w:t>
            </w:r>
            <w:r>
              <w:rPr>
                <w:rFonts w:asciiTheme="majorBidi" w:hAnsiTheme="majorBidi" w:cstheme="majorBidi"/>
                <w:sz w:val="20"/>
                <w:szCs w:val="20"/>
              </w:rPr>
              <w:t xml:space="preserve"> forecast</w:t>
            </w:r>
          </w:p>
        </w:tc>
      </w:tr>
      <w:tr w:rsidR="00C53E1E" w:rsidRPr="007A4B17" w:rsidTr="00C53E1E">
        <w:tc>
          <w:tcPr>
            <w:tcW w:w="4680" w:type="dxa"/>
            <w:tcBorders>
              <w:bottom w:val="single" w:sz="4" w:space="0" w:color="auto"/>
            </w:tcBorders>
            <w:vAlign w:val="bottom"/>
          </w:tcPr>
          <w:p w:rsidR="00C53E1E" w:rsidRPr="00404ACD" w:rsidRDefault="00C53E1E" w:rsidP="00C53E1E">
            <w:pPr>
              <w:bidi w:val="0"/>
              <w:rPr>
                <w:b/>
                <w:bCs/>
                <w:sz w:val="20"/>
                <w:szCs w:val="20"/>
              </w:rPr>
            </w:pPr>
            <w:r w:rsidRPr="00404ACD">
              <w:rPr>
                <w:b/>
                <w:bCs/>
                <w:sz w:val="20"/>
                <w:szCs w:val="20"/>
              </w:rPr>
              <w:t>GDP</w:t>
            </w:r>
          </w:p>
        </w:tc>
        <w:tc>
          <w:tcPr>
            <w:tcW w:w="1269" w:type="dxa"/>
            <w:tcBorders>
              <w:bottom w:val="single" w:sz="4" w:space="0" w:color="auto"/>
              <w:right w:val="single" w:sz="4" w:space="0" w:color="auto"/>
            </w:tcBorders>
          </w:tcPr>
          <w:p w:rsidR="00C53E1E" w:rsidRPr="00404ACD" w:rsidRDefault="00C53E1E" w:rsidP="00C53E1E">
            <w:pPr>
              <w:bidi w:val="0"/>
              <w:jc w:val="center"/>
              <w:rPr>
                <w:rFonts w:asciiTheme="majorBidi" w:hAnsiTheme="majorBidi" w:cstheme="majorBidi"/>
                <w:b/>
                <w:bCs/>
                <w:sz w:val="20"/>
                <w:szCs w:val="20"/>
              </w:rPr>
            </w:pPr>
            <w:r>
              <w:rPr>
                <w:rFonts w:asciiTheme="majorBidi" w:hAnsiTheme="majorBidi" w:cstheme="majorBidi"/>
                <w:b/>
                <w:bCs/>
                <w:sz w:val="20"/>
                <w:szCs w:val="20"/>
              </w:rPr>
              <w:t>6.5</w:t>
            </w:r>
          </w:p>
        </w:tc>
        <w:tc>
          <w:tcPr>
            <w:tcW w:w="992" w:type="dxa"/>
            <w:tcBorders>
              <w:left w:val="single" w:sz="4" w:space="0" w:color="auto"/>
              <w:bottom w:val="single" w:sz="4" w:space="0" w:color="auto"/>
              <w:right w:val="nil"/>
            </w:tcBorders>
            <w:shd w:val="clear" w:color="auto" w:fill="auto"/>
          </w:tcPr>
          <w:p w:rsidR="00C53E1E" w:rsidRPr="00404ACD" w:rsidRDefault="009F4481" w:rsidP="00C53E1E">
            <w:pPr>
              <w:bidi w:val="0"/>
              <w:jc w:val="center"/>
              <w:rPr>
                <w:rFonts w:asciiTheme="majorBidi" w:hAnsiTheme="majorBidi" w:cstheme="majorBidi"/>
                <w:b/>
                <w:bCs/>
                <w:sz w:val="20"/>
                <w:szCs w:val="20"/>
              </w:rPr>
            </w:pPr>
            <w:r>
              <w:rPr>
                <w:rFonts w:asciiTheme="majorBidi" w:hAnsiTheme="majorBidi" w:cstheme="majorBidi"/>
                <w:b/>
                <w:bCs/>
                <w:sz w:val="20"/>
                <w:szCs w:val="20"/>
              </w:rPr>
              <w:t>2.3</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Pr="00404ACD" w:rsidRDefault="009F4481" w:rsidP="00C53E1E">
            <w:pPr>
              <w:bidi w:val="0"/>
              <w:jc w:val="center"/>
              <w:rPr>
                <w:rFonts w:asciiTheme="majorBidi" w:hAnsiTheme="majorBidi" w:cstheme="majorBidi"/>
                <w:b/>
                <w:bCs/>
                <w:sz w:val="20"/>
                <w:szCs w:val="20"/>
              </w:rPr>
            </w:pPr>
            <w:r>
              <w:rPr>
                <w:rFonts w:asciiTheme="majorBidi" w:hAnsiTheme="majorBidi" w:cstheme="majorBidi"/>
                <w:b/>
                <w:bCs/>
                <w:sz w:val="20"/>
                <w:szCs w:val="20"/>
              </w:rPr>
              <w:t>-0.7</w:t>
            </w:r>
          </w:p>
        </w:tc>
        <w:tc>
          <w:tcPr>
            <w:tcW w:w="992" w:type="dxa"/>
            <w:tcBorders>
              <w:left w:val="single" w:sz="4" w:space="0" w:color="auto"/>
              <w:bottom w:val="single" w:sz="4" w:space="0" w:color="auto"/>
              <w:right w:val="nil"/>
            </w:tcBorders>
            <w:shd w:val="clear" w:color="auto" w:fill="auto"/>
          </w:tcPr>
          <w:p w:rsidR="00C53E1E" w:rsidRPr="00404ACD" w:rsidRDefault="009F4481" w:rsidP="00C53E1E">
            <w:pPr>
              <w:bidi w:val="0"/>
              <w:jc w:val="center"/>
              <w:rPr>
                <w:rFonts w:asciiTheme="majorBidi" w:hAnsiTheme="majorBidi" w:cstheme="majorBidi"/>
                <w:b/>
                <w:bCs/>
                <w:sz w:val="20"/>
                <w:szCs w:val="20"/>
              </w:rPr>
            </w:pPr>
            <w:r>
              <w:rPr>
                <w:rFonts w:asciiTheme="majorBidi" w:hAnsiTheme="majorBidi" w:cstheme="majorBidi"/>
                <w:b/>
                <w:bCs/>
                <w:sz w:val="20"/>
                <w:szCs w:val="20"/>
              </w:rPr>
              <w:t>2.8</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9F4481">
              <w:rPr>
                <w:rFonts w:asciiTheme="majorBidi" w:hAnsiTheme="majorBidi" w:cstheme="majorBidi"/>
                <w:b/>
                <w:bCs/>
                <w:sz w:val="20"/>
                <w:szCs w:val="20"/>
              </w:rPr>
              <w:t>2</w:t>
            </w:r>
          </w:p>
        </w:tc>
      </w:tr>
      <w:tr w:rsidR="00C53E1E" w:rsidRPr="007A4B17" w:rsidTr="00C53E1E">
        <w:tc>
          <w:tcPr>
            <w:tcW w:w="4680" w:type="dxa"/>
            <w:tcBorders>
              <w:bottom w:val="single" w:sz="4" w:space="0" w:color="auto"/>
            </w:tcBorders>
            <w:vAlign w:val="bottom"/>
          </w:tcPr>
          <w:p w:rsidR="00C53E1E" w:rsidRPr="00A50C95" w:rsidRDefault="00C53E1E" w:rsidP="00C53E1E">
            <w:pPr>
              <w:bidi w:val="0"/>
              <w:rPr>
                <w:sz w:val="20"/>
                <w:szCs w:val="20"/>
              </w:rPr>
            </w:pPr>
            <w:r>
              <w:rPr>
                <w:sz w:val="20"/>
                <w:szCs w:val="20"/>
              </w:rPr>
              <w:t>Private consumption</w:t>
            </w: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7.7</w:t>
            </w:r>
          </w:p>
        </w:tc>
        <w:tc>
          <w:tcPr>
            <w:tcW w:w="992" w:type="dxa"/>
            <w:tcBorders>
              <w:left w:val="single" w:sz="4" w:space="0" w:color="auto"/>
              <w:bottom w:val="single" w:sz="4" w:space="0" w:color="auto"/>
              <w:right w:val="nil"/>
            </w:tcBorders>
            <w:shd w:val="clear" w:color="auto" w:fill="auto"/>
          </w:tcPr>
          <w:p w:rsidR="00C53E1E" w:rsidRDefault="009F4481" w:rsidP="00C53E1E">
            <w:pPr>
              <w:bidi w:val="0"/>
              <w:jc w:val="center"/>
              <w:rPr>
                <w:rFonts w:asciiTheme="majorBidi" w:hAnsiTheme="majorBidi" w:cstheme="majorBidi"/>
                <w:sz w:val="20"/>
                <w:szCs w:val="20"/>
              </w:rPr>
            </w:pPr>
            <w:r>
              <w:rPr>
                <w:rFonts w:asciiTheme="majorBidi" w:hAnsiTheme="majorBidi" w:cstheme="majorBidi"/>
                <w:sz w:val="20"/>
                <w:szCs w:val="20"/>
              </w:rPr>
              <w:t>0.5</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w:t>
            </w:r>
            <w:r w:rsidR="009F4481">
              <w:rPr>
                <w:rFonts w:asciiTheme="majorBidi" w:hAnsiTheme="majorBidi" w:cstheme="majorBidi"/>
                <w:sz w:val="20"/>
                <w:szCs w:val="20"/>
              </w:rPr>
              <w:t>2</w:t>
            </w:r>
            <w:r>
              <w:rPr>
                <w:rFonts w:asciiTheme="majorBidi" w:hAnsiTheme="majorBidi" w:cstheme="majorBidi"/>
                <w:sz w:val="20"/>
                <w:szCs w:val="20"/>
              </w:rPr>
              <w:t>.5</w:t>
            </w:r>
          </w:p>
        </w:tc>
        <w:tc>
          <w:tcPr>
            <w:tcW w:w="992" w:type="dxa"/>
            <w:tcBorders>
              <w:left w:val="single" w:sz="4" w:space="0" w:color="auto"/>
              <w:bottom w:val="single" w:sz="4" w:space="0" w:color="auto"/>
              <w:right w:val="nil"/>
            </w:tcBorders>
            <w:shd w:val="clear" w:color="auto" w:fill="auto"/>
          </w:tcPr>
          <w:p w:rsidR="00C53E1E" w:rsidRDefault="009F4481"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C53E1E">
              <w:rPr>
                <w:rFonts w:asciiTheme="majorBidi" w:hAnsiTheme="majorBidi" w:cstheme="majorBidi"/>
                <w:sz w:val="20"/>
                <w:szCs w:val="20"/>
              </w:rPr>
              <w:t>.5</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w:t>
            </w:r>
            <w:r w:rsidR="009F4481">
              <w:rPr>
                <w:rFonts w:asciiTheme="majorBidi" w:hAnsiTheme="majorBidi" w:cstheme="majorBidi"/>
                <w:sz w:val="20"/>
                <w:szCs w:val="20"/>
              </w:rPr>
              <w:t>2</w:t>
            </w:r>
            <w:r>
              <w:rPr>
                <w:rFonts w:asciiTheme="majorBidi" w:hAnsiTheme="majorBidi" w:cstheme="majorBidi"/>
                <w:sz w:val="20"/>
                <w:szCs w:val="20"/>
              </w:rPr>
              <w:t>.0</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Fixed capital formation (excl. ships and aircraft)</w:t>
            </w:r>
          </w:p>
        </w:tc>
        <w:tc>
          <w:tcPr>
            <w:tcW w:w="1269" w:type="dxa"/>
            <w:tcBorders>
              <w:bottom w:val="single" w:sz="4" w:space="0" w:color="auto"/>
              <w:right w:val="single" w:sz="4" w:space="0" w:color="auto"/>
            </w:tcBorders>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10.7</w:t>
            </w:r>
          </w:p>
        </w:tc>
        <w:tc>
          <w:tcPr>
            <w:tcW w:w="992" w:type="dxa"/>
            <w:tcBorders>
              <w:left w:val="single" w:sz="4" w:space="0" w:color="auto"/>
              <w:bottom w:val="single" w:sz="4" w:space="0" w:color="auto"/>
              <w:right w:val="nil"/>
            </w:tcBorders>
            <w:shd w:val="clear" w:color="auto" w:fill="auto"/>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4.</w:t>
            </w:r>
            <w:r w:rsidR="00A63D50">
              <w:rPr>
                <w:rFonts w:asciiTheme="majorBidi" w:hAnsiTheme="majorBidi" w:cstheme="majorBidi"/>
                <w:sz w:val="20"/>
                <w:szCs w:val="20"/>
              </w:rPr>
              <w:t>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-0.5</w:t>
            </w:r>
          </w:p>
        </w:tc>
        <w:tc>
          <w:tcPr>
            <w:tcW w:w="992" w:type="dxa"/>
            <w:tcBorders>
              <w:left w:val="single" w:sz="4" w:space="0" w:color="auto"/>
              <w:bottom w:val="single" w:sz="4" w:space="0" w:color="auto"/>
              <w:right w:val="nil"/>
            </w:tcBorders>
            <w:shd w:val="clear" w:color="auto" w:fill="auto"/>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0.0</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w:t>
            </w:r>
            <w:r w:rsidR="00A63D50">
              <w:rPr>
                <w:rFonts w:asciiTheme="majorBidi" w:hAnsiTheme="majorBidi" w:cstheme="majorBidi"/>
                <w:sz w:val="20"/>
                <w:szCs w:val="20"/>
              </w:rPr>
              <w:t>3.0</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Public consumption (excl. defense imports)</w:t>
            </w: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A63D50">
              <w:rPr>
                <w:rFonts w:asciiTheme="majorBidi" w:hAnsiTheme="majorBidi" w:cstheme="majorBidi"/>
                <w:sz w:val="20"/>
                <w:szCs w:val="20"/>
              </w:rPr>
              <w:t>0</w:t>
            </w:r>
          </w:p>
        </w:tc>
        <w:tc>
          <w:tcPr>
            <w:tcW w:w="992" w:type="dxa"/>
            <w:tcBorders>
              <w:left w:val="single" w:sz="4" w:space="0" w:color="auto"/>
              <w:bottom w:val="single" w:sz="4" w:space="0" w:color="auto"/>
              <w:right w:val="nil"/>
            </w:tcBorders>
            <w:shd w:val="clear" w:color="auto" w:fill="auto"/>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2.</w:t>
            </w:r>
            <w:r w:rsidR="00A63D50">
              <w:rPr>
                <w:rFonts w:asciiTheme="majorBidi" w:hAnsiTheme="majorBidi" w:cstheme="majorBidi"/>
                <w:sz w:val="20"/>
                <w:szCs w:val="20"/>
              </w:rPr>
              <w:t>5</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0.</w:t>
            </w:r>
            <w:r w:rsidR="00A63D50">
              <w:rPr>
                <w:rFonts w:asciiTheme="majorBidi" w:hAnsiTheme="majorBidi" w:cstheme="majorBidi"/>
                <w:sz w:val="20"/>
                <w:szCs w:val="20"/>
              </w:rPr>
              <w:t>5</w:t>
            </w:r>
          </w:p>
        </w:tc>
        <w:tc>
          <w:tcPr>
            <w:tcW w:w="992" w:type="dxa"/>
            <w:tcBorders>
              <w:left w:val="single" w:sz="4" w:space="0" w:color="auto"/>
              <w:bottom w:val="single" w:sz="4" w:space="0" w:color="auto"/>
              <w:right w:val="nil"/>
            </w:tcBorders>
            <w:shd w:val="clear" w:color="auto" w:fill="auto"/>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6.5</w:t>
            </w:r>
          </w:p>
        </w:tc>
        <w:tc>
          <w:tcPr>
            <w:tcW w:w="1422" w:type="dxa"/>
            <w:tcBorders>
              <w:left w:val="nil"/>
              <w:bottom w:val="single" w:sz="4" w:space="0" w:color="auto"/>
              <w:right w:val="single" w:sz="4" w:space="0" w:color="auto"/>
            </w:tcBorders>
            <w:shd w:val="clear" w:color="auto" w:fill="C6D9F1" w:themeFill="text2" w:themeFillTint="33"/>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3.5</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Exports (excl. diamonds and startups)</w:t>
            </w: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9.</w:t>
            </w:r>
            <w:r w:rsidR="00A63D50">
              <w:rPr>
                <w:rFonts w:asciiTheme="majorBidi" w:hAnsiTheme="majorBidi" w:cstheme="majorBidi"/>
                <w:sz w:val="20"/>
                <w:szCs w:val="20"/>
              </w:rPr>
              <w:t>7</w:t>
            </w:r>
          </w:p>
        </w:tc>
        <w:tc>
          <w:tcPr>
            <w:tcW w:w="992" w:type="dxa"/>
            <w:tcBorders>
              <w:left w:val="single" w:sz="4" w:space="0" w:color="auto"/>
              <w:bottom w:val="single" w:sz="4" w:space="0" w:color="auto"/>
              <w:right w:val="nil"/>
            </w:tcBorders>
            <w:shd w:val="clear" w:color="auto" w:fill="auto"/>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-0</w:t>
            </w:r>
            <w:r w:rsidR="00C53E1E">
              <w:rPr>
                <w:rFonts w:asciiTheme="majorBidi" w:hAnsiTheme="majorBidi" w:cstheme="majorBidi"/>
                <w:sz w:val="20"/>
                <w:szCs w:val="20"/>
              </w:rPr>
              <w:t>.5</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w:t>
            </w:r>
            <w:r w:rsidR="00A63D50">
              <w:rPr>
                <w:rFonts w:asciiTheme="majorBidi" w:hAnsiTheme="majorBidi" w:cstheme="majorBidi"/>
                <w:sz w:val="20"/>
                <w:szCs w:val="20"/>
              </w:rPr>
              <w:t>2.0</w:t>
            </w:r>
          </w:p>
        </w:tc>
        <w:tc>
          <w:tcPr>
            <w:tcW w:w="992" w:type="dxa"/>
            <w:tcBorders>
              <w:left w:val="single" w:sz="4" w:space="0" w:color="auto"/>
              <w:bottom w:val="single" w:sz="4" w:space="0" w:color="auto"/>
              <w:right w:val="nil"/>
            </w:tcBorders>
            <w:shd w:val="clear" w:color="auto" w:fill="auto"/>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422" w:type="dxa"/>
            <w:tcBorders>
              <w:left w:val="nil"/>
              <w:bottom w:val="single" w:sz="4" w:space="0" w:color="auto"/>
              <w:right w:val="single" w:sz="4" w:space="0" w:color="auto"/>
            </w:tcBorders>
            <w:shd w:val="clear" w:color="auto" w:fill="C6D9F1" w:themeFill="text2" w:themeFillTint="33"/>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C53E1E">
              <w:rPr>
                <w:rFonts w:asciiTheme="majorBidi" w:hAnsiTheme="majorBidi" w:cstheme="majorBidi"/>
                <w:sz w:val="20"/>
                <w:szCs w:val="20"/>
              </w:rPr>
              <w:t>.5</w:t>
            </w:r>
          </w:p>
        </w:tc>
      </w:tr>
      <w:tr w:rsidR="00C53E1E" w:rsidRPr="007A4B17" w:rsidTr="00C53E1E">
        <w:tc>
          <w:tcPr>
            <w:tcW w:w="4680" w:type="dxa"/>
            <w:tcBorders>
              <w:bottom w:val="nil"/>
            </w:tcBorders>
            <w:vAlign w:val="bottom"/>
          </w:tcPr>
          <w:p w:rsidR="00C53E1E" w:rsidRPr="00A50C95" w:rsidRDefault="00C53E1E" w:rsidP="00C53E1E">
            <w:pPr>
              <w:bidi w:val="0"/>
              <w:rPr>
                <w:sz w:val="20"/>
                <w:szCs w:val="20"/>
              </w:rPr>
            </w:pPr>
            <w:r>
              <w:rPr>
                <w:sz w:val="20"/>
                <w:szCs w:val="20"/>
              </w:rPr>
              <w:t>Civilian imports (excl. diamonds, ships, and aircraft)</w:t>
            </w:r>
          </w:p>
        </w:tc>
        <w:tc>
          <w:tcPr>
            <w:tcW w:w="1269" w:type="dxa"/>
            <w:tcBorders>
              <w:bottom w:val="single" w:sz="4" w:space="0" w:color="auto"/>
              <w:right w:val="single" w:sz="4" w:space="0" w:color="auto"/>
            </w:tcBorders>
          </w:tcPr>
          <w:p w:rsidR="00C53E1E" w:rsidRPr="00A50C95"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12.</w:t>
            </w:r>
            <w:r w:rsidR="00A63D50">
              <w:rPr>
                <w:rFonts w:asciiTheme="majorBidi" w:hAnsiTheme="majorBidi" w:cstheme="majorBidi"/>
                <w:sz w:val="20"/>
                <w:szCs w:val="20"/>
              </w:rPr>
              <w:t>4</w:t>
            </w:r>
          </w:p>
        </w:tc>
        <w:tc>
          <w:tcPr>
            <w:tcW w:w="992" w:type="dxa"/>
            <w:tcBorders>
              <w:left w:val="single" w:sz="4" w:space="0" w:color="auto"/>
              <w:bottom w:val="nil"/>
              <w:right w:val="nil"/>
            </w:tcBorders>
            <w:shd w:val="clear" w:color="auto" w:fill="auto"/>
          </w:tcPr>
          <w:p w:rsidR="00C53E1E" w:rsidRPr="003C7BEB"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-6.0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w:t>
            </w:r>
            <w:r w:rsidR="00A63D50">
              <w:rPr>
                <w:rFonts w:asciiTheme="majorBidi" w:hAnsiTheme="majorBidi" w:cstheme="majorBidi"/>
                <w:sz w:val="20"/>
                <w:szCs w:val="20"/>
              </w:rPr>
              <w:t>7</w:t>
            </w:r>
            <w:r>
              <w:rPr>
                <w:rFonts w:asciiTheme="majorBidi" w:hAnsiTheme="majorBidi" w:cstheme="majorBidi"/>
                <w:sz w:val="20"/>
                <w:szCs w:val="20"/>
              </w:rPr>
              <w:t>.5</w:t>
            </w:r>
          </w:p>
        </w:tc>
        <w:tc>
          <w:tcPr>
            <w:tcW w:w="992" w:type="dxa"/>
            <w:tcBorders>
              <w:left w:val="single" w:sz="4" w:space="0" w:color="auto"/>
              <w:bottom w:val="nil"/>
              <w:right w:val="nil"/>
            </w:tcBorders>
            <w:shd w:val="clear" w:color="auto" w:fill="auto"/>
          </w:tcPr>
          <w:p w:rsidR="00C53E1E" w:rsidRPr="003C7BEB"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2</w:t>
            </w:r>
            <w:r w:rsidR="00C53E1E">
              <w:rPr>
                <w:rFonts w:asciiTheme="majorBidi" w:hAnsiTheme="majorBidi" w:cstheme="majorBidi"/>
                <w:sz w:val="20"/>
                <w:szCs w:val="20"/>
              </w:rPr>
              <w:t>.0</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-2.0</w:t>
            </w:r>
          </w:p>
        </w:tc>
      </w:tr>
      <w:tr w:rsidR="00C53E1E" w:rsidRPr="007A4B17" w:rsidTr="00C53E1E">
        <w:tc>
          <w:tcPr>
            <w:tcW w:w="4680" w:type="dxa"/>
            <w:tcBorders>
              <w:bottom w:val="single" w:sz="4" w:space="0" w:color="auto"/>
            </w:tcBorders>
            <w:vAlign w:val="bottom"/>
          </w:tcPr>
          <w:p w:rsidR="00C53E1E" w:rsidRPr="00A50C95" w:rsidRDefault="00C53E1E" w:rsidP="00C53E1E">
            <w:pPr>
              <w:bidi w:val="0"/>
              <w:rPr>
                <w:sz w:val="20"/>
                <w:szCs w:val="20"/>
              </w:rPr>
            </w:pPr>
            <w:r>
              <w:rPr>
                <w:sz w:val="20"/>
                <w:szCs w:val="20"/>
              </w:rPr>
              <w:t>Unemployment</w:t>
            </w:r>
            <w:r w:rsidRPr="00A50C95">
              <w:rPr>
                <w:sz w:val="20"/>
                <w:szCs w:val="20"/>
              </w:rPr>
              <w:t xml:space="preserve"> rat</w:t>
            </w:r>
            <w:r>
              <w:rPr>
                <w:sz w:val="20"/>
                <w:szCs w:val="20"/>
              </w:rPr>
              <w:t>e (average for the year, age 25–64)</w:t>
            </w:r>
          </w:p>
        </w:tc>
        <w:tc>
          <w:tcPr>
            <w:tcW w:w="1269" w:type="dxa"/>
            <w:tcBorders>
              <w:bottom w:val="single" w:sz="4" w:space="0" w:color="auto"/>
              <w:right w:val="single" w:sz="4" w:space="0" w:color="auto"/>
            </w:tcBorders>
          </w:tcPr>
          <w:p w:rsidR="00C53E1E" w:rsidRPr="00A50C95"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3.3</w:t>
            </w:r>
          </w:p>
        </w:tc>
        <w:tc>
          <w:tcPr>
            <w:tcW w:w="992" w:type="dxa"/>
            <w:tcBorders>
              <w:left w:val="single" w:sz="4" w:space="0" w:color="auto"/>
              <w:bottom w:val="single" w:sz="4" w:space="0" w:color="auto"/>
              <w:right w:val="nil"/>
            </w:tcBorders>
            <w:shd w:val="clear" w:color="auto" w:fill="auto"/>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3.</w:t>
            </w:r>
            <w:r w:rsidR="00A63D50">
              <w:rPr>
                <w:rFonts w:asciiTheme="majorBidi" w:hAnsiTheme="majorBidi" w:cstheme="majorBidi"/>
                <w:sz w:val="20"/>
                <w:szCs w:val="20"/>
              </w:rPr>
              <w:t>2</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-0.</w:t>
            </w:r>
            <w:r w:rsidR="00A63D50">
              <w:rPr>
                <w:rFonts w:asciiTheme="majorBidi" w:hAnsiTheme="majorBidi" w:cstheme="majorBidi"/>
                <w:sz w:val="20"/>
                <w:szCs w:val="20"/>
              </w:rPr>
              <w:t>5</w:t>
            </w:r>
          </w:p>
        </w:tc>
        <w:tc>
          <w:tcPr>
            <w:tcW w:w="992" w:type="dxa"/>
            <w:tcBorders>
              <w:left w:val="single" w:sz="4" w:space="0" w:color="auto"/>
              <w:bottom w:val="single" w:sz="4" w:space="0" w:color="auto"/>
              <w:right w:val="nil"/>
            </w:tcBorders>
            <w:shd w:val="clear" w:color="auto" w:fill="auto"/>
          </w:tcPr>
          <w:p w:rsidR="00C53E1E" w:rsidRPr="003C7BEB"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3.6</w:t>
            </w:r>
          </w:p>
        </w:tc>
        <w:tc>
          <w:tcPr>
            <w:tcW w:w="1422" w:type="dxa"/>
            <w:tcBorders>
              <w:left w:val="nil"/>
              <w:bottom w:val="single" w:sz="4" w:space="0" w:color="auto"/>
              <w:right w:val="single" w:sz="4" w:space="0" w:color="auto"/>
            </w:tcBorders>
            <w:shd w:val="clear" w:color="auto" w:fill="C6D9F1" w:themeFill="text2" w:themeFillTint="33"/>
          </w:tcPr>
          <w:p w:rsidR="00C53E1E" w:rsidRDefault="00A63D50" w:rsidP="00C53E1E">
            <w:pPr>
              <w:bidi w:val="0"/>
              <w:jc w:val="center"/>
              <w:rPr>
                <w:rFonts w:asciiTheme="majorBidi" w:hAnsiTheme="majorBidi" w:cstheme="majorBidi"/>
                <w:sz w:val="20"/>
                <w:szCs w:val="20"/>
              </w:rPr>
            </w:pPr>
            <w:r>
              <w:rPr>
                <w:rFonts w:asciiTheme="majorBidi" w:hAnsiTheme="majorBidi" w:cstheme="majorBidi"/>
                <w:sz w:val="20"/>
                <w:szCs w:val="20"/>
              </w:rPr>
              <w:t>-0.5</w:t>
            </w:r>
          </w:p>
        </w:tc>
      </w:tr>
      <w:tr w:rsidR="00C53E1E" w:rsidRPr="007A4B17" w:rsidTr="00C53E1E">
        <w:tc>
          <w:tcPr>
            <w:tcW w:w="4680" w:type="dxa"/>
            <w:tcBorders>
              <w:top w:val="single" w:sz="4" w:space="0" w:color="auto"/>
              <w:bottom w:val="single" w:sz="4" w:space="0" w:color="auto"/>
            </w:tcBorders>
            <w:vAlign w:val="bottom"/>
          </w:tcPr>
          <w:p w:rsidR="00C53E1E" w:rsidRPr="00DC3F7B" w:rsidRDefault="00C53E1E" w:rsidP="00C53E1E">
            <w:pPr>
              <w:bidi w:val="0"/>
              <w:rPr>
                <w:b/>
                <w:bCs/>
                <w:sz w:val="20"/>
                <w:szCs w:val="20"/>
              </w:rPr>
            </w:pPr>
            <w:r>
              <w:rPr>
                <w:sz w:val="20"/>
                <w:szCs w:val="20"/>
              </w:rPr>
              <w:t>Employment rate (average for the year, ages 25–64)</w:t>
            </w:r>
          </w:p>
        </w:tc>
        <w:tc>
          <w:tcPr>
            <w:tcW w:w="1269" w:type="dxa"/>
            <w:tcBorders>
              <w:top w:val="single" w:sz="4" w:space="0" w:color="auto"/>
              <w:bottom w:val="single" w:sz="4" w:space="0" w:color="auto"/>
              <w:right w:val="single" w:sz="4" w:space="0" w:color="auto"/>
            </w:tcBorders>
          </w:tcPr>
          <w:p w:rsidR="00C53E1E" w:rsidRPr="00404ACD" w:rsidRDefault="00C53E1E" w:rsidP="00C53E1E">
            <w:pPr>
              <w:bidi w:val="0"/>
              <w:jc w:val="center"/>
              <w:rPr>
                <w:rFonts w:asciiTheme="majorBidi" w:hAnsiTheme="majorBidi" w:cstheme="majorBidi"/>
                <w:b/>
                <w:bCs/>
                <w:sz w:val="20"/>
                <w:szCs w:val="20"/>
              </w:rPr>
            </w:pPr>
            <w:r>
              <w:rPr>
                <w:rFonts w:asciiTheme="majorBidi" w:hAnsiTheme="majorBidi" w:cstheme="majorBidi"/>
                <w:b/>
                <w:bCs/>
                <w:sz w:val="20"/>
                <w:szCs w:val="20"/>
              </w:rPr>
              <w:t>78.6</w:t>
            </w:r>
          </w:p>
        </w:tc>
        <w:tc>
          <w:tcPr>
            <w:tcW w:w="992" w:type="dxa"/>
            <w:tcBorders>
              <w:top w:val="single" w:sz="4" w:space="0" w:color="auto"/>
              <w:left w:val="single" w:sz="4" w:space="0" w:color="auto"/>
              <w:bottom w:val="single" w:sz="4" w:space="0" w:color="auto"/>
              <w:right w:val="nil"/>
            </w:tcBorders>
            <w:shd w:val="clear" w:color="auto" w:fill="auto"/>
          </w:tcPr>
          <w:p w:rsidR="00C53E1E" w:rsidRPr="00404ACD" w:rsidRDefault="00015BD8" w:rsidP="00C53E1E">
            <w:pPr>
              <w:bidi w:val="0"/>
              <w:jc w:val="center"/>
              <w:rPr>
                <w:rFonts w:asciiTheme="majorBidi" w:hAnsiTheme="majorBidi" w:cstheme="majorBidi"/>
                <w:b/>
                <w:bCs/>
                <w:sz w:val="20"/>
                <w:szCs w:val="20"/>
              </w:rPr>
            </w:pPr>
            <w:r>
              <w:rPr>
                <w:rFonts w:asciiTheme="majorBidi" w:hAnsiTheme="majorBidi" w:cstheme="majorBidi"/>
                <w:b/>
                <w:bCs/>
                <w:sz w:val="20"/>
                <w:szCs w:val="20"/>
              </w:rPr>
              <w:t>79.1</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Pr="00404ACD" w:rsidRDefault="00015BD8" w:rsidP="00C53E1E">
            <w:pPr>
              <w:bidi w:val="0"/>
              <w:jc w:val="center"/>
              <w:rPr>
                <w:rFonts w:asciiTheme="majorBidi" w:hAnsiTheme="majorBidi" w:cstheme="majorBidi"/>
                <w:b/>
                <w:bCs/>
                <w:sz w:val="20"/>
                <w:szCs w:val="20"/>
              </w:rPr>
            </w:pPr>
            <w:r>
              <w:rPr>
                <w:rFonts w:asciiTheme="majorBidi" w:hAnsiTheme="majorBidi" w:cstheme="majorBidi"/>
                <w:b/>
                <w:bCs/>
                <w:sz w:val="20"/>
                <w:szCs w:val="20"/>
              </w:rPr>
              <w:t>1.2</w:t>
            </w:r>
          </w:p>
        </w:tc>
        <w:tc>
          <w:tcPr>
            <w:tcW w:w="992" w:type="dxa"/>
            <w:tcBorders>
              <w:top w:val="single" w:sz="4" w:space="0" w:color="auto"/>
              <w:left w:val="single" w:sz="4" w:space="0" w:color="auto"/>
              <w:bottom w:val="single" w:sz="4" w:space="0" w:color="auto"/>
              <w:right w:val="nil"/>
            </w:tcBorders>
            <w:shd w:val="clear" w:color="auto" w:fill="auto"/>
          </w:tcPr>
          <w:p w:rsidR="00C53E1E" w:rsidRPr="00404ACD" w:rsidRDefault="00015BD8" w:rsidP="00C53E1E">
            <w:pPr>
              <w:bidi w:val="0"/>
              <w:jc w:val="center"/>
              <w:rPr>
                <w:rFonts w:asciiTheme="majorBidi" w:hAnsiTheme="majorBidi" w:cstheme="majorBidi"/>
                <w:b/>
                <w:bCs/>
                <w:sz w:val="20"/>
                <w:szCs w:val="20"/>
              </w:rPr>
            </w:pPr>
            <w:r>
              <w:rPr>
                <w:rFonts w:asciiTheme="majorBidi" w:hAnsiTheme="majorBidi" w:cstheme="majorBidi"/>
                <w:b/>
                <w:bCs/>
                <w:sz w:val="20"/>
                <w:szCs w:val="20"/>
              </w:rPr>
              <w:t>78.8</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015BD8" w:rsidP="00C53E1E">
            <w:pPr>
              <w:bidi w:val="0"/>
              <w:jc w:val="center"/>
              <w:rPr>
                <w:rFonts w:asciiTheme="majorBidi" w:hAnsiTheme="majorBidi" w:cstheme="majorBidi"/>
                <w:b/>
                <w:bCs/>
                <w:sz w:val="20"/>
                <w:szCs w:val="20"/>
              </w:rPr>
            </w:pPr>
            <w:r>
              <w:rPr>
                <w:rFonts w:asciiTheme="majorBidi" w:hAnsiTheme="majorBidi" w:cstheme="majorBidi"/>
                <w:b/>
                <w:bCs/>
                <w:sz w:val="20"/>
                <w:szCs w:val="20"/>
              </w:rPr>
              <w:t>1.6</w:t>
            </w:r>
          </w:p>
        </w:tc>
      </w:tr>
      <w:tr w:rsidR="00C53E1E" w:rsidRPr="007A4B17" w:rsidTr="00C53E1E">
        <w:tc>
          <w:tcPr>
            <w:tcW w:w="4680" w:type="dxa"/>
            <w:tcBorders>
              <w:top w:val="single" w:sz="4" w:space="0" w:color="auto"/>
              <w:bottom w:val="single" w:sz="4" w:space="0" w:color="auto"/>
            </w:tcBorders>
            <w:vAlign w:val="bottom"/>
          </w:tcPr>
          <w:p w:rsidR="00C53E1E" w:rsidRPr="00A50C95" w:rsidRDefault="00C53E1E" w:rsidP="00C53E1E">
            <w:pPr>
              <w:bidi w:val="0"/>
              <w:rPr>
                <w:sz w:val="20"/>
                <w:szCs w:val="20"/>
              </w:rPr>
            </w:pPr>
            <w:r>
              <w:rPr>
                <w:sz w:val="20"/>
                <w:szCs w:val="20"/>
              </w:rPr>
              <w:t>Government deficit (percent of GDP)</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-0.6</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015BD8" w:rsidP="00C53E1E">
            <w:pPr>
              <w:bidi w:val="0"/>
              <w:jc w:val="center"/>
              <w:rPr>
                <w:rFonts w:asciiTheme="majorBidi" w:hAnsiTheme="majorBidi" w:cstheme="majorBidi"/>
                <w:sz w:val="20"/>
                <w:szCs w:val="20"/>
              </w:rPr>
            </w:pPr>
            <w:r w:rsidRPr="00761C27">
              <w:rPr>
                <w:rFonts w:asciiTheme="majorBidi" w:hAnsiTheme="majorBidi" w:cstheme="majorBidi"/>
                <w:sz w:val="20"/>
                <w:szCs w:val="20"/>
              </w:rPr>
              <w:t>2.</w:t>
            </w:r>
            <w:r w:rsidR="002D6565">
              <w:rPr>
                <w:rFonts w:asciiTheme="majorBidi" w:hAnsiTheme="majorBidi" w:cstheme="majorBidi"/>
                <w:sz w:val="20"/>
                <w:szCs w:val="20"/>
              </w:rPr>
              <w:t>3</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Pr="00761C27" w:rsidRDefault="002D6565" w:rsidP="00C53E1E">
            <w:pPr>
              <w:bidi w:val="0"/>
              <w:jc w:val="center"/>
              <w:rPr>
                <w:rFonts w:asciiTheme="majorBidi" w:hAnsiTheme="majorBidi" w:cstheme="majorBidi"/>
                <w:sz w:val="20"/>
                <w:szCs w:val="20"/>
              </w:rPr>
            </w:pPr>
            <w:r>
              <w:rPr>
                <w:rFonts w:asciiTheme="majorBidi" w:hAnsiTheme="majorBidi" w:cstheme="majorBidi"/>
                <w:sz w:val="20"/>
                <w:szCs w:val="20"/>
              </w:rPr>
              <w:t>1.0</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015BD8" w:rsidP="00C07304">
            <w:pPr>
              <w:bidi w:val="0"/>
              <w:jc w:val="center"/>
              <w:rPr>
                <w:rFonts w:asciiTheme="majorBidi" w:hAnsiTheme="majorBidi" w:cstheme="majorBidi"/>
                <w:sz w:val="20"/>
                <w:szCs w:val="20"/>
              </w:rPr>
            </w:pPr>
            <w:r w:rsidRPr="00761C27">
              <w:rPr>
                <w:rFonts w:asciiTheme="majorBidi" w:hAnsiTheme="majorBidi" w:cstheme="majorBidi"/>
                <w:sz w:val="20"/>
                <w:szCs w:val="20"/>
              </w:rPr>
              <w:t>3.</w:t>
            </w:r>
            <w:r w:rsidR="00C07304">
              <w:rPr>
                <w:rFonts w:asciiTheme="majorBidi" w:hAnsiTheme="majorBidi" w:cstheme="majorBidi"/>
                <w:sz w:val="20"/>
                <w:szCs w:val="20"/>
              </w:rPr>
              <w:t>5</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C07304" w:rsidP="00C53E1E">
            <w:pPr>
              <w:bidi w:val="0"/>
              <w:jc w:val="center"/>
              <w:rPr>
                <w:rFonts w:asciiTheme="majorBidi" w:hAnsiTheme="majorBidi" w:cstheme="majorBidi"/>
                <w:sz w:val="20"/>
                <w:szCs w:val="20"/>
              </w:rPr>
            </w:pPr>
            <w:r>
              <w:rPr>
                <w:rFonts w:asciiTheme="majorBidi" w:hAnsiTheme="majorBidi" w:cstheme="majorBidi"/>
                <w:sz w:val="20"/>
                <w:szCs w:val="20"/>
              </w:rPr>
              <w:t>2.0</w:t>
            </w:r>
          </w:p>
        </w:tc>
      </w:tr>
      <w:tr w:rsidR="00C53E1E" w:rsidRPr="007A4B17" w:rsidTr="00C53E1E">
        <w:tc>
          <w:tcPr>
            <w:tcW w:w="4680" w:type="dxa"/>
            <w:tcBorders>
              <w:top w:val="single" w:sz="4" w:space="0" w:color="auto"/>
              <w:bottom w:val="single" w:sz="4" w:space="0" w:color="auto"/>
            </w:tcBorders>
            <w:vAlign w:val="bottom"/>
          </w:tcPr>
          <w:p w:rsidR="00C53E1E" w:rsidRDefault="00C53E1E" w:rsidP="00C53E1E">
            <w:pPr>
              <w:bidi w:val="0"/>
              <w:rPr>
                <w:sz w:val="20"/>
                <w:szCs w:val="20"/>
              </w:rPr>
            </w:pPr>
            <w:r>
              <w:rPr>
                <w:sz w:val="20"/>
                <w:szCs w:val="20"/>
              </w:rPr>
              <w:t>Debt to GDP ratio (percent)</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tl/>
              </w:rPr>
            </w:pPr>
            <w:r>
              <w:rPr>
                <w:rFonts w:asciiTheme="majorBidi" w:hAnsiTheme="majorBidi" w:cstheme="majorBidi"/>
                <w:sz w:val="20"/>
                <w:szCs w:val="20"/>
              </w:rPr>
              <w:t>60.</w:t>
            </w:r>
            <w:r w:rsidR="00015BD8">
              <w:rPr>
                <w:rFonts w:asciiTheme="majorBidi" w:hAnsiTheme="majorBidi" w:cstheme="majorBidi"/>
                <w:sz w:val="20"/>
                <w:szCs w:val="20"/>
              </w:rPr>
              <w:t>5</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015BD8" w:rsidP="00C53E1E">
            <w:pPr>
              <w:bidi w:val="0"/>
              <w:jc w:val="center"/>
              <w:rPr>
                <w:rFonts w:asciiTheme="majorBidi" w:hAnsiTheme="majorBidi" w:cstheme="majorBidi"/>
                <w:sz w:val="20"/>
                <w:szCs w:val="20"/>
              </w:rPr>
            </w:pPr>
            <w:r w:rsidRPr="00761C27">
              <w:rPr>
                <w:rFonts w:asciiTheme="majorBidi" w:hAnsiTheme="majorBidi" w:cstheme="majorBidi"/>
                <w:sz w:val="20"/>
                <w:szCs w:val="20"/>
              </w:rPr>
              <w:t>62.</w:t>
            </w:r>
            <w:r w:rsidR="003955F5" w:rsidRPr="00761C27">
              <w:rPr>
                <w:rFonts w:asciiTheme="majorBidi" w:hAnsiTheme="majorBidi" w:cstheme="majorBidi"/>
                <w:sz w:val="20"/>
                <w:szCs w:val="20"/>
              </w:rPr>
              <w:t>0</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Pr="00761C27" w:rsidRDefault="00015BD8" w:rsidP="00C53E1E">
            <w:pPr>
              <w:bidi w:val="0"/>
              <w:jc w:val="center"/>
              <w:rPr>
                <w:rFonts w:asciiTheme="majorBidi" w:hAnsiTheme="majorBidi" w:cstheme="majorBidi"/>
                <w:sz w:val="20"/>
                <w:szCs w:val="20"/>
              </w:rPr>
            </w:pPr>
            <w:r w:rsidRPr="00761C27">
              <w:rPr>
                <w:rFonts w:asciiTheme="majorBidi" w:hAnsiTheme="majorBidi" w:cstheme="majorBidi"/>
                <w:sz w:val="20"/>
                <w:szCs w:val="20"/>
              </w:rPr>
              <w:t>2.</w:t>
            </w:r>
            <w:r w:rsidR="003955F5" w:rsidRPr="00761C27">
              <w:rPr>
                <w:rFonts w:asciiTheme="majorBidi" w:hAnsiTheme="majorBidi" w:cstheme="majorBidi"/>
                <w:sz w:val="20"/>
                <w:szCs w:val="20"/>
              </w:rPr>
              <w:t>0</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015BD8" w:rsidP="00C53E1E">
            <w:pPr>
              <w:bidi w:val="0"/>
              <w:jc w:val="center"/>
              <w:rPr>
                <w:rFonts w:asciiTheme="majorBidi" w:hAnsiTheme="majorBidi" w:cstheme="majorBidi"/>
                <w:sz w:val="20"/>
                <w:szCs w:val="20"/>
              </w:rPr>
            </w:pPr>
            <w:r w:rsidRPr="00761C27">
              <w:rPr>
                <w:rFonts w:asciiTheme="majorBidi" w:hAnsiTheme="majorBidi" w:cstheme="majorBidi"/>
                <w:sz w:val="20"/>
                <w:szCs w:val="20"/>
              </w:rPr>
              <w:t>6</w:t>
            </w:r>
            <w:r w:rsidR="003955F5" w:rsidRPr="00761C27">
              <w:rPr>
                <w:rFonts w:asciiTheme="majorBidi" w:hAnsiTheme="majorBidi" w:cstheme="majorBidi"/>
                <w:sz w:val="20"/>
                <w:szCs w:val="20"/>
              </w:rPr>
              <w:t>5.0</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3955F5" w:rsidP="00C53E1E">
            <w:pPr>
              <w:bidi w:val="0"/>
              <w:jc w:val="center"/>
              <w:rPr>
                <w:rFonts w:asciiTheme="majorBidi" w:hAnsiTheme="majorBidi" w:cstheme="majorBidi"/>
                <w:sz w:val="20"/>
                <w:szCs w:val="20"/>
              </w:rPr>
            </w:pPr>
            <w:r>
              <w:rPr>
                <w:rFonts w:asciiTheme="majorBidi" w:hAnsiTheme="majorBidi" w:cstheme="majorBidi"/>
                <w:sz w:val="20"/>
                <w:szCs w:val="20"/>
              </w:rPr>
              <w:t>6.0</w:t>
            </w:r>
          </w:p>
        </w:tc>
      </w:tr>
      <w:tr w:rsidR="00C53E1E" w:rsidRPr="007A4B17" w:rsidTr="00C53E1E">
        <w:tc>
          <w:tcPr>
            <w:tcW w:w="4680" w:type="dxa"/>
            <w:tcBorders>
              <w:top w:val="single" w:sz="4" w:space="0" w:color="auto"/>
              <w:bottom w:val="single" w:sz="4" w:space="0" w:color="auto"/>
            </w:tcBorders>
            <w:vAlign w:val="bottom"/>
          </w:tcPr>
          <w:p w:rsidR="00C53E1E" w:rsidRPr="009F1F95" w:rsidRDefault="00C53E1E" w:rsidP="00C53E1E">
            <w:pPr>
              <w:bidi w:val="0"/>
              <w:rPr>
                <w:sz w:val="20"/>
                <w:szCs w:val="20"/>
                <w:vertAlign w:val="superscript"/>
              </w:rPr>
            </w:pPr>
            <w:r>
              <w:rPr>
                <w:sz w:val="20"/>
                <w:szCs w:val="20"/>
              </w:rPr>
              <w:t>Inflation (percent)</w:t>
            </w:r>
            <w:r>
              <w:rPr>
                <w:sz w:val="20"/>
                <w:szCs w:val="20"/>
                <w:vertAlign w:val="superscript"/>
              </w:rPr>
              <w:t>b</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5.1</w:t>
            </w:r>
          </w:p>
        </w:tc>
        <w:tc>
          <w:tcPr>
            <w:tcW w:w="992" w:type="dxa"/>
            <w:tcBorders>
              <w:top w:val="single" w:sz="4" w:space="0" w:color="auto"/>
              <w:left w:val="single" w:sz="4" w:space="0" w:color="auto"/>
              <w:bottom w:val="single" w:sz="4" w:space="0" w:color="auto"/>
              <w:right w:val="nil"/>
            </w:tcBorders>
            <w:shd w:val="clear" w:color="auto" w:fill="auto"/>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3.5</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Default="00015BD8" w:rsidP="00C53E1E">
            <w:pPr>
              <w:bidi w:val="0"/>
              <w:jc w:val="center"/>
              <w:rPr>
                <w:rFonts w:asciiTheme="majorBidi" w:hAnsiTheme="majorBidi" w:cstheme="majorBidi"/>
                <w:sz w:val="20"/>
                <w:szCs w:val="20"/>
              </w:rPr>
            </w:pPr>
            <w:r>
              <w:rPr>
                <w:rFonts w:asciiTheme="majorBidi" w:hAnsiTheme="majorBidi" w:cstheme="majorBidi"/>
                <w:sz w:val="20"/>
                <w:szCs w:val="20"/>
              </w:rPr>
              <w:t>0.0</w:t>
            </w:r>
          </w:p>
        </w:tc>
        <w:tc>
          <w:tcPr>
            <w:tcW w:w="992" w:type="dxa"/>
            <w:tcBorders>
              <w:top w:val="single" w:sz="4" w:space="0" w:color="auto"/>
              <w:left w:val="single" w:sz="4" w:space="0" w:color="auto"/>
              <w:bottom w:val="single" w:sz="4" w:space="0" w:color="auto"/>
              <w:right w:val="nil"/>
            </w:tcBorders>
            <w:shd w:val="clear" w:color="auto" w:fill="auto"/>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2.</w:t>
            </w:r>
            <w:r w:rsidR="00015BD8">
              <w:rPr>
                <w:rFonts w:asciiTheme="majorBidi" w:hAnsiTheme="majorBidi" w:cstheme="majorBidi"/>
                <w:sz w:val="20"/>
                <w:szCs w:val="20"/>
              </w:rPr>
              <w:t>5</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0.1</w:t>
            </w:r>
          </w:p>
        </w:tc>
      </w:tr>
      <w:tr w:rsidR="00C53E1E" w:rsidRPr="007A4B17" w:rsidTr="00C53E1E">
        <w:tc>
          <w:tcPr>
            <w:tcW w:w="10631" w:type="dxa"/>
            <w:gridSpan w:val="6"/>
            <w:tcBorders>
              <w:top w:val="single" w:sz="4" w:space="0" w:color="auto"/>
              <w:bottom w:val="single" w:sz="4" w:space="0" w:color="auto"/>
              <w:right w:val="single" w:sz="4" w:space="0" w:color="auto"/>
            </w:tcBorders>
            <w:vAlign w:val="bottom"/>
          </w:tcPr>
          <w:p w:rsidR="00C53E1E" w:rsidRDefault="00C53E1E" w:rsidP="00C53E1E">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rsidR="00C53E1E" w:rsidRPr="009F1F95" w:rsidRDefault="00C53E1E" w:rsidP="00C53E1E">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b</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rsidR="003723AE" w:rsidRDefault="003723AE" w:rsidP="003723AE">
      <w:pPr>
        <w:bidi w:val="0"/>
        <w:jc w:val="both"/>
      </w:pPr>
    </w:p>
    <w:p w:rsidR="00B32D05" w:rsidRPr="00737CE5" w:rsidRDefault="00737CE5" w:rsidP="00737CE5">
      <w:pPr>
        <w:pStyle w:val="af3"/>
        <w:numPr>
          <w:ilvl w:val="0"/>
          <w:numId w:val="9"/>
        </w:numPr>
        <w:bidi w:val="0"/>
        <w:jc w:val="both"/>
        <w:rPr>
          <w:b/>
          <w:bCs/>
        </w:rPr>
      </w:pPr>
      <w:r w:rsidRPr="00737CE5">
        <w:rPr>
          <w:b/>
          <w:bCs/>
        </w:rPr>
        <w:t>The State Budget and fiscal policy</w:t>
      </w:r>
    </w:p>
    <w:p w:rsidR="00737CE5" w:rsidRDefault="00737CE5" w:rsidP="00737CE5">
      <w:pPr>
        <w:bidi w:val="0"/>
        <w:jc w:val="both"/>
      </w:pPr>
    </w:p>
    <w:p w:rsidR="00737CE5" w:rsidRDefault="00737CE5" w:rsidP="008F7582">
      <w:pPr>
        <w:bidi w:val="0"/>
        <w:jc w:val="both"/>
      </w:pPr>
      <w:r>
        <w:rPr>
          <w:b/>
          <w:bCs/>
        </w:rPr>
        <w:t xml:space="preserve">The debt-to-GDP ratio is expected to </w:t>
      </w:r>
      <w:r w:rsidR="008F7582">
        <w:rPr>
          <w:b/>
          <w:bCs/>
        </w:rPr>
        <w:t>increase to</w:t>
      </w:r>
      <w:r>
        <w:rPr>
          <w:b/>
          <w:bCs/>
        </w:rPr>
        <w:t xml:space="preserve"> 65 percent at the end of 2024</w:t>
      </w:r>
      <w:r>
        <w:t xml:space="preserve"> (Table 1).</w:t>
      </w:r>
    </w:p>
    <w:p w:rsidR="00737CE5" w:rsidRDefault="00737CE5" w:rsidP="00737CE5">
      <w:pPr>
        <w:bidi w:val="0"/>
        <w:jc w:val="both"/>
      </w:pPr>
    </w:p>
    <w:p w:rsidR="00737CE5" w:rsidRDefault="00737CE5" w:rsidP="008F7582">
      <w:pPr>
        <w:bidi w:val="0"/>
        <w:jc w:val="both"/>
      </w:pPr>
      <w:r>
        <w:t xml:space="preserve">Building a forecast for the State Budget at this time is exposed to significant uncertainty with regard to the effect of the war and the government’s decisions on how to deal with the </w:t>
      </w:r>
      <w:r w:rsidR="006D3F0D">
        <w:t xml:space="preserve">military and civilian needs derived from it.  The uncertainty mainly involves three factors.  The first is the volume of the increase in defense expenditures, their division between </w:t>
      </w:r>
      <w:r w:rsidR="00571AF0">
        <w:t xml:space="preserve">domestic expenditures and defense purchases, and the extent of their coverage through assistance from the US government.  The second </w:t>
      </w:r>
      <w:r w:rsidR="0001708B">
        <w:t xml:space="preserve">factor </w:t>
      </w:r>
      <w:r w:rsidR="00571AF0">
        <w:t>is government decisions with regard to assistance to residents of the combat areas</w:t>
      </w:r>
      <w:r w:rsidR="004C4648">
        <w:t xml:space="preserve">, victims and survivors from the Gaza region, and businesses and the public in the rest of the country.  This is alongside the extent to which the </w:t>
      </w:r>
      <w:r w:rsidR="008F7582">
        <w:t>government will act to offset part</w:t>
      </w:r>
      <w:r w:rsidR="004C4648">
        <w:t xml:space="preserve"> of this growth in expenditures by reducing other expenditures.  The third factor is the </w:t>
      </w:r>
      <w:r w:rsidR="0001708B">
        <w:t>extent of</w:t>
      </w:r>
      <w:r w:rsidR="00660ADD">
        <w:t xml:space="preserve"> the decline in</w:t>
      </w:r>
      <w:r w:rsidR="0001708B">
        <w:t xml:space="preserve"> </w:t>
      </w:r>
      <w:r w:rsidR="004C4648">
        <w:t>tax revenue due to the war’s effect on the economy, and the pace of its recovery.  Beyond these, there is also some uncertainty regarding payments dates and the method of recording some expenditures, which will have an impact on the division of the war’s effects between the 2023 and 2024 budgets.</w:t>
      </w:r>
    </w:p>
    <w:p w:rsidR="004C4648" w:rsidRDefault="004C4648" w:rsidP="004C4648">
      <w:pPr>
        <w:bidi w:val="0"/>
        <w:jc w:val="both"/>
      </w:pPr>
    </w:p>
    <w:p w:rsidR="004C4648" w:rsidRPr="00737CE5" w:rsidRDefault="000D5A6B" w:rsidP="00C07304">
      <w:pPr>
        <w:bidi w:val="0"/>
        <w:jc w:val="both"/>
      </w:pPr>
      <w:r>
        <w:t xml:space="preserve">In building this forecast, our assessment is that the impact </w:t>
      </w:r>
      <w:r w:rsidR="0005428E">
        <w:t xml:space="preserve">on </w:t>
      </w:r>
      <w:r>
        <w:t xml:space="preserve">economic activity will lead to a decline in tax revenues in the fourth quarter of 2023, but mainly in 2024.  Our assessment is that a significant portion of the </w:t>
      </w:r>
      <w:r w:rsidR="008F7582">
        <w:t xml:space="preserve">increase in </w:t>
      </w:r>
      <w:r>
        <w:t xml:space="preserve">direct civilian expenditures will be spent in 2023, but that there will be some overflow into 2024, while recovery expenses will increase in 2024.  In addition, our assessment in this forecast is that the government will, to some extent, reduce its other expenditures in order to offset some of the </w:t>
      </w:r>
      <w:r w:rsidR="004679ED">
        <w:t xml:space="preserve">expenses and the increase in debt deriving </w:t>
      </w:r>
      <w:r w:rsidR="004679ED">
        <w:lastRenderedPageBreak/>
        <w:t xml:space="preserve">from the war.  Furthermore, </w:t>
      </w:r>
      <w:r w:rsidR="008F7582">
        <w:t>we assume</w:t>
      </w:r>
      <w:r w:rsidR="004679ED">
        <w:t xml:space="preserve"> that most of the defense expenditures in 2023 will be covered by allocations from within the Budget and some use of assistance from the US government, but that starting in 2024, the defense budget will increase, which will result in an increase in the budget deficit.</w:t>
      </w:r>
      <w:r w:rsidR="004679ED">
        <w:rPr>
          <w:rStyle w:val="ac"/>
        </w:rPr>
        <w:footnoteReference w:id="5"/>
      </w:r>
      <w:r w:rsidR="00561A58">
        <w:t xml:space="preserve">  All of these are expected to be reflected in an increase in the budget deficit totaling 2.</w:t>
      </w:r>
      <w:r w:rsidR="002D6565">
        <w:t>3</w:t>
      </w:r>
      <w:r w:rsidR="00561A58">
        <w:t xml:space="preserve"> percent of GDP in 2023 and 3.</w:t>
      </w:r>
      <w:r w:rsidR="00C07304">
        <w:t>5</w:t>
      </w:r>
      <w:r w:rsidR="00561A58">
        <w:t xml:space="preserve"> percent of GDP in 2024.</w:t>
      </w:r>
      <w:r w:rsidR="008F7582">
        <w:t xml:space="preserve">  Beyond that, the government has additional expenses that will be financed from the Compensation Fund and will not be included in the budget deficit.</w:t>
      </w:r>
      <w:r w:rsidR="00561A58">
        <w:rPr>
          <w:rStyle w:val="ac"/>
        </w:rPr>
        <w:footnoteReference w:id="6"/>
      </w:r>
      <w:r w:rsidR="00561A58">
        <w:t xml:space="preserve">  In view of this, government debt is expected to </w:t>
      </w:r>
      <w:r w:rsidR="008F7582">
        <w:t>increase to</w:t>
      </w:r>
      <w:r w:rsidR="00561A58">
        <w:t xml:space="preserve"> 62 percent of GDP at the end of 2023 and 65 percent of GDP at the end of 2024.  If the government decides to further increase expenditures and/or to avoid reducing other expenditures, the deficit and debt are expected to increase </w:t>
      </w:r>
      <w:r w:rsidR="005464BF">
        <w:t>further accordingly.</w:t>
      </w:r>
    </w:p>
    <w:p w:rsidR="00737CE5" w:rsidRPr="00737CE5" w:rsidRDefault="00737CE5" w:rsidP="00737CE5">
      <w:pPr>
        <w:bidi w:val="0"/>
        <w:jc w:val="both"/>
      </w:pPr>
    </w:p>
    <w:p w:rsidR="00A21D01" w:rsidRPr="005C08DC" w:rsidRDefault="00A21D01" w:rsidP="00737CE5">
      <w:pPr>
        <w:numPr>
          <w:ilvl w:val="0"/>
          <w:numId w:val="9"/>
        </w:numPr>
        <w:bidi w:val="0"/>
        <w:spacing w:line="360" w:lineRule="auto"/>
        <w:ind w:left="357" w:hanging="357"/>
        <w:jc w:val="both"/>
        <w:rPr>
          <w:b/>
          <w:bCs/>
        </w:rPr>
      </w:pPr>
      <w:r w:rsidRPr="005C08DC">
        <w:rPr>
          <w:b/>
          <w:bCs/>
        </w:rPr>
        <w:t xml:space="preserve">Inflation and interest rates </w:t>
      </w:r>
    </w:p>
    <w:p w:rsidR="005A3805" w:rsidRDefault="004F6E9A" w:rsidP="005F1F9D">
      <w:pPr>
        <w:bidi w:val="0"/>
        <w:jc w:val="both"/>
      </w:pPr>
      <w:r>
        <w:t xml:space="preserve">According to our assessment, </w:t>
      </w:r>
      <w:r w:rsidR="002260C5">
        <w:rPr>
          <w:b/>
          <w:bCs/>
        </w:rPr>
        <w:t>inflation in the next four quarters</w:t>
      </w:r>
      <w:r w:rsidR="00541457">
        <w:rPr>
          <w:b/>
          <w:bCs/>
        </w:rPr>
        <w:t xml:space="preserve"> (ending in the </w:t>
      </w:r>
      <w:r w:rsidR="001A3F54">
        <w:rPr>
          <w:b/>
          <w:bCs/>
        </w:rPr>
        <w:t>third</w:t>
      </w:r>
      <w:r w:rsidR="00541457">
        <w:rPr>
          <w:b/>
          <w:bCs/>
        </w:rPr>
        <w:t xml:space="preserve"> quarter of 202</w:t>
      </w:r>
      <w:r w:rsidR="002C2B40">
        <w:rPr>
          <w:b/>
          <w:bCs/>
        </w:rPr>
        <w:t>4</w:t>
      </w:r>
      <w:r w:rsidR="00541457">
        <w:rPr>
          <w:b/>
          <w:bCs/>
        </w:rPr>
        <w:t>)</w:t>
      </w:r>
      <w:r w:rsidR="002260C5">
        <w:rPr>
          <w:b/>
          <w:bCs/>
        </w:rPr>
        <w:t xml:space="preserve"> is expected to be </w:t>
      </w:r>
      <w:r w:rsidR="001A3F54">
        <w:rPr>
          <w:b/>
          <w:bCs/>
        </w:rPr>
        <w:t>2.9</w:t>
      </w:r>
      <w:r w:rsidR="002260C5">
        <w:rPr>
          <w:b/>
          <w:bCs/>
        </w:rPr>
        <w:t xml:space="preserve"> percent</w:t>
      </w:r>
      <w:r w:rsidR="00B8089B">
        <w:t xml:space="preserve"> (Table 2</w:t>
      </w:r>
      <w:r w:rsidR="00B8089B">
        <w:rPr>
          <w:rFonts w:hint="cs"/>
          <w:rtl/>
        </w:rPr>
        <w:t>(</w:t>
      </w:r>
      <w:r w:rsidR="00F71FEA" w:rsidRPr="00B8089B">
        <w:t>.</w:t>
      </w:r>
      <w:r w:rsidR="00F53C9A">
        <w:t xml:space="preserve">  Since the publication of</w:t>
      </w:r>
      <w:r w:rsidR="00B45809">
        <w:t xml:space="preserve"> the previous forecast</w:t>
      </w:r>
      <w:r w:rsidR="00F53C9A">
        <w:t xml:space="preserve"> in July</w:t>
      </w:r>
      <w:r w:rsidR="00B45809">
        <w:t>,</w:t>
      </w:r>
      <w:r w:rsidR="00F53C9A">
        <w:t xml:space="preserve"> and to a greater extent since the outbreak of the war, the shekel has been in a trend of depreciation, which is contributing to the increase in inflation.  The increase in dollar oil prices is also expected to contribute to increased inflation.  In addition to these, goods and services may become more expensive in view of supply-side disruptions as a result of the war.  These include restrictions on the supply of labor in view of the emergency mobilization</w:t>
      </w:r>
      <w:r w:rsidR="00704513">
        <w:t xml:space="preserve"> and the closure of educational institutions, impaired production capabilities, and disruptions in the supply chains.  Our assessment is that these forces will work to increase inflation in the short term.  </w:t>
      </w:r>
      <w:r w:rsidR="005F1F9D">
        <w:t>However, i</w:t>
      </w:r>
      <w:r w:rsidR="00704513">
        <w:t xml:space="preserve">nflation is expected to moderate later on as these effects </w:t>
      </w:r>
      <w:r w:rsidR="005F1F9D">
        <w:t xml:space="preserve">on the supply of goods and services </w:t>
      </w:r>
      <w:r w:rsidR="00704513">
        <w:t xml:space="preserve">dissipate, and due to lower consumer sentiment and demand for consumption.  </w:t>
      </w:r>
      <w:r w:rsidR="005F1F9D">
        <w:t>In contrast, the moderation of inflation later on is</w:t>
      </w:r>
      <w:r w:rsidR="00704513">
        <w:t xml:space="preserve"> expected to be partly offset by an increase in demand for housing outside the confrontation areas.</w:t>
      </w:r>
      <w:r w:rsidR="00995A4F">
        <w:t xml:space="preserve"> </w:t>
      </w:r>
    </w:p>
    <w:p w:rsidR="009523E0" w:rsidRDefault="009523E0" w:rsidP="009523E0">
      <w:pPr>
        <w:bidi w:val="0"/>
        <w:jc w:val="both"/>
      </w:pPr>
    </w:p>
    <w:p w:rsidR="000C3AA1" w:rsidRPr="000C3AA1" w:rsidRDefault="005C4E0D" w:rsidP="005F1F9D">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25636F">
        <w:rPr>
          <w:b/>
          <w:bCs/>
        </w:rPr>
        <w:t>be 4.0</w:t>
      </w:r>
      <w:r w:rsidR="005F1F9D">
        <w:rPr>
          <w:b/>
          <w:bCs/>
        </w:rPr>
        <w:t xml:space="preserve"> or </w:t>
      </w:r>
      <w:r w:rsidR="007E05AB">
        <w:rPr>
          <w:b/>
          <w:bCs/>
        </w:rPr>
        <w:t>4.25</w:t>
      </w:r>
      <w:r w:rsidR="005A37A5">
        <w:rPr>
          <w:b/>
          <w:bCs/>
        </w:rPr>
        <w:t xml:space="preserve"> </w:t>
      </w:r>
      <w:r w:rsidR="000C3AA1">
        <w:rPr>
          <w:b/>
          <w:bCs/>
        </w:rPr>
        <w:t xml:space="preserve">percent in </w:t>
      </w:r>
      <w:r w:rsidR="009523E0">
        <w:rPr>
          <w:b/>
          <w:bCs/>
        </w:rPr>
        <w:t xml:space="preserve">the </w:t>
      </w:r>
      <w:r w:rsidR="0025636F">
        <w:rPr>
          <w:b/>
          <w:bCs/>
        </w:rPr>
        <w:t>third</w:t>
      </w:r>
      <w:r w:rsidR="009523E0">
        <w:rPr>
          <w:b/>
          <w:bCs/>
        </w:rPr>
        <w:t xml:space="preserve"> quarter of 202</w:t>
      </w:r>
      <w:r w:rsidR="00060A3E">
        <w:rPr>
          <w:b/>
          <w:bCs/>
        </w:rPr>
        <w:t>4</w:t>
      </w:r>
      <w:r w:rsidR="000C3AA1">
        <w:t xml:space="preserve"> (Table 2)</w:t>
      </w:r>
      <w:r w:rsidR="00995A4F">
        <w:t xml:space="preserve">.  </w:t>
      </w:r>
      <w:r w:rsidR="000C0CAD">
        <w:t>The interest rate level during the forecast period will he</w:t>
      </w:r>
      <w:r w:rsidR="00060A3E">
        <w:t xml:space="preserve">lp </w:t>
      </w:r>
      <w:r w:rsidR="0025636F">
        <w:t>stabilize inflation and economic activity</w:t>
      </w:r>
      <w:r w:rsidR="00D340F8">
        <w:t>.</w:t>
      </w:r>
      <w:r w:rsidR="0025636F">
        <w:t xml:space="preserve"> </w:t>
      </w:r>
      <w:r w:rsidR="00D340F8">
        <w:t>This comes</w:t>
      </w:r>
      <w:r w:rsidR="0025636F">
        <w:t xml:space="preserve"> together with the program of intervention in the foreign exchange market that the Bank of Israel announced, the aim of which is to moderate the volatility of the exchange rate and provide the necessary liquidity for continued </w:t>
      </w:r>
      <w:r w:rsidR="00D340F8">
        <w:t>proper functioning of the markets</w:t>
      </w:r>
      <w:r w:rsidR="00D372F5">
        <w:t>.</w:t>
      </w:r>
      <w:r w:rsidR="009523E0">
        <w:t xml:space="preserve"> </w:t>
      </w:r>
    </w:p>
    <w:p w:rsidR="00C45ED5" w:rsidRDefault="00C45ED5" w:rsidP="00C45ED5">
      <w:pPr>
        <w:bidi w:val="0"/>
        <w:jc w:val="both"/>
      </w:pPr>
    </w:p>
    <w:p w:rsidR="00682563" w:rsidRDefault="00682563" w:rsidP="00D372F5">
      <w:pPr>
        <w:bidi w:val="0"/>
        <w:jc w:val="both"/>
      </w:pPr>
      <w:r>
        <w:t xml:space="preserve">Table 2 shows that the Research Department’s staff forecast regarding </w:t>
      </w:r>
      <w:r w:rsidR="005C4E0D">
        <w:t>inflation</w:t>
      </w:r>
      <w:r w:rsidR="00995A4F">
        <w:t xml:space="preserve"> is </w:t>
      </w:r>
      <w:r w:rsidR="007E05AB">
        <w:t>slightly higher than</w:t>
      </w:r>
      <w:r w:rsidR="00995A4F">
        <w:t xml:space="preserve"> expectations derived from the capital market and the </w:t>
      </w:r>
      <w:r>
        <w:t>average of the private forecasters’ projections</w:t>
      </w:r>
      <w:r w:rsidR="005C4E0D">
        <w:t>.</w:t>
      </w:r>
      <w:r w:rsidR="00995A4F">
        <w:t xml:space="preserve">  Regarding the interest rate, the staff forecast</w:t>
      </w:r>
      <w:r>
        <w:t xml:space="preserve"> </w:t>
      </w:r>
      <w:r w:rsidR="00995A4F">
        <w:t xml:space="preserve">is </w:t>
      </w:r>
      <w:r w:rsidR="00D372F5">
        <w:t>also higher than</w:t>
      </w:r>
      <w:r w:rsidR="00995A4F">
        <w:t xml:space="preserve"> expectations </w:t>
      </w:r>
      <w:r w:rsidR="00D340F8">
        <w:t>from both sources</w:t>
      </w:r>
      <w:r w:rsidR="00995A4F">
        <w:t>.</w:t>
      </w:r>
      <w:r w:rsidR="00D340F8">
        <w:rPr>
          <w:rStyle w:val="ac"/>
        </w:rPr>
        <w:footnoteReference w:id="7"/>
      </w:r>
      <w:r w:rsidR="00995A4F">
        <w:t xml:space="preserve">  </w:t>
      </w:r>
    </w:p>
    <w:p w:rsidR="0010114F" w:rsidRDefault="0010114F" w:rsidP="006E2552">
      <w:pPr>
        <w:bidi w:val="0"/>
        <w:jc w:val="both"/>
      </w:pPr>
    </w:p>
    <w:p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2945D2" w:rsidP="006E2552">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6E2552">
              <w:rPr>
                <w:rFonts w:asciiTheme="majorBidi" w:hAnsiTheme="majorBidi" w:cstheme="majorBidi"/>
                <w:b/>
                <w:bCs/>
                <w:color w:val="0070C0"/>
              </w:rPr>
              <w:t>2</w:t>
            </w:r>
          </w:p>
        </w:tc>
      </w:tr>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rsidTr="0044397B">
        <w:trPr>
          <w:trHeight w:val="683"/>
          <w:tblHeader/>
        </w:trPr>
        <w:tc>
          <w:tcPr>
            <w:tcW w:w="248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rsidTr="00BE556B">
        <w:trPr>
          <w:trHeight w:val="280"/>
          <w:tblHeader/>
        </w:trPr>
        <w:tc>
          <w:tcPr>
            <w:tcW w:w="2480" w:type="dxa"/>
            <w:tcBorders>
              <w:top w:val="single" w:sz="4" w:space="0" w:color="auto"/>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rsidR="00A2696D" w:rsidRPr="00211EF7" w:rsidRDefault="00FF10BA" w:rsidP="00060A3E">
            <w:pPr>
              <w:bidi w:val="0"/>
              <w:jc w:val="center"/>
              <w:rPr>
                <w:rFonts w:asciiTheme="majorBidi" w:hAnsiTheme="majorBidi" w:cstheme="majorBidi"/>
              </w:rPr>
            </w:pPr>
            <w:r>
              <w:rPr>
                <w:rFonts w:asciiTheme="majorBidi" w:hAnsiTheme="majorBidi" w:cstheme="majorBidi"/>
              </w:rPr>
              <w:t>2.9</w:t>
            </w:r>
          </w:p>
        </w:tc>
        <w:tc>
          <w:tcPr>
            <w:tcW w:w="1540" w:type="dxa"/>
            <w:tcBorders>
              <w:top w:val="single" w:sz="4" w:space="0" w:color="auto"/>
              <w:left w:val="nil"/>
              <w:bottom w:val="nil"/>
              <w:right w:val="nil"/>
            </w:tcBorders>
            <w:shd w:val="clear" w:color="auto" w:fill="auto"/>
            <w:vAlign w:val="center"/>
          </w:tcPr>
          <w:p w:rsidR="00F53855" w:rsidRPr="00211EF7" w:rsidRDefault="00FF10BA" w:rsidP="00DA623D">
            <w:pPr>
              <w:bidi w:val="0"/>
              <w:jc w:val="center"/>
              <w:rPr>
                <w:rFonts w:asciiTheme="majorBidi" w:hAnsiTheme="majorBidi" w:cstheme="majorBidi"/>
              </w:rPr>
            </w:pPr>
            <w:r>
              <w:rPr>
                <w:rFonts w:asciiTheme="majorBidi" w:hAnsiTheme="majorBidi" w:cstheme="majorBidi"/>
              </w:rPr>
              <w:t>2.</w:t>
            </w:r>
            <w:r w:rsidR="007E05AB">
              <w:rPr>
                <w:rFonts w:asciiTheme="majorBidi" w:hAnsiTheme="majorBidi" w:cstheme="majorBidi"/>
              </w:rPr>
              <w:t>7</w:t>
            </w:r>
          </w:p>
        </w:tc>
        <w:tc>
          <w:tcPr>
            <w:tcW w:w="2119" w:type="dxa"/>
            <w:tcBorders>
              <w:top w:val="single" w:sz="4" w:space="0" w:color="auto"/>
              <w:left w:val="nil"/>
              <w:bottom w:val="nil"/>
              <w:right w:val="nil"/>
            </w:tcBorders>
            <w:shd w:val="clear" w:color="auto" w:fill="auto"/>
            <w:vAlign w:val="center"/>
          </w:tcPr>
          <w:p w:rsidR="00F53855" w:rsidRPr="00211EF7" w:rsidRDefault="00995A4F" w:rsidP="00995A4F">
            <w:pPr>
              <w:bidi w:val="0"/>
              <w:jc w:val="center"/>
              <w:rPr>
                <w:rFonts w:asciiTheme="majorBidi" w:hAnsiTheme="majorBidi" w:cstheme="majorBidi"/>
              </w:rPr>
            </w:pPr>
            <w:r>
              <w:rPr>
                <w:rFonts w:asciiTheme="majorBidi" w:hAnsiTheme="majorBidi" w:cstheme="majorBidi"/>
              </w:rPr>
              <w:t>2.</w:t>
            </w:r>
            <w:r w:rsidR="00FF10BA">
              <w:rPr>
                <w:rFonts w:asciiTheme="majorBidi" w:hAnsiTheme="majorBidi" w:cstheme="majorBidi"/>
              </w:rPr>
              <w:t>7</w:t>
            </w:r>
            <w:r w:rsidR="00AD21E2">
              <w:rPr>
                <w:rFonts w:asciiTheme="majorBidi" w:hAnsiTheme="majorBidi" w:cstheme="majorBidi"/>
              </w:rPr>
              <w:t xml:space="preserve"> </w:t>
            </w:r>
            <w:r w:rsidR="00A2696D">
              <w:rPr>
                <w:rFonts w:asciiTheme="majorBidi" w:hAnsiTheme="majorBidi" w:cstheme="majorBidi"/>
              </w:rPr>
              <w:t>(</w:t>
            </w:r>
            <w:r w:rsidR="00862770">
              <w:rPr>
                <w:rFonts w:asciiTheme="majorBidi" w:hAnsiTheme="majorBidi" w:cstheme="majorBidi"/>
              </w:rPr>
              <w:t>2</w:t>
            </w:r>
            <w:r w:rsidR="00A2696D">
              <w:rPr>
                <w:rFonts w:asciiTheme="majorBidi" w:hAnsiTheme="majorBidi" w:cstheme="majorBidi"/>
              </w:rPr>
              <w:t>.</w:t>
            </w:r>
            <w:r w:rsidR="00FF10BA">
              <w:rPr>
                <w:rFonts w:asciiTheme="majorBidi" w:hAnsiTheme="majorBidi" w:cstheme="majorBidi"/>
              </w:rPr>
              <w:t>0</w:t>
            </w:r>
            <w:r w:rsidR="00AD21E2">
              <w:rPr>
                <w:rFonts w:asciiTheme="majorBidi" w:hAnsiTheme="majorBidi" w:cstheme="majorBidi"/>
              </w:rPr>
              <w:t>–</w:t>
            </w:r>
            <w:r w:rsidR="00A53FEA">
              <w:rPr>
                <w:rFonts w:asciiTheme="majorBidi" w:hAnsiTheme="majorBidi" w:cstheme="majorBidi"/>
              </w:rPr>
              <w:t>3.</w:t>
            </w:r>
            <w:r w:rsidR="00FF10BA">
              <w:rPr>
                <w:rFonts w:asciiTheme="majorBidi" w:hAnsiTheme="majorBidi" w:cstheme="majorBidi"/>
              </w:rPr>
              <w:t>3</w:t>
            </w:r>
            <w:r w:rsidR="00AD21E2">
              <w:rPr>
                <w:rFonts w:asciiTheme="majorBidi" w:hAnsiTheme="majorBidi" w:cstheme="majorBidi"/>
              </w:rPr>
              <w:t>)</w:t>
            </w:r>
          </w:p>
        </w:tc>
      </w:tr>
      <w:tr w:rsidR="00F53855" w:rsidRPr="00B23575" w:rsidTr="00BE556B">
        <w:trPr>
          <w:trHeight w:val="281"/>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rsidR="00F53855" w:rsidRPr="00211EF7" w:rsidRDefault="00F53855" w:rsidP="00B540ED">
            <w:pPr>
              <w:bidi w:val="0"/>
              <w:jc w:val="center"/>
              <w:rPr>
                <w:rFonts w:asciiTheme="majorBidi" w:hAnsiTheme="majorBidi" w:cstheme="majorBidi"/>
              </w:rPr>
            </w:pPr>
          </w:p>
        </w:tc>
      </w:tr>
      <w:tr w:rsidR="00F53855" w:rsidRPr="00B23575" w:rsidTr="004C2B26">
        <w:trPr>
          <w:trHeight w:val="274"/>
          <w:tblHeader/>
        </w:trPr>
        <w:tc>
          <w:tcPr>
            <w:tcW w:w="2480" w:type="dxa"/>
            <w:tcBorders>
              <w:top w:val="nil"/>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rsidR="00F53855" w:rsidRPr="00211EF7" w:rsidRDefault="00D372F5" w:rsidP="005F1F9D">
            <w:pPr>
              <w:bidi w:val="0"/>
              <w:jc w:val="center"/>
              <w:rPr>
                <w:rFonts w:asciiTheme="majorBidi" w:hAnsiTheme="majorBidi" w:cstheme="majorBidi"/>
              </w:rPr>
            </w:pPr>
            <w:r w:rsidRPr="00660ADD">
              <w:t>4.0</w:t>
            </w:r>
            <w:r w:rsidR="005F1F9D">
              <w:t>/</w:t>
            </w:r>
            <w:r w:rsidRPr="00660ADD">
              <w:t>4.25</w:t>
            </w:r>
          </w:p>
        </w:tc>
        <w:tc>
          <w:tcPr>
            <w:tcW w:w="1540" w:type="dxa"/>
            <w:tcBorders>
              <w:top w:val="nil"/>
              <w:left w:val="nil"/>
              <w:bottom w:val="nil"/>
              <w:right w:val="nil"/>
            </w:tcBorders>
            <w:shd w:val="clear" w:color="auto" w:fill="auto"/>
            <w:vAlign w:val="center"/>
          </w:tcPr>
          <w:p w:rsidR="004C2B26" w:rsidRPr="00211EF7" w:rsidRDefault="007E05AB" w:rsidP="00C45D20">
            <w:pPr>
              <w:bidi w:val="0"/>
              <w:jc w:val="center"/>
              <w:rPr>
                <w:rFonts w:asciiTheme="majorBidi" w:hAnsiTheme="majorBidi" w:cstheme="majorBidi"/>
              </w:rPr>
            </w:pPr>
            <w:r>
              <w:rPr>
                <w:rFonts w:asciiTheme="majorBidi" w:hAnsiTheme="majorBidi" w:cstheme="majorBidi"/>
              </w:rPr>
              <w:t>3</w:t>
            </w:r>
            <w:r w:rsidR="002D6565">
              <w:rPr>
                <w:rFonts w:asciiTheme="majorBidi" w:hAnsiTheme="majorBidi" w:cstheme="majorBidi"/>
              </w:rPr>
              <w:t>.7</w:t>
            </w:r>
          </w:p>
        </w:tc>
        <w:tc>
          <w:tcPr>
            <w:tcW w:w="2119" w:type="dxa"/>
            <w:tcBorders>
              <w:top w:val="single" w:sz="4" w:space="0" w:color="auto"/>
              <w:left w:val="nil"/>
              <w:bottom w:val="nil"/>
              <w:right w:val="nil"/>
            </w:tcBorders>
            <w:shd w:val="clear" w:color="auto" w:fill="auto"/>
            <w:vAlign w:val="center"/>
            <w:hideMark/>
          </w:tcPr>
          <w:p w:rsidR="00F53855" w:rsidRPr="00211EF7" w:rsidRDefault="005F1F9D" w:rsidP="00995A4F">
            <w:pPr>
              <w:bidi w:val="0"/>
              <w:jc w:val="center"/>
              <w:rPr>
                <w:rFonts w:asciiTheme="majorBidi" w:hAnsiTheme="majorBidi" w:cstheme="majorBidi"/>
              </w:rPr>
            </w:pPr>
            <w:r>
              <w:rPr>
                <w:rFonts w:asciiTheme="majorBidi" w:hAnsiTheme="majorBidi" w:cstheme="majorBidi"/>
              </w:rPr>
              <w:t>3.7</w:t>
            </w:r>
          </w:p>
        </w:tc>
      </w:tr>
      <w:tr w:rsidR="00F53855" w:rsidRPr="00B23575" w:rsidTr="00211EF7">
        <w:trPr>
          <w:trHeight w:val="275"/>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rsidR="00F53855" w:rsidRPr="00211EF7" w:rsidRDefault="00F53855" w:rsidP="005F1F9D">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w:t>
            </w:r>
            <w:r w:rsidR="00FF10BA">
              <w:rPr>
                <w:rFonts w:asciiTheme="majorBidi" w:hAnsiTheme="majorBidi" w:cstheme="majorBidi"/>
              </w:rPr>
              <w:t>25</w:t>
            </w:r>
            <w:r w:rsidR="00A2696D">
              <w:rPr>
                <w:rFonts w:asciiTheme="majorBidi" w:hAnsiTheme="majorBidi" w:cstheme="majorBidi"/>
              </w:rPr>
              <w:t>–</w:t>
            </w:r>
            <w:r w:rsidR="00995A4F">
              <w:rPr>
                <w:rFonts w:asciiTheme="majorBidi" w:hAnsiTheme="majorBidi" w:cstheme="majorBidi"/>
              </w:rPr>
              <w:t>4.</w:t>
            </w:r>
            <w:r w:rsidR="005F1F9D">
              <w:rPr>
                <w:rFonts w:asciiTheme="majorBidi" w:hAnsiTheme="majorBidi" w:cstheme="majorBidi"/>
              </w:rPr>
              <w:t>00</w:t>
            </w:r>
            <w:r w:rsidR="001C55F7">
              <w:rPr>
                <w:rFonts w:asciiTheme="majorBidi" w:hAnsiTheme="majorBidi" w:cstheme="majorBidi"/>
              </w:rPr>
              <w:t>)</w:t>
            </w:r>
          </w:p>
        </w:tc>
      </w:tr>
      <w:tr w:rsidR="00A21D01" w:rsidRPr="00B23575" w:rsidTr="00A21D01">
        <w:trPr>
          <w:trHeight w:val="257"/>
          <w:tblHeader/>
        </w:trPr>
        <w:tc>
          <w:tcPr>
            <w:tcW w:w="8233" w:type="dxa"/>
            <w:gridSpan w:val="4"/>
            <w:tcBorders>
              <w:top w:val="nil"/>
              <w:left w:val="nil"/>
              <w:bottom w:val="nil"/>
              <w:right w:val="nil"/>
            </w:tcBorders>
            <w:shd w:val="clear" w:color="auto" w:fill="auto"/>
            <w:hideMark/>
          </w:tcPr>
          <w:p w:rsidR="00446B32" w:rsidRDefault="00446B32" w:rsidP="005F1F9D">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FF10BA">
              <w:rPr>
                <w:rFonts w:asciiTheme="majorBidi" w:hAnsiTheme="majorBidi" w:cstheme="majorBidi"/>
                <w:sz w:val="20"/>
                <w:szCs w:val="20"/>
              </w:rPr>
              <w:t xml:space="preserve">October </w:t>
            </w:r>
            <w:r w:rsidR="005F1F9D">
              <w:rPr>
                <w:rFonts w:asciiTheme="majorBidi" w:hAnsiTheme="majorBidi" w:cstheme="majorBidi"/>
                <w:sz w:val="20"/>
                <w:szCs w:val="20"/>
              </w:rPr>
              <w:t>22</w:t>
            </w:r>
            <w:r w:rsidR="00862770">
              <w:rPr>
                <w:rFonts w:asciiTheme="majorBidi" w:hAnsiTheme="majorBidi" w:cstheme="majorBidi"/>
                <w:sz w:val="20"/>
                <w:szCs w:val="20"/>
              </w:rPr>
              <w:t>, 202</w:t>
            </w:r>
            <w:r w:rsidR="00DA623D">
              <w:rPr>
                <w:rFonts w:asciiTheme="majorBidi" w:hAnsiTheme="majorBidi" w:cstheme="majorBidi"/>
                <w:sz w:val="20"/>
                <w:szCs w:val="20"/>
              </w:rPr>
              <w:t>3)</w:t>
            </w:r>
            <w:r w:rsidR="005650EE">
              <w:rPr>
                <w:rFonts w:asciiTheme="majorBidi" w:hAnsiTheme="majorBidi" w:cstheme="majorBidi"/>
                <w:sz w:val="20"/>
                <w:szCs w:val="20"/>
              </w:rPr>
              <w:t>.</w:t>
            </w:r>
          </w:p>
          <w:p w:rsidR="00446B32" w:rsidRDefault="00446B32" w:rsidP="00995A4F">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242401">
              <w:rPr>
                <w:rFonts w:asciiTheme="majorBidi" w:hAnsiTheme="majorBidi" w:cstheme="majorBidi"/>
                <w:sz w:val="20"/>
                <w:szCs w:val="20"/>
              </w:rPr>
              <w:t>September 2023</w:t>
            </w:r>
            <w:r>
              <w:rPr>
                <w:rFonts w:asciiTheme="majorBidi" w:hAnsiTheme="majorBidi" w:cstheme="majorBidi"/>
                <w:sz w:val="20"/>
                <w:szCs w:val="20"/>
              </w:rPr>
              <w:t>.</w:t>
            </w:r>
          </w:p>
          <w:p w:rsidR="00A21D01" w:rsidRPr="00B23575" w:rsidRDefault="00446B32" w:rsidP="00D372F5">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242401">
              <w:rPr>
                <w:rFonts w:asciiTheme="majorBidi" w:hAnsiTheme="majorBidi" w:cstheme="majorBidi"/>
                <w:sz w:val="20"/>
                <w:szCs w:val="20"/>
              </w:rPr>
              <w:t>third</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DA623D">
              <w:rPr>
                <w:rFonts w:asciiTheme="majorBidi" w:hAnsiTheme="majorBidi" w:cstheme="majorBidi"/>
                <w:sz w:val="20"/>
                <w:szCs w:val="20"/>
              </w:rPr>
              <w:t>4</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w:t>
            </w:r>
          </w:p>
        </w:tc>
      </w:tr>
      <w:tr w:rsidR="00A21D01" w:rsidRPr="00B23575" w:rsidTr="00A21D01">
        <w:trPr>
          <w:trHeight w:val="445"/>
          <w:tblHeader/>
        </w:trPr>
        <w:tc>
          <w:tcPr>
            <w:tcW w:w="8233" w:type="dxa"/>
            <w:gridSpan w:val="4"/>
            <w:tcBorders>
              <w:top w:val="nil"/>
              <w:left w:val="nil"/>
              <w:bottom w:val="nil"/>
              <w:right w:val="nil"/>
            </w:tcBorders>
            <w:shd w:val="clear" w:color="auto" w:fill="auto"/>
            <w:hideMark/>
          </w:tcPr>
          <w:p w:rsidR="00A21D01" w:rsidRDefault="00446B32" w:rsidP="005F1F9D">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242401">
              <w:rPr>
                <w:rFonts w:asciiTheme="majorBidi" w:hAnsiTheme="majorBidi" w:cstheme="majorBidi"/>
                <w:sz w:val="20"/>
                <w:szCs w:val="20"/>
              </w:rPr>
              <w:t>third</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995A4F">
              <w:rPr>
                <w:rFonts w:asciiTheme="majorBidi" w:hAnsiTheme="majorBidi" w:cstheme="majorBidi"/>
                <w:sz w:val="20"/>
                <w:szCs w:val="20"/>
              </w:rPr>
              <w:t>4</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242401">
              <w:rPr>
                <w:rFonts w:asciiTheme="majorBidi" w:hAnsiTheme="majorBidi" w:cstheme="majorBidi"/>
                <w:sz w:val="20"/>
                <w:szCs w:val="20"/>
              </w:rPr>
              <w:t xml:space="preserve">October </w:t>
            </w:r>
            <w:r w:rsidR="005F1F9D">
              <w:rPr>
                <w:rFonts w:asciiTheme="majorBidi" w:hAnsiTheme="majorBidi" w:cstheme="majorBidi"/>
                <w:sz w:val="20"/>
                <w:szCs w:val="20"/>
              </w:rPr>
              <w:t>20</w:t>
            </w:r>
            <w:r w:rsidR="00862770">
              <w:rPr>
                <w:rFonts w:asciiTheme="majorBidi" w:hAnsiTheme="majorBidi" w:cstheme="majorBidi"/>
                <w:sz w:val="20"/>
                <w:szCs w:val="20"/>
              </w:rPr>
              <w:t>, 202</w:t>
            </w:r>
            <w:r w:rsidR="00DA623D">
              <w:rPr>
                <w:rFonts w:asciiTheme="majorBidi" w:hAnsiTheme="majorBidi" w:cstheme="majorBidi"/>
                <w:sz w:val="20"/>
                <w:szCs w:val="20"/>
              </w:rPr>
              <w:t>3</w:t>
            </w:r>
            <w:r w:rsidR="00324468">
              <w:rPr>
                <w:rFonts w:asciiTheme="majorBidi" w:hAnsiTheme="majorBidi" w:cstheme="majorBidi"/>
                <w:sz w:val="20"/>
                <w:szCs w:val="20"/>
              </w:rPr>
              <w:t>)</w:t>
            </w:r>
            <w:r w:rsidR="002945D2">
              <w:rPr>
                <w:rFonts w:asciiTheme="majorBidi" w:hAnsiTheme="majorBidi" w:cstheme="majorBidi"/>
                <w:sz w:val="20"/>
                <w:szCs w:val="20"/>
              </w:rPr>
              <w:t>.</w:t>
            </w:r>
          </w:p>
          <w:p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rsidR="00D211EC" w:rsidRDefault="00D211EC" w:rsidP="009335C7">
      <w:pPr>
        <w:bidi w:val="0"/>
        <w:jc w:val="both"/>
        <w:rPr>
          <w:b/>
          <w:bCs/>
        </w:rPr>
      </w:pPr>
    </w:p>
    <w:p w:rsidR="00A21D01" w:rsidRDefault="00A21D01" w:rsidP="00A21D01">
      <w:pPr>
        <w:bidi w:val="0"/>
        <w:spacing w:line="300" w:lineRule="exact"/>
        <w:jc w:val="both"/>
      </w:pPr>
    </w:p>
    <w:p w:rsidR="00A21D01" w:rsidRPr="00CD2FC5" w:rsidRDefault="006648AB" w:rsidP="00202CCB">
      <w:pPr>
        <w:numPr>
          <w:ilvl w:val="0"/>
          <w:numId w:val="9"/>
        </w:numPr>
        <w:bidi w:val="0"/>
        <w:spacing w:line="360" w:lineRule="auto"/>
        <w:ind w:left="357" w:hanging="357"/>
        <w:jc w:val="both"/>
        <w:rPr>
          <w:b/>
          <w:bCs/>
        </w:rPr>
      </w:pPr>
      <w:r w:rsidRPr="00764EAD">
        <w:rPr>
          <w:b/>
          <w:bCs/>
        </w:rPr>
        <w:t>Main r</w:t>
      </w:r>
      <w:r w:rsidR="00A21D01" w:rsidRPr="00764EAD">
        <w:rPr>
          <w:b/>
          <w:bCs/>
        </w:rPr>
        <w:t xml:space="preserve">isks </w:t>
      </w:r>
      <w:r w:rsidR="00202CCB" w:rsidRPr="00764EAD">
        <w:rPr>
          <w:b/>
          <w:bCs/>
        </w:rPr>
        <w:t>to</w:t>
      </w:r>
      <w:r w:rsidR="00202CCB">
        <w:rPr>
          <w:b/>
          <w:bCs/>
        </w:rPr>
        <w:t xml:space="preserve"> </w:t>
      </w:r>
      <w:r w:rsidR="00A21D01">
        <w:rPr>
          <w:b/>
          <w:bCs/>
        </w:rPr>
        <w:t>the forecast</w:t>
      </w:r>
    </w:p>
    <w:p w:rsidR="00FF22EB" w:rsidRDefault="00FF22EB" w:rsidP="00425B3F">
      <w:pPr>
        <w:bidi w:val="0"/>
        <w:jc w:val="both"/>
      </w:pPr>
    </w:p>
    <w:p w:rsidR="00995A4F" w:rsidRDefault="00995A4F" w:rsidP="004A0F67">
      <w:pPr>
        <w:bidi w:val="0"/>
        <w:jc w:val="both"/>
      </w:pPr>
      <w:r>
        <w:t xml:space="preserve">The </w:t>
      </w:r>
      <w:r w:rsidR="00F36C49">
        <w:t>basic</w:t>
      </w:r>
      <w:r>
        <w:t xml:space="preserve"> forecast</w:t>
      </w:r>
      <w:r w:rsidR="00F36C49">
        <w:t xml:space="preserve"> that we have presented estimates the costs of a war</w:t>
      </w:r>
      <w:r w:rsidR="005F1F9D">
        <w:t xml:space="preserve"> assuming that</w:t>
      </w:r>
      <w:r w:rsidR="00F36C49">
        <w:t xml:space="preserve"> </w:t>
      </w:r>
      <w:r w:rsidR="00660ADD">
        <w:t>the</w:t>
      </w:r>
      <w:r w:rsidR="00D372F5" w:rsidRPr="00D372F5">
        <w:t xml:space="preserve"> main part</w:t>
      </w:r>
      <w:r w:rsidR="00660ADD">
        <w:t xml:space="preserve"> </w:t>
      </w:r>
      <w:r w:rsidR="005F1F9D">
        <w:t>of it</w:t>
      </w:r>
      <w:r w:rsidR="00D372F5" w:rsidRPr="00D372F5" w:rsidDel="00D372F5">
        <w:t xml:space="preserve"> </w:t>
      </w:r>
      <w:r w:rsidR="00D372F5">
        <w:t>will</w:t>
      </w:r>
      <w:r w:rsidR="005F1F9D">
        <w:t xml:space="preserve"> be </w:t>
      </w:r>
      <w:r w:rsidR="002512BB">
        <w:t xml:space="preserve">on one front against the terrorist organizations in Gaza, and will be </w:t>
      </w:r>
      <w:r w:rsidR="004A0F67">
        <w:t>mainly in</w:t>
      </w:r>
      <w:r w:rsidR="005F1F9D">
        <w:t xml:space="preserve"> the current quarter—the fourth quarter of 2023. A change in the duration</w:t>
      </w:r>
      <w:r w:rsidR="00D614F7">
        <w:t>, scope,</w:t>
      </w:r>
      <w:r w:rsidR="005F1F9D">
        <w:t xml:space="preserve"> or intensity of the war will obviously </w:t>
      </w:r>
      <w:r w:rsidR="00F36C49">
        <w:t>have a material impact on</w:t>
      </w:r>
      <w:r w:rsidR="005F1F9D">
        <w:t xml:space="preserve"> actual economic developments.</w:t>
      </w:r>
    </w:p>
    <w:p w:rsidR="00A43FBA" w:rsidRDefault="00A43FBA" w:rsidP="00A43FBA">
      <w:pPr>
        <w:bidi w:val="0"/>
        <w:jc w:val="both"/>
      </w:pPr>
    </w:p>
    <w:p w:rsidR="00990197" w:rsidRDefault="00990197" w:rsidP="005F1F9D">
      <w:pPr>
        <w:bidi w:val="0"/>
        <w:jc w:val="both"/>
        <w:rPr>
          <w:rtl/>
        </w:rPr>
      </w:pPr>
      <w:r>
        <w:t xml:space="preserve">In terms of financial risks, the measures taken by the Bank of Israel and the government are expected to ease the financial situation of households and businesses.  In addition, war scenarios have been tested a number of times as part of the </w:t>
      </w:r>
      <w:r w:rsidR="00F93D9A">
        <w:t xml:space="preserve">uniform </w:t>
      </w:r>
      <w:r>
        <w:t>macroeconomic stress scenarios</w:t>
      </w:r>
      <w:r w:rsidR="00F93D9A">
        <w:t xml:space="preserve"> for the banking system, and in these scenarios, the banking system is expected to maintain its robustness and its stability.  Despite this, there are financial risks in the real estate and construction industries, in which increased risk in the bond market was already priced in before the war.  The </w:t>
      </w:r>
      <w:r w:rsidR="005F1F9D">
        <w:t>restrictions on</w:t>
      </w:r>
      <w:r w:rsidR="00F93D9A">
        <w:t xml:space="preserve"> the entry of Palestinian laborers </w:t>
      </w:r>
      <w:r w:rsidR="005F1F9D">
        <w:t>in</w:t>
      </w:r>
      <w:r w:rsidR="00F93D9A">
        <w:t xml:space="preserve"> the industry</w:t>
      </w:r>
      <w:r w:rsidR="005F1F9D">
        <w:t xml:space="preserve"> in view of the war</w:t>
      </w:r>
      <w:r w:rsidR="00F93D9A">
        <w:t xml:space="preserve">, </w:t>
      </w:r>
      <w:r w:rsidR="005F1F9D">
        <w:t>are</w:t>
      </w:r>
      <w:r w:rsidR="00F93D9A">
        <w:t xml:space="preserve"> expected to hamper the performance of construction and real estate companies.  In contrast, future demand, partly for the reconstruction of buildings and infrastructure that have been damaged in the war, may actually benefit the industry in the longer term.</w:t>
      </w:r>
    </w:p>
    <w:sectPr w:rsidR="00990197" w:rsidSect="008009B5">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8C" w:rsidRDefault="00967A8C" w:rsidP="00AD16FC">
      <w:r>
        <w:separator/>
      </w:r>
    </w:p>
  </w:endnote>
  <w:endnote w:type="continuationSeparator" w:id="0">
    <w:p w:rsidR="00967A8C" w:rsidRDefault="00967A8C"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Default="00EF3F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A" w:rsidRPr="00EF3F8B" w:rsidRDefault="00A16ACA" w:rsidP="00EF3F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DC" w:rsidRPr="00EF3F8B" w:rsidRDefault="00AE0ADC" w:rsidP="00EF3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8C" w:rsidRDefault="00967A8C" w:rsidP="00AD16FC">
      <w:r>
        <w:separator/>
      </w:r>
    </w:p>
  </w:footnote>
  <w:footnote w:type="continuationSeparator" w:id="0">
    <w:p w:rsidR="00967A8C" w:rsidRDefault="00967A8C" w:rsidP="00AD16FC">
      <w:r>
        <w:continuationSeparator/>
      </w:r>
    </w:p>
  </w:footnote>
  <w:footnote w:id="1">
    <w:p w:rsidR="00A30AC5" w:rsidRDefault="00A30AC5" w:rsidP="00D975F7">
      <w:pPr>
        <w:pStyle w:val="aa"/>
        <w:bidi w:val="0"/>
        <w:jc w:val="both"/>
        <w:rPr>
          <w:rtl/>
        </w:rPr>
      </w:pPr>
      <w:r>
        <w:rPr>
          <w:rStyle w:val="ac"/>
        </w:rPr>
        <w:footnoteRef/>
      </w:r>
      <w:r>
        <w:rPr>
          <w:rtl/>
        </w:rPr>
        <w:t xml:space="preserve"> </w:t>
      </w:r>
      <w:r>
        <w:t xml:space="preserve"> The forecast was presented to the Bank of Israel Monetary Committee on </w:t>
      </w:r>
      <w:r w:rsidR="00D975F7">
        <w:t>October 22</w:t>
      </w:r>
      <w:r>
        <w:t xml:space="preserve">, </w:t>
      </w:r>
      <w:r w:rsidR="009733B5">
        <w:t>2023</w:t>
      </w:r>
      <w:r>
        <w:t xml:space="preserve">, prior to the decision on the interest rate made on </w:t>
      </w:r>
      <w:r w:rsidR="00D975F7">
        <w:t>October 23</w:t>
      </w:r>
      <w:r>
        <w:t xml:space="preserve">, </w:t>
      </w:r>
      <w:r w:rsidR="009733B5">
        <w:t>2023</w:t>
      </w:r>
      <w:r w:rsidR="00D81515">
        <w:t>.</w:t>
      </w:r>
    </w:p>
  </w:footnote>
  <w:footnote w:id="2">
    <w:p w:rsidR="004675C1" w:rsidRDefault="004675C1" w:rsidP="00F7707F">
      <w:pPr>
        <w:bidi w:val="0"/>
        <w:jc w:val="both"/>
      </w:pPr>
      <w:r w:rsidRPr="002E48F4">
        <w:rPr>
          <w:rStyle w:val="ac"/>
          <w:sz w:val="20"/>
          <w:szCs w:val="20"/>
        </w:rPr>
        <w:footnoteRef/>
      </w:r>
      <w:r>
        <w:t xml:space="preserve"> </w:t>
      </w:r>
      <w:r w:rsidRPr="00237ACD">
        <w:rPr>
          <w:sz w:val="20"/>
          <w:szCs w:val="20"/>
        </w:rPr>
        <w:t xml:space="preserve">A Discussion Paper on the </w:t>
      </w:r>
      <w:r>
        <w:rPr>
          <w:sz w:val="20"/>
          <w:szCs w:val="20"/>
        </w:rPr>
        <w:t xml:space="preserve">DSGE </w:t>
      </w:r>
      <w:r w:rsidRPr="00237ACD">
        <w:rPr>
          <w:sz w:val="20"/>
          <w:szCs w:val="20"/>
        </w:rPr>
        <w:t xml:space="preserve">model </w:t>
      </w:r>
      <w:r>
        <w:rPr>
          <w:sz w:val="20"/>
          <w:szCs w:val="20"/>
        </w:rPr>
        <w:t>is available on the Bank of Israel website, under the title: “</w:t>
      </w:r>
      <w:r w:rsidRPr="00237ACD">
        <w:rPr>
          <w:sz w:val="20"/>
          <w:szCs w:val="20"/>
        </w:rPr>
        <w:t>MOISE: A DSGE Model for the Israeli Econom</w:t>
      </w:r>
      <w:r>
        <w:rPr>
          <w:sz w:val="20"/>
          <w:szCs w:val="20"/>
        </w:rPr>
        <w:t>y,” Discussion Paper No. 2012.06</w:t>
      </w:r>
      <w:r w:rsidRPr="00237ACD">
        <w:rPr>
          <w:sz w:val="20"/>
          <w:szCs w:val="20"/>
        </w:rPr>
        <w:t>.</w:t>
      </w:r>
    </w:p>
  </w:footnote>
  <w:footnote w:id="3">
    <w:p w:rsidR="00F1274A" w:rsidRDefault="00F1274A" w:rsidP="008F7582">
      <w:pPr>
        <w:pStyle w:val="aa"/>
        <w:bidi w:val="0"/>
      </w:pPr>
      <w:r>
        <w:rPr>
          <w:rStyle w:val="ac"/>
        </w:rPr>
        <w:footnoteRef/>
      </w:r>
      <w:r>
        <w:rPr>
          <w:rtl/>
        </w:rPr>
        <w:t xml:space="preserve"> </w:t>
      </w:r>
      <w:r>
        <w:t xml:space="preserve"> Table 1 shows the change in the growth forecast relative to the July forecast.  This change is comprised of </w:t>
      </w:r>
      <w:r w:rsidR="008F7582">
        <w:t>a positive contribution to the forecast derived from data revisions since July, and a negative contribution due to</w:t>
      </w:r>
      <w:r>
        <w:t xml:space="preserve"> the war’s impact.</w:t>
      </w:r>
    </w:p>
  </w:footnote>
  <w:footnote w:id="4">
    <w:p w:rsidR="00F1274A" w:rsidRDefault="00F1274A" w:rsidP="00F1274A">
      <w:pPr>
        <w:pStyle w:val="aa"/>
        <w:bidi w:val="0"/>
      </w:pPr>
      <w:r>
        <w:rPr>
          <w:rStyle w:val="ac"/>
        </w:rPr>
        <w:footnoteRef/>
      </w:r>
      <w:r>
        <w:rPr>
          <w:rtl/>
        </w:rPr>
        <w:t xml:space="preserve"> </w:t>
      </w:r>
      <w:r>
        <w:t xml:space="preserve"> The downward revision of the unemployment forecast that appears in Table 1 was influenced by unemployment data received since the previous forecast.</w:t>
      </w:r>
    </w:p>
  </w:footnote>
  <w:footnote w:id="5">
    <w:p w:rsidR="004679ED" w:rsidRDefault="004679ED" w:rsidP="002857E1">
      <w:pPr>
        <w:pStyle w:val="aa"/>
        <w:bidi w:val="0"/>
      </w:pPr>
      <w:r>
        <w:rPr>
          <w:rStyle w:val="ac"/>
        </w:rPr>
        <w:footnoteRef/>
      </w:r>
      <w:r>
        <w:rPr>
          <w:rtl/>
        </w:rPr>
        <w:t xml:space="preserve"> </w:t>
      </w:r>
      <w:r w:rsidR="002857E1">
        <w:t xml:space="preserve">We assume that from 2024, similar to previous wars and campaigns, the Knesset will approve a one-time increment to the expenditure ceiling in order to compensate the defense establishment for the costs of the war in </w:t>
      </w:r>
      <w:r w:rsidR="002857E1" w:rsidRPr="002512BB">
        <w:t>2023</w:t>
      </w:r>
      <w:r w:rsidR="002512BB" w:rsidRPr="002512BB">
        <w:t>, and</w:t>
      </w:r>
      <w:r w:rsidR="002512BB">
        <w:t xml:space="preserve"> in order to finance some of the civilian and rehabilitation expenditures</w:t>
      </w:r>
      <w:r w:rsidR="002857E1">
        <w:t>.  The increase in expenditures in 2024 will represent only part of the overall costs, which will be spread out over a number of years.</w:t>
      </w:r>
    </w:p>
  </w:footnote>
  <w:footnote w:id="6">
    <w:p w:rsidR="00561A58" w:rsidRDefault="00561A58" w:rsidP="00D614F7">
      <w:pPr>
        <w:pStyle w:val="aa"/>
        <w:bidi w:val="0"/>
      </w:pPr>
      <w:r>
        <w:rPr>
          <w:rStyle w:val="ac"/>
        </w:rPr>
        <w:footnoteRef/>
      </w:r>
      <w:r>
        <w:rPr>
          <w:rtl/>
        </w:rPr>
        <w:t xml:space="preserve"> </w:t>
      </w:r>
      <w:r w:rsidR="002857E1">
        <w:t xml:space="preserve">Compensation in respect of direct and indirect damages are not considered expenditures in the State Budget, but rather as extra-budgetary expenditures based on </w:t>
      </w:r>
      <w:r w:rsidR="002857E1" w:rsidRPr="00A80511">
        <w:rPr>
          <w:color w:val="000000" w:themeColor="text1"/>
        </w:rPr>
        <w:t xml:space="preserve">the </w:t>
      </w:r>
      <w:r w:rsidR="00A80511" w:rsidRPr="00A80511">
        <w:rPr>
          <w:color w:val="000000" w:themeColor="text1"/>
        </w:rPr>
        <w:t>Property Tax</w:t>
      </w:r>
      <w:r w:rsidR="002857E1" w:rsidRPr="00A80511">
        <w:rPr>
          <w:color w:val="000000" w:themeColor="text1"/>
        </w:rPr>
        <w:t xml:space="preserve"> and </w:t>
      </w:r>
      <w:r w:rsidR="002857E1">
        <w:t xml:space="preserve">Compensation Fund Law, 5721–1961.  Because </w:t>
      </w:r>
      <w:r w:rsidR="00BA40EB">
        <w:t>this compensation</w:t>
      </w:r>
      <w:r w:rsidR="002857E1">
        <w:t xml:space="preserve"> is </w:t>
      </w:r>
      <w:r w:rsidR="00BA40EB">
        <w:t>unfunded</w:t>
      </w:r>
      <w:r w:rsidR="002857E1">
        <w:t xml:space="preserve">, </w:t>
      </w:r>
      <w:r w:rsidR="00BA40EB">
        <w:t>its</w:t>
      </w:r>
      <w:r w:rsidR="002857E1">
        <w:t xml:space="preserve"> costs do not increase the budgetary deficit</w:t>
      </w:r>
      <w:r w:rsidR="00BA40EB">
        <w:t>.</w:t>
      </w:r>
      <w:r w:rsidR="002857E1">
        <w:t xml:space="preserve"> </w:t>
      </w:r>
      <w:r w:rsidR="00D614F7">
        <w:t>However,</w:t>
      </w:r>
      <w:r w:rsidR="002857E1">
        <w:t xml:space="preserve"> the government will be required to finance them by raising debt</w:t>
      </w:r>
      <w:r w:rsidR="00BA40EB">
        <w:t>.</w:t>
      </w:r>
    </w:p>
  </w:footnote>
  <w:footnote w:id="7">
    <w:p w:rsidR="00D340F8" w:rsidRDefault="00D340F8" w:rsidP="00D340F8">
      <w:pPr>
        <w:pStyle w:val="aa"/>
        <w:bidi w:val="0"/>
      </w:pPr>
      <w:r>
        <w:rPr>
          <w:rStyle w:val="ac"/>
        </w:rPr>
        <w:footnoteRef/>
      </w:r>
      <w:r>
        <w:rPr>
          <w:rtl/>
        </w:rPr>
        <w:t xml:space="preserve"> </w:t>
      </w:r>
      <w:r w:rsidR="00FF10BA">
        <w:t>It should be noted that during periods of great uncertainty such as the current period, yields in the capital market may be greatly affected by the risk and liquidity premia.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Default="00EF3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Default="00EF3F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Default="00EF3F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11B9"/>
    <w:rsid w:val="0000410B"/>
    <w:rsid w:val="000062AB"/>
    <w:rsid w:val="00006C8A"/>
    <w:rsid w:val="00007CCB"/>
    <w:rsid w:val="00012A9C"/>
    <w:rsid w:val="00012DBD"/>
    <w:rsid w:val="00015BD8"/>
    <w:rsid w:val="0001708B"/>
    <w:rsid w:val="000212CE"/>
    <w:rsid w:val="00021A8C"/>
    <w:rsid w:val="0002620A"/>
    <w:rsid w:val="000268BA"/>
    <w:rsid w:val="00030DCE"/>
    <w:rsid w:val="00036F1B"/>
    <w:rsid w:val="000379D4"/>
    <w:rsid w:val="0004160A"/>
    <w:rsid w:val="0004176B"/>
    <w:rsid w:val="00044F2F"/>
    <w:rsid w:val="00045015"/>
    <w:rsid w:val="00046EE6"/>
    <w:rsid w:val="000502B3"/>
    <w:rsid w:val="00050365"/>
    <w:rsid w:val="0005428E"/>
    <w:rsid w:val="00060A3E"/>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B2298"/>
    <w:rsid w:val="000B2D7E"/>
    <w:rsid w:val="000B566D"/>
    <w:rsid w:val="000C0CAD"/>
    <w:rsid w:val="000C3AA1"/>
    <w:rsid w:val="000C4899"/>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3F5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76F5"/>
    <w:rsid w:val="001E0DAC"/>
    <w:rsid w:val="001E1311"/>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6D2"/>
    <w:rsid w:val="002A1839"/>
    <w:rsid w:val="002A3BC1"/>
    <w:rsid w:val="002A4261"/>
    <w:rsid w:val="002A4B84"/>
    <w:rsid w:val="002B1C60"/>
    <w:rsid w:val="002B2C54"/>
    <w:rsid w:val="002C0AF6"/>
    <w:rsid w:val="002C2B40"/>
    <w:rsid w:val="002C67C7"/>
    <w:rsid w:val="002C74F7"/>
    <w:rsid w:val="002D152A"/>
    <w:rsid w:val="002D50CF"/>
    <w:rsid w:val="002D6565"/>
    <w:rsid w:val="002E1A22"/>
    <w:rsid w:val="002E2BE2"/>
    <w:rsid w:val="002E37F1"/>
    <w:rsid w:val="002E3EE1"/>
    <w:rsid w:val="002E5ED3"/>
    <w:rsid w:val="002E616F"/>
    <w:rsid w:val="002F0472"/>
    <w:rsid w:val="002F70E9"/>
    <w:rsid w:val="0030038B"/>
    <w:rsid w:val="00300699"/>
    <w:rsid w:val="00302E2F"/>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BCF"/>
    <w:rsid w:val="003A6075"/>
    <w:rsid w:val="003A6415"/>
    <w:rsid w:val="003B0F6C"/>
    <w:rsid w:val="003B1806"/>
    <w:rsid w:val="003B4955"/>
    <w:rsid w:val="003B5BA1"/>
    <w:rsid w:val="003B6E09"/>
    <w:rsid w:val="003C02C4"/>
    <w:rsid w:val="003C3A13"/>
    <w:rsid w:val="003C3A73"/>
    <w:rsid w:val="003C51B3"/>
    <w:rsid w:val="003C5F5C"/>
    <w:rsid w:val="003C7BEB"/>
    <w:rsid w:val="003C7C25"/>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6D92"/>
    <w:rsid w:val="004975C8"/>
    <w:rsid w:val="004A0284"/>
    <w:rsid w:val="004A0C32"/>
    <w:rsid w:val="004A0F67"/>
    <w:rsid w:val="004A4413"/>
    <w:rsid w:val="004A4BD6"/>
    <w:rsid w:val="004A6595"/>
    <w:rsid w:val="004B16A2"/>
    <w:rsid w:val="004B178F"/>
    <w:rsid w:val="004B3835"/>
    <w:rsid w:val="004B39F5"/>
    <w:rsid w:val="004B415E"/>
    <w:rsid w:val="004B687A"/>
    <w:rsid w:val="004C06F2"/>
    <w:rsid w:val="004C2B26"/>
    <w:rsid w:val="004C4648"/>
    <w:rsid w:val="004C64DB"/>
    <w:rsid w:val="004C6D8F"/>
    <w:rsid w:val="004C77DF"/>
    <w:rsid w:val="004D3688"/>
    <w:rsid w:val="004D5A93"/>
    <w:rsid w:val="004E0BC8"/>
    <w:rsid w:val="004E1A6E"/>
    <w:rsid w:val="004E439A"/>
    <w:rsid w:val="004E4EDE"/>
    <w:rsid w:val="004E71DD"/>
    <w:rsid w:val="004F5B5B"/>
    <w:rsid w:val="004F6E9A"/>
    <w:rsid w:val="004F6FA6"/>
    <w:rsid w:val="004F745B"/>
    <w:rsid w:val="004F764E"/>
    <w:rsid w:val="00500C71"/>
    <w:rsid w:val="00501059"/>
    <w:rsid w:val="00502A88"/>
    <w:rsid w:val="005079F6"/>
    <w:rsid w:val="00511532"/>
    <w:rsid w:val="005138D9"/>
    <w:rsid w:val="00513EBA"/>
    <w:rsid w:val="005145B3"/>
    <w:rsid w:val="00514812"/>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DB9"/>
    <w:rsid w:val="00553BFE"/>
    <w:rsid w:val="005608BA"/>
    <w:rsid w:val="00561A58"/>
    <w:rsid w:val="005650EE"/>
    <w:rsid w:val="00566CFA"/>
    <w:rsid w:val="00567BBF"/>
    <w:rsid w:val="00567BD9"/>
    <w:rsid w:val="00571311"/>
    <w:rsid w:val="005715D5"/>
    <w:rsid w:val="00571AF0"/>
    <w:rsid w:val="005746E6"/>
    <w:rsid w:val="0057714E"/>
    <w:rsid w:val="005778CC"/>
    <w:rsid w:val="00580B69"/>
    <w:rsid w:val="00586880"/>
    <w:rsid w:val="00591B6F"/>
    <w:rsid w:val="0059526F"/>
    <w:rsid w:val="0059707C"/>
    <w:rsid w:val="005A37A5"/>
    <w:rsid w:val="005A3805"/>
    <w:rsid w:val="005A4028"/>
    <w:rsid w:val="005A6809"/>
    <w:rsid w:val="005A7EDF"/>
    <w:rsid w:val="005B2620"/>
    <w:rsid w:val="005B6C8C"/>
    <w:rsid w:val="005C2BD4"/>
    <w:rsid w:val="005C4E0D"/>
    <w:rsid w:val="005C5507"/>
    <w:rsid w:val="005C636E"/>
    <w:rsid w:val="005C7192"/>
    <w:rsid w:val="005C76FE"/>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670"/>
    <w:rsid w:val="006B2EE9"/>
    <w:rsid w:val="006B64B8"/>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70EA"/>
    <w:rsid w:val="007E05AB"/>
    <w:rsid w:val="007E0AB6"/>
    <w:rsid w:val="007E443D"/>
    <w:rsid w:val="007E523C"/>
    <w:rsid w:val="007F2871"/>
    <w:rsid w:val="007F3C4C"/>
    <w:rsid w:val="008009B5"/>
    <w:rsid w:val="00802B46"/>
    <w:rsid w:val="00803944"/>
    <w:rsid w:val="00804864"/>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D6F"/>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27BC"/>
    <w:rsid w:val="008E5126"/>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602A3"/>
    <w:rsid w:val="00A61B99"/>
    <w:rsid w:val="00A62694"/>
    <w:rsid w:val="00A63D50"/>
    <w:rsid w:val="00A651A5"/>
    <w:rsid w:val="00A65273"/>
    <w:rsid w:val="00A669EF"/>
    <w:rsid w:val="00A7026F"/>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25A8"/>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385E"/>
    <w:rsid w:val="00BC423A"/>
    <w:rsid w:val="00BC65EF"/>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07304"/>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598F"/>
    <w:rsid w:val="00C65E19"/>
    <w:rsid w:val="00C66D60"/>
    <w:rsid w:val="00C67AB5"/>
    <w:rsid w:val="00C71567"/>
    <w:rsid w:val="00C74AEF"/>
    <w:rsid w:val="00C74FB1"/>
    <w:rsid w:val="00C769B1"/>
    <w:rsid w:val="00C8362F"/>
    <w:rsid w:val="00C8590C"/>
    <w:rsid w:val="00C87351"/>
    <w:rsid w:val="00C90721"/>
    <w:rsid w:val="00C91931"/>
    <w:rsid w:val="00C922E7"/>
    <w:rsid w:val="00C92943"/>
    <w:rsid w:val="00C953AC"/>
    <w:rsid w:val="00C95533"/>
    <w:rsid w:val="00C9706E"/>
    <w:rsid w:val="00CA6D37"/>
    <w:rsid w:val="00CA7733"/>
    <w:rsid w:val="00CA7CFC"/>
    <w:rsid w:val="00CB0155"/>
    <w:rsid w:val="00CB178B"/>
    <w:rsid w:val="00CB1B47"/>
    <w:rsid w:val="00CB43C6"/>
    <w:rsid w:val="00CB6585"/>
    <w:rsid w:val="00CB7971"/>
    <w:rsid w:val="00CC3BC3"/>
    <w:rsid w:val="00CC5455"/>
    <w:rsid w:val="00CC6CDD"/>
    <w:rsid w:val="00CD22BB"/>
    <w:rsid w:val="00CD369F"/>
    <w:rsid w:val="00CD57F7"/>
    <w:rsid w:val="00CD761D"/>
    <w:rsid w:val="00CD77F0"/>
    <w:rsid w:val="00CD79C1"/>
    <w:rsid w:val="00CD7F8B"/>
    <w:rsid w:val="00CE7F17"/>
    <w:rsid w:val="00CF1CDA"/>
    <w:rsid w:val="00CF38A0"/>
    <w:rsid w:val="00CF7D39"/>
    <w:rsid w:val="00D04735"/>
    <w:rsid w:val="00D061FC"/>
    <w:rsid w:val="00D06D1C"/>
    <w:rsid w:val="00D103A1"/>
    <w:rsid w:val="00D166DB"/>
    <w:rsid w:val="00D17CE0"/>
    <w:rsid w:val="00D211EC"/>
    <w:rsid w:val="00D22293"/>
    <w:rsid w:val="00D261C7"/>
    <w:rsid w:val="00D31E77"/>
    <w:rsid w:val="00D32664"/>
    <w:rsid w:val="00D334F9"/>
    <w:rsid w:val="00D340F8"/>
    <w:rsid w:val="00D367DC"/>
    <w:rsid w:val="00D37267"/>
    <w:rsid w:val="00D372F5"/>
    <w:rsid w:val="00D376AF"/>
    <w:rsid w:val="00D40032"/>
    <w:rsid w:val="00D413D3"/>
    <w:rsid w:val="00D44004"/>
    <w:rsid w:val="00D44EA6"/>
    <w:rsid w:val="00D45EF8"/>
    <w:rsid w:val="00D45F40"/>
    <w:rsid w:val="00D47D4A"/>
    <w:rsid w:val="00D514B3"/>
    <w:rsid w:val="00D5175F"/>
    <w:rsid w:val="00D51ADF"/>
    <w:rsid w:val="00D52059"/>
    <w:rsid w:val="00D614F7"/>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4FA"/>
    <w:rsid w:val="00D91D85"/>
    <w:rsid w:val="00D96A40"/>
    <w:rsid w:val="00D975F7"/>
    <w:rsid w:val="00DA0788"/>
    <w:rsid w:val="00DA1966"/>
    <w:rsid w:val="00DA4590"/>
    <w:rsid w:val="00DA623D"/>
    <w:rsid w:val="00DB4C53"/>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9C4"/>
    <w:rsid w:val="00E72E57"/>
    <w:rsid w:val="00E73417"/>
    <w:rsid w:val="00E81591"/>
    <w:rsid w:val="00E81B6C"/>
    <w:rsid w:val="00E828BF"/>
    <w:rsid w:val="00E84BF6"/>
    <w:rsid w:val="00E8733F"/>
    <w:rsid w:val="00E911EA"/>
    <w:rsid w:val="00E913EE"/>
    <w:rsid w:val="00E932DD"/>
    <w:rsid w:val="00E96831"/>
    <w:rsid w:val="00EA4733"/>
    <w:rsid w:val="00EA5E1C"/>
    <w:rsid w:val="00EB0375"/>
    <w:rsid w:val="00EB1D08"/>
    <w:rsid w:val="00EB1E9F"/>
    <w:rsid w:val="00EB31FC"/>
    <w:rsid w:val="00EB4EC6"/>
    <w:rsid w:val="00EC0AF4"/>
    <w:rsid w:val="00EC21CC"/>
    <w:rsid w:val="00EC4006"/>
    <w:rsid w:val="00EC42C6"/>
    <w:rsid w:val="00EC685B"/>
    <w:rsid w:val="00ED3F52"/>
    <w:rsid w:val="00ED4E9B"/>
    <w:rsid w:val="00ED6FEF"/>
    <w:rsid w:val="00ED7711"/>
    <w:rsid w:val="00EE082A"/>
    <w:rsid w:val="00EE0A32"/>
    <w:rsid w:val="00EE1F2F"/>
    <w:rsid w:val="00EE57B7"/>
    <w:rsid w:val="00EE5A6D"/>
    <w:rsid w:val="00EF3F8B"/>
    <w:rsid w:val="00EF49FC"/>
    <w:rsid w:val="00EF70C1"/>
    <w:rsid w:val="00F0702B"/>
    <w:rsid w:val="00F1274A"/>
    <w:rsid w:val="00F12FFE"/>
    <w:rsid w:val="00F14BD2"/>
    <w:rsid w:val="00F15900"/>
    <w:rsid w:val="00F161C8"/>
    <w:rsid w:val="00F21CC5"/>
    <w:rsid w:val="00F22F22"/>
    <w:rsid w:val="00F25FE0"/>
    <w:rsid w:val="00F27029"/>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C01F7"/>
    <w:rsid w:val="00FC352C"/>
    <w:rsid w:val="00FC78B5"/>
    <w:rsid w:val="00FD18B0"/>
    <w:rsid w:val="00FD5019"/>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2AFD13-98E2-4C3B-AE20-22D3FFD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12386</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2023-10-23T12:33:00Z</dcterms:created>
  <dcterms:modified xsi:type="dcterms:W3CDTF">2023-10-23T12:33:00Z</dcterms:modified>
</cp:coreProperties>
</file>