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7821A0" w:rsidRPr="00DB1CBC" w:rsidTr="003A38C2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A0" w:rsidRPr="00520BB4" w:rsidRDefault="007821A0" w:rsidP="007821A0">
            <w:pPr>
              <w:spacing w:line="360" w:lineRule="auto"/>
              <w:jc w:val="right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7821A0" w:rsidRDefault="007821A0" w:rsidP="007821A0">
            <w:pPr>
              <w:spacing w:line="360" w:lineRule="auto"/>
              <w:ind w:right="-101"/>
              <w:jc w:val="right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7821A0" w:rsidRDefault="00BA71DF" w:rsidP="003A38C2">
            <w:pPr>
              <w:jc w:val="center"/>
            </w:pPr>
            <w:r w:rsidRPr="006858A0">
              <w:rPr>
                <w:noProof/>
                <w:lang w:eastAsia="en-US"/>
              </w:rPr>
              <w:drawing>
                <wp:inline distT="0" distB="0" distL="0" distR="0" wp14:anchorId="0F641655" wp14:editId="0DB9782C">
                  <wp:extent cx="887105" cy="887105"/>
                  <wp:effectExtent l="0" t="0" r="8255" b="8255"/>
                  <wp:docPr id="4" name="תמונה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0" cy="8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A0" w:rsidRDefault="007821A0" w:rsidP="00083F09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ירושל</w:t>
            </w:r>
            <w:r w:rsidR="007838A0">
              <w:rPr>
                <w:rFonts w:cs="David" w:hint="cs"/>
                <w:sz w:val="24"/>
                <w:szCs w:val="24"/>
                <w:rtl/>
              </w:rPr>
              <w:t>ים</w:t>
            </w:r>
            <w:r w:rsidR="00643E59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 w:rsidR="00B10B30">
              <w:rPr>
                <w:rFonts w:cs="David" w:hint="cs"/>
                <w:sz w:val="24"/>
                <w:szCs w:val="24"/>
                <w:rtl/>
              </w:rPr>
              <w:t>כ</w:t>
            </w:r>
            <w:r w:rsidR="00083F09">
              <w:rPr>
                <w:rFonts w:cs="David" w:hint="cs"/>
                <w:sz w:val="24"/>
                <w:szCs w:val="24"/>
                <w:rtl/>
              </w:rPr>
              <w:t>"א</w:t>
            </w:r>
            <w:r w:rsidR="00270899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336CE1">
              <w:rPr>
                <w:rFonts w:cs="David" w:hint="cs"/>
                <w:sz w:val="24"/>
                <w:szCs w:val="24"/>
                <w:rtl/>
              </w:rPr>
              <w:t>בכסלו, תשפ"ד</w:t>
            </w:r>
          </w:p>
          <w:p w:rsidR="007821A0" w:rsidRPr="00DF107C" w:rsidRDefault="007821A0" w:rsidP="00083F09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083F09">
              <w:rPr>
                <w:rFonts w:cs="David" w:hint="cs"/>
                <w:sz w:val="24"/>
                <w:szCs w:val="24"/>
                <w:rtl/>
              </w:rPr>
              <w:t>4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B10B30">
              <w:rPr>
                <w:rFonts w:cs="David" w:hint="cs"/>
                <w:sz w:val="24"/>
                <w:szCs w:val="24"/>
                <w:rtl/>
              </w:rPr>
              <w:t>בדצמבר</w:t>
            </w:r>
            <w:r w:rsidR="00336CE1">
              <w:rPr>
                <w:rFonts w:cs="David" w:hint="cs"/>
                <w:sz w:val="24"/>
                <w:szCs w:val="24"/>
                <w:rtl/>
              </w:rPr>
              <w:t xml:space="preserve"> 2023</w:t>
            </w:r>
          </w:p>
        </w:tc>
      </w:tr>
    </w:tbl>
    <w:p w:rsidR="00FE0338" w:rsidRDefault="00FE0338" w:rsidP="00FE0338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9A1E9C" w:rsidRDefault="009A1E9C" w:rsidP="009A1E9C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C04A6B" w:rsidRDefault="007E18EE" w:rsidP="003B0F7C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5E44B1" w:rsidRPr="007D5637" w:rsidRDefault="00B10B30" w:rsidP="00612C38">
      <w:pPr>
        <w:bidi/>
        <w:spacing w:line="360" w:lineRule="auto"/>
        <w:jc w:val="center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המפקח על הבנקים, מר דניאל חחיאשוילי, </w:t>
      </w:r>
      <w:r w:rsidR="00612C38">
        <w:rPr>
          <w:rFonts w:cs="David" w:hint="cs"/>
          <w:b/>
          <w:bCs/>
          <w:sz w:val="28"/>
          <w:szCs w:val="28"/>
          <w:rtl/>
        </w:rPr>
        <w:t>נשא דברים בכנס אונליין</w:t>
      </w:r>
      <w:r>
        <w:rPr>
          <w:rFonts w:cs="David" w:hint="cs"/>
          <w:b/>
          <w:bCs/>
          <w:sz w:val="28"/>
          <w:szCs w:val="28"/>
          <w:rtl/>
        </w:rPr>
        <w:t xml:space="preserve"> בנושא "המערכת הבנקאית: בעת מלחמה וביום שאחרי"</w:t>
      </w:r>
    </w:p>
    <w:p w:rsidR="005E44B1" w:rsidRDefault="005E44B1" w:rsidP="00B10B30">
      <w:pPr>
        <w:autoSpaceDE w:val="0"/>
        <w:autoSpaceDN w:val="0"/>
        <w:bidi/>
        <w:adjustRightInd w:val="0"/>
        <w:spacing w:line="360" w:lineRule="auto"/>
        <w:ind w:left="-1084" w:right="-1276"/>
        <w:rPr>
          <w:rFonts w:ascii="Arial" w:hAnsi="Arial" w:cs="David"/>
          <w:sz w:val="24"/>
          <w:szCs w:val="24"/>
          <w:rtl/>
          <w:lang w:eastAsia="en-US"/>
        </w:rPr>
      </w:pPr>
    </w:p>
    <w:p w:rsidR="005E44B1" w:rsidRDefault="005E44B1" w:rsidP="005E44B1">
      <w:pPr>
        <w:autoSpaceDE w:val="0"/>
        <w:autoSpaceDN w:val="0"/>
        <w:bidi/>
        <w:adjustRightInd w:val="0"/>
        <w:rPr>
          <w:rFonts w:ascii="Arial" w:hAnsi="Arial" w:cs="David"/>
          <w:sz w:val="24"/>
          <w:szCs w:val="24"/>
          <w:rtl/>
          <w:lang w:eastAsia="en-US"/>
        </w:rPr>
      </w:pPr>
    </w:p>
    <w:p w:rsidR="00361D21" w:rsidRDefault="00B10B30" w:rsidP="00361D21">
      <w:pPr>
        <w:bidi/>
        <w:spacing w:line="360" w:lineRule="auto"/>
        <w:jc w:val="both"/>
        <w:rPr>
          <w:rFonts w:ascii="Arial" w:hAnsi="Arial" w:cs="David"/>
          <w:b/>
          <w:bCs/>
          <w:sz w:val="24"/>
          <w:szCs w:val="24"/>
          <w:rtl/>
          <w:lang w:eastAsia="en-US"/>
        </w:rPr>
      </w:pPr>
      <w:r>
        <w:rPr>
          <w:rFonts w:ascii="Arial" w:hAnsi="Arial" w:cs="David" w:hint="cs"/>
          <w:sz w:val="24"/>
          <w:szCs w:val="24"/>
          <w:rtl/>
          <w:lang w:eastAsia="en-US"/>
        </w:rPr>
        <w:t xml:space="preserve">המפקח על הבנקים, מר דניאל חחיאשוילי, </w:t>
      </w:r>
      <w:r w:rsidR="00612C38">
        <w:rPr>
          <w:rFonts w:ascii="Arial" w:hAnsi="Arial" w:cs="David" w:hint="cs"/>
          <w:sz w:val="24"/>
          <w:szCs w:val="24"/>
          <w:rtl/>
          <w:lang w:eastAsia="en-US"/>
        </w:rPr>
        <w:t>נשא דברים</w:t>
      </w:r>
      <w:r>
        <w:rPr>
          <w:rFonts w:ascii="Arial" w:hAnsi="Arial" w:cs="David" w:hint="cs"/>
          <w:sz w:val="24"/>
          <w:szCs w:val="24"/>
          <w:rtl/>
          <w:lang w:eastAsia="en-US"/>
        </w:rPr>
        <w:t xml:space="preserve"> </w:t>
      </w:r>
      <w:r w:rsidR="00361D21" w:rsidRPr="00361D21">
        <w:rPr>
          <w:rFonts w:ascii="Arial" w:hAnsi="Arial" w:cs="David"/>
          <w:sz w:val="24"/>
          <w:szCs w:val="24"/>
          <w:rtl/>
          <w:lang w:eastAsia="en-US"/>
        </w:rPr>
        <w:t>בכנס של מכון ספרא לבנקאות ותיווך פיננסי בפקולטה לניהו</w:t>
      </w:r>
      <w:r w:rsidR="00361D21">
        <w:rPr>
          <w:rFonts w:ascii="Arial" w:hAnsi="Arial" w:cs="David"/>
          <w:sz w:val="24"/>
          <w:szCs w:val="24"/>
          <w:rtl/>
          <w:lang w:eastAsia="en-US"/>
        </w:rPr>
        <w:t>ל ע"ש קולר באוניברסיטת תל אביב</w:t>
      </w:r>
      <w:r w:rsidR="00361D21">
        <w:rPr>
          <w:rFonts w:ascii="Arial" w:hAnsi="Arial" w:cs="David" w:hint="cs"/>
          <w:sz w:val="24"/>
          <w:szCs w:val="24"/>
          <w:rtl/>
          <w:lang w:eastAsia="en-US"/>
        </w:rPr>
        <w:t xml:space="preserve">, </w:t>
      </w:r>
      <w:r w:rsidR="00361D21" w:rsidRPr="00361D21">
        <w:rPr>
          <w:rFonts w:ascii="Arial" w:hAnsi="Arial" w:cs="David"/>
          <w:sz w:val="24"/>
          <w:szCs w:val="24"/>
          <w:rtl/>
          <w:lang w:eastAsia="en-US"/>
        </w:rPr>
        <w:t xml:space="preserve">בנושא </w:t>
      </w:r>
      <w:r w:rsidR="00361D21" w:rsidRPr="00361D21">
        <w:rPr>
          <w:rFonts w:ascii="Arial" w:hAnsi="Arial" w:cs="David"/>
          <w:b/>
          <w:bCs/>
          <w:sz w:val="24"/>
          <w:szCs w:val="24"/>
          <w:rtl/>
          <w:lang w:eastAsia="en-US"/>
        </w:rPr>
        <w:t>"המערכת הבנקאית בעת מלחמה וביום שאחרי"</w:t>
      </w:r>
      <w:r w:rsidR="00361D21">
        <w:rPr>
          <w:rFonts w:ascii="Arial" w:hAnsi="Arial" w:cs="David" w:hint="cs"/>
          <w:b/>
          <w:bCs/>
          <w:sz w:val="24"/>
          <w:szCs w:val="24"/>
          <w:rtl/>
          <w:lang w:eastAsia="en-US"/>
        </w:rPr>
        <w:t>.</w:t>
      </w:r>
    </w:p>
    <w:p w:rsidR="00361D21" w:rsidRPr="00361D21" w:rsidRDefault="00361D21" w:rsidP="00361D21">
      <w:pPr>
        <w:bidi/>
        <w:spacing w:line="360" w:lineRule="auto"/>
        <w:jc w:val="both"/>
        <w:rPr>
          <w:rFonts w:ascii="Arial" w:hAnsi="Arial" w:cs="David"/>
          <w:b/>
          <w:bCs/>
          <w:sz w:val="24"/>
          <w:szCs w:val="24"/>
          <w:rtl/>
          <w:lang w:eastAsia="en-US"/>
        </w:rPr>
      </w:pPr>
    </w:p>
    <w:p w:rsidR="00B10B30" w:rsidRDefault="00612C38" w:rsidP="00612C38">
      <w:pPr>
        <w:bidi/>
        <w:spacing w:line="360" w:lineRule="auto"/>
        <w:jc w:val="both"/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</w:pPr>
      <w:r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בדבריו </w:t>
      </w:r>
      <w:r w:rsidR="00B10B30"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>הציג המפקח על הבנקים את הצעדים השונים בהם נקט הפיקוח על הבנקים במלחמת "חרבות ברזל", וכן את היערכות הפיקוח והמערכת הבנקאית במבט צופה פני עתיד.</w:t>
      </w:r>
    </w:p>
    <w:p w:rsidR="00270E27" w:rsidRDefault="00270E27" w:rsidP="00270E27">
      <w:pPr>
        <w:bidi/>
        <w:spacing w:line="360" w:lineRule="auto"/>
        <w:jc w:val="both"/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</w:pPr>
    </w:p>
    <w:p w:rsidR="00B10B30" w:rsidRDefault="00B10B30" w:rsidP="00F45AEB">
      <w:pPr>
        <w:bidi/>
        <w:spacing w:line="360" w:lineRule="auto"/>
        <w:jc w:val="both"/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</w:pPr>
      <w:r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בין היתר, הציג המפקח נתונים </w:t>
      </w:r>
      <w:r w:rsidR="00612C38"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עדכניים </w:t>
      </w:r>
      <w:r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על דחיית התשלומים שבוצעו בעקבות מתווה הסיוע של בנק ישראל </w:t>
      </w:r>
      <w:r w:rsidRPr="00B10B30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>להקלה על נטל האשראי והעמלות למשקי הבית ולעסקים, שאומץ על ידי הבנקים וחברות כרטיסי האשראי</w:t>
      </w:r>
      <w:r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. מהנתונים עולה כי </w:t>
      </w:r>
      <w:r w:rsidR="00612C38"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עד ל-24.11.23 נדחו </w:t>
      </w:r>
      <w:r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למעלה מ-240 אלף הלוואות, וסך התשלומים שנדחו עומד על </w:t>
      </w:r>
      <w:r>
        <w:rPr>
          <w:rFonts w:ascii="David" w:hAnsi="David" w:cs="David"/>
          <w:color w:val="202122"/>
          <w:sz w:val="24"/>
          <w:szCs w:val="24"/>
          <w:shd w:val="clear" w:color="auto" w:fill="FFFFFF"/>
        </w:rPr>
        <w:t xml:space="preserve">4.9 </w:t>
      </w:r>
      <w:r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 </w:t>
      </w:r>
      <w:r w:rsidR="00612C38"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>מיליארד</w:t>
      </w:r>
      <w:r w:rsidR="00612C38">
        <w:rPr>
          <w:rFonts w:ascii="David" w:hAnsi="David" w:cs="David" w:hint="eastAsia"/>
          <w:color w:val="202122"/>
          <w:sz w:val="24"/>
          <w:szCs w:val="24"/>
          <w:shd w:val="clear" w:color="auto" w:fill="FFFFFF"/>
          <w:rtl/>
        </w:rPr>
        <w:t>י</w:t>
      </w:r>
      <w:r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 </w:t>
      </w:r>
      <w:r w:rsidR="00612C38"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ש"ח, </w:t>
      </w:r>
      <w:r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>מרביתם במגזר העסקי</w:t>
      </w:r>
      <w:r w:rsidR="00083F09"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 (שקף 4 במצגת המצורפת)</w:t>
      </w:r>
      <w:r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>.</w:t>
      </w:r>
    </w:p>
    <w:p w:rsidR="00B10B30" w:rsidRDefault="00B10B30" w:rsidP="00B10B30">
      <w:pPr>
        <w:bidi/>
        <w:spacing w:line="360" w:lineRule="auto"/>
        <w:jc w:val="both"/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</w:pPr>
    </w:p>
    <w:p w:rsidR="00612C38" w:rsidRDefault="00612C38" w:rsidP="000C4453">
      <w:pPr>
        <w:bidi/>
        <w:spacing w:line="360" w:lineRule="auto"/>
        <w:jc w:val="both"/>
        <w:rPr>
          <w:rFonts w:ascii="David" w:hAnsi="David" w:cs="David"/>
          <w:b/>
          <w:bCs/>
          <w:color w:val="202122"/>
          <w:sz w:val="24"/>
          <w:szCs w:val="24"/>
          <w:shd w:val="clear" w:color="auto" w:fill="FFFFFF"/>
          <w:rtl/>
        </w:rPr>
      </w:pPr>
      <w:r>
        <w:rPr>
          <w:rFonts w:ascii="David" w:hAnsi="David" w:cs="David" w:hint="cs"/>
          <w:b/>
          <w:bCs/>
          <w:color w:val="202122"/>
          <w:sz w:val="24"/>
          <w:szCs w:val="24"/>
          <w:shd w:val="clear" w:color="auto" w:fill="FFFFFF"/>
          <w:rtl/>
        </w:rPr>
        <w:t xml:space="preserve">בסיכום דבריו אמר </w:t>
      </w:r>
      <w:r w:rsidR="00B10B30" w:rsidRPr="00B10B30">
        <w:rPr>
          <w:rFonts w:ascii="David" w:hAnsi="David" w:cs="David" w:hint="cs"/>
          <w:b/>
          <w:bCs/>
          <w:color w:val="202122"/>
          <w:sz w:val="24"/>
          <w:szCs w:val="24"/>
          <w:shd w:val="clear" w:color="auto" w:fill="FFFFFF"/>
          <w:rtl/>
        </w:rPr>
        <w:t>המפקח על הבנקים, דניאל חחיאשוילי:</w:t>
      </w:r>
      <w:r w:rsidR="00B10B30">
        <w:rPr>
          <w:rFonts w:ascii="David" w:hAnsi="David" w:cs="David" w:hint="cs"/>
          <w:b/>
          <w:bCs/>
          <w:color w:val="202122"/>
          <w:sz w:val="24"/>
          <w:szCs w:val="24"/>
          <w:shd w:val="clear" w:color="auto" w:fill="FFFFFF"/>
          <w:rtl/>
        </w:rPr>
        <w:t xml:space="preserve"> </w:t>
      </w:r>
    </w:p>
    <w:p w:rsidR="00B10B30" w:rsidRDefault="000C4453" w:rsidP="003531EE">
      <w:pPr>
        <w:bidi/>
        <w:spacing w:line="360" w:lineRule="auto"/>
        <w:jc w:val="both"/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</w:pPr>
      <w:r w:rsidRPr="000C4453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>"מדינת ישראל נמצאת בעיצומה של המלחמה וחוסר הוודאות עדיין גבוה. עם פרוץ האירועים באותה שבת ארורה, הפיקוח על הבנקים פעל במהירות כדי לשמר את הרציפות התפקודית של המערכת</w:t>
      </w:r>
      <w:r w:rsidR="00E4485D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 xml:space="preserve"> הבנקאית, לוודא כי הסיכונים המי</w:t>
      </w:r>
      <w:r w:rsidRPr="000C4453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 xml:space="preserve">דיים מנוהלים </w:t>
      </w:r>
      <w:r w:rsidR="00612C38"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>וניתן</w:t>
      </w:r>
      <w:r w:rsidRPr="000C4453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 xml:space="preserve"> סיוע ראשוני ללקוחות המערכת. איתנותה הפיננסית וחוסנה של המערכת אפשרו את </w:t>
      </w:r>
      <w:r w:rsidR="00612C38" w:rsidRPr="003531EE"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>הרחבת</w:t>
      </w:r>
      <w:r w:rsidR="00612C38"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 </w:t>
      </w:r>
      <w:r w:rsidRPr="000C4453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>צעדי הסיוע לציבור ובראשם את מתווה דחיית התשלומים בהלוואות ובמשכנתאות בדגש על מעגל האוכלוסייה שנפגעה ישירות מהאירועים, וכן את המתווים אליהם נרתמו כלל הגופים במערכת הבנקאית.</w:t>
      </w:r>
      <w:r w:rsidR="00592B47"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 </w:t>
      </w:r>
      <w:r w:rsidRPr="000C4453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>אנו בפיקוח ממשיכים לעקוב אחר ההתפתחויות והשפעות המלחמה, תוך מיקוד בניטור ובניהול הסיכונים וביכולתה של המערכת הבנקאית להמשיך לספק סיוע לציבור ולתמוך במשק ובשיקום שיבוא אחרי המלחמה."</w:t>
      </w:r>
    </w:p>
    <w:p w:rsidR="000C4453" w:rsidRDefault="000C4453" w:rsidP="000C4453">
      <w:pPr>
        <w:bidi/>
        <w:spacing w:line="360" w:lineRule="auto"/>
        <w:jc w:val="both"/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</w:pPr>
    </w:p>
    <w:p w:rsidR="00270E27" w:rsidRDefault="00612C38" w:rsidP="00612C38">
      <w:pPr>
        <w:bidi/>
        <w:spacing w:line="360" w:lineRule="auto"/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</w:pPr>
      <w:r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למצגת </w:t>
      </w:r>
      <w:r w:rsidR="00270E27">
        <w:rPr>
          <w:rFonts w:ascii="David" w:hAnsi="David" w:cs="David" w:hint="cs"/>
          <w:color w:val="202122"/>
          <w:sz w:val="24"/>
          <w:szCs w:val="24"/>
          <w:shd w:val="clear" w:color="auto" w:fill="FFFFFF"/>
          <w:rtl/>
        </w:rPr>
        <w:t xml:space="preserve">אותה הציג המפקח, </w:t>
      </w:r>
      <w:hyperlink r:id="rId9" w:history="1">
        <w:r w:rsidR="00270E27" w:rsidRPr="00514268">
          <w:rPr>
            <w:rStyle w:val="Hyperlink"/>
            <w:rFonts w:ascii="David" w:hAnsi="David" w:cs="David" w:hint="cs"/>
            <w:sz w:val="24"/>
            <w:szCs w:val="24"/>
            <w:shd w:val="clear" w:color="auto" w:fill="FFFFFF"/>
            <w:rtl/>
          </w:rPr>
          <w:t>לחצו כאן</w:t>
        </w:r>
      </w:hyperlink>
    </w:p>
    <w:p w:rsidR="00612C38" w:rsidRDefault="00612C38" w:rsidP="00612C38">
      <w:pPr>
        <w:bidi/>
        <w:spacing w:line="360" w:lineRule="auto"/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</w:pPr>
    </w:p>
    <w:p w:rsidR="00F16555" w:rsidRDefault="00F16555" w:rsidP="00F16555">
      <w:pPr>
        <w:bidi/>
        <w:spacing w:line="360" w:lineRule="auto"/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</w:pPr>
      <w:bookmarkStart w:id="0" w:name="_GoBack"/>
      <w:bookmarkEnd w:id="0"/>
    </w:p>
    <w:p w:rsidR="005E44B1" w:rsidRDefault="005E44B1" w:rsidP="00BB118E">
      <w:pPr>
        <w:pStyle w:val="a9"/>
        <w:spacing w:before="240" w:after="0" w:line="360" w:lineRule="auto"/>
        <w:ind w:left="0" w:right="-180" w:firstLine="0"/>
        <w:jc w:val="left"/>
        <w:rPr>
          <w:sz w:val="24"/>
          <w:rtl/>
        </w:rPr>
      </w:pPr>
    </w:p>
    <w:sectPr w:rsidR="005E44B1" w:rsidSect="00E361B9">
      <w:pgSz w:w="11906" w:h="16838"/>
      <w:pgMar w:top="1440" w:right="1558" w:bottom="1440" w:left="1701" w:header="709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D4" w:rsidRDefault="00C06AD4" w:rsidP="00C04A6B">
      <w:r>
        <w:separator/>
      </w:r>
    </w:p>
  </w:endnote>
  <w:endnote w:type="continuationSeparator" w:id="0">
    <w:p w:rsidR="00C06AD4" w:rsidRDefault="00C06AD4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D4" w:rsidRDefault="00C06AD4" w:rsidP="00C04A6B">
      <w:r>
        <w:separator/>
      </w:r>
    </w:p>
  </w:footnote>
  <w:footnote w:type="continuationSeparator" w:id="0">
    <w:p w:rsidR="00C06AD4" w:rsidRDefault="00C06AD4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16D86"/>
    <w:rsid w:val="00025748"/>
    <w:rsid w:val="00044583"/>
    <w:rsid w:val="00054690"/>
    <w:rsid w:val="00067C49"/>
    <w:rsid w:val="000749DF"/>
    <w:rsid w:val="00081BCE"/>
    <w:rsid w:val="00083F09"/>
    <w:rsid w:val="000A3EB8"/>
    <w:rsid w:val="000A69F2"/>
    <w:rsid w:val="000C4453"/>
    <w:rsid w:val="000E26FD"/>
    <w:rsid w:val="000E577B"/>
    <w:rsid w:val="00100FEE"/>
    <w:rsid w:val="00115A82"/>
    <w:rsid w:val="00116E24"/>
    <w:rsid w:val="001430B1"/>
    <w:rsid w:val="00177686"/>
    <w:rsid w:val="00180E8A"/>
    <w:rsid w:val="001853BC"/>
    <w:rsid w:val="001914BC"/>
    <w:rsid w:val="001B4567"/>
    <w:rsid w:val="001B5E0C"/>
    <w:rsid w:val="001C0337"/>
    <w:rsid w:val="001D0950"/>
    <w:rsid w:val="001D7646"/>
    <w:rsid w:val="001E5A00"/>
    <w:rsid w:val="002159D7"/>
    <w:rsid w:val="00225A9F"/>
    <w:rsid w:val="002409CC"/>
    <w:rsid w:val="002438E2"/>
    <w:rsid w:val="00245852"/>
    <w:rsid w:val="00257238"/>
    <w:rsid w:val="002630B7"/>
    <w:rsid w:val="00270899"/>
    <w:rsid w:val="00270E27"/>
    <w:rsid w:val="002B3FB0"/>
    <w:rsid w:val="002C05F8"/>
    <w:rsid w:val="002D510A"/>
    <w:rsid w:val="00301815"/>
    <w:rsid w:val="0031161D"/>
    <w:rsid w:val="00336CE1"/>
    <w:rsid w:val="003531EE"/>
    <w:rsid w:val="003537B9"/>
    <w:rsid w:val="003565BE"/>
    <w:rsid w:val="00361D21"/>
    <w:rsid w:val="003810D6"/>
    <w:rsid w:val="003901E0"/>
    <w:rsid w:val="00397040"/>
    <w:rsid w:val="003A4EDC"/>
    <w:rsid w:val="003B0F7C"/>
    <w:rsid w:val="003B1E98"/>
    <w:rsid w:val="003B5DE7"/>
    <w:rsid w:val="003D651A"/>
    <w:rsid w:val="003E1A3C"/>
    <w:rsid w:val="0041690A"/>
    <w:rsid w:val="00417FB6"/>
    <w:rsid w:val="00420F93"/>
    <w:rsid w:val="00421F80"/>
    <w:rsid w:val="00441E07"/>
    <w:rsid w:val="0044713E"/>
    <w:rsid w:val="00454AEA"/>
    <w:rsid w:val="004625EB"/>
    <w:rsid w:val="0047627F"/>
    <w:rsid w:val="004A5826"/>
    <w:rsid w:val="004A6285"/>
    <w:rsid w:val="004A73B5"/>
    <w:rsid w:val="004B11CB"/>
    <w:rsid w:val="004B5D8D"/>
    <w:rsid w:val="004E23AC"/>
    <w:rsid w:val="004F06E0"/>
    <w:rsid w:val="00500487"/>
    <w:rsid w:val="00502068"/>
    <w:rsid w:val="00504F3E"/>
    <w:rsid w:val="00514268"/>
    <w:rsid w:val="00515549"/>
    <w:rsid w:val="00520BB4"/>
    <w:rsid w:val="00586D88"/>
    <w:rsid w:val="00592B47"/>
    <w:rsid w:val="005A6603"/>
    <w:rsid w:val="005E3E7E"/>
    <w:rsid w:val="005E44B1"/>
    <w:rsid w:val="005E684E"/>
    <w:rsid w:val="00612C38"/>
    <w:rsid w:val="00614095"/>
    <w:rsid w:val="006333F0"/>
    <w:rsid w:val="0064287F"/>
    <w:rsid w:val="00643E59"/>
    <w:rsid w:val="00651CB7"/>
    <w:rsid w:val="00661ADC"/>
    <w:rsid w:val="00697C60"/>
    <w:rsid w:val="006A5068"/>
    <w:rsid w:val="006C01FB"/>
    <w:rsid w:val="006C2627"/>
    <w:rsid w:val="006C2B75"/>
    <w:rsid w:val="006D69B6"/>
    <w:rsid w:val="00702DCE"/>
    <w:rsid w:val="00706E3E"/>
    <w:rsid w:val="00734E29"/>
    <w:rsid w:val="00746319"/>
    <w:rsid w:val="00762D5A"/>
    <w:rsid w:val="007821A0"/>
    <w:rsid w:val="007838A0"/>
    <w:rsid w:val="007B074A"/>
    <w:rsid w:val="007B6976"/>
    <w:rsid w:val="007C084B"/>
    <w:rsid w:val="007C1DF6"/>
    <w:rsid w:val="007D5637"/>
    <w:rsid w:val="007E18EE"/>
    <w:rsid w:val="007F013B"/>
    <w:rsid w:val="007F33F0"/>
    <w:rsid w:val="007F46D2"/>
    <w:rsid w:val="00803CA5"/>
    <w:rsid w:val="0082040A"/>
    <w:rsid w:val="008247BF"/>
    <w:rsid w:val="00826810"/>
    <w:rsid w:val="00833E17"/>
    <w:rsid w:val="00837763"/>
    <w:rsid w:val="00852D44"/>
    <w:rsid w:val="0086043A"/>
    <w:rsid w:val="0086316E"/>
    <w:rsid w:val="0086330B"/>
    <w:rsid w:val="00872445"/>
    <w:rsid w:val="00881EF7"/>
    <w:rsid w:val="008928BC"/>
    <w:rsid w:val="008B1A7A"/>
    <w:rsid w:val="008B55E9"/>
    <w:rsid w:val="008B5665"/>
    <w:rsid w:val="008C6932"/>
    <w:rsid w:val="008D1016"/>
    <w:rsid w:val="0090345A"/>
    <w:rsid w:val="009148A4"/>
    <w:rsid w:val="00923E37"/>
    <w:rsid w:val="009405F2"/>
    <w:rsid w:val="00961EFC"/>
    <w:rsid w:val="00971760"/>
    <w:rsid w:val="00971DC3"/>
    <w:rsid w:val="00972F89"/>
    <w:rsid w:val="009818C2"/>
    <w:rsid w:val="009A1E9C"/>
    <w:rsid w:val="009B71E4"/>
    <w:rsid w:val="009C16BD"/>
    <w:rsid w:val="009F7092"/>
    <w:rsid w:val="00A13688"/>
    <w:rsid w:val="00A15F57"/>
    <w:rsid w:val="00A36F4F"/>
    <w:rsid w:val="00A421B0"/>
    <w:rsid w:val="00A57161"/>
    <w:rsid w:val="00A6707D"/>
    <w:rsid w:val="00AA51B0"/>
    <w:rsid w:val="00AA7ED7"/>
    <w:rsid w:val="00AB409F"/>
    <w:rsid w:val="00AC2075"/>
    <w:rsid w:val="00AD759C"/>
    <w:rsid w:val="00AE0581"/>
    <w:rsid w:val="00AE591E"/>
    <w:rsid w:val="00B01CCC"/>
    <w:rsid w:val="00B058F3"/>
    <w:rsid w:val="00B10B30"/>
    <w:rsid w:val="00B2503D"/>
    <w:rsid w:val="00B3073E"/>
    <w:rsid w:val="00B42488"/>
    <w:rsid w:val="00B45A8A"/>
    <w:rsid w:val="00B468A3"/>
    <w:rsid w:val="00B77C1D"/>
    <w:rsid w:val="00B84BD7"/>
    <w:rsid w:val="00B87699"/>
    <w:rsid w:val="00BA71DF"/>
    <w:rsid w:val="00BB118E"/>
    <w:rsid w:val="00BC41DB"/>
    <w:rsid w:val="00BC5A6D"/>
    <w:rsid w:val="00BC6822"/>
    <w:rsid w:val="00BD1510"/>
    <w:rsid w:val="00BD5207"/>
    <w:rsid w:val="00BE235C"/>
    <w:rsid w:val="00BE49A2"/>
    <w:rsid w:val="00C04A6B"/>
    <w:rsid w:val="00C06AD4"/>
    <w:rsid w:val="00C154E3"/>
    <w:rsid w:val="00C22C24"/>
    <w:rsid w:val="00C25BC9"/>
    <w:rsid w:val="00C25C1C"/>
    <w:rsid w:val="00C34BDB"/>
    <w:rsid w:val="00C42006"/>
    <w:rsid w:val="00C45C9C"/>
    <w:rsid w:val="00C656C3"/>
    <w:rsid w:val="00C84B20"/>
    <w:rsid w:val="00CB1B2B"/>
    <w:rsid w:val="00CB5842"/>
    <w:rsid w:val="00CE1E5F"/>
    <w:rsid w:val="00D15A8B"/>
    <w:rsid w:val="00D36C43"/>
    <w:rsid w:val="00D3721C"/>
    <w:rsid w:val="00D75B4E"/>
    <w:rsid w:val="00D81EC3"/>
    <w:rsid w:val="00D87DC1"/>
    <w:rsid w:val="00D969AD"/>
    <w:rsid w:val="00DA50ED"/>
    <w:rsid w:val="00DC22F3"/>
    <w:rsid w:val="00DD5923"/>
    <w:rsid w:val="00DE121E"/>
    <w:rsid w:val="00E05BDC"/>
    <w:rsid w:val="00E361B9"/>
    <w:rsid w:val="00E4485D"/>
    <w:rsid w:val="00E72A42"/>
    <w:rsid w:val="00E85E11"/>
    <w:rsid w:val="00EA052D"/>
    <w:rsid w:val="00EA18E7"/>
    <w:rsid w:val="00EA3035"/>
    <w:rsid w:val="00EC2F7F"/>
    <w:rsid w:val="00ED153D"/>
    <w:rsid w:val="00ED320C"/>
    <w:rsid w:val="00ED5B1D"/>
    <w:rsid w:val="00EE0C50"/>
    <w:rsid w:val="00EF5DC9"/>
    <w:rsid w:val="00F13573"/>
    <w:rsid w:val="00F16555"/>
    <w:rsid w:val="00F21AC9"/>
    <w:rsid w:val="00F36470"/>
    <w:rsid w:val="00F45AEB"/>
    <w:rsid w:val="00F75061"/>
    <w:rsid w:val="00F9318B"/>
    <w:rsid w:val="00F96916"/>
    <w:rsid w:val="00FA0AA7"/>
    <w:rsid w:val="00FA2BB4"/>
    <w:rsid w:val="00FA6219"/>
    <w:rsid w:val="00FD4DC2"/>
    <w:rsid w:val="00FD69E8"/>
    <w:rsid w:val="00FE0338"/>
    <w:rsid w:val="00FE034E"/>
    <w:rsid w:val="00FF2C59"/>
    <w:rsid w:val="00FF321A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817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4">
    <w:name w:val="heading 4"/>
    <w:basedOn w:val="a"/>
    <w:next w:val="a"/>
    <w:link w:val="40"/>
    <w:qFormat/>
    <w:rsid w:val="00520BB4"/>
    <w:pPr>
      <w:keepNext/>
      <w:jc w:val="center"/>
      <w:outlineLvl w:val="3"/>
    </w:pPr>
    <w:rPr>
      <w:rFonts w:cs="David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rsid w:val="00520BB4"/>
    <w:rPr>
      <w:rFonts w:ascii="Times New Roman" w:eastAsia="Times New Roman" w:hAnsi="Times New Roman" w:cs="David"/>
      <w:b/>
      <w:bCs/>
      <w:color w:val="000000"/>
      <w:spacing w:val="-4"/>
      <w:sz w:val="28"/>
      <w:szCs w:val="28"/>
      <w:u w:val="single"/>
      <w:lang w:eastAsia="he-IL"/>
    </w:rPr>
  </w:style>
  <w:style w:type="paragraph" w:styleId="a9">
    <w:name w:val="Block Text"/>
    <w:basedOn w:val="a"/>
    <w:rsid w:val="00520BB4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character" w:styleId="Hyperlink">
    <w:name w:val="Hyperlink"/>
    <w:rsid w:val="00520BB4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B118E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ab">
    <w:name w:val="טקסט הערת שוליים תו"/>
    <w:basedOn w:val="a0"/>
    <w:link w:val="aa"/>
    <w:uiPriority w:val="99"/>
    <w:semiHidden/>
    <w:rsid w:val="00BB118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unhideWhenUsed/>
    <w:rsid w:val="00BB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K:\Dover\7-12%202023\&#1492;&#1508;&#1497;&#1511;&#1493;&#1495;%20&#1506;&#1500;%20&#1492;&#1489;&#1504;&#1511;&#1497;&#1501;\&#1502;&#1510;&#1490;&#1514;%20&#1492;&#1502;&#1508;&#1511;&#1495;%20&#1493;&#1493;&#1489;&#1497;&#1504;&#1512;%20&#1488;&#1493;&#1504;%20&#1514;&#1488;.pp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47E4-79C8-48EF-91EE-2CC411E0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2023-12-04T06:38:00Z</dcterms:created>
  <dcterms:modified xsi:type="dcterms:W3CDTF">2023-12-04T07:21:00Z</dcterms:modified>
</cp:coreProperties>
</file>