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bidiVisual/>
        <w:tblW w:w="0" w:type="auto"/>
        <w:jc w:val="center"/>
        <w:tblLayout w:type="fixed"/>
        <w:tblLook w:val="0000" w:firstRow="0" w:lastRow="0" w:firstColumn="0" w:lastColumn="0" w:noHBand="0" w:noVBand="0"/>
        <w:tblCaption w:val="כותרת"/>
        <w:tblDescription w:val="כותרת"/>
      </w:tblPr>
      <w:tblGrid>
        <w:gridCol w:w="2840"/>
        <w:gridCol w:w="2840"/>
        <w:gridCol w:w="2840"/>
      </w:tblGrid>
      <w:tr w:rsidR="001F727D" w:rsidRPr="00A30D43" w:rsidTr="00BA6B50">
        <w:trPr>
          <w:jc w:val="center"/>
        </w:trPr>
        <w:tc>
          <w:tcPr>
            <w:tcW w:w="2840" w:type="dxa"/>
            <w:tcBorders>
              <w:top w:val="nil"/>
              <w:left w:val="nil"/>
              <w:bottom w:val="nil"/>
              <w:right w:val="nil"/>
            </w:tcBorders>
            <w:vAlign w:val="center"/>
          </w:tcPr>
          <w:p w:rsidR="001F727D" w:rsidRPr="00A30D43" w:rsidRDefault="001F727D" w:rsidP="00BA6B50">
            <w:pPr>
              <w:jc w:val="center"/>
              <w:rPr>
                <w:rFonts w:ascii="Arial" w:hAnsi="Arial" w:cs="David"/>
                <w:b/>
                <w:bCs/>
                <w:sz w:val="28"/>
                <w:szCs w:val="28"/>
              </w:rPr>
            </w:pPr>
            <w:r w:rsidRPr="00A30D43">
              <w:rPr>
                <w:rFonts w:ascii="Arial" w:hAnsi="Arial" w:cs="David"/>
                <w:b/>
                <w:bCs/>
                <w:sz w:val="28"/>
                <w:szCs w:val="28"/>
                <w:rtl/>
              </w:rPr>
              <w:t>בנק ישראל</w:t>
            </w:r>
          </w:p>
          <w:p w:rsidR="001F727D" w:rsidRPr="00A30D43" w:rsidRDefault="001F727D" w:rsidP="00BA6B50">
            <w:pPr>
              <w:jc w:val="center"/>
              <w:rPr>
                <w:rFonts w:ascii="Arial" w:hAnsi="Arial" w:cs="David"/>
                <w:sz w:val="24"/>
              </w:rPr>
            </w:pPr>
            <w:r w:rsidRPr="00A30D43">
              <w:rPr>
                <w:rFonts w:ascii="Arial" w:hAnsi="Arial" w:cs="David"/>
                <w:sz w:val="24"/>
                <w:rtl/>
              </w:rPr>
              <w:t>דוברות והסברה כלכלית</w:t>
            </w:r>
          </w:p>
        </w:tc>
        <w:tc>
          <w:tcPr>
            <w:tcW w:w="2840" w:type="dxa"/>
            <w:tcBorders>
              <w:top w:val="nil"/>
              <w:left w:val="nil"/>
              <w:bottom w:val="nil"/>
              <w:right w:val="nil"/>
            </w:tcBorders>
          </w:tcPr>
          <w:p w:rsidR="001F727D" w:rsidRPr="00A30D43" w:rsidRDefault="001F727D" w:rsidP="00BA6B50">
            <w:pPr>
              <w:jc w:val="center"/>
              <w:rPr>
                <w:rFonts w:ascii="Arial" w:hAnsi="Arial" w:cs="David"/>
              </w:rPr>
            </w:pPr>
            <w:r w:rsidRPr="00A30D43">
              <w:rPr>
                <w:rFonts w:cs="David"/>
                <w:noProof/>
              </w:rPr>
              <w:drawing>
                <wp:inline distT="0" distB="0" distL="0" distR="0" wp14:anchorId="6F1AC69E" wp14:editId="71429C59">
                  <wp:extent cx="734291" cy="734291"/>
                  <wp:effectExtent l="0" t="0" r="8890" b="8890"/>
                  <wp:docPr id="5" name="Picture 4" descr="לוגו בנק ישראל" title="לוגו בנק ישרא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rtals\DavWWWRoot\sites\boi\about\Mitug\DocList\Logo Bank of Israel 2 color\Logo Bank of Israel 2 color.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36708" cy="736708"/>
                          </a:xfrm>
                          <a:prstGeom prst="rect">
                            <a:avLst/>
                          </a:prstGeom>
                          <a:noFill/>
                          <a:ln>
                            <a:noFill/>
                          </a:ln>
                        </pic:spPr>
                      </pic:pic>
                    </a:graphicData>
                  </a:graphic>
                </wp:inline>
              </w:drawing>
            </w:r>
          </w:p>
        </w:tc>
        <w:tc>
          <w:tcPr>
            <w:tcW w:w="2840" w:type="dxa"/>
            <w:tcBorders>
              <w:top w:val="nil"/>
              <w:left w:val="nil"/>
              <w:bottom w:val="nil"/>
              <w:right w:val="nil"/>
            </w:tcBorders>
            <w:vAlign w:val="center"/>
          </w:tcPr>
          <w:p w:rsidR="001F727D" w:rsidRPr="00A30D43" w:rsidRDefault="001F727D" w:rsidP="001F727D">
            <w:pPr>
              <w:spacing w:line="480" w:lineRule="auto"/>
              <w:jc w:val="right"/>
              <w:rPr>
                <w:rFonts w:ascii="Arial" w:hAnsi="Arial" w:cs="David"/>
                <w:sz w:val="24"/>
              </w:rPr>
            </w:pPr>
            <w:r w:rsidRPr="00A30D43">
              <w:rPr>
                <w:rFonts w:ascii="Arial" w:hAnsi="Arial" w:cs="David"/>
                <w:sz w:val="24"/>
                <w:rtl/>
              </w:rPr>
              <w:t xml:space="preserve">ירושלים, </w:t>
            </w:r>
            <w:r>
              <w:rPr>
                <w:rFonts w:ascii="Arial" w:hAnsi="Arial" w:cs="David" w:hint="cs"/>
                <w:sz w:val="24"/>
                <w:rtl/>
              </w:rPr>
              <w:t xml:space="preserve">י"א </w:t>
            </w:r>
            <w:r>
              <w:rPr>
                <w:rFonts w:ascii="Arial" w:hAnsi="Arial" w:cs="David" w:hint="cs"/>
                <w:sz w:val="24"/>
                <w:rtl/>
              </w:rPr>
              <w:t>בניסן</w:t>
            </w:r>
            <w:r w:rsidRPr="00A30D43">
              <w:rPr>
                <w:rFonts w:ascii="Arial" w:hAnsi="Arial" w:cs="David" w:hint="cs"/>
                <w:sz w:val="24"/>
                <w:rtl/>
              </w:rPr>
              <w:t xml:space="preserve"> </w:t>
            </w:r>
            <w:r>
              <w:rPr>
                <w:rFonts w:ascii="Arial" w:hAnsi="Arial" w:cs="David"/>
                <w:sz w:val="24"/>
                <w:rtl/>
              </w:rPr>
              <w:t>תש</w:t>
            </w:r>
            <w:r>
              <w:rPr>
                <w:rFonts w:ascii="Arial" w:hAnsi="Arial" w:cs="David" w:hint="cs"/>
                <w:sz w:val="24"/>
                <w:rtl/>
              </w:rPr>
              <w:t>פ"א</w:t>
            </w:r>
          </w:p>
          <w:p w:rsidR="001F727D" w:rsidRPr="00A30D43" w:rsidRDefault="001F727D" w:rsidP="001F727D">
            <w:pPr>
              <w:spacing w:line="480" w:lineRule="auto"/>
              <w:jc w:val="right"/>
              <w:rPr>
                <w:rFonts w:ascii="Arial" w:hAnsi="Arial" w:cs="David"/>
                <w:sz w:val="24"/>
              </w:rPr>
            </w:pPr>
            <w:r w:rsidRPr="00A30D43">
              <w:rPr>
                <w:rFonts w:ascii="Arial" w:hAnsi="Arial" w:cs="David"/>
                <w:sz w:val="24"/>
                <w:highlight w:val="yellow"/>
                <w:rtl/>
              </w:rPr>
              <w:t>‏‏</w:t>
            </w:r>
            <w:r>
              <w:rPr>
                <w:rFonts w:ascii="Arial" w:hAnsi="Arial" w:cs="David" w:hint="cs"/>
                <w:sz w:val="24"/>
                <w:rtl/>
              </w:rPr>
              <w:t>2</w:t>
            </w:r>
            <w:r>
              <w:rPr>
                <w:rFonts w:ascii="Arial" w:hAnsi="Arial" w:cs="David" w:hint="cs"/>
                <w:sz w:val="24"/>
                <w:rtl/>
              </w:rPr>
              <w:t>4</w:t>
            </w:r>
            <w:r w:rsidRPr="00A30D43">
              <w:rPr>
                <w:rFonts w:ascii="Arial" w:hAnsi="Arial" w:cs="David" w:hint="cs"/>
                <w:sz w:val="24"/>
                <w:rtl/>
              </w:rPr>
              <w:t xml:space="preserve"> במרץ 2</w:t>
            </w:r>
            <w:r>
              <w:rPr>
                <w:rFonts w:ascii="Arial" w:hAnsi="Arial" w:cs="David" w:hint="cs"/>
                <w:sz w:val="24"/>
                <w:rtl/>
              </w:rPr>
              <w:t>021</w:t>
            </w:r>
          </w:p>
        </w:tc>
      </w:tr>
    </w:tbl>
    <w:p w:rsidR="001F727D" w:rsidRPr="00A30D43" w:rsidRDefault="001F727D" w:rsidP="001F727D">
      <w:pPr>
        <w:ind w:right="-101"/>
        <w:rPr>
          <w:rFonts w:ascii="Arial" w:hAnsi="Arial" w:cs="David"/>
          <w:sz w:val="24"/>
          <w:rtl/>
        </w:rPr>
      </w:pPr>
      <w:r w:rsidRPr="00A30D43">
        <w:rPr>
          <w:rFonts w:ascii="Arial" w:hAnsi="Arial" w:cs="David"/>
          <w:sz w:val="24"/>
          <w:rtl/>
        </w:rPr>
        <w:t>הודעה לעיתונות:</w:t>
      </w:r>
    </w:p>
    <w:p w:rsidR="001F727D" w:rsidRDefault="001F727D" w:rsidP="001F727D">
      <w:pPr>
        <w:autoSpaceDE w:val="0"/>
        <w:autoSpaceDN w:val="0"/>
        <w:adjustRightInd w:val="0"/>
        <w:spacing w:after="0" w:line="240" w:lineRule="auto"/>
        <w:jc w:val="center"/>
        <w:rPr>
          <w:rFonts w:ascii="David-Bold" w:cs="David"/>
          <w:sz w:val="28"/>
          <w:rtl/>
        </w:rPr>
      </w:pPr>
      <w:r>
        <w:rPr>
          <w:rFonts w:ascii="David-Bold" w:cs="David" w:hint="cs"/>
          <w:sz w:val="28"/>
          <w:rtl/>
        </w:rPr>
        <w:t xml:space="preserve">קטע </w:t>
      </w:r>
      <w:r w:rsidRPr="002B2EB4">
        <w:rPr>
          <w:rFonts w:ascii="David-Bold" w:cs="David" w:hint="cs"/>
          <w:sz w:val="28"/>
          <w:rtl/>
        </w:rPr>
        <w:t>מתוך דוח בנק ישראל לשנת 20</w:t>
      </w:r>
      <w:r>
        <w:rPr>
          <w:rFonts w:ascii="David-Bold" w:cs="David" w:hint="cs"/>
          <w:sz w:val="28"/>
          <w:rtl/>
        </w:rPr>
        <w:t>20</w:t>
      </w:r>
      <w:r w:rsidRPr="002B2EB4">
        <w:rPr>
          <w:rFonts w:ascii="David-Bold" w:cs="David" w:hint="cs"/>
          <w:sz w:val="28"/>
          <w:rtl/>
        </w:rPr>
        <w:t>:</w:t>
      </w:r>
    </w:p>
    <w:p w:rsidR="001F727D" w:rsidRDefault="001F727D" w:rsidP="003C538E">
      <w:pPr>
        <w:pStyle w:val="af2"/>
        <w:rPr>
          <w:rFonts w:ascii="David" w:hAnsi="David" w:cs="David"/>
          <w:sz w:val="28"/>
          <w:szCs w:val="28"/>
          <w:u w:val="none"/>
          <w:rtl/>
        </w:rPr>
      </w:pPr>
    </w:p>
    <w:p w:rsidR="001F727D" w:rsidRPr="001F727D" w:rsidRDefault="003C538E" w:rsidP="001F727D">
      <w:pPr>
        <w:pStyle w:val="af2"/>
        <w:rPr>
          <w:rFonts w:ascii="David" w:hAnsi="David" w:cs="David"/>
          <w:sz w:val="28"/>
          <w:szCs w:val="28"/>
          <w:u w:val="none"/>
          <w:rtl/>
        </w:rPr>
      </w:pPr>
      <w:bookmarkStart w:id="0" w:name="_GoBack"/>
      <w:r w:rsidRPr="001F727D">
        <w:rPr>
          <w:rFonts w:ascii="David" w:hAnsi="David" w:cs="David"/>
          <w:sz w:val="28"/>
          <w:szCs w:val="28"/>
          <w:u w:val="none"/>
          <w:rtl/>
        </w:rPr>
        <w:t>משיכות ממוצרי החיסכון השונים בתקופות משבר</w:t>
      </w:r>
    </w:p>
    <w:bookmarkEnd w:id="0"/>
    <w:p w:rsidR="003C538E" w:rsidRPr="00C0158A" w:rsidRDefault="003C538E" w:rsidP="003C538E">
      <w:pPr>
        <w:pStyle w:val="af2"/>
        <w:numPr>
          <w:ilvl w:val="0"/>
          <w:numId w:val="1"/>
        </w:numPr>
        <w:spacing w:after="0"/>
        <w:jc w:val="both"/>
        <w:rPr>
          <w:rFonts w:ascii="David" w:hAnsi="David" w:cs="David"/>
          <w:b w:val="0"/>
          <w:bCs w:val="0"/>
          <w:sz w:val="24"/>
          <w:u w:val="none"/>
          <w:rtl/>
        </w:rPr>
      </w:pPr>
      <w:r w:rsidRPr="00C0158A">
        <w:rPr>
          <w:rFonts w:ascii="David" w:hAnsi="David" w:cs="David"/>
          <w:b w:val="0"/>
          <w:bCs w:val="0"/>
          <w:sz w:val="24"/>
          <w:u w:val="none"/>
          <w:rtl/>
        </w:rPr>
        <w:t>המשיכה של חסכונות מהגופים המוסדיים במהלך שנת 2020 התרכזה בעיקר בחודש מרץ, בתחילתו של משבר הקורונה.</w:t>
      </w:r>
    </w:p>
    <w:p w:rsidR="003C538E" w:rsidRPr="00C0158A" w:rsidRDefault="003C538E" w:rsidP="003666E9">
      <w:pPr>
        <w:pStyle w:val="af8"/>
        <w:numPr>
          <w:ilvl w:val="0"/>
          <w:numId w:val="1"/>
        </w:numPr>
        <w:spacing w:after="0"/>
        <w:rPr>
          <w:rFonts w:ascii="David" w:hAnsi="David" w:cs="David"/>
          <w:sz w:val="24"/>
        </w:rPr>
      </w:pPr>
      <w:r w:rsidRPr="00C0158A">
        <w:rPr>
          <w:rFonts w:ascii="David" w:hAnsi="David" w:cs="David"/>
          <w:sz w:val="24"/>
          <w:rtl/>
        </w:rPr>
        <w:t>גובה המשיכות תלוי במוצר החיסכון: ככל שהטבות המס במוצר משמעותיות יותר</w:t>
      </w:r>
      <w:r>
        <w:rPr>
          <w:rFonts w:ascii="David" w:hAnsi="David" w:cs="David" w:hint="cs"/>
          <w:sz w:val="24"/>
          <w:rtl/>
        </w:rPr>
        <w:t>,</w:t>
      </w:r>
      <w:r w:rsidRPr="00C0158A">
        <w:rPr>
          <w:rFonts w:ascii="David" w:hAnsi="David" w:cs="David"/>
          <w:sz w:val="24"/>
          <w:rtl/>
        </w:rPr>
        <w:t xml:space="preserve"> ורמת נזילותו נמוכה יותר, שיעור המשיכה קטן יותר. כך בקרנות הפנסיה החדשות לא הי</w:t>
      </w:r>
      <w:r w:rsidR="003666E9">
        <w:rPr>
          <w:rFonts w:ascii="David" w:hAnsi="David" w:cs="David"/>
          <w:sz w:val="24"/>
          <w:rtl/>
        </w:rPr>
        <w:t>ו משיכות חריגות לאורך כל התקופה</w:t>
      </w:r>
      <w:r w:rsidRPr="00C0158A">
        <w:rPr>
          <w:rFonts w:ascii="David" w:hAnsi="David" w:cs="David"/>
          <w:sz w:val="24"/>
          <w:rtl/>
        </w:rPr>
        <w:t xml:space="preserve">. לעומתן בקרנות הנאמנות שיעור המשיכה במרץ היה גבוה, ונצפו משיכות מכל מסלולי ההשקעה. </w:t>
      </w:r>
    </w:p>
    <w:p w:rsidR="003C538E" w:rsidRPr="003C538E" w:rsidRDefault="003C538E" w:rsidP="003C538E">
      <w:pPr>
        <w:pStyle w:val="af8"/>
        <w:numPr>
          <w:ilvl w:val="0"/>
          <w:numId w:val="1"/>
        </w:numPr>
        <w:spacing w:after="0"/>
        <w:rPr>
          <w:rFonts w:ascii="David" w:hAnsi="David" w:cs="David"/>
          <w:sz w:val="24"/>
        </w:rPr>
      </w:pPr>
      <w:r w:rsidRPr="00C0158A">
        <w:rPr>
          <w:rFonts w:ascii="David" w:hAnsi="David" w:cs="David"/>
          <w:sz w:val="24"/>
          <w:rtl/>
        </w:rPr>
        <w:t xml:space="preserve">בקופות הגמל וקרנות ההשתלמות, לצד שיעור משיכה נמוך, נצפו העברות משמעותיות למסלולים </w:t>
      </w:r>
      <w:r w:rsidRPr="003C538E">
        <w:rPr>
          <w:rFonts w:ascii="David" w:hAnsi="David" w:cs="David"/>
          <w:sz w:val="24"/>
          <w:rtl/>
        </w:rPr>
        <w:t xml:space="preserve">סולידיים. </w:t>
      </w:r>
      <w:r w:rsidRPr="003C538E">
        <w:rPr>
          <w:rFonts w:ascii="David" w:hAnsi="David" w:cs="David" w:hint="eastAsia"/>
          <w:sz w:val="24"/>
          <w:rtl/>
        </w:rPr>
        <w:t>בדיעבד</w:t>
      </w:r>
      <w:r w:rsidRPr="003C538E">
        <w:rPr>
          <w:rFonts w:ascii="David" w:hAnsi="David" w:cs="David" w:hint="cs"/>
          <w:sz w:val="24"/>
          <w:rtl/>
        </w:rPr>
        <w:t xml:space="preserve"> </w:t>
      </w:r>
      <w:r w:rsidRPr="003C538E">
        <w:rPr>
          <w:rFonts w:ascii="David" w:hAnsi="David" w:cs="David"/>
          <w:sz w:val="24"/>
          <w:rtl/>
        </w:rPr>
        <w:t>העברות אלו גרמו לחוסכים</w:t>
      </w:r>
      <w:r w:rsidRPr="003C538E">
        <w:rPr>
          <w:rFonts w:ascii="David" w:hAnsi="David" w:cs="David" w:hint="cs"/>
          <w:sz w:val="24"/>
          <w:rtl/>
        </w:rPr>
        <w:t>,</w:t>
      </w:r>
      <w:r w:rsidRPr="003C538E">
        <w:rPr>
          <w:rFonts w:ascii="David" w:hAnsi="David" w:cs="David"/>
          <w:sz w:val="24"/>
          <w:rtl/>
        </w:rPr>
        <w:t xml:space="preserve"> בממוצע</w:t>
      </w:r>
      <w:r w:rsidRPr="003C538E">
        <w:rPr>
          <w:rFonts w:ascii="David" w:hAnsi="David" w:cs="David" w:hint="cs"/>
          <w:sz w:val="24"/>
          <w:rtl/>
        </w:rPr>
        <w:t>,</w:t>
      </w:r>
      <w:r w:rsidRPr="003C538E">
        <w:rPr>
          <w:rFonts w:ascii="David" w:hAnsi="David" w:cs="David"/>
          <w:sz w:val="24"/>
          <w:rtl/>
        </w:rPr>
        <w:t xml:space="preserve"> הפסד תשואות משמעותי. </w:t>
      </w:r>
    </w:p>
    <w:p w:rsidR="003C538E" w:rsidRPr="00C0158A" w:rsidRDefault="003C538E" w:rsidP="003C538E">
      <w:pPr>
        <w:rPr>
          <w:rFonts w:ascii="David" w:hAnsi="David" w:cs="David"/>
          <w:sz w:val="24"/>
          <w:rtl/>
        </w:rPr>
      </w:pPr>
      <w:r w:rsidRPr="00C0158A">
        <w:rPr>
          <w:rFonts w:ascii="David" w:hAnsi="David" w:cs="David"/>
          <w:sz w:val="24"/>
          <w:rtl/>
        </w:rPr>
        <w:br/>
        <w:t xml:space="preserve">בעשרים השנים האחרונות שיעור החיסכון שהציבור מנהל באמצעות הגופים המוסדיים מתיק הנכסים </w:t>
      </w:r>
      <w:r>
        <w:rPr>
          <w:rFonts w:ascii="David" w:hAnsi="David" w:cs="David" w:hint="cs"/>
          <w:sz w:val="24"/>
          <w:rtl/>
        </w:rPr>
        <w:t>שלו</w:t>
      </w:r>
      <w:r w:rsidRPr="00C0158A">
        <w:rPr>
          <w:rFonts w:ascii="David" w:hAnsi="David" w:cs="David"/>
          <w:sz w:val="24"/>
          <w:rtl/>
        </w:rPr>
        <w:t xml:space="preserve"> כמעט הוכפל</w:t>
      </w:r>
      <w:r w:rsidRPr="00C0158A">
        <w:rPr>
          <w:rFonts w:ascii="David" w:hAnsi="David" w:cs="David"/>
          <w:sz w:val="24"/>
        </w:rPr>
        <w:t>.</w:t>
      </w:r>
      <w:r w:rsidRPr="00C0158A">
        <w:rPr>
          <w:rStyle w:val="a9"/>
          <w:rFonts w:ascii="David" w:hAnsi="David" w:cs="David"/>
          <w:sz w:val="24"/>
          <w:rtl/>
        </w:rPr>
        <w:footnoteReference w:id="1"/>
      </w:r>
      <w:r w:rsidRPr="00C0158A">
        <w:rPr>
          <w:rFonts w:ascii="David" w:hAnsi="David" w:cs="David"/>
          <w:sz w:val="24"/>
          <w:rtl/>
        </w:rPr>
        <w:t xml:space="preserve"> </w:t>
      </w:r>
      <w:r w:rsidRPr="00C0158A">
        <w:rPr>
          <w:rFonts w:ascii="David" w:hAnsi="David" w:cs="David"/>
          <w:rtl/>
        </w:rPr>
        <w:t xml:space="preserve">בתקופות משבר גדלות לעיתים המשיכות של כספי חיסכון, הן מחשש להפסדים והן מפאת גידולו של הצורך בכספים נזילים, עקב עלייה באבטלה. </w:t>
      </w:r>
      <w:r w:rsidRPr="00C0158A">
        <w:rPr>
          <w:rFonts w:ascii="David" w:hAnsi="David" w:cs="David"/>
          <w:sz w:val="24"/>
          <w:rtl/>
        </w:rPr>
        <w:t>לגובהן ולמאפייניהן של משיכות הכספים בתקופות משבר יכולה להיות השפעה על שווי החסכונות של משקי הבית ועל התנודתיות בשווקים הפיננסיים. לכן חשוב לעמוד על מאפייני המשיכה בתקופות כאלה מהמוצרים השונים – ביטוחי חיים, קרנות פנסיה ותיקות וחדשות,</w:t>
      </w:r>
      <w:r w:rsidRPr="00C0158A">
        <w:rPr>
          <w:rStyle w:val="a9"/>
          <w:rFonts w:ascii="David" w:hAnsi="David" w:cs="David"/>
          <w:sz w:val="24"/>
          <w:rtl/>
        </w:rPr>
        <w:footnoteReference w:id="2"/>
      </w:r>
      <w:r w:rsidRPr="00C0158A">
        <w:rPr>
          <w:rFonts w:ascii="David" w:hAnsi="David" w:cs="David"/>
          <w:sz w:val="24"/>
          <w:rtl/>
        </w:rPr>
        <w:t xml:space="preserve"> קופות גמל,</w:t>
      </w:r>
      <w:r w:rsidRPr="00C0158A">
        <w:rPr>
          <w:rStyle w:val="a9"/>
          <w:rFonts w:ascii="David" w:hAnsi="David" w:cs="David"/>
          <w:sz w:val="24"/>
          <w:rtl/>
        </w:rPr>
        <w:footnoteReference w:id="3"/>
      </w:r>
      <w:r w:rsidRPr="00C0158A">
        <w:rPr>
          <w:rFonts w:ascii="David" w:hAnsi="David" w:cs="David"/>
          <w:sz w:val="24"/>
          <w:rtl/>
        </w:rPr>
        <w:t xml:space="preserve"> קרנות השתלמות, קופות גמל להשקעה,</w:t>
      </w:r>
      <w:r w:rsidRPr="00C0158A">
        <w:rPr>
          <w:rStyle w:val="a9"/>
          <w:rFonts w:ascii="David" w:hAnsi="David" w:cs="David"/>
          <w:sz w:val="24"/>
          <w:rtl/>
        </w:rPr>
        <w:footnoteReference w:id="4"/>
      </w:r>
      <w:r w:rsidRPr="00C0158A">
        <w:rPr>
          <w:rFonts w:ascii="David" w:hAnsi="David" w:cs="David"/>
          <w:sz w:val="24"/>
          <w:rtl/>
        </w:rPr>
        <w:t xml:space="preserve"> פוליסות חיסכון וקרנות נאמנות.</w:t>
      </w:r>
      <w:r w:rsidRPr="00C0158A">
        <w:rPr>
          <w:rStyle w:val="a9"/>
          <w:rFonts w:ascii="David" w:hAnsi="David" w:cs="David"/>
          <w:sz w:val="24"/>
          <w:rtl/>
        </w:rPr>
        <w:footnoteReference w:id="5"/>
      </w:r>
      <w:r w:rsidRPr="00C0158A">
        <w:rPr>
          <w:rFonts w:ascii="David" w:hAnsi="David" w:cs="David"/>
          <w:sz w:val="24"/>
          <w:rtl/>
        </w:rPr>
        <w:t xml:space="preserve"> ניתן לשער כי לנוכח המאפיינים השונים של המוצרים (מבחינת טווחי החיסכון והמיסוי) הם נבדלים זה מזה גם במאפייני המשיכה, ואולי גם במאפיינים של </w:t>
      </w:r>
      <w:proofErr w:type="spellStart"/>
      <w:r w:rsidRPr="00C0158A">
        <w:rPr>
          <w:rFonts w:ascii="David" w:hAnsi="David" w:cs="David"/>
          <w:sz w:val="24"/>
          <w:rtl/>
        </w:rPr>
        <w:t>מושכי</w:t>
      </w:r>
      <w:proofErr w:type="spellEnd"/>
      <w:r w:rsidRPr="00C0158A">
        <w:rPr>
          <w:rFonts w:ascii="David" w:hAnsi="David" w:cs="David"/>
          <w:sz w:val="24"/>
          <w:rtl/>
        </w:rPr>
        <w:t xml:space="preserve"> החסכונות</w:t>
      </w:r>
      <w:r w:rsidRPr="00A158ED">
        <w:rPr>
          <w:rFonts w:ascii="David" w:hAnsi="David" w:cs="David"/>
          <w:sz w:val="24"/>
          <w:rtl/>
        </w:rPr>
        <w:t xml:space="preserve">. </w:t>
      </w:r>
      <w:r w:rsidRPr="00AA0547">
        <w:rPr>
          <w:rFonts w:ascii="David" w:hAnsi="David" w:cs="David"/>
          <w:sz w:val="24"/>
          <w:rtl/>
        </w:rPr>
        <w:t>אנו מצפים להבדלים במשיכות בין המוצרים, ובפרט בין מוצרי החיסכון ארוכי הטווח לקצרי הטווח, מעניין לב</w:t>
      </w:r>
      <w:r w:rsidRPr="00AA0547">
        <w:rPr>
          <w:rFonts w:ascii="David" w:hAnsi="David" w:cs="David" w:hint="eastAsia"/>
          <w:sz w:val="24"/>
          <w:rtl/>
        </w:rPr>
        <w:t>דוק</w:t>
      </w:r>
      <w:r w:rsidRPr="00AA0547">
        <w:rPr>
          <w:rFonts w:ascii="David" w:hAnsi="David" w:cs="David"/>
          <w:sz w:val="24"/>
          <w:rtl/>
        </w:rPr>
        <w:t xml:space="preserve"> </w:t>
      </w:r>
      <w:r w:rsidRPr="00AA0547">
        <w:rPr>
          <w:rFonts w:ascii="David" w:hAnsi="David" w:cs="David" w:hint="eastAsia"/>
          <w:sz w:val="24"/>
          <w:rtl/>
        </w:rPr>
        <w:t>את</w:t>
      </w:r>
      <w:r w:rsidRPr="00AA0547">
        <w:rPr>
          <w:rFonts w:ascii="David" w:hAnsi="David" w:cs="David"/>
          <w:sz w:val="24"/>
          <w:rtl/>
        </w:rPr>
        <w:t xml:space="preserve"> </w:t>
      </w:r>
      <w:r w:rsidRPr="00AA0547">
        <w:rPr>
          <w:rFonts w:ascii="David" w:hAnsi="David" w:cs="David" w:hint="eastAsia"/>
          <w:sz w:val="24"/>
          <w:rtl/>
        </w:rPr>
        <w:t>גודלם</w:t>
      </w:r>
      <w:r w:rsidRPr="00AA0547">
        <w:rPr>
          <w:rFonts w:ascii="David" w:hAnsi="David" w:cs="David"/>
          <w:sz w:val="24"/>
          <w:rtl/>
        </w:rPr>
        <w:t xml:space="preserve"> של הבדלים אלו </w:t>
      </w:r>
      <w:r w:rsidRPr="00AA0547">
        <w:rPr>
          <w:rFonts w:ascii="David" w:hAnsi="David" w:cs="David" w:hint="eastAsia"/>
          <w:sz w:val="24"/>
          <w:rtl/>
        </w:rPr>
        <w:t>ואם</w:t>
      </w:r>
      <w:r w:rsidRPr="00AA0547">
        <w:rPr>
          <w:rFonts w:ascii="David" w:hAnsi="David" w:cs="David"/>
          <w:sz w:val="24"/>
          <w:rtl/>
        </w:rPr>
        <w:t xml:space="preserve"> הם מקבלים ביטוי בשווקים בתקופות משבר</w:t>
      </w:r>
      <w:r w:rsidRPr="00A158ED">
        <w:rPr>
          <w:rFonts w:ascii="David" w:hAnsi="David" w:cs="David" w:hint="cs"/>
          <w:sz w:val="24"/>
          <w:rtl/>
        </w:rPr>
        <w:t xml:space="preserve">. </w:t>
      </w:r>
      <w:r w:rsidRPr="00A158ED">
        <w:rPr>
          <w:rFonts w:ascii="David" w:hAnsi="David" w:cs="David"/>
          <w:sz w:val="24"/>
          <w:rtl/>
        </w:rPr>
        <w:t xml:space="preserve">בתיבה זו נציג את הבדלי </w:t>
      </w:r>
      <w:r w:rsidRPr="00AA0547">
        <w:rPr>
          <w:rFonts w:ascii="David" w:hAnsi="David" w:cs="David"/>
          <w:sz w:val="24"/>
          <w:rtl/>
        </w:rPr>
        <w:t>המגמות בין מוצרי החיסכון השונים במשיכת הכספים בתקופות משבר הקורונה</w:t>
      </w:r>
      <w:r w:rsidRPr="00C0158A">
        <w:rPr>
          <w:rFonts w:ascii="David" w:hAnsi="David" w:cs="David"/>
          <w:sz w:val="24"/>
          <w:rtl/>
        </w:rPr>
        <w:t xml:space="preserve"> והמשבר הפיננסי של שנת 2008. נציג את גובה המשיכות ואת אפיקי ההשקעה שמהם נמשכו כספים או הועברו בתקופת המשבר.</w:t>
      </w:r>
      <w:r w:rsidRPr="00C0158A" w:rsidDel="00450228">
        <w:rPr>
          <w:rFonts w:ascii="David" w:hAnsi="David" w:cs="David"/>
          <w:sz w:val="24"/>
          <w:rtl/>
        </w:rPr>
        <w:t xml:space="preserve"> </w:t>
      </w:r>
      <w:r w:rsidRPr="00C0158A">
        <w:rPr>
          <w:rFonts w:ascii="David" w:hAnsi="David" w:cs="David"/>
          <w:sz w:val="24"/>
          <w:rtl/>
        </w:rPr>
        <w:t xml:space="preserve">כן נציג, לראשונה, מידע על הגודל והמאפיינים של החיסכון בקופות הגמל להשקעה – שהן מוצר חדש במשק הישראלי – ועל פעילות החוסכים בהן.  </w:t>
      </w:r>
    </w:p>
    <w:p w:rsidR="003C538E" w:rsidRPr="00C0158A" w:rsidRDefault="003C538E" w:rsidP="003C538E">
      <w:pPr>
        <w:pStyle w:val="1"/>
        <w:rPr>
          <w:rFonts w:ascii="David" w:hAnsi="David" w:cs="David"/>
          <w:sz w:val="24"/>
          <w:rtl/>
        </w:rPr>
      </w:pPr>
      <w:r w:rsidRPr="00C0158A">
        <w:rPr>
          <w:rFonts w:ascii="David" w:hAnsi="David" w:cs="David"/>
          <w:sz w:val="24"/>
          <w:rtl/>
        </w:rPr>
        <w:lastRenderedPageBreak/>
        <w:t>רקע –המוצרים</w:t>
      </w:r>
    </w:p>
    <w:p w:rsidR="009D3501" w:rsidRDefault="003C538E" w:rsidP="003C538E">
      <w:pPr>
        <w:spacing w:after="0"/>
        <w:rPr>
          <w:rFonts w:ascii="David" w:hAnsi="David" w:cs="David"/>
          <w:sz w:val="24"/>
          <w:rtl/>
        </w:rPr>
      </w:pPr>
      <w:r w:rsidRPr="00C0158A">
        <w:rPr>
          <w:rFonts w:ascii="David" w:hAnsi="David" w:cs="David"/>
          <w:sz w:val="24"/>
          <w:rtl/>
        </w:rPr>
        <w:t xml:space="preserve">הציבור יכול להשקיע בשוק ההון באופן ישיר או באמצעות מתווכים </w:t>
      </w:r>
      <w:r w:rsidRPr="00C0158A">
        <w:rPr>
          <w:rFonts w:ascii="David" w:hAnsi="David" w:cs="David"/>
          <w:sz w:val="24"/>
        </w:rPr>
        <w:t>–</w:t>
      </w:r>
      <w:r w:rsidRPr="00C0158A">
        <w:rPr>
          <w:rFonts w:ascii="David" w:hAnsi="David" w:cs="David"/>
          <w:sz w:val="24"/>
          <w:rtl/>
        </w:rPr>
        <w:t xml:space="preserve"> הגופים המוסדיים. בחירה בהשקעה באמצעות הגופים המוסדיים כרוכה בהעברה של יכולת הניהול בתיק אל הגוף המנהל.</w:t>
      </w:r>
      <w:r w:rsidRPr="00C0158A">
        <w:rPr>
          <w:rStyle w:val="a9"/>
          <w:rFonts w:ascii="David" w:hAnsi="David" w:cs="David"/>
          <w:sz w:val="24"/>
          <w:rtl/>
        </w:rPr>
        <w:footnoteReference w:id="6"/>
      </w:r>
      <w:r w:rsidRPr="00C0158A">
        <w:rPr>
          <w:rFonts w:ascii="David" w:hAnsi="David" w:cs="David"/>
          <w:sz w:val="24"/>
          <w:rtl/>
        </w:rPr>
        <w:t xml:space="preserve"> הגופים המוסדיים מנהלים מספר מוצרי השקעה, השונים זה מזה, בין השאר, בהטבות המס הכלולות בחלקם וברמת הנזילות –הבדלים הצפויים להשפיע על טווח ההשקעה.</w:t>
      </w:r>
      <w:r w:rsidR="009D3501">
        <w:rPr>
          <w:rFonts w:ascii="David" w:hAnsi="David" w:cs="David" w:hint="cs"/>
          <w:sz w:val="24"/>
          <w:rtl/>
        </w:rPr>
        <w:t xml:space="preserve"> </w:t>
      </w:r>
    </w:p>
    <w:p w:rsidR="003C538E" w:rsidRPr="00C0158A" w:rsidRDefault="009D3501" w:rsidP="007961C4">
      <w:pPr>
        <w:autoSpaceDE w:val="0"/>
        <w:autoSpaceDN w:val="0"/>
        <w:rPr>
          <w:rFonts w:ascii="David" w:hAnsi="David" w:cs="David"/>
          <w:sz w:val="24"/>
          <w:rtl/>
        </w:rPr>
      </w:pPr>
      <w:r w:rsidRPr="009D3501">
        <w:rPr>
          <w:rFonts w:ascii="David" w:hAnsi="David" w:cs="David"/>
          <w:sz w:val="24"/>
          <w:rtl/>
        </w:rPr>
        <w:t>מקובל לחלק את החיסכון האזרחי לשלושה רבדים: הרובד הראשון הינו חיסכון באמצעות הביטוח הלאומי המאפשר קבלת קצבת זקנה (חיסכון חובה לפי חוק);</w:t>
      </w:r>
      <w:r w:rsidR="004B295E" w:rsidRPr="00A10DE6">
        <w:rPr>
          <w:rFonts w:ascii="David" w:hAnsi="David" w:cs="David"/>
          <w:sz w:val="24"/>
          <w:vertAlign w:val="superscript"/>
          <w:rtl/>
        </w:rPr>
        <w:footnoteReference w:id="7"/>
      </w:r>
      <w:r w:rsidRPr="009D3501">
        <w:rPr>
          <w:rFonts w:ascii="David" w:hAnsi="David" w:cs="David"/>
          <w:sz w:val="24"/>
          <w:rtl/>
        </w:rPr>
        <w:t xml:space="preserve"> </w:t>
      </w:r>
      <w:r w:rsidR="00E63250" w:rsidRPr="00E63250">
        <w:rPr>
          <w:rFonts w:ascii="David" w:hAnsi="David" w:cs="David"/>
          <w:sz w:val="24"/>
          <w:rtl/>
        </w:rPr>
        <w:t>הרובד השני הינו חיסכון תעסוקתי ב</w:t>
      </w:r>
      <w:r w:rsidR="00E63250">
        <w:rPr>
          <w:rFonts w:ascii="David" w:hAnsi="David" w:cs="David"/>
          <w:sz w:val="24"/>
          <w:rtl/>
        </w:rPr>
        <w:t xml:space="preserve">אמצעות מכשירי חיסכון פנסיוניים </w:t>
      </w:r>
      <w:r w:rsidR="00E63250">
        <w:rPr>
          <w:rFonts w:ascii="David" w:hAnsi="David" w:cs="David" w:hint="cs"/>
          <w:sz w:val="24"/>
          <w:rtl/>
        </w:rPr>
        <w:t>(</w:t>
      </w:r>
      <w:r w:rsidR="00E63250" w:rsidRPr="00E63250">
        <w:rPr>
          <w:rFonts w:ascii="David" w:hAnsi="David" w:cs="David"/>
          <w:sz w:val="24"/>
          <w:rtl/>
        </w:rPr>
        <w:t>חיסכון חובה</w:t>
      </w:r>
      <w:r w:rsidR="00E63250">
        <w:rPr>
          <w:rFonts w:ascii="David" w:hAnsi="David" w:cs="David" w:hint="cs"/>
          <w:sz w:val="24"/>
          <w:rtl/>
        </w:rPr>
        <w:t xml:space="preserve"> </w:t>
      </w:r>
      <w:r w:rsidR="00E63250" w:rsidRPr="00E63250">
        <w:rPr>
          <w:rFonts w:ascii="David" w:hAnsi="David" w:cs="David"/>
          <w:sz w:val="24"/>
          <w:rtl/>
        </w:rPr>
        <w:t>לפי חוק</w:t>
      </w:r>
      <w:r w:rsidR="00E63250">
        <w:rPr>
          <w:rFonts w:ascii="David" w:hAnsi="David" w:cs="David" w:hint="cs"/>
          <w:sz w:val="24"/>
          <w:rtl/>
        </w:rPr>
        <w:t>)</w:t>
      </w:r>
      <w:r w:rsidRPr="009D3501">
        <w:rPr>
          <w:rFonts w:ascii="David" w:hAnsi="David" w:cs="David"/>
          <w:sz w:val="24"/>
          <w:rtl/>
        </w:rPr>
        <w:t>;</w:t>
      </w:r>
      <w:r w:rsidR="004B295E" w:rsidRPr="00A10DE6">
        <w:rPr>
          <w:rFonts w:ascii="David" w:hAnsi="David" w:cs="David"/>
          <w:sz w:val="24"/>
          <w:vertAlign w:val="superscript"/>
          <w:rtl/>
        </w:rPr>
        <w:footnoteReference w:id="8"/>
      </w:r>
      <w:r w:rsidRPr="009D3501">
        <w:rPr>
          <w:rFonts w:ascii="David" w:hAnsi="David" w:cs="David"/>
          <w:sz w:val="24"/>
          <w:rtl/>
        </w:rPr>
        <w:t xml:space="preserve"> הרובד השלישי הינו חיסכון אישי נוסף על הרבדים הקודמים, במסגרתו כל אזרח ראשי לבחור האם וכמה ברצונו לחסוך. בעוד מרבית המוצרים המנוהלים על ידי המבטחים והחברות המנהלות של קופות</w:t>
      </w:r>
      <w:r w:rsidR="00515F47">
        <w:rPr>
          <w:rFonts w:ascii="David" w:hAnsi="David" w:cs="David" w:hint="cs"/>
          <w:sz w:val="24"/>
          <w:rtl/>
        </w:rPr>
        <w:t xml:space="preserve"> </w:t>
      </w:r>
      <w:r w:rsidR="00515F47" w:rsidRPr="009D3501">
        <w:rPr>
          <w:rFonts w:ascii="David" w:hAnsi="David" w:cs="David"/>
          <w:sz w:val="24"/>
          <w:rtl/>
        </w:rPr>
        <w:t>הגמל</w:t>
      </w:r>
      <w:r>
        <w:rPr>
          <w:rFonts w:ascii="David" w:hAnsi="David" w:cs="David" w:hint="cs"/>
          <w:sz w:val="24"/>
          <w:rtl/>
        </w:rPr>
        <w:t xml:space="preserve"> (</w:t>
      </w:r>
      <w:r w:rsidRPr="009D3501">
        <w:rPr>
          <w:rFonts w:ascii="David" w:hAnsi="David" w:cs="David" w:hint="cs"/>
          <w:sz w:val="24"/>
          <w:rtl/>
        </w:rPr>
        <w:t>ביטוחי חיים, קרנות פנסיה וקופות גמל</w:t>
      </w:r>
      <w:r>
        <w:rPr>
          <w:rFonts w:ascii="David" w:hAnsi="David" w:cs="David" w:hint="cs"/>
          <w:sz w:val="24"/>
          <w:rtl/>
        </w:rPr>
        <w:t>)</w:t>
      </w:r>
      <w:r w:rsidRPr="009D3501">
        <w:rPr>
          <w:rFonts w:ascii="David" w:hAnsi="David" w:cs="David"/>
          <w:sz w:val="24"/>
          <w:rtl/>
        </w:rPr>
        <w:t xml:space="preserve"> </w:t>
      </w:r>
      <w:r w:rsidR="00E63250" w:rsidRPr="00E63250">
        <w:rPr>
          <w:rFonts w:ascii="David" w:hAnsi="David" w:cs="David"/>
          <w:sz w:val="24"/>
          <w:rtl/>
        </w:rPr>
        <w:t>מנוהלים ברובד השני יש גם מוצרים המנוהלים ברובד השלישי (קרנות השתלמות וקופות גמל להשקעה). לעומת זאת, קרנות נאמנות הם מוצרים המנוהלים ברובד השלישי בלבד וגם לא זוכות להטבת מיסוי לחיסכון לפרישה בשונה מהמוצרים המנוהלים בשאר הגופים המוסדיים.</w:t>
      </w:r>
      <w:r w:rsidR="00E63250">
        <w:rPr>
          <w:rFonts w:ascii="David" w:hAnsi="David" w:cs="David" w:hint="cs"/>
          <w:sz w:val="24"/>
          <w:rtl/>
        </w:rPr>
        <w:t xml:space="preserve"> </w:t>
      </w:r>
      <w:r w:rsidR="00E63250" w:rsidRPr="00E63250">
        <w:rPr>
          <w:rFonts w:ascii="David" w:hAnsi="David" w:cs="David"/>
          <w:sz w:val="24"/>
          <w:rtl/>
        </w:rPr>
        <w:t>המבטחים</w:t>
      </w:r>
      <w:r w:rsidR="00E63250" w:rsidRPr="00E63250">
        <w:rPr>
          <w:rFonts w:ascii="David" w:hAnsi="David" w:cs="David"/>
          <w:sz w:val="24"/>
        </w:rPr>
        <w:t xml:space="preserve"> </w:t>
      </w:r>
      <w:r w:rsidR="00E63250" w:rsidRPr="00E63250">
        <w:rPr>
          <w:rFonts w:ascii="David" w:hAnsi="David" w:cs="David"/>
          <w:sz w:val="24"/>
          <w:rtl/>
        </w:rPr>
        <w:t>והחברות</w:t>
      </w:r>
      <w:r w:rsidR="00E63250" w:rsidRPr="00E63250">
        <w:rPr>
          <w:rFonts w:ascii="David" w:hAnsi="David" w:cs="David"/>
          <w:sz w:val="24"/>
        </w:rPr>
        <w:t xml:space="preserve"> </w:t>
      </w:r>
      <w:r w:rsidR="00E63250" w:rsidRPr="00E63250">
        <w:rPr>
          <w:rFonts w:ascii="David" w:hAnsi="David" w:cs="David"/>
          <w:sz w:val="24"/>
          <w:rtl/>
        </w:rPr>
        <w:t>המנהלות</w:t>
      </w:r>
      <w:r w:rsidR="00E63250" w:rsidRPr="00E63250">
        <w:rPr>
          <w:rFonts w:ascii="David" w:hAnsi="David" w:cs="David"/>
          <w:sz w:val="24"/>
        </w:rPr>
        <w:t xml:space="preserve"> </w:t>
      </w:r>
      <w:r w:rsidR="00E63250" w:rsidRPr="00E63250">
        <w:rPr>
          <w:rFonts w:ascii="David" w:hAnsi="David" w:cs="David"/>
          <w:sz w:val="24"/>
          <w:rtl/>
        </w:rPr>
        <w:t>של</w:t>
      </w:r>
      <w:r w:rsidR="00E63250" w:rsidRPr="00E63250">
        <w:rPr>
          <w:rFonts w:ascii="David" w:hAnsi="David" w:cs="David"/>
          <w:sz w:val="24"/>
        </w:rPr>
        <w:t xml:space="preserve"> </w:t>
      </w:r>
      <w:r w:rsidR="00E63250" w:rsidRPr="00E63250">
        <w:rPr>
          <w:rFonts w:ascii="David" w:hAnsi="David" w:cs="David"/>
          <w:sz w:val="24"/>
          <w:rtl/>
        </w:rPr>
        <w:t>קופות</w:t>
      </w:r>
      <w:r w:rsidR="00E63250" w:rsidRPr="00E63250">
        <w:rPr>
          <w:rFonts w:ascii="David" w:hAnsi="David" w:cs="David"/>
          <w:sz w:val="24"/>
        </w:rPr>
        <w:t xml:space="preserve"> </w:t>
      </w:r>
      <w:r w:rsidR="00E63250" w:rsidRPr="00E63250">
        <w:rPr>
          <w:rFonts w:ascii="David" w:hAnsi="David" w:cs="David"/>
          <w:sz w:val="24"/>
          <w:rtl/>
        </w:rPr>
        <w:t>הגמל</w:t>
      </w:r>
      <w:r w:rsidR="00E63250" w:rsidRPr="00E63250">
        <w:rPr>
          <w:rFonts w:ascii="David" w:hAnsi="David" w:cs="David" w:hint="cs"/>
          <w:sz w:val="24"/>
          <w:rtl/>
        </w:rPr>
        <w:t xml:space="preserve"> (</w:t>
      </w:r>
      <w:r w:rsidR="00E63250" w:rsidRPr="00E63250">
        <w:rPr>
          <w:rFonts w:ascii="David" w:hAnsi="David" w:cs="David"/>
          <w:sz w:val="24"/>
          <w:rtl/>
        </w:rPr>
        <w:t>ביטוחי</w:t>
      </w:r>
      <w:r w:rsidR="00E63250" w:rsidRPr="00E63250">
        <w:rPr>
          <w:rFonts w:ascii="David" w:hAnsi="David" w:cs="David"/>
          <w:sz w:val="24"/>
        </w:rPr>
        <w:t xml:space="preserve"> </w:t>
      </w:r>
      <w:r w:rsidR="00E63250" w:rsidRPr="00E63250">
        <w:rPr>
          <w:rFonts w:ascii="David" w:hAnsi="David" w:cs="David"/>
          <w:sz w:val="24"/>
          <w:rtl/>
        </w:rPr>
        <w:t>חיים</w:t>
      </w:r>
      <w:r w:rsidR="00E63250" w:rsidRPr="00E63250">
        <w:rPr>
          <w:rFonts w:ascii="David" w:hAnsi="David" w:cs="David"/>
          <w:sz w:val="24"/>
        </w:rPr>
        <w:t>,</w:t>
      </w:r>
      <w:r w:rsidR="00E63250" w:rsidRPr="00E63250">
        <w:rPr>
          <w:rFonts w:ascii="David" w:hAnsi="David" w:cs="David" w:hint="cs"/>
          <w:sz w:val="24"/>
          <w:rtl/>
        </w:rPr>
        <w:t xml:space="preserve"> </w:t>
      </w:r>
      <w:r w:rsidR="00E63250" w:rsidRPr="00E63250">
        <w:rPr>
          <w:rFonts w:ascii="David" w:hAnsi="David" w:cs="David"/>
          <w:sz w:val="24"/>
          <w:rtl/>
        </w:rPr>
        <w:t>קרנות</w:t>
      </w:r>
      <w:r w:rsidR="00E63250" w:rsidRPr="00E63250">
        <w:rPr>
          <w:rFonts w:ascii="David" w:hAnsi="David" w:cs="David"/>
          <w:sz w:val="24"/>
        </w:rPr>
        <w:t xml:space="preserve"> </w:t>
      </w:r>
      <w:r w:rsidR="00E63250" w:rsidRPr="00E63250">
        <w:rPr>
          <w:rFonts w:ascii="David" w:hAnsi="David" w:cs="David"/>
          <w:sz w:val="24"/>
          <w:rtl/>
        </w:rPr>
        <w:t>פנסיה</w:t>
      </w:r>
      <w:r w:rsidR="00E63250" w:rsidRPr="00E63250">
        <w:rPr>
          <w:rFonts w:ascii="David" w:hAnsi="David" w:cs="David"/>
          <w:sz w:val="24"/>
        </w:rPr>
        <w:t xml:space="preserve"> </w:t>
      </w:r>
      <w:r w:rsidR="00E63250" w:rsidRPr="00E63250">
        <w:rPr>
          <w:rFonts w:ascii="David" w:hAnsi="David" w:cs="David"/>
          <w:sz w:val="24"/>
          <w:rtl/>
        </w:rPr>
        <w:t>וקופות</w:t>
      </w:r>
      <w:r w:rsidR="00E63250" w:rsidRPr="00E63250">
        <w:rPr>
          <w:rFonts w:ascii="David" w:hAnsi="David" w:cs="David"/>
          <w:sz w:val="24"/>
        </w:rPr>
        <w:t xml:space="preserve"> </w:t>
      </w:r>
      <w:r w:rsidR="00E63250" w:rsidRPr="00E63250">
        <w:rPr>
          <w:rFonts w:ascii="David" w:hAnsi="David" w:cs="David"/>
          <w:sz w:val="24"/>
          <w:rtl/>
        </w:rPr>
        <w:t>גמל</w:t>
      </w:r>
      <w:r w:rsidR="00E63250" w:rsidRPr="00E63250">
        <w:rPr>
          <w:rFonts w:ascii="David" w:hAnsi="David" w:cs="David" w:hint="cs"/>
          <w:sz w:val="24"/>
          <w:rtl/>
        </w:rPr>
        <w:t xml:space="preserve">) </w:t>
      </w:r>
      <w:r w:rsidR="00E63250" w:rsidRPr="00E63250">
        <w:rPr>
          <w:rFonts w:ascii="David" w:hAnsi="David" w:cs="David"/>
          <w:sz w:val="24"/>
          <w:rtl/>
        </w:rPr>
        <w:t>שייכים</w:t>
      </w:r>
      <w:r w:rsidR="00E63250" w:rsidRPr="00E63250">
        <w:rPr>
          <w:rFonts w:ascii="David" w:hAnsi="David" w:cs="David"/>
          <w:sz w:val="24"/>
        </w:rPr>
        <w:t xml:space="preserve"> </w:t>
      </w:r>
      <w:r w:rsidR="00E63250" w:rsidRPr="00E63250">
        <w:rPr>
          <w:rFonts w:ascii="David" w:hAnsi="David" w:cs="David"/>
          <w:sz w:val="24"/>
          <w:rtl/>
        </w:rPr>
        <w:t>לרובד</w:t>
      </w:r>
      <w:r w:rsidR="00E63250" w:rsidRPr="00E63250">
        <w:rPr>
          <w:rFonts w:ascii="David" w:hAnsi="David" w:cs="David"/>
          <w:sz w:val="24"/>
        </w:rPr>
        <w:t xml:space="preserve"> </w:t>
      </w:r>
      <w:r w:rsidR="00E63250" w:rsidRPr="00E63250">
        <w:rPr>
          <w:rFonts w:ascii="David" w:hAnsi="David" w:cs="David"/>
          <w:sz w:val="24"/>
          <w:rtl/>
        </w:rPr>
        <w:t>השני</w:t>
      </w:r>
      <w:r w:rsidR="00E63250" w:rsidRPr="00E63250">
        <w:rPr>
          <w:rFonts w:ascii="David" w:hAnsi="David" w:cs="David" w:hint="cs"/>
          <w:sz w:val="24"/>
          <w:rtl/>
        </w:rPr>
        <w:t xml:space="preserve"> (</w:t>
      </w:r>
      <w:r w:rsidR="00E63250" w:rsidRPr="00E63250">
        <w:rPr>
          <w:rFonts w:ascii="David" w:hAnsi="David" w:cs="David"/>
          <w:sz w:val="24"/>
          <w:rtl/>
        </w:rPr>
        <w:t>קריטריון</w:t>
      </w:r>
      <w:r w:rsidR="00E63250" w:rsidRPr="00E63250">
        <w:rPr>
          <w:rFonts w:ascii="David" w:hAnsi="David" w:cs="David"/>
          <w:sz w:val="24"/>
        </w:rPr>
        <w:t xml:space="preserve"> </w:t>
      </w:r>
      <w:r w:rsidR="00E63250" w:rsidRPr="00E63250">
        <w:rPr>
          <w:rFonts w:ascii="David" w:hAnsi="David" w:cs="David"/>
          <w:sz w:val="24"/>
          <w:rtl/>
        </w:rPr>
        <w:t>עיקרי</w:t>
      </w:r>
      <w:r w:rsidR="00E63250" w:rsidRPr="00E63250">
        <w:rPr>
          <w:rFonts w:ascii="David" w:hAnsi="David" w:cs="David"/>
          <w:sz w:val="24"/>
        </w:rPr>
        <w:t xml:space="preserve"> </w:t>
      </w:r>
      <w:r w:rsidR="00E63250" w:rsidRPr="00E63250">
        <w:rPr>
          <w:rFonts w:ascii="David" w:hAnsi="David" w:cs="David"/>
          <w:sz w:val="24"/>
          <w:rtl/>
        </w:rPr>
        <w:t>הוא</w:t>
      </w:r>
      <w:r w:rsidR="00E63250" w:rsidRPr="00E63250">
        <w:rPr>
          <w:rFonts w:ascii="David" w:hAnsi="David" w:cs="David"/>
          <w:sz w:val="24"/>
        </w:rPr>
        <w:t xml:space="preserve"> </w:t>
      </w:r>
      <w:r w:rsidR="00E63250" w:rsidRPr="00E63250">
        <w:rPr>
          <w:rFonts w:ascii="David" w:hAnsi="David" w:cs="David"/>
          <w:sz w:val="24"/>
          <w:rtl/>
        </w:rPr>
        <w:t>חובת</w:t>
      </w:r>
      <w:r w:rsidR="00E63250" w:rsidRPr="00E63250">
        <w:rPr>
          <w:rFonts w:ascii="David" w:hAnsi="David" w:cs="David"/>
          <w:sz w:val="24"/>
        </w:rPr>
        <w:t xml:space="preserve"> </w:t>
      </w:r>
      <w:r w:rsidR="00E63250" w:rsidRPr="00E63250">
        <w:rPr>
          <w:rFonts w:ascii="David" w:hAnsi="David" w:cs="David"/>
          <w:sz w:val="24"/>
          <w:rtl/>
        </w:rPr>
        <w:t>הפקדה</w:t>
      </w:r>
      <w:r w:rsidR="00E63250" w:rsidRPr="00E63250">
        <w:rPr>
          <w:rFonts w:ascii="David" w:hAnsi="David" w:cs="David"/>
          <w:sz w:val="24"/>
        </w:rPr>
        <w:t xml:space="preserve"> </w:t>
      </w:r>
      <w:r w:rsidR="00E63250" w:rsidRPr="00E63250">
        <w:rPr>
          <w:rFonts w:ascii="David" w:hAnsi="David" w:cs="David"/>
          <w:sz w:val="24"/>
          <w:rtl/>
        </w:rPr>
        <w:t>והטבות</w:t>
      </w:r>
      <w:r w:rsidR="00E63250" w:rsidRPr="00E63250">
        <w:rPr>
          <w:rFonts w:ascii="David" w:hAnsi="David" w:cs="David"/>
          <w:sz w:val="24"/>
        </w:rPr>
        <w:t xml:space="preserve"> </w:t>
      </w:r>
      <w:r w:rsidR="00E63250" w:rsidRPr="00E63250">
        <w:rPr>
          <w:rFonts w:ascii="David" w:hAnsi="David" w:cs="David"/>
          <w:sz w:val="24"/>
          <w:rtl/>
        </w:rPr>
        <w:t>מיסוי</w:t>
      </w:r>
      <w:r w:rsidR="00E63250" w:rsidRPr="00E63250">
        <w:rPr>
          <w:rFonts w:ascii="David" w:hAnsi="David" w:cs="David"/>
          <w:sz w:val="24"/>
        </w:rPr>
        <w:t xml:space="preserve"> </w:t>
      </w:r>
      <w:r w:rsidR="00E63250" w:rsidRPr="00E63250">
        <w:rPr>
          <w:rFonts w:ascii="David" w:hAnsi="David" w:cs="David"/>
          <w:sz w:val="24"/>
          <w:rtl/>
        </w:rPr>
        <w:t>לפרישה</w:t>
      </w:r>
      <w:r w:rsidR="00E63250" w:rsidRPr="00E63250">
        <w:rPr>
          <w:rFonts w:ascii="David" w:hAnsi="David" w:cs="David" w:hint="cs"/>
          <w:sz w:val="24"/>
          <w:rtl/>
        </w:rPr>
        <w:t xml:space="preserve">), </w:t>
      </w:r>
      <w:r w:rsidR="00E63250" w:rsidRPr="00E63250">
        <w:rPr>
          <w:rFonts w:ascii="David" w:hAnsi="David" w:cs="David"/>
          <w:sz w:val="24"/>
          <w:rtl/>
        </w:rPr>
        <w:t>קרנות</w:t>
      </w:r>
      <w:r w:rsidR="00E63250" w:rsidRPr="00E63250">
        <w:rPr>
          <w:rFonts w:ascii="David" w:hAnsi="David" w:cs="David" w:hint="cs"/>
          <w:sz w:val="24"/>
          <w:rtl/>
        </w:rPr>
        <w:t xml:space="preserve"> </w:t>
      </w:r>
      <w:r w:rsidR="00E63250" w:rsidRPr="00E63250">
        <w:rPr>
          <w:rFonts w:ascii="David" w:hAnsi="David" w:cs="David"/>
          <w:sz w:val="24"/>
          <w:rtl/>
        </w:rPr>
        <w:t>הנאמנות</w:t>
      </w:r>
      <w:r w:rsidR="00E63250" w:rsidRPr="00E63250">
        <w:rPr>
          <w:rFonts w:ascii="David" w:hAnsi="David" w:cs="David"/>
          <w:sz w:val="24"/>
        </w:rPr>
        <w:t xml:space="preserve"> </w:t>
      </w:r>
      <w:r w:rsidR="00E63250" w:rsidRPr="00E63250">
        <w:rPr>
          <w:rFonts w:ascii="David" w:hAnsi="David" w:cs="David"/>
          <w:sz w:val="24"/>
          <w:rtl/>
        </w:rPr>
        <w:t>שייכות</w:t>
      </w:r>
      <w:r w:rsidR="00E63250" w:rsidRPr="00E63250">
        <w:rPr>
          <w:rFonts w:ascii="David" w:hAnsi="David" w:cs="David"/>
          <w:sz w:val="24"/>
        </w:rPr>
        <w:t xml:space="preserve"> </w:t>
      </w:r>
      <w:r w:rsidR="00E63250" w:rsidRPr="00E63250">
        <w:rPr>
          <w:rFonts w:ascii="David" w:hAnsi="David" w:cs="David"/>
          <w:sz w:val="24"/>
          <w:rtl/>
        </w:rPr>
        <w:t>לרובד</w:t>
      </w:r>
      <w:r w:rsidR="00E63250" w:rsidRPr="00E63250">
        <w:rPr>
          <w:rFonts w:ascii="David" w:hAnsi="David" w:cs="David"/>
          <w:sz w:val="24"/>
        </w:rPr>
        <w:t xml:space="preserve"> </w:t>
      </w:r>
      <w:r w:rsidR="00E63250" w:rsidRPr="00E63250">
        <w:rPr>
          <w:rFonts w:ascii="David" w:hAnsi="David" w:cs="David"/>
          <w:sz w:val="24"/>
          <w:rtl/>
        </w:rPr>
        <w:t>השלישי</w:t>
      </w:r>
      <w:r w:rsidR="00E63250" w:rsidRPr="00E63250">
        <w:rPr>
          <w:rFonts w:ascii="David" w:hAnsi="David" w:cs="David"/>
          <w:sz w:val="24"/>
        </w:rPr>
        <w:t xml:space="preserve"> </w:t>
      </w:r>
      <w:r w:rsidR="00E63250" w:rsidRPr="00E63250">
        <w:rPr>
          <w:rFonts w:ascii="David" w:hAnsi="David" w:cs="David"/>
          <w:sz w:val="24"/>
          <w:rtl/>
        </w:rPr>
        <w:t>גרידא</w:t>
      </w:r>
      <w:r w:rsidR="00E63250" w:rsidRPr="00E63250">
        <w:rPr>
          <w:rFonts w:ascii="David" w:hAnsi="David" w:cs="David" w:hint="cs"/>
          <w:sz w:val="24"/>
          <w:rtl/>
        </w:rPr>
        <w:t xml:space="preserve">. </w:t>
      </w:r>
      <w:r w:rsidR="003C538E" w:rsidRPr="00C0158A">
        <w:rPr>
          <w:rFonts w:ascii="David" w:hAnsi="David" w:cs="David"/>
          <w:sz w:val="24"/>
          <w:rtl/>
        </w:rPr>
        <w:t>לוח 1 מתאר את המוצרים השונים לפי תכונותיהם.</w:t>
      </w:r>
    </w:p>
    <w:p w:rsidR="003C538E" w:rsidRPr="00C0158A" w:rsidRDefault="003C538E" w:rsidP="003C538E">
      <w:pPr>
        <w:pStyle w:val="af4"/>
        <w:spacing w:after="0"/>
        <w:rPr>
          <w:rFonts w:ascii="David" w:hAnsi="David" w:cs="David"/>
          <w:sz w:val="24"/>
          <w:u w:val="single"/>
          <w:rtl/>
        </w:rPr>
      </w:pPr>
      <w:r w:rsidRPr="00C0158A">
        <w:rPr>
          <w:rFonts w:ascii="David" w:hAnsi="David" w:cs="David"/>
          <w:sz w:val="24"/>
          <w:u w:val="single"/>
          <w:rtl/>
        </w:rPr>
        <w:t>לוח 1</w:t>
      </w:r>
    </w:p>
    <w:tbl>
      <w:tblPr>
        <w:tblStyle w:val="af7"/>
        <w:bidiVisual/>
        <w:tblW w:w="9087" w:type="dxa"/>
        <w:tblInd w:w="-398" w:type="dxa"/>
        <w:tblLook w:val="04A0" w:firstRow="1" w:lastRow="0" w:firstColumn="1" w:lastColumn="0" w:noHBand="0" w:noVBand="1"/>
      </w:tblPr>
      <w:tblGrid>
        <w:gridCol w:w="1272"/>
        <w:gridCol w:w="1396"/>
        <w:gridCol w:w="1694"/>
        <w:gridCol w:w="1464"/>
        <w:gridCol w:w="1199"/>
        <w:gridCol w:w="2062"/>
      </w:tblGrid>
      <w:tr w:rsidR="003C538E" w:rsidRPr="00C0158A" w:rsidTr="00E54D93">
        <w:tc>
          <w:tcPr>
            <w:tcW w:w="1272" w:type="dxa"/>
            <w:vAlign w:val="center"/>
          </w:tcPr>
          <w:p w:rsidR="003C538E" w:rsidRPr="00C0158A" w:rsidRDefault="003C538E" w:rsidP="00E54D93">
            <w:pPr>
              <w:rPr>
                <w:rFonts w:ascii="David" w:hAnsi="David" w:cs="David"/>
                <w:b/>
                <w:bCs/>
                <w:sz w:val="24"/>
                <w:rtl/>
              </w:rPr>
            </w:pPr>
            <w:r w:rsidRPr="00C0158A">
              <w:rPr>
                <w:rFonts w:ascii="David" w:hAnsi="David" w:cs="David"/>
                <w:b/>
                <w:bCs/>
                <w:sz w:val="24"/>
                <w:rtl/>
              </w:rPr>
              <w:t>טווח ההשקעה</w:t>
            </w:r>
          </w:p>
        </w:tc>
        <w:tc>
          <w:tcPr>
            <w:tcW w:w="1396" w:type="dxa"/>
            <w:vAlign w:val="center"/>
          </w:tcPr>
          <w:p w:rsidR="003C538E" w:rsidRPr="00C0158A" w:rsidRDefault="003C538E" w:rsidP="00E54D93">
            <w:pPr>
              <w:rPr>
                <w:rFonts w:ascii="David" w:hAnsi="David" w:cs="David"/>
                <w:b/>
                <w:bCs/>
                <w:sz w:val="24"/>
                <w:rtl/>
              </w:rPr>
            </w:pPr>
            <w:r w:rsidRPr="00C0158A">
              <w:rPr>
                <w:rFonts w:ascii="David" w:hAnsi="David" w:cs="David"/>
                <w:b/>
                <w:bCs/>
                <w:sz w:val="24"/>
                <w:rtl/>
              </w:rPr>
              <w:t>שם המוצר</w:t>
            </w:r>
          </w:p>
        </w:tc>
        <w:tc>
          <w:tcPr>
            <w:tcW w:w="1694" w:type="dxa"/>
            <w:vAlign w:val="center"/>
          </w:tcPr>
          <w:p w:rsidR="003C538E" w:rsidRPr="00C0158A" w:rsidRDefault="003C538E" w:rsidP="00E54D93">
            <w:pPr>
              <w:rPr>
                <w:rFonts w:ascii="David" w:hAnsi="David" w:cs="David"/>
                <w:b/>
                <w:bCs/>
                <w:sz w:val="24"/>
                <w:rtl/>
              </w:rPr>
            </w:pPr>
            <w:r w:rsidRPr="00C0158A">
              <w:rPr>
                <w:rFonts w:ascii="David" w:hAnsi="David" w:cs="David"/>
                <w:b/>
                <w:bCs/>
                <w:sz w:val="24"/>
                <w:rtl/>
              </w:rPr>
              <w:t>הטבות מס במשיכה</w:t>
            </w:r>
          </w:p>
        </w:tc>
        <w:tc>
          <w:tcPr>
            <w:tcW w:w="1464" w:type="dxa"/>
            <w:vAlign w:val="center"/>
          </w:tcPr>
          <w:p w:rsidR="003C538E" w:rsidRPr="00C0158A" w:rsidRDefault="003C538E" w:rsidP="00E54D93">
            <w:pPr>
              <w:rPr>
                <w:rFonts w:ascii="David" w:hAnsi="David" w:cs="David"/>
                <w:b/>
                <w:bCs/>
                <w:sz w:val="24"/>
                <w:rtl/>
              </w:rPr>
            </w:pPr>
            <w:r w:rsidRPr="00C0158A">
              <w:rPr>
                <w:rFonts w:ascii="David" w:hAnsi="David" w:cs="David"/>
                <w:b/>
                <w:bCs/>
                <w:sz w:val="24"/>
                <w:rtl/>
              </w:rPr>
              <w:t>הטבות נוספות</w:t>
            </w:r>
          </w:p>
        </w:tc>
        <w:tc>
          <w:tcPr>
            <w:tcW w:w="1199" w:type="dxa"/>
            <w:vAlign w:val="center"/>
          </w:tcPr>
          <w:p w:rsidR="003C538E" w:rsidRPr="00C0158A" w:rsidRDefault="003C538E" w:rsidP="00E54D93">
            <w:pPr>
              <w:rPr>
                <w:rFonts w:ascii="David" w:hAnsi="David" w:cs="David"/>
                <w:b/>
                <w:bCs/>
                <w:sz w:val="24"/>
                <w:rtl/>
              </w:rPr>
            </w:pPr>
            <w:r w:rsidRPr="00C0158A">
              <w:rPr>
                <w:rFonts w:ascii="David" w:hAnsi="David" w:cs="David"/>
                <w:b/>
                <w:bCs/>
                <w:sz w:val="24"/>
                <w:rtl/>
              </w:rPr>
              <w:t>הטבות מס במעבר בין מסלולי השקעה (ניוד)</w:t>
            </w:r>
          </w:p>
        </w:tc>
        <w:tc>
          <w:tcPr>
            <w:tcW w:w="2062" w:type="dxa"/>
            <w:vAlign w:val="center"/>
          </w:tcPr>
          <w:p w:rsidR="003C538E" w:rsidRPr="00C0158A" w:rsidRDefault="003C538E" w:rsidP="00E54D93">
            <w:pPr>
              <w:rPr>
                <w:rFonts w:ascii="David" w:hAnsi="David" w:cs="David"/>
                <w:b/>
                <w:bCs/>
                <w:sz w:val="24"/>
                <w:rtl/>
              </w:rPr>
            </w:pPr>
            <w:r w:rsidRPr="00C0158A">
              <w:rPr>
                <w:rFonts w:ascii="David" w:hAnsi="David" w:cs="David"/>
                <w:b/>
                <w:bCs/>
                <w:sz w:val="24"/>
                <w:rtl/>
              </w:rPr>
              <w:t>שיעור הכספים הניתנים למשיכה ללא קנס</w:t>
            </w:r>
            <w:r w:rsidRPr="00C0158A">
              <w:rPr>
                <w:rFonts w:ascii="David" w:hAnsi="David" w:cs="David"/>
                <w:b/>
                <w:bCs/>
                <w:sz w:val="24"/>
                <w:vertAlign w:val="superscript"/>
                <w:rtl/>
              </w:rPr>
              <w:t>1</w:t>
            </w:r>
            <w:r w:rsidRPr="00C0158A">
              <w:rPr>
                <w:rFonts w:ascii="David" w:hAnsi="David" w:cs="David"/>
                <w:b/>
                <w:bCs/>
                <w:sz w:val="24"/>
                <w:rtl/>
              </w:rPr>
              <w:t xml:space="preserve"> ומספר הימים מביצוע פקודת המשיכה עד לקבלת הכספים.</w:t>
            </w:r>
          </w:p>
        </w:tc>
      </w:tr>
      <w:tr w:rsidR="003C538E" w:rsidRPr="00C0158A" w:rsidTr="00E54D93">
        <w:tc>
          <w:tcPr>
            <w:tcW w:w="1272" w:type="dxa"/>
            <w:vMerge w:val="restart"/>
            <w:vAlign w:val="center"/>
          </w:tcPr>
          <w:p w:rsidR="003C538E" w:rsidRPr="00C0158A" w:rsidRDefault="003C538E" w:rsidP="00E54D93">
            <w:pPr>
              <w:rPr>
                <w:rFonts w:ascii="David" w:hAnsi="David" w:cs="David"/>
                <w:sz w:val="24"/>
                <w:rtl/>
              </w:rPr>
            </w:pPr>
            <w:r w:rsidRPr="00C0158A">
              <w:rPr>
                <w:rFonts w:ascii="David" w:hAnsi="David" w:cs="David"/>
                <w:sz w:val="24"/>
                <w:rtl/>
              </w:rPr>
              <w:t>השקעה לטווח קצר/חיסכון פרטי</w:t>
            </w:r>
          </w:p>
        </w:tc>
        <w:tc>
          <w:tcPr>
            <w:tcW w:w="1396" w:type="dxa"/>
            <w:vAlign w:val="center"/>
          </w:tcPr>
          <w:p w:rsidR="003C538E" w:rsidRPr="00C0158A" w:rsidRDefault="003C538E" w:rsidP="00E54D93">
            <w:pPr>
              <w:rPr>
                <w:rFonts w:ascii="David" w:hAnsi="David" w:cs="David"/>
                <w:sz w:val="24"/>
                <w:rtl/>
              </w:rPr>
            </w:pPr>
            <w:r w:rsidRPr="00C0158A">
              <w:rPr>
                <w:rFonts w:ascii="David" w:hAnsi="David" w:cs="David"/>
                <w:sz w:val="24"/>
                <w:rtl/>
              </w:rPr>
              <w:t>קרנות נאמנות</w:t>
            </w:r>
          </w:p>
        </w:tc>
        <w:tc>
          <w:tcPr>
            <w:tcW w:w="1694" w:type="dxa"/>
            <w:vAlign w:val="center"/>
          </w:tcPr>
          <w:p w:rsidR="003C538E" w:rsidRPr="00C0158A" w:rsidRDefault="003C538E" w:rsidP="00E54D93">
            <w:pPr>
              <w:rPr>
                <w:rFonts w:ascii="David" w:hAnsi="David" w:cs="David"/>
                <w:sz w:val="24"/>
                <w:rtl/>
              </w:rPr>
            </w:pPr>
            <w:r w:rsidRPr="00C0158A">
              <w:rPr>
                <w:rFonts w:ascii="David" w:hAnsi="David" w:cs="David"/>
                <w:sz w:val="24"/>
                <w:rtl/>
              </w:rPr>
              <w:t>אין.</w:t>
            </w:r>
          </w:p>
        </w:tc>
        <w:tc>
          <w:tcPr>
            <w:tcW w:w="1464" w:type="dxa"/>
            <w:vAlign w:val="center"/>
          </w:tcPr>
          <w:p w:rsidR="003C538E" w:rsidRPr="00C0158A" w:rsidRDefault="003C538E" w:rsidP="00E54D93">
            <w:pPr>
              <w:rPr>
                <w:rFonts w:ascii="David" w:hAnsi="David" w:cs="David"/>
                <w:sz w:val="24"/>
                <w:rtl/>
              </w:rPr>
            </w:pPr>
            <w:r w:rsidRPr="00C0158A">
              <w:rPr>
                <w:rFonts w:ascii="David" w:hAnsi="David" w:cs="David"/>
                <w:sz w:val="24"/>
                <w:rtl/>
              </w:rPr>
              <w:t>אין.</w:t>
            </w:r>
          </w:p>
        </w:tc>
        <w:tc>
          <w:tcPr>
            <w:tcW w:w="1199" w:type="dxa"/>
            <w:vAlign w:val="center"/>
          </w:tcPr>
          <w:p w:rsidR="003C538E" w:rsidRPr="00C0158A" w:rsidRDefault="003C538E" w:rsidP="00E54D93">
            <w:pPr>
              <w:rPr>
                <w:rFonts w:ascii="David" w:hAnsi="David" w:cs="David"/>
                <w:sz w:val="24"/>
                <w:rtl/>
              </w:rPr>
            </w:pPr>
            <w:r w:rsidRPr="00C0158A">
              <w:rPr>
                <w:rFonts w:ascii="David" w:hAnsi="David" w:cs="David"/>
                <w:sz w:val="24"/>
                <w:rtl/>
              </w:rPr>
              <w:t>אין הטבה.</w:t>
            </w:r>
            <w:r w:rsidRPr="00C0158A">
              <w:rPr>
                <w:rFonts w:ascii="David" w:hAnsi="David" w:cs="David"/>
                <w:sz w:val="24"/>
                <w:vertAlign w:val="superscript"/>
                <w:rtl/>
              </w:rPr>
              <w:t>2</w:t>
            </w:r>
          </w:p>
        </w:tc>
        <w:tc>
          <w:tcPr>
            <w:tcW w:w="2062" w:type="dxa"/>
            <w:vAlign w:val="center"/>
          </w:tcPr>
          <w:p w:rsidR="003C538E" w:rsidRPr="00C0158A" w:rsidRDefault="003C538E" w:rsidP="00E54D93">
            <w:pPr>
              <w:rPr>
                <w:rFonts w:ascii="David" w:hAnsi="David" w:cs="David"/>
                <w:sz w:val="24"/>
                <w:rtl/>
              </w:rPr>
            </w:pPr>
            <w:r w:rsidRPr="00C0158A">
              <w:rPr>
                <w:rFonts w:ascii="David" w:hAnsi="David" w:cs="David"/>
                <w:sz w:val="24"/>
                <w:rtl/>
              </w:rPr>
              <w:t>100% כספים ללא קנס. קבלת כספים בתוך יום עסקים אחד.</w:t>
            </w:r>
          </w:p>
        </w:tc>
      </w:tr>
      <w:tr w:rsidR="003C538E" w:rsidRPr="00C0158A" w:rsidTr="00E54D93">
        <w:trPr>
          <w:trHeight w:val="1907"/>
        </w:trPr>
        <w:tc>
          <w:tcPr>
            <w:tcW w:w="1272" w:type="dxa"/>
            <w:vMerge/>
            <w:vAlign w:val="center"/>
          </w:tcPr>
          <w:p w:rsidR="003C538E" w:rsidRPr="00C0158A" w:rsidRDefault="003C538E" w:rsidP="00E54D93">
            <w:pPr>
              <w:rPr>
                <w:rFonts w:ascii="David" w:hAnsi="David" w:cs="David"/>
                <w:sz w:val="24"/>
                <w:rtl/>
              </w:rPr>
            </w:pPr>
          </w:p>
        </w:tc>
        <w:tc>
          <w:tcPr>
            <w:tcW w:w="1396" w:type="dxa"/>
            <w:vAlign w:val="center"/>
          </w:tcPr>
          <w:p w:rsidR="003C538E" w:rsidRPr="00C0158A" w:rsidRDefault="003C538E" w:rsidP="00E54D93">
            <w:pPr>
              <w:rPr>
                <w:rFonts w:ascii="David" w:hAnsi="David" w:cs="David"/>
                <w:sz w:val="24"/>
                <w:rtl/>
              </w:rPr>
            </w:pPr>
            <w:r w:rsidRPr="00C0158A">
              <w:rPr>
                <w:rFonts w:ascii="David" w:hAnsi="David" w:cs="David"/>
                <w:sz w:val="24"/>
                <w:rtl/>
              </w:rPr>
              <w:t>קופת גמל להשקעה (קיים מנובמבר 2016)</w:t>
            </w:r>
          </w:p>
        </w:tc>
        <w:tc>
          <w:tcPr>
            <w:tcW w:w="1694" w:type="dxa"/>
            <w:vAlign w:val="center"/>
          </w:tcPr>
          <w:p w:rsidR="003C538E" w:rsidRPr="00C0158A" w:rsidRDefault="003C538E" w:rsidP="00E54D93">
            <w:pPr>
              <w:rPr>
                <w:rFonts w:ascii="David" w:hAnsi="David" w:cs="David"/>
                <w:sz w:val="24"/>
                <w:rtl/>
              </w:rPr>
            </w:pPr>
            <w:r w:rsidRPr="00C0158A">
              <w:rPr>
                <w:rFonts w:ascii="David" w:hAnsi="David" w:cs="David"/>
                <w:sz w:val="24"/>
                <w:rtl/>
              </w:rPr>
              <w:t xml:space="preserve">פטור ממס רווח הון למושכים כספים כקצבה לאחר גיל 60. </w:t>
            </w:r>
          </w:p>
          <w:p w:rsidR="003C538E" w:rsidRPr="00C0158A" w:rsidRDefault="003C538E" w:rsidP="00E54D93">
            <w:pPr>
              <w:rPr>
                <w:rFonts w:ascii="David" w:hAnsi="David" w:cs="David"/>
                <w:sz w:val="24"/>
                <w:rtl/>
              </w:rPr>
            </w:pPr>
          </w:p>
        </w:tc>
        <w:tc>
          <w:tcPr>
            <w:tcW w:w="1464" w:type="dxa"/>
            <w:vAlign w:val="center"/>
          </w:tcPr>
          <w:p w:rsidR="003C538E" w:rsidRPr="00C0158A" w:rsidRDefault="00E63250" w:rsidP="00E54D93">
            <w:pPr>
              <w:rPr>
                <w:rFonts w:ascii="David" w:hAnsi="David" w:cs="David"/>
                <w:sz w:val="24"/>
                <w:rtl/>
              </w:rPr>
            </w:pPr>
            <w:r>
              <w:rPr>
                <w:rFonts w:ascii="David" w:hAnsi="David" w:cs="David" w:hint="cs"/>
                <w:sz w:val="24"/>
                <w:rtl/>
              </w:rPr>
              <w:t>אין.</w:t>
            </w:r>
          </w:p>
        </w:tc>
        <w:tc>
          <w:tcPr>
            <w:tcW w:w="1199" w:type="dxa"/>
            <w:vAlign w:val="center"/>
          </w:tcPr>
          <w:p w:rsidR="003C538E" w:rsidRPr="00C0158A" w:rsidRDefault="003C538E" w:rsidP="00E54D93">
            <w:pPr>
              <w:rPr>
                <w:rFonts w:ascii="David" w:hAnsi="David" w:cs="David"/>
                <w:sz w:val="24"/>
                <w:rtl/>
              </w:rPr>
            </w:pPr>
            <w:r w:rsidRPr="00C0158A">
              <w:rPr>
                <w:rFonts w:ascii="David" w:hAnsi="David" w:cs="David"/>
                <w:sz w:val="24"/>
                <w:rtl/>
              </w:rPr>
              <w:t>יש.</w:t>
            </w:r>
          </w:p>
        </w:tc>
        <w:tc>
          <w:tcPr>
            <w:tcW w:w="2062" w:type="dxa"/>
            <w:vAlign w:val="center"/>
          </w:tcPr>
          <w:p w:rsidR="003C538E" w:rsidRPr="00C0158A" w:rsidRDefault="003C538E" w:rsidP="00E54D93">
            <w:pPr>
              <w:rPr>
                <w:rFonts w:ascii="David" w:hAnsi="David" w:cs="David"/>
                <w:sz w:val="24"/>
                <w:rtl/>
              </w:rPr>
            </w:pPr>
            <w:r w:rsidRPr="00C0158A">
              <w:rPr>
                <w:rFonts w:ascii="David" w:hAnsi="David" w:cs="David"/>
                <w:sz w:val="24"/>
                <w:rtl/>
              </w:rPr>
              <w:t>100% כספים ללא קנס. קבלת כספים בתוך 4 ימי עסקים.</w:t>
            </w:r>
          </w:p>
        </w:tc>
      </w:tr>
      <w:tr w:rsidR="003C538E" w:rsidRPr="00C0158A" w:rsidTr="00E54D93">
        <w:tc>
          <w:tcPr>
            <w:tcW w:w="1272" w:type="dxa"/>
            <w:vMerge/>
            <w:vAlign w:val="center"/>
          </w:tcPr>
          <w:p w:rsidR="003C538E" w:rsidRPr="00C0158A" w:rsidRDefault="003C538E" w:rsidP="00E54D93">
            <w:pPr>
              <w:rPr>
                <w:rFonts w:ascii="David" w:hAnsi="David" w:cs="David"/>
                <w:sz w:val="24"/>
                <w:rtl/>
              </w:rPr>
            </w:pPr>
          </w:p>
        </w:tc>
        <w:tc>
          <w:tcPr>
            <w:tcW w:w="1396" w:type="dxa"/>
            <w:vAlign w:val="center"/>
          </w:tcPr>
          <w:p w:rsidR="003C538E" w:rsidRPr="00C0158A" w:rsidRDefault="003C538E" w:rsidP="00E54D93">
            <w:pPr>
              <w:rPr>
                <w:rFonts w:ascii="David" w:hAnsi="David" w:cs="David"/>
                <w:sz w:val="24"/>
                <w:rtl/>
              </w:rPr>
            </w:pPr>
            <w:r w:rsidRPr="00C0158A">
              <w:rPr>
                <w:rFonts w:ascii="David" w:hAnsi="David" w:cs="David"/>
                <w:sz w:val="24"/>
                <w:rtl/>
              </w:rPr>
              <w:t>פוליסות חיסכון</w:t>
            </w:r>
          </w:p>
        </w:tc>
        <w:tc>
          <w:tcPr>
            <w:tcW w:w="1694" w:type="dxa"/>
            <w:vAlign w:val="center"/>
          </w:tcPr>
          <w:p w:rsidR="003C538E" w:rsidRPr="00C0158A" w:rsidRDefault="003C538E" w:rsidP="00E54D93">
            <w:pPr>
              <w:rPr>
                <w:rFonts w:ascii="David" w:hAnsi="David" w:cs="David"/>
                <w:sz w:val="24"/>
                <w:rtl/>
              </w:rPr>
            </w:pPr>
            <w:r w:rsidRPr="00C0158A">
              <w:rPr>
                <w:rFonts w:ascii="David" w:hAnsi="David" w:cs="David"/>
                <w:sz w:val="24"/>
                <w:rtl/>
              </w:rPr>
              <w:t>אין.</w:t>
            </w:r>
          </w:p>
        </w:tc>
        <w:tc>
          <w:tcPr>
            <w:tcW w:w="1464" w:type="dxa"/>
            <w:vAlign w:val="center"/>
          </w:tcPr>
          <w:p w:rsidR="003C538E" w:rsidRPr="00C0158A" w:rsidRDefault="003C538E" w:rsidP="00E54D93">
            <w:pPr>
              <w:rPr>
                <w:rFonts w:ascii="David" w:hAnsi="David" w:cs="David"/>
                <w:sz w:val="24"/>
                <w:rtl/>
              </w:rPr>
            </w:pPr>
            <w:r w:rsidRPr="00C0158A">
              <w:rPr>
                <w:rFonts w:ascii="David" w:hAnsi="David" w:cs="David"/>
                <w:sz w:val="24"/>
                <w:rtl/>
              </w:rPr>
              <w:t>אין.</w:t>
            </w:r>
          </w:p>
        </w:tc>
        <w:tc>
          <w:tcPr>
            <w:tcW w:w="1199" w:type="dxa"/>
            <w:vAlign w:val="center"/>
          </w:tcPr>
          <w:p w:rsidR="003C538E" w:rsidRPr="00C0158A" w:rsidRDefault="003C538E" w:rsidP="00E54D93">
            <w:pPr>
              <w:rPr>
                <w:rFonts w:ascii="David" w:hAnsi="David" w:cs="David"/>
                <w:sz w:val="24"/>
                <w:rtl/>
              </w:rPr>
            </w:pPr>
            <w:r w:rsidRPr="00C0158A">
              <w:rPr>
                <w:rFonts w:ascii="David" w:hAnsi="David" w:cs="David"/>
                <w:sz w:val="24"/>
                <w:rtl/>
              </w:rPr>
              <w:t>יש.</w:t>
            </w:r>
          </w:p>
        </w:tc>
        <w:tc>
          <w:tcPr>
            <w:tcW w:w="2062" w:type="dxa"/>
            <w:vAlign w:val="center"/>
          </w:tcPr>
          <w:p w:rsidR="003C538E" w:rsidRPr="00C0158A" w:rsidRDefault="003C538E" w:rsidP="00E54D93">
            <w:pPr>
              <w:rPr>
                <w:rFonts w:ascii="David" w:hAnsi="David" w:cs="David"/>
                <w:sz w:val="24"/>
                <w:rtl/>
              </w:rPr>
            </w:pPr>
            <w:r w:rsidRPr="00C0158A">
              <w:rPr>
                <w:rFonts w:ascii="David" w:hAnsi="David" w:cs="David"/>
                <w:sz w:val="24"/>
                <w:rtl/>
              </w:rPr>
              <w:t>100% כספים ללא קנס. קבלת כספים תוך 30 יום.</w:t>
            </w:r>
          </w:p>
        </w:tc>
      </w:tr>
      <w:tr w:rsidR="003C538E" w:rsidRPr="00C0158A" w:rsidTr="00E54D93">
        <w:tc>
          <w:tcPr>
            <w:tcW w:w="1272" w:type="dxa"/>
            <w:vAlign w:val="center"/>
          </w:tcPr>
          <w:p w:rsidR="003C538E" w:rsidRPr="00C0158A" w:rsidRDefault="003C538E" w:rsidP="00E54D93">
            <w:pPr>
              <w:rPr>
                <w:rFonts w:ascii="David" w:hAnsi="David" w:cs="David"/>
                <w:sz w:val="24"/>
                <w:rtl/>
              </w:rPr>
            </w:pPr>
          </w:p>
        </w:tc>
        <w:tc>
          <w:tcPr>
            <w:tcW w:w="1396" w:type="dxa"/>
            <w:vAlign w:val="center"/>
          </w:tcPr>
          <w:p w:rsidR="003C538E" w:rsidRPr="00C0158A" w:rsidRDefault="003C538E" w:rsidP="00E54D93">
            <w:pPr>
              <w:rPr>
                <w:rFonts w:ascii="David" w:hAnsi="David" w:cs="David"/>
                <w:sz w:val="24"/>
                <w:rtl/>
              </w:rPr>
            </w:pPr>
            <w:r w:rsidRPr="00C0158A">
              <w:rPr>
                <w:rFonts w:ascii="David" w:hAnsi="David" w:cs="David"/>
                <w:sz w:val="24"/>
                <w:rtl/>
              </w:rPr>
              <w:t>קרנות ההשתלמות</w:t>
            </w:r>
          </w:p>
        </w:tc>
        <w:tc>
          <w:tcPr>
            <w:tcW w:w="1694" w:type="dxa"/>
            <w:vAlign w:val="center"/>
          </w:tcPr>
          <w:p w:rsidR="003C538E" w:rsidRPr="00C0158A" w:rsidRDefault="003C538E" w:rsidP="00E54D93">
            <w:pPr>
              <w:rPr>
                <w:rFonts w:ascii="David" w:hAnsi="David" w:cs="David"/>
                <w:sz w:val="24"/>
                <w:rtl/>
              </w:rPr>
            </w:pPr>
            <w:r w:rsidRPr="00C0158A">
              <w:rPr>
                <w:rFonts w:ascii="David" w:hAnsi="David" w:cs="David"/>
                <w:sz w:val="24"/>
                <w:rtl/>
              </w:rPr>
              <w:t xml:space="preserve">פטור ממס רווח הון לחיסכון שמעל ל-6 שנים. </w:t>
            </w:r>
          </w:p>
        </w:tc>
        <w:tc>
          <w:tcPr>
            <w:tcW w:w="1464" w:type="dxa"/>
            <w:vAlign w:val="center"/>
          </w:tcPr>
          <w:p w:rsidR="003C538E" w:rsidRPr="00C0158A" w:rsidRDefault="003C538E" w:rsidP="00E54D93">
            <w:pPr>
              <w:rPr>
                <w:rFonts w:ascii="David" w:hAnsi="David" w:cs="David"/>
                <w:sz w:val="24"/>
                <w:rtl/>
              </w:rPr>
            </w:pPr>
            <w:r w:rsidRPr="00C0158A">
              <w:rPr>
                <w:rFonts w:ascii="David" w:hAnsi="David" w:cs="David"/>
                <w:sz w:val="24"/>
                <w:rtl/>
              </w:rPr>
              <w:t>החיסכון של שכירים לרוב ממומן בחלקו על ידי המעסיק. הטבת מס הכנסה על ההפקדות.</w:t>
            </w:r>
          </w:p>
        </w:tc>
        <w:tc>
          <w:tcPr>
            <w:tcW w:w="1199" w:type="dxa"/>
            <w:vAlign w:val="center"/>
          </w:tcPr>
          <w:p w:rsidR="003C538E" w:rsidRPr="00C0158A" w:rsidRDefault="003C538E" w:rsidP="00E54D93">
            <w:pPr>
              <w:rPr>
                <w:rFonts w:ascii="David" w:hAnsi="David" w:cs="David"/>
                <w:sz w:val="24"/>
                <w:rtl/>
              </w:rPr>
            </w:pPr>
            <w:r w:rsidRPr="00C0158A">
              <w:rPr>
                <w:rFonts w:ascii="David" w:hAnsi="David" w:cs="David"/>
                <w:sz w:val="24"/>
                <w:rtl/>
              </w:rPr>
              <w:t>יש.</w:t>
            </w:r>
          </w:p>
        </w:tc>
        <w:tc>
          <w:tcPr>
            <w:tcW w:w="2062" w:type="dxa"/>
            <w:vAlign w:val="center"/>
          </w:tcPr>
          <w:p w:rsidR="003C538E" w:rsidRPr="00C0158A" w:rsidRDefault="003C538E" w:rsidP="00DB2385">
            <w:pPr>
              <w:rPr>
                <w:rFonts w:ascii="David" w:hAnsi="David" w:cs="David"/>
                <w:sz w:val="24"/>
                <w:rtl/>
              </w:rPr>
            </w:pPr>
            <w:r w:rsidRPr="00C0158A">
              <w:rPr>
                <w:rFonts w:ascii="David" w:hAnsi="David" w:cs="David"/>
                <w:sz w:val="24"/>
                <w:rtl/>
              </w:rPr>
              <w:t>75% מהכספים נחסכו מעל ל-6 וללא קנס מיסויי.</w:t>
            </w:r>
            <w:r w:rsidRPr="00C0158A">
              <w:rPr>
                <w:rStyle w:val="a9"/>
                <w:rFonts w:ascii="David" w:hAnsi="David" w:cs="David"/>
                <w:rtl/>
              </w:rPr>
              <w:t>3</w:t>
            </w:r>
            <w:r w:rsidRPr="00C0158A">
              <w:rPr>
                <w:rFonts w:ascii="David" w:hAnsi="David" w:cs="David"/>
                <w:sz w:val="24"/>
                <w:rtl/>
              </w:rPr>
              <w:t xml:space="preserve"> קבלת כספים תוך </w:t>
            </w:r>
            <w:r w:rsidR="00DB2385">
              <w:rPr>
                <w:rFonts w:ascii="David" w:hAnsi="David" w:cs="David" w:hint="cs"/>
                <w:sz w:val="24"/>
                <w:rtl/>
              </w:rPr>
              <w:t>4</w:t>
            </w:r>
            <w:r w:rsidRPr="00C0158A">
              <w:rPr>
                <w:rFonts w:ascii="David" w:hAnsi="David" w:cs="David"/>
                <w:sz w:val="24"/>
                <w:rtl/>
              </w:rPr>
              <w:t xml:space="preserve"> ימי עסקים.</w:t>
            </w:r>
          </w:p>
        </w:tc>
      </w:tr>
      <w:tr w:rsidR="003C538E" w:rsidRPr="00C0158A" w:rsidTr="00E54D93">
        <w:trPr>
          <w:trHeight w:val="2531"/>
        </w:trPr>
        <w:tc>
          <w:tcPr>
            <w:tcW w:w="1272" w:type="dxa"/>
            <w:tcBorders>
              <w:bottom w:val="single" w:sz="4" w:space="0" w:color="auto"/>
            </w:tcBorders>
            <w:vAlign w:val="center"/>
          </w:tcPr>
          <w:p w:rsidR="003C538E" w:rsidRPr="00C0158A" w:rsidRDefault="003C538E" w:rsidP="00E54D93">
            <w:pPr>
              <w:rPr>
                <w:rFonts w:ascii="David" w:hAnsi="David" w:cs="David"/>
                <w:sz w:val="24"/>
                <w:rtl/>
              </w:rPr>
            </w:pPr>
          </w:p>
        </w:tc>
        <w:tc>
          <w:tcPr>
            <w:tcW w:w="1396" w:type="dxa"/>
            <w:tcBorders>
              <w:bottom w:val="single" w:sz="4" w:space="0" w:color="auto"/>
            </w:tcBorders>
            <w:vAlign w:val="center"/>
          </w:tcPr>
          <w:p w:rsidR="003C538E" w:rsidRPr="00C0158A" w:rsidRDefault="003C538E" w:rsidP="00E54D93">
            <w:pPr>
              <w:rPr>
                <w:rFonts w:ascii="David" w:hAnsi="David" w:cs="David"/>
                <w:sz w:val="24"/>
                <w:rtl/>
              </w:rPr>
            </w:pPr>
          </w:p>
          <w:p w:rsidR="003C538E" w:rsidRPr="00C0158A" w:rsidRDefault="003C538E" w:rsidP="00E54D93">
            <w:pPr>
              <w:rPr>
                <w:rFonts w:ascii="David" w:hAnsi="David" w:cs="David"/>
                <w:sz w:val="24"/>
                <w:rtl/>
              </w:rPr>
            </w:pPr>
            <w:r w:rsidRPr="00C0158A">
              <w:rPr>
                <w:rFonts w:ascii="David" w:hAnsi="David" w:cs="David"/>
                <w:sz w:val="24"/>
                <w:rtl/>
              </w:rPr>
              <w:t>קופות גמל</w:t>
            </w:r>
          </w:p>
        </w:tc>
        <w:tc>
          <w:tcPr>
            <w:tcW w:w="1694" w:type="dxa"/>
            <w:tcBorders>
              <w:bottom w:val="single" w:sz="4" w:space="0" w:color="auto"/>
            </w:tcBorders>
            <w:vAlign w:val="center"/>
          </w:tcPr>
          <w:p w:rsidR="003C538E" w:rsidRPr="00C0158A" w:rsidRDefault="003C538E" w:rsidP="00E54D93">
            <w:pPr>
              <w:rPr>
                <w:rFonts w:ascii="David" w:hAnsi="David" w:cs="David"/>
                <w:sz w:val="24"/>
                <w:rtl/>
              </w:rPr>
            </w:pPr>
            <w:r w:rsidRPr="00C0158A">
              <w:rPr>
                <w:rFonts w:ascii="David" w:hAnsi="David" w:cs="David"/>
                <w:sz w:val="24"/>
                <w:rtl/>
              </w:rPr>
              <w:t>פטור מתשלום מס רווח הון. קנס בגובה 35% למושכים לפני גיל פרישה לכספים שנחסכים החל מ-2008.</w:t>
            </w:r>
          </w:p>
        </w:tc>
        <w:tc>
          <w:tcPr>
            <w:tcW w:w="1464" w:type="dxa"/>
            <w:tcBorders>
              <w:bottom w:val="single" w:sz="4" w:space="0" w:color="auto"/>
            </w:tcBorders>
            <w:vAlign w:val="center"/>
          </w:tcPr>
          <w:p w:rsidR="003C538E" w:rsidRPr="00C0158A" w:rsidRDefault="003C538E" w:rsidP="00E54D93">
            <w:pPr>
              <w:rPr>
                <w:rFonts w:ascii="David" w:hAnsi="David" w:cs="David"/>
                <w:sz w:val="24"/>
                <w:rtl/>
              </w:rPr>
            </w:pPr>
            <w:r w:rsidRPr="00C0158A">
              <w:rPr>
                <w:rFonts w:ascii="David" w:hAnsi="David" w:cs="David"/>
                <w:sz w:val="24"/>
                <w:rtl/>
              </w:rPr>
              <w:t>הטבות מס הכנסה.</w:t>
            </w:r>
          </w:p>
        </w:tc>
        <w:tc>
          <w:tcPr>
            <w:tcW w:w="1199" w:type="dxa"/>
            <w:tcBorders>
              <w:bottom w:val="single" w:sz="4" w:space="0" w:color="auto"/>
            </w:tcBorders>
            <w:vAlign w:val="center"/>
          </w:tcPr>
          <w:p w:rsidR="003C538E" w:rsidRPr="00C0158A" w:rsidRDefault="003C538E" w:rsidP="00E54D93">
            <w:pPr>
              <w:rPr>
                <w:rFonts w:ascii="David" w:hAnsi="David" w:cs="David"/>
                <w:sz w:val="24"/>
                <w:rtl/>
              </w:rPr>
            </w:pPr>
            <w:r w:rsidRPr="00C0158A">
              <w:rPr>
                <w:rFonts w:ascii="David" w:hAnsi="David" w:cs="David"/>
                <w:sz w:val="24"/>
                <w:rtl/>
              </w:rPr>
              <w:t>יש.</w:t>
            </w:r>
          </w:p>
        </w:tc>
        <w:tc>
          <w:tcPr>
            <w:tcW w:w="2062" w:type="dxa"/>
            <w:tcBorders>
              <w:bottom w:val="single" w:sz="4" w:space="0" w:color="auto"/>
            </w:tcBorders>
            <w:vAlign w:val="center"/>
          </w:tcPr>
          <w:p w:rsidR="003C538E" w:rsidRPr="00C0158A" w:rsidRDefault="003C538E" w:rsidP="00E54D93">
            <w:pPr>
              <w:rPr>
                <w:rFonts w:ascii="David" w:hAnsi="David" w:cs="David"/>
                <w:sz w:val="24"/>
                <w:rtl/>
              </w:rPr>
            </w:pPr>
            <w:r w:rsidRPr="00C0158A">
              <w:rPr>
                <w:rFonts w:ascii="David" w:hAnsi="David" w:cs="David"/>
                <w:sz w:val="24"/>
                <w:rtl/>
              </w:rPr>
              <w:t>80% מהכספים ללא קנס.</w:t>
            </w:r>
            <w:r w:rsidRPr="00C0158A">
              <w:rPr>
                <w:rFonts w:ascii="David" w:hAnsi="David" w:cs="David"/>
                <w:sz w:val="24"/>
                <w:vertAlign w:val="superscript"/>
                <w:rtl/>
              </w:rPr>
              <w:t>4</w:t>
            </w:r>
            <w:r w:rsidRPr="00C0158A">
              <w:rPr>
                <w:rFonts w:ascii="David" w:hAnsi="David" w:cs="David"/>
                <w:sz w:val="24"/>
                <w:rtl/>
              </w:rPr>
              <w:t xml:space="preserve"> קבלת כספים תוך 4 ימי עסקים.</w:t>
            </w:r>
          </w:p>
        </w:tc>
      </w:tr>
      <w:tr w:rsidR="003C538E" w:rsidRPr="00C0158A" w:rsidTr="00E54D93">
        <w:trPr>
          <w:trHeight w:val="217"/>
        </w:trPr>
        <w:tc>
          <w:tcPr>
            <w:tcW w:w="1272" w:type="dxa"/>
            <w:vMerge w:val="restart"/>
            <w:vAlign w:val="center"/>
          </w:tcPr>
          <w:p w:rsidR="003C538E" w:rsidRPr="00C0158A" w:rsidRDefault="003C538E" w:rsidP="00E54D93">
            <w:pPr>
              <w:rPr>
                <w:rFonts w:ascii="David" w:hAnsi="David" w:cs="David"/>
                <w:sz w:val="24"/>
                <w:rtl/>
              </w:rPr>
            </w:pPr>
            <w:r w:rsidRPr="00C0158A">
              <w:rPr>
                <w:rFonts w:ascii="David" w:hAnsi="David" w:cs="David"/>
                <w:sz w:val="24"/>
                <w:rtl/>
              </w:rPr>
              <w:t>השקעה לטווח ארוך</w:t>
            </w:r>
          </w:p>
        </w:tc>
        <w:tc>
          <w:tcPr>
            <w:tcW w:w="1396" w:type="dxa"/>
            <w:vAlign w:val="center"/>
          </w:tcPr>
          <w:p w:rsidR="003C538E" w:rsidRPr="00C0158A" w:rsidRDefault="003C538E" w:rsidP="00E54D93">
            <w:pPr>
              <w:rPr>
                <w:rFonts w:ascii="David" w:hAnsi="David" w:cs="David"/>
                <w:sz w:val="24"/>
                <w:rtl/>
              </w:rPr>
            </w:pPr>
            <w:r w:rsidRPr="00C0158A">
              <w:rPr>
                <w:rFonts w:ascii="David" w:hAnsi="David" w:cs="David"/>
                <w:sz w:val="24"/>
                <w:rtl/>
              </w:rPr>
              <w:t>קרן פנסיה חדשה</w:t>
            </w:r>
          </w:p>
        </w:tc>
        <w:tc>
          <w:tcPr>
            <w:tcW w:w="1694" w:type="dxa"/>
            <w:vAlign w:val="center"/>
          </w:tcPr>
          <w:p w:rsidR="003C538E" w:rsidRPr="00C0158A" w:rsidRDefault="003C538E" w:rsidP="00E54D93">
            <w:pPr>
              <w:rPr>
                <w:rFonts w:ascii="David" w:hAnsi="David" w:cs="David"/>
                <w:sz w:val="24"/>
                <w:rtl/>
              </w:rPr>
            </w:pPr>
            <w:r w:rsidRPr="00C0158A">
              <w:rPr>
                <w:rFonts w:ascii="David" w:hAnsi="David" w:cs="David"/>
                <w:sz w:val="24"/>
                <w:rtl/>
              </w:rPr>
              <w:t>פטור מתשלום מס רווח הון. קנס בגובה של 35% במקרה של משיכת כספים לפני אירוע ביטוחי או פרישה מעבודה.</w:t>
            </w:r>
          </w:p>
        </w:tc>
        <w:tc>
          <w:tcPr>
            <w:tcW w:w="1464" w:type="dxa"/>
            <w:vAlign w:val="center"/>
          </w:tcPr>
          <w:p w:rsidR="003C538E" w:rsidRPr="00C0158A" w:rsidRDefault="003C538E" w:rsidP="00E54D93">
            <w:pPr>
              <w:rPr>
                <w:rFonts w:ascii="David" w:hAnsi="David" w:cs="David"/>
                <w:sz w:val="24"/>
                <w:rtl/>
              </w:rPr>
            </w:pPr>
            <w:r w:rsidRPr="00C0158A">
              <w:rPr>
                <w:rFonts w:ascii="David" w:hAnsi="David" w:cs="David"/>
                <w:sz w:val="24"/>
                <w:rtl/>
              </w:rPr>
              <w:t>הטבות מס הכנסה. 30% מסך הנכסים מושקעים באג"ח ממשלתיות מיועדות, המספקות תשואה גבוהה מתשואת השוק.</w:t>
            </w:r>
          </w:p>
        </w:tc>
        <w:tc>
          <w:tcPr>
            <w:tcW w:w="1199" w:type="dxa"/>
            <w:vAlign w:val="center"/>
          </w:tcPr>
          <w:p w:rsidR="003C538E" w:rsidRPr="00C0158A" w:rsidRDefault="003C538E" w:rsidP="00E54D93">
            <w:pPr>
              <w:rPr>
                <w:rFonts w:ascii="David" w:hAnsi="David" w:cs="David"/>
                <w:sz w:val="24"/>
                <w:rtl/>
              </w:rPr>
            </w:pPr>
            <w:r w:rsidRPr="00C0158A">
              <w:rPr>
                <w:rFonts w:ascii="David" w:hAnsi="David" w:cs="David"/>
                <w:sz w:val="24"/>
                <w:rtl/>
              </w:rPr>
              <w:t>יש.</w:t>
            </w:r>
          </w:p>
        </w:tc>
        <w:tc>
          <w:tcPr>
            <w:tcW w:w="2062" w:type="dxa"/>
            <w:vAlign w:val="center"/>
          </w:tcPr>
          <w:p w:rsidR="003C538E" w:rsidRPr="00C0158A" w:rsidRDefault="003C538E" w:rsidP="00E54D93">
            <w:pPr>
              <w:rPr>
                <w:rFonts w:ascii="David" w:hAnsi="David" w:cs="David"/>
                <w:sz w:val="24"/>
                <w:rtl/>
              </w:rPr>
            </w:pPr>
            <w:r w:rsidRPr="00C0158A">
              <w:rPr>
                <w:rFonts w:ascii="David" w:hAnsi="David" w:cs="David"/>
                <w:sz w:val="24"/>
                <w:rtl/>
              </w:rPr>
              <w:t>הכספים לא ניתנים למשיכה ללא קנס. קבלת כספים בתוך 4 ימים.</w:t>
            </w:r>
          </w:p>
        </w:tc>
      </w:tr>
      <w:tr w:rsidR="003C538E" w:rsidRPr="00C0158A" w:rsidTr="00E54D93">
        <w:trPr>
          <w:trHeight w:val="217"/>
        </w:trPr>
        <w:tc>
          <w:tcPr>
            <w:tcW w:w="1272" w:type="dxa"/>
            <w:vMerge/>
            <w:vAlign w:val="center"/>
          </w:tcPr>
          <w:p w:rsidR="003C538E" w:rsidRPr="00C0158A" w:rsidRDefault="003C538E" w:rsidP="00E54D93">
            <w:pPr>
              <w:rPr>
                <w:rFonts w:ascii="David" w:hAnsi="David" w:cs="David"/>
                <w:sz w:val="24"/>
                <w:rtl/>
              </w:rPr>
            </w:pPr>
          </w:p>
        </w:tc>
        <w:tc>
          <w:tcPr>
            <w:tcW w:w="1396" w:type="dxa"/>
            <w:vAlign w:val="center"/>
          </w:tcPr>
          <w:p w:rsidR="003C538E" w:rsidRPr="00C0158A" w:rsidRDefault="003C538E" w:rsidP="00E54D93">
            <w:pPr>
              <w:rPr>
                <w:rFonts w:ascii="David" w:hAnsi="David" w:cs="David"/>
                <w:sz w:val="24"/>
                <w:rtl/>
              </w:rPr>
            </w:pPr>
            <w:r w:rsidRPr="00C0158A">
              <w:rPr>
                <w:rFonts w:ascii="David" w:hAnsi="David" w:cs="David"/>
                <w:sz w:val="24"/>
                <w:rtl/>
              </w:rPr>
              <w:t>פוליסת ביטוח פנסיונית (ביטוח מנהלים)</w:t>
            </w:r>
          </w:p>
        </w:tc>
        <w:tc>
          <w:tcPr>
            <w:tcW w:w="1694" w:type="dxa"/>
            <w:vAlign w:val="center"/>
          </w:tcPr>
          <w:p w:rsidR="003C538E" w:rsidRPr="00C0158A" w:rsidRDefault="003C538E" w:rsidP="00E54D93">
            <w:pPr>
              <w:rPr>
                <w:rFonts w:ascii="David" w:hAnsi="David" w:cs="David"/>
                <w:sz w:val="24"/>
                <w:rtl/>
              </w:rPr>
            </w:pPr>
            <w:r w:rsidRPr="00C0158A">
              <w:rPr>
                <w:rFonts w:ascii="David" w:hAnsi="David" w:cs="David"/>
                <w:sz w:val="24"/>
                <w:rtl/>
              </w:rPr>
              <w:t xml:space="preserve">פטור מתשלום מס רווח הון. קנס בגובה של 35% במקרה של משיכה של כספים לפני </w:t>
            </w:r>
            <w:r w:rsidRPr="00C0158A">
              <w:rPr>
                <w:rFonts w:ascii="David" w:hAnsi="David" w:cs="David"/>
                <w:sz w:val="24"/>
                <w:rtl/>
              </w:rPr>
              <w:lastRenderedPageBreak/>
              <w:t>אירוע ביטוחי או פרישה מעבודה.</w:t>
            </w:r>
          </w:p>
        </w:tc>
        <w:tc>
          <w:tcPr>
            <w:tcW w:w="1464" w:type="dxa"/>
            <w:vAlign w:val="center"/>
          </w:tcPr>
          <w:p w:rsidR="003C538E" w:rsidRPr="00C0158A" w:rsidRDefault="003C538E" w:rsidP="00E54D93">
            <w:pPr>
              <w:rPr>
                <w:rFonts w:ascii="David" w:hAnsi="David" w:cs="David"/>
                <w:sz w:val="24"/>
                <w:rtl/>
              </w:rPr>
            </w:pPr>
            <w:r w:rsidRPr="00C0158A">
              <w:rPr>
                <w:rFonts w:ascii="David" w:hAnsi="David" w:cs="David"/>
                <w:sz w:val="24"/>
                <w:rtl/>
              </w:rPr>
              <w:lastRenderedPageBreak/>
              <w:t>הטבות מס הכנסה. ישנן פוליסות ישנות שלא ניתן להצטרף אליהן יותר.</w:t>
            </w:r>
          </w:p>
        </w:tc>
        <w:tc>
          <w:tcPr>
            <w:tcW w:w="1199" w:type="dxa"/>
            <w:vAlign w:val="center"/>
          </w:tcPr>
          <w:p w:rsidR="003C538E" w:rsidRPr="00C0158A" w:rsidRDefault="003C538E" w:rsidP="00E54D93">
            <w:pPr>
              <w:rPr>
                <w:rFonts w:ascii="David" w:hAnsi="David" w:cs="David"/>
                <w:sz w:val="24"/>
                <w:rtl/>
              </w:rPr>
            </w:pPr>
            <w:r w:rsidRPr="00C0158A">
              <w:rPr>
                <w:rFonts w:ascii="David" w:hAnsi="David" w:cs="David"/>
                <w:sz w:val="24"/>
                <w:rtl/>
              </w:rPr>
              <w:t xml:space="preserve">יש. בחלק מהפוליסות אין אפשרות לעבור </w:t>
            </w:r>
            <w:r w:rsidRPr="00C0158A">
              <w:rPr>
                <w:rFonts w:ascii="David" w:hAnsi="David" w:cs="David"/>
                <w:sz w:val="24"/>
                <w:rtl/>
              </w:rPr>
              <w:lastRenderedPageBreak/>
              <w:t>מסלול השקעה.</w:t>
            </w:r>
          </w:p>
        </w:tc>
        <w:tc>
          <w:tcPr>
            <w:tcW w:w="2062" w:type="dxa"/>
            <w:vAlign w:val="center"/>
          </w:tcPr>
          <w:p w:rsidR="003C538E" w:rsidRPr="00C0158A" w:rsidRDefault="003C538E" w:rsidP="00E54D93">
            <w:pPr>
              <w:rPr>
                <w:rFonts w:ascii="David" w:hAnsi="David" w:cs="David"/>
                <w:sz w:val="24"/>
                <w:rtl/>
              </w:rPr>
            </w:pPr>
            <w:r w:rsidRPr="00C0158A">
              <w:rPr>
                <w:rFonts w:ascii="David" w:hAnsi="David" w:cs="David"/>
                <w:sz w:val="24"/>
                <w:rtl/>
              </w:rPr>
              <w:lastRenderedPageBreak/>
              <w:t xml:space="preserve">הכספים לא ניתנים למשיכה ללא קנס. קבלת כספים תוך 7 ימים ממועד תום הביטוח (גיל הפרישה) </w:t>
            </w:r>
            <w:r w:rsidRPr="00C0158A">
              <w:rPr>
                <w:rFonts w:ascii="David" w:hAnsi="David" w:cs="David"/>
                <w:sz w:val="24"/>
                <w:rtl/>
              </w:rPr>
              <w:lastRenderedPageBreak/>
              <w:t>או 30 ימים אם לפני כן.</w:t>
            </w:r>
          </w:p>
        </w:tc>
      </w:tr>
      <w:tr w:rsidR="003C538E" w:rsidRPr="00C0158A" w:rsidTr="00E54D93">
        <w:trPr>
          <w:trHeight w:val="217"/>
        </w:trPr>
        <w:tc>
          <w:tcPr>
            <w:tcW w:w="1272" w:type="dxa"/>
            <w:vMerge/>
            <w:vAlign w:val="center"/>
          </w:tcPr>
          <w:p w:rsidR="003C538E" w:rsidRPr="00C0158A" w:rsidRDefault="003C538E" w:rsidP="00E54D93">
            <w:pPr>
              <w:rPr>
                <w:rFonts w:ascii="David" w:hAnsi="David" w:cs="David"/>
                <w:sz w:val="24"/>
                <w:rtl/>
              </w:rPr>
            </w:pPr>
          </w:p>
        </w:tc>
        <w:tc>
          <w:tcPr>
            <w:tcW w:w="1396" w:type="dxa"/>
            <w:vAlign w:val="center"/>
          </w:tcPr>
          <w:p w:rsidR="003C538E" w:rsidRPr="00C0158A" w:rsidRDefault="003C538E" w:rsidP="00E54D93">
            <w:pPr>
              <w:rPr>
                <w:rFonts w:ascii="David" w:hAnsi="David" w:cs="David"/>
                <w:sz w:val="24"/>
                <w:rtl/>
              </w:rPr>
            </w:pPr>
            <w:r w:rsidRPr="00C0158A">
              <w:rPr>
                <w:rFonts w:ascii="David" w:hAnsi="David" w:cs="David"/>
                <w:sz w:val="24"/>
                <w:rtl/>
              </w:rPr>
              <w:t>קרן פנסיה ותיקה</w:t>
            </w:r>
          </w:p>
        </w:tc>
        <w:tc>
          <w:tcPr>
            <w:tcW w:w="1694" w:type="dxa"/>
            <w:vAlign w:val="center"/>
          </w:tcPr>
          <w:p w:rsidR="003C538E" w:rsidRPr="00C0158A" w:rsidRDefault="003C538E" w:rsidP="00E54D93">
            <w:pPr>
              <w:rPr>
                <w:rFonts w:ascii="David" w:hAnsi="David" w:cs="David"/>
                <w:sz w:val="24"/>
                <w:rtl/>
              </w:rPr>
            </w:pPr>
            <w:r w:rsidRPr="00C0158A">
              <w:rPr>
                <w:rFonts w:ascii="David" w:hAnsi="David" w:cs="David"/>
                <w:sz w:val="24"/>
                <w:rtl/>
              </w:rPr>
              <w:t>פטור מתשלום מס רווח הון. אובדן זכויות</w:t>
            </w:r>
            <w:r w:rsidRPr="00C0158A">
              <w:rPr>
                <w:rFonts w:ascii="David" w:hAnsi="David" w:cs="David"/>
                <w:sz w:val="24"/>
                <w:vertAlign w:val="superscript"/>
                <w:rtl/>
              </w:rPr>
              <w:t>5</w:t>
            </w:r>
            <w:r w:rsidRPr="00C0158A">
              <w:rPr>
                <w:rFonts w:ascii="David" w:hAnsi="David" w:cs="David"/>
                <w:sz w:val="24"/>
                <w:rtl/>
              </w:rPr>
              <w:t xml:space="preserve"> במקרה של משיכה של כספים לפני אירוע ביטוחי או פרישה מעבודה.</w:t>
            </w:r>
          </w:p>
        </w:tc>
        <w:tc>
          <w:tcPr>
            <w:tcW w:w="1464" w:type="dxa"/>
            <w:vAlign w:val="center"/>
          </w:tcPr>
          <w:p w:rsidR="003C538E" w:rsidRPr="00C0158A" w:rsidRDefault="003C538E" w:rsidP="00E54D93">
            <w:pPr>
              <w:rPr>
                <w:rFonts w:ascii="David" w:hAnsi="David" w:cs="David"/>
                <w:sz w:val="24"/>
                <w:rtl/>
              </w:rPr>
            </w:pPr>
            <w:r w:rsidRPr="00C0158A">
              <w:rPr>
                <w:rFonts w:ascii="David" w:hAnsi="David" w:cs="David"/>
                <w:sz w:val="24"/>
                <w:rtl/>
              </w:rPr>
              <w:t>הטבות מס הכנסה. 30% מסך הנכסים מושקעים באג"ח ממשלתיות מיועדות. מוצר ישן שלא ניתן להצטרף אליו יותר.</w:t>
            </w:r>
          </w:p>
        </w:tc>
        <w:tc>
          <w:tcPr>
            <w:tcW w:w="1199" w:type="dxa"/>
            <w:vAlign w:val="center"/>
          </w:tcPr>
          <w:p w:rsidR="003C538E" w:rsidRPr="00C0158A" w:rsidRDefault="00DB2385" w:rsidP="00E54D93">
            <w:pPr>
              <w:rPr>
                <w:rFonts w:ascii="David" w:hAnsi="David" w:cs="David"/>
                <w:sz w:val="24"/>
                <w:rtl/>
              </w:rPr>
            </w:pPr>
            <w:r>
              <w:rPr>
                <w:rFonts w:ascii="David" w:hAnsi="David" w:cs="David" w:hint="cs"/>
                <w:sz w:val="24"/>
                <w:rtl/>
              </w:rPr>
              <w:t>לא רלוונטי.</w:t>
            </w:r>
          </w:p>
        </w:tc>
        <w:tc>
          <w:tcPr>
            <w:tcW w:w="2062" w:type="dxa"/>
            <w:vAlign w:val="center"/>
          </w:tcPr>
          <w:p w:rsidR="003C538E" w:rsidRPr="00C0158A" w:rsidRDefault="003C538E" w:rsidP="00E63250">
            <w:pPr>
              <w:rPr>
                <w:rFonts w:ascii="David" w:hAnsi="David" w:cs="David"/>
                <w:sz w:val="24"/>
                <w:rtl/>
              </w:rPr>
            </w:pPr>
            <w:r w:rsidRPr="00C0158A">
              <w:rPr>
                <w:rFonts w:ascii="David" w:hAnsi="David" w:cs="David"/>
                <w:sz w:val="24"/>
                <w:rtl/>
              </w:rPr>
              <w:t>הכספים לא ניתנים למשיכ</w:t>
            </w:r>
            <w:r w:rsidR="00E63250">
              <w:rPr>
                <w:rFonts w:ascii="David" w:hAnsi="David" w:cs="David"/>
                <w:sz w:val="24"/>
                <w:rtl/>
              </w:rPr>
              <w:t>ה ללא קנס. רוב החוסכים מבוגרים.</w:t>
            </w:r>
          </w:p>
        </w:tc>
      </w:tr>
      <w:tr w:rsidR="003C538E" w:rsidRPr="00C0158A" w:rsidTr="00E54D93">
        <w:trPr>
          <w:trHeight w:val="2716"/>
        </w:trPr>
        <w:tc>
          <w:tcPr>
            <w:tcW w:w="9087" w:type="dxa"/>
            <w:gridSpan w:val="6"/>
            <w:vAlign w:val="center"/>
          </w:tcPr>
          <w:p w:rsidR="003C538E" w:rsidRPr="00C0158A" w:rsidRDefault="003C538E" w:rsidP="003C538E">
            <w:pPr>
              <w:pStyle w:val="af8"/>
              <w:numPr>
                <w:ilvl w:val="0"/>
                <w:numId w:val="5"/>
              </w:numPr>
              <w:spacing w:after="0"/>
              <w:rPr>
                <w:rFonts w:ascii="David" w:hAnsi="David" w:cs="David"/>
                <w:sz w:val="24"/>
              </w:rPr>
            </w:pPr>
            <w:r w:rsidRPr="00C0158A">
              <w:rPr>
                <w:rFonts w:ascii="David" w:hAnsi="David" w:cs="David"/>
                <w:sz w:val="24"/>
                <w:rtl/>
              </w:rPr>
              <w:t xml:space="preserve">לא כולל משיכות לפי תנאי מסכנות – מצבים המאפשרים משיכה מוקדמת של כספי החיסכון הפנסיוני בעקבות פגיעה כלכלית או בריאותית. </w:t>
            </w:r>
          </w:p>
          <w:p w:rsidR="003C538E" w:rsidRPr="00C0158A" w:rsidRDefault="003C538E" w:rsidP="003C538E">
            <w:pPr>
              <w:pStyle w:val="af8"/>
              <w:numPr>
                <w:ilvl w:val="0"/>
                <w:numId w:val="5"/>
              </w:numPr>
              <w:spacing w:after="0"/>
              <w:rPr>
                <w:rFonts w:ascii="David" w:hAnsi="David" w:cs="David"/>
                <w:sz w:val="24"/>
                <w:rtl/>
              </w:rPr>
            </w:pPr>
            <w:r w:rsidRPr="00C0158A">
              <w:rPr>
                <w:rFonts w:ascii="David" w:hAnsi="David" w:cs="David"/>
                <w:sz w:val="24"/>
                <w:rtl/>
              </w:rPr>
              <w:t xml:space="preserve">אין אפשרות להעביר כספים בין מסלולים. תיאורטית ניתן למשוך כספים ואז להשקיע אותם מחדש בגוף מוסדי, או בקרן נאמנות אחרת. </w:t>
            </w:r>
          </w:p>
          <w:p w:rsidR="003C538E" w:rsidRPr="00C0158A" w:rsidRDefault="003C538E" w:rsidP="003C538E">
            <w:pPr>
              <w:pStyle w:val="af8"/>
              <w:numPr>
                <w:ilvl w:val="0"/>
                <w:numId w:val="5"/>
              </w:numPr>
              <w:spacing w:after="0"/>
              <w:rPr>
                <w:rFonts w:ascii="David" w:hAnsi="David" w:cs="David"/>
                <w:sz w:val="24"/>
                <w:rtl/>
              </w:rPr>
            </w:pPr>
            <w:r w:rsidRPr="00C0158A">
              <w:rPr>
                <w:rFonts w:ascii="David" w:hAnsi="David" w:cs="David"/>
                <w:sz w:val="24"/>
                <w:rtl/>
              </w:rPr>
              <w:t>בתקופת משבר הקורונה הקלו על המשיכה של סכומים מוגבלים מקרן ההשתלמות כך שניתן היה למשוך סכום מוגבל גם אם לא חלפו 6 שנים מתחילת החיסכון.</w:t>
            </w:r>
          </w:p>
          <w:p w:rsidR="003C538E" w:rsidRPr="00C0158A" w:rsidRDefault="003C538E" w:rsidP="003C538E">
            <w:pPr>
              <w:pStyle w:val="af8"/>
              <w:numPr>
                <w:ilvl w:val="0"/>
                <w:numId w:val="5"/>
              </w:numPr>
              <w:spacing w:after="0"/>
              <w:rPr>
                <w:rFonts w:ascii="David" w:hAnsi="David" w:cs="David"/>
                <w:sz w:val="24"/>
                <w:rtl/>
              </w:rPr>
            </w:pPr>
            <w:r w:rsidRPr="00C0158A">
              <w:rPr>
                <w:rFonts w:ascii="David" w:hAnsi="David" w:cs="David"/>
                <w:sz w:val="24"/>
                <w:rtl/>
              </w:rPr>
              <w:t>בעיקר לגבי חיסכון שהופקד החל משנת 2008. חסכונות לפני שנה זו ניתנים למשיכה ללא קנסות אחרי 15 שנה.</w:t>
            </w:r>
          </w:p>
          <w:p w:rsidR="003C538E" w:rsidRPr="00C0158A" w:rsidRDefault="003C538E" w:rsidP="003C538E">
            <w:pPr>
              <w:pStyle w:val="af8"/>
              <w:numPr>
                <w:ilvl w:val="0"/>
                <w:numId w:val="5"/>
              </w:numPr>
              <w:spacing w:after="0"/>
              <w:rPr>
                <w:rFonts w:ascii="David" w:hAnsi="David" w:cs="David"/>
                <w:sz w:val="24"/>
                <w:rtl/>
              </w:rPr>
            </w:pPr>
            <w:r w:rsidRPr="00C0158A">
              <w:rPr>
                <w:rFonts w:ascii="David" w:hAnsi="David" w:cs="David"/>
                <w:sz w:val="24"/>
                <w:rtl/>
              </w:rPr>
              <w:t>חישוב הזכויות בקרנות הפנסיה הוותיקות תלוי בקרן הספציפית, וכך גם הקנס.</w:t>
            </w:r>
          </w:p>
          <w:p w:rsidR="003C538E" w:rsidRPr="00C0158A" w:rsidRDefault="003C538E" w:rsidP="00E54D93">
            <w:pPr>
              <w:pStyle w:val="af8"/>
              <w:ind w:left="0"/>
              <w:rPr>
                <w:rFonts w:ascii="David" w:hAnsi="David" w:cs="David"/>
                <w:sz w:val="24"/>
                <w:rtl/>
              </w:rPr>
            </w:pPr>
            <w:r w:rsidRPr="00C0158A">
              <w:rPr>
                <w:rFonts w:ascii="David" w:hAnsi="David" w:cs="David"/>
                <w:b/>
                <w:bCs/>
                <w:sz w:val="24"/>
                <w:rtl/>
              </w:rPr>
              <w:t>מקור</w:t>
            </w:r>
            <w:r w:rsidRPr="00C0158A">
              <w:rPr>
                <w:rFonts w:ascii="David" w:hAnsi="David" w:cs="David"/>
                <w:sz w:val="24"/>
                <w:rtl/>
              </w:rPr>
              <w:t>: עיבודי בנק ישראל על בסיס התשתי</w:t>
            </w:r>
            <w:r>
              <w:rPr>
                <w:rFonts w:ascii="David" w:hAnsi="David" w:cs="David" w:hint="cs"/>
                <w:sz w:val="24"/>
                <w:rtl/>
              </w:rPr>
              <w:t>ת</w:t>
            </w:r>
            <w:r w:rsidRPr="00C0158A">
              <w:rPr>
                <w:rFonts w:ascii="David" w:hAnsi="David" w:cs="David"/>
                <w:sz w:val="24"/>
                <w:rtl/>
              </w:rPr>
              <w:t xml:space="preserve"> החוקית של מוצרי החיסכון השונים.</w:t>
            </w:r>
          </w:p>
        </w:tc>
      </w:tr>
    </w:tbl>
    <w:p w:rsidR="003C538E" w:rsidRPr="00C0158A" w:rsidRDefault="003C538E" w:rsidP="003C538E">
      <w:pPr>
        <w:pStyle w:val="1"/>
        <w:rPr>
          <w:rFonts w:ascii="David" w:hAnsi="David" w:cs="David"/>
          <w:sz w:val="24"/>
          <w:rtl/>
        </w:rPr>
      </w:pPr>
      <w:r w:rsidRPr="00C0158A">
        <w:rPr>
          <w:rFonts w:ascii="David" w:hAnsi="David" w:cs="David"/>
          <w:sz w:val="24"/>
          <w:rtl/>
        </w:rPr>
        <w:t>התנה</w:t>
      </w:r>
      <w:r>
        <w:rPr>
          <w:rFonts w:ascii="David" w:hAnsi="David" w:cs="David" w:hint="cs"/>
          <w:sz w:val="24"/>
          <w:rtl/>
        </w:rPr>
        <w:t>ל</w:t>
      </w:r>
      <w:r w:rsidRPr="00C0158A">
        <w:rPr>
          <w:rFonts w:ascii="David" w:hAnsi="David" w:cs="David"/>
          <w:sz w:val="24"/>
          <w:rtl/>
        </w:rPr>
        <w:t>ות החוסכים בגופים המוסדיים בתקופות משברים</w:t>
      </w:r>
    </w:p>
    <w:p w:rsidR="003C538E" w:rsidRPr="00C0158A" w:rsidRDefault="003C538E" w:rsidP="003C538E">
      <w:pPr>
        <w:rPr>
          <w:rFonts w:ascii="David" w:hAnsi="David" w:cs="David"/>
          <w:sz w:val="24"/>
          <w:rtl/>
        </w:rPr>
      </w:pPr>
      <w:r w:rsidRPr="00C0158A">
        <w:rPr>
          <w:rFonts w:ascii="David" w:hAnsi="David" w:cs="David"/>
          <w:sz w:val="24"/>
          <w:rtl/>
        </w:rPr>
        <w:t>כדי לאפיין את התנה</w:t>
      </w:r>
      <w:r>
        <w:rPr>
          <w:rFonts w:ascii="David" w:hAnsi="David" w:cs="David" w:hint="cs"/>
          <w:sz w:val="24"/>
          <w:rtl/>
        </w:rPr>
        <w:t>ל</w:t>
      </w:r>
      <w:r w:rsidRPr="00C0158A">
        <w:rPr>
          <w:rFonts w:ascii="David" w:hAnsi="David" w:cs="David"/>
          <w:sz w:val="24"/>
          <w:rtl/>
        </w:rPr>
        <w:t>ות החוסכים בתקופת משבר נבחן שתי פעולות: (1) משיכה שהיא הוצאת כספים ממוצר ההשקעה, לרוב כמזומן לחשבון הבנק; (2) ניוד,</w:t>
      </w:r>
      <w:r>
        <w:rPr>
          <w:rFonts w:ascii="David" w:hAnsi="David" w:cs="David" w:hint="cs"/>
          <w:sz w:val="24"/>
          <w:rtl/>
        </w:rPr>
        <w:t xml:space="preserve"> </w:t>
      </w:r>
      <w:r w:rsidRPr="00C0158A">
        <w:rPr>
          <w:rFonts w:ascii="David" w:hAnsi="David" w:cs="David"/>
          <w:sz w:val="24"/>
          <w:rtl/>
        </w:rPr>
        <w:t xml:space="preserve">שהוא העברה בין מסלולי השקעה בתוך אותו מוצר. </w:t>
      </w:r>
    </w:p>
    <w:p w:rsidR="003C538E" w:rsidRPr="00C0158A" w:rsidRDefault="003C538E" w:rsidP="003C538E">
      <w:pPr>
        <w:pStyle w:val="2"/>
        <w:numPr>
          <w:ilvl w:val="0"/>
          <w:numId w:val="2"/>
        </w:numPr>
        <w:rPr>
          <w:rFonts w:ascii="David" w:hAnsi="David" w:cs="David"/>
          <w:sz w:val="24"/>
          <w:rtl/>
        </w:rPr>
      </w:pPr>
      <w:r w:rsidRPr="00C0158A">
        <w:rPr>
          <w:rFonts w:ascii="David" w:hAnsi="David" w:cs="David"/>
          <w:sz w:val="24"/>
          <w:rtl/>
        </w:rPr>
        <w:t>משיכות</w:t>
      </w:r>
    </w:p>
    <w:p w:rsidR="003C538E" w:rsidRPr="00C0158A" w:rsidRDefault="003C538E" w:rsidP="003C538E">
      <w:pPr>
        <w:rPr>
          <w:rFonts w:ascii="David" w:hAnsi="David" w:cs="David"/>
          <w:sz w:val="24"/>
          <w:rtl/>
        </w:rPr>
      </w:pPr>
      <w:r w:rsidRPr="00C0158A">
        <w:rPr>
          <w:rFonts w:ascii="David" w:hAnsi="David" w:cs="David"/>
          <w:sz w:val="24"/>
          <w:rtl/>
        </w:rPr>
        <w:t>איורים 1 ו-2 מציגים את סדרות שיעורי הצבירה נטו (סך הכסף שנכנס פחות הכסף שיוצא</w:t>
      </w:r>
      <w:r>
        <w:rPr>
          <w:rFonts w:ascii="David" w:hAnsi="David" w:cs="David" w:hint="cs"/>
          <w:sz w:val="24"/>
          <w:rtl/>
        </w:rPr>
        <w:t>)</w:t>
      </w:r>
      <w:r w:rsidRPr="00C0158A">
        <w:rPr>
          <w:rFonts w:ascii="David" w:hAnsi="David" w:cs="David"/>
          <w:sz w:val="24"/>
          <w:rtl/>
        </w:rPr>
        <w:t xml:space="preserve"> </w:t>
      </w:r>
      <w:r>
        <w:rPr>
          <w:rFonts w:ascii="David" w:hAnsi="David" w:cs="David" w:hint="cs"/>
          <w:sz w:val="24"/>
          <w:rtl/>
        </w:rPr>
        <w:t>ב</w:t>
      </w:r>
      <w:r w:rsidRPr="00C0158A">
        <w:rPr>
          <w:rFonts w:ascii="David" w:hAnsi="David" w:cs="David"/>
          <w:sz w:val="24"/>
          <w:rtl/>
        </w:rPr>
        <w:t>כל מוצר בסביבת המשבר הפיננסי של 2008 (איור 1) ובסביבת משבר הקורונה (איור 2) לפי מוצרי החיסכון השונים בגופים המוסדיים.</w:t>
      </w:r>
      <w:r w:rsidRPr="00C0158A">
        <w:rPr>
          <w:rStyle w:val="a9"/>
          <w:rFonts w:ascii="David" w:hAnsi="David" w:cs="David"/>
          <w:sz w:val="24"/>
          <w:rtl/>
        </w:rPr>
        <w:footnoteReference w:id="9"/>
      </w:r>
      <w:r w:rsidRPr="00C0158A">
        <w:rPr>
          <w:rFonts w:ascii="David" w:hAnsi="David" w:cs="David"/>
          <w:sz w:val="24"/>
          <w:rtl/>
        </w:rPr>
        <w:t xml:space="preserve"> מהאיורים ניתן לראות את ההבדלים בהתנהגות החוסכים במוצרים השונים: המשיכות החריגות ב-2020 התמקדו בחודש מרץ. נתון זה מעיד על נתק בין השווקים הפיננסיים, שהמשבר בהם נגמר בתחילת השנה, לשווקים הריאליים, שבהם המשבר מתמשך. </w:t>
      </w:r>
    </w:p>
    <w:p w:rsidR="00E63250" w:rsidRPr="00AA0547" w:rsidRDefault="003C538E" w:rsidP="004A11D4">
      <w:pPr>
        <w:rPr>
          <w:rFonts w:ascii="David" w:hAnsi="David" w:cs="David"/>
          <w:sz w:val="24"/>
          <w:rtl/>
        </w:rPr>
      </w:pPr>
      <w:r w:rsidRPr="00C0158A">
        <w:rPr>
          <w:rFonts w:ascii="David" w:hAnsi="David" w:cs="David"/>
          <w:sz w:val="24"/>
          <w:rtl/>
        </w:rPr>
        <w:lastRenderedPageBreak/>
        <w:t xml:space="preserve">אף שהסגרים הביאו לעלייה באבטלה ובחל"ת (מצבים שבהם אין חובת הפקדה פנסיונית), משבר הקורונה לא גרר שינוי משמעותי בשיעורי הצבירה בקרנות הפנסיה החדשות בהשוואה לחודשים שקדמו למשבר (איור 2), וזאת בדומה לצבירות בקרנות הפנסיה ב-2008. מדובר בנתון מפתיע במיוחד על רקע היציאה של כשליש מהמשק לחל"ת בחודש זה. כדי להסביר עובדה זו בחנו בנפרד את היקף ההפקדות </w:t>
      </w:r>
      <w:r>
        <w:rPr>
          <w:rFonts w:ascii="David" w:hAnsi="David" w:cs="David" w:hint="cs"/>
          <w:sz w:val="24"/>
          <w:rtl/>
        </w:rPr>
        <w:t>ב</w:t>
      </w:r>
      <w:r w:rsidRPr="00C0158A">
        <w:rPr>
          <w:rFonts w:ascii="David" w:hAnsi="David" w:cs="David"/>
          <w:sz w:val="24"/>
          <w:rtl/>
        </w:rPr>
        <w:t xml:space="preserve">קרנות הפנסיה והמשיכות </w:t>
      </w:r>
      <w:r>
        <w:rPr>
          <w:rFonts w:ascii="David" w:hAnsi="David" w:cs="David" w:hint="cs"/>
          <w:sz w:val="24"/>
          <w:rtl/>
        </w:rPr>
        <w:t xml:space="preserve">מהן </w:t>
      </w:r>
      <w:r w:rsidRPr="00C0158A">
        <w:rPr>
          <w:rFonts w:ascii="David" w:hAnsi="David" w:cs="David"/>
          <w:sz w:val="24"/>
          <w:rtl/>
        </w:rPr>
        <w:t xml:space="preserve">בהשוואה למגמה מהשנים האחרונות. מצאנו כי החל מחודש אפריל נצפתה ירידה </w:t>
      </w:r>
      <w:r>
        <w:rPr>
          <w:rFonts w:ascii="David" w:hAnsi="David" w:cs="David" w:hint="cs"/>
          <w:sz w:val="24"/>
          <w:rtl/>
        </w:rPr>
        <w:t xml:space="preserve">של </w:t>
      </w:r>
      <w:r w:rsidRPr="00C0158A">
        <w:rPr>
          <w:rFonts w:ascii="David" w:hAnsi="David" w:cs="David"/>
          <w:sz w:val="24"/>
          <w:rtl/>
        </w:rPr>
        <w:t xml:space="preserve">שיעור ההפקדות בהשוואה לחודשים המקבילים </w:t>
      </w:r>
      <w:r>
        <w:rPr>
          <w:rFonts w:ascii="David" w:hAnsi="David" w:cs="David" w:hint="cs"/>
          <w:sz w:val="24"/>
          <w:rtl/>
        </w:rPr>
        <w:t>ב</w:t>
      </w:r>
      <w:r w:rsidRPr="00C0158A">
        <w:rPr>
          <w:rFonts w:ascii="David" w:hAnsi="David" w:cs="David"/>
          <w:sz w:val="24"/>
          <w:rtl/>
        </w:rPr>
        <w:t xml:space="preserve">שנה </w:t>
      </w:r>
      <w:r>
        <w:rPr>
          <w:rFonts w:ascii="David" w:hAnsi="David" w:cs="David" w:hint="cs"/>
          <w:sz w:val="24"/>
          <w:rtl/>
        </w:rPr>
        <w:t>הקודמת</w:t>
      </w:r>
      <w:r w:rsidRPr="00C0158A">
        <w:rPr>
          <w:rFonts w:ascii="David" w:hAnsi="David" w:cs="David"/>
          <w:sz w:val="24"/>
          <w:rtl/>
        </w:rPr>
        <w:t>:</w:t>
      </w:r>
      <w:r w:rsidRPr="00C0158A">
        <w:rPr>
          <w:rStyle w:val="a9"/>
          <w:rFonts w:ascii="David" w:hAnsi="David" w:cs="David"/>
          <w:sz w:val="24"/>
          <w:rtl/>
        </w:rPr>
        <w:footnoteReference w:id="10"/>
      </w:r>
      <w:r w:rsidRPr="00C0158A">
        <w:rPr>
          <w:rFonts w:ascii="David" w:hAnsi="David" w:cs="David"/>
          <w:sz w:val="24"/>
          <w:rtl/>
        </w:rPr>
        <w:t xml:space="preserve"> מהשנים 2017 עד מרץ 2020 נצפתה עלי</w:t>
      </w:r>
      <w:r>
        <w:rPr>
          <w:rFonts w:ascii="David" w:hAnsi="David" w:cs="David" w:hint="cs"/>
          <w:sz w:val="24"/>
          <w:rtl/>
        </w:rPr>
        <w:t>י</w:t>
      </w:r>
      <w:r w:rsidRPr="00C0158A">
        <w:rPr>
          <w:rFonts w:ascii="David" w:hAnsi="David" w:cs="David"/>
          <w:sz w:val="24"/>
          <w:rtl/>
        </w:rPr>
        <w:t>ה ממוצעת של כ11% בהפקדות ביחס לחודש המקביל בשנה הקודמת, ואילו בחודשים אפריל עד דצמבר 2020 עמד הגידול הממוצע על כ3.5% בלבד. שיעור הירידה הגבוה ביותר</w:t>
      </w:r>
      <w:r w:rsidRPr="00617A23">
        <w:rPr>
          <w:rFonts w:ascii="David" w:hAnsi="David" w:cs="David"/>
          <w:sz w:val="24"/>
          <w:rtl/>
        </w:rPr>
        <w:t xml:space="preserve"> </w:t>
      </w:r>
      <w:r w:rsidRPr="00C0158A">
        <w:rPr>
          <w:rFonts w:ascii="David" w:hAnsi="David" w:cs="David"/>
          <w:sz w:val="24"/>
          <w:rtl/>
        </w:rPr>
        <w:t xml:space="preserve">ביחס למגמה </w:t>
      </w:r>
      <w:r>
        <w:rPr>
          <w:rFonts w:ascii="David" w:hAnsi="David" w:cs="David" w:hint="cs"/>
          <w:sz w:val="24"/>
          <w:rtl/>
        </w:rPr>
        <w:t xml:space="preserve">היה </w:t>
      </w:r>
      <w:r w:rsidRPr="00C0158A">
        <w:rPr>
          <w:rFonts w:ascii="David" w:hAnsi="David" w:cs="David"/>
          <w:sz w:val="24"/>
          <w:rtl/>
        </w:rPr>
        <w:t>בחודשים אפריל</w:t>
      </w:r>
      <w:r>
        <w:rPr>
          <w:rFonts w:ascii="David" w:hAnsi="David" w:cs="David" w:hint="cs"/>
          <w:sz w:val="24"/>
          <w:rtl/>
        </w:rPr>
        <w:t xml:space="preserve"> עד </w:t>
      </w:r>
      <w:r w:rsidRPr="00C0158A">
        <w:rPr>
          <w:rFonts w:ascii="David" w:hAnsi="David" w:cs="David"/>
          <w:sz w:val="24"/>
          <w:rtl/>
        </w:rPr>
        <w:t>יוני</w:t>
      </w:r>
      <w:r w:rsidRPr="00C0158A">
        <w:rPr>
          <w:rStyle w:val="a9"/>
          <w:rFonts w:ascii="David" w:hAnsi="David" w:cs="David"/>
          <w:sz w:val="24"/>
          <w:rtl/>
        </w:rPr>
        <w:footnoteReference w:id="11"/>
      </w:r>
      <w:r w:rsidRPr="00C0158A">
        <w:rPr>
          <w:rFonts w:ascii="David" w:hAnsi="David" w:cs="David"/>
          <w:sz w:val="24"/>
          <w:rtl/>
        </w:rPr>
        <w:t xml:space="preserve"> ונובמבר, כך שהירידה בהפקדות מופיעה </w:t>
      </w:r>
      <w:r w:rsidRPr="00AA0547">
        <w:rPr>
          <w:rFonts w:ascii="David" w:hAnsi="David" w:cs="David"/>
          <w:sz w:val="24"/>
          <w:rtl/>
        </w:rPr>
        <w:t>בנתוני החודש העוקב בשני הסגרים. נציין כי שיעור הירידה בהפקדות ביחס למגמה נמוך משמעותית מ</w:t>
      </w:r>
      <w:r w:rsidRPr="00AA0547">
        <w:rPr>
          <w:rFonts w:ascii="David" w:hAnsi="David" w:cs="David" w:hint="cs"/>
          <w:sz w:val="24"/>
          <w:rtl/>
        </w:rPr>
        <w:t>העלייה ב</w:t>
      </w:r>
      <w:r w:rsidRPr="00AA0547">
        <w:rPr>
          <w:rFonts w:ascii="David" w:hAnsi="David" w:cs="David" w:hint="eastAsia"/>
          <w:sz w:val="24"/>
          <w:rtl/>
        </w:rPr>
        <w:t>שיעור</w:t>
      </w:r>
      <w:r w:rsidRPr="00AA0547">
        <w:rPr>
          <w:rFonts w:ascii="David" w:hAnsi="David" w:cs="David"/>
          <w:sz w:val="24"/>
          <w:rtl/>
        </w:rPr>
        <w:t xml:space="preserve"> האבטלה בחודשים הללו. יחד עם זאת, בחודשי המשבר שיעור המשיכה מקרנות הפנסיה החדשות נשאר דומה למגמה ואף נמוך ממנה. ממצא זה מפתיע אך מתאים לידוע מהספרות: ההשפעה של ברירות המחדל והאינרציה מתבטאת במיעוט משיכות כספים אפילו בתקופת משברים.</w:t>
      </w:r>
      <w:r w:rsidRPr="00AA0547">
        <w:rPr>
          <w:rStyle w:val="a9"/>
          <w:rFonts w:ascii="David" w:hAnsi="David" w:cs="David"/>
          <w:sz w:val="24"/>
          <w:rtl/>
        </w:rPr>
        <w:footnoteReference w:id="12"/>
      </w:r>
      <w:r w:rsidRPr="00AA0547">
        <w:rPr>
          <w:rFonts w:ascii="David" w:hAnsi="David" w:cs="David"/>
          <w:sz w:val="24"/>
          <w:rtl/>
        </w:rPr>
        <w:t xml:space="preserve"> בקרנות הוותיקות, שנמצאות בשנים האחרונות בתקופה של </w:t>
      </w:r>
      <w:r w:rsidRPr="00AA0547">
        <w:rPr>
          <w:rFonts w:ascii="David" w:hAnsi="David" w:cs="David"/>
          <w:sz w:val="24"/>
        </w:rPr>
        <w:t>run-off</w:t>
      </w:r>
      <w:r w:rsidRPr="00AA0547">
        <w:rPr>
          <w:rFonts w:ascii="David" w:hAnsi="David" w:cs="David"/>
          <w:sz w:val="24"/>
          <w:rtl/>
        </w:rPr>
        <w:t xml:space="preserve"> (לא מצטרפים חוסכים חדשים, והאוכלוסייה מתבגרת ופורשת), יש זרם משיכות קבוע של כמיליארד וחצי ש"ח,</w:t>
      </w:r>
      <w:r w:rsidRPr="00AA0547">
        <w:rPr>
          <w:rStyle w:val="a9"/>
          <w:rFonts w:ascii="David" w:hAnsi="David" w:cs="David"/>
          <w:sz w:val="24"/>
          <w:rtl/>
        </w:rPr>
        <w:footnoteReference w:id="13"/>
      </w:r>
      <w:r w:rsidRPr="00AA0547">
        <w:rPr>
          <w:rFonts w:ascii="David" w:hAnsi="David" w:cs="David"/>
          <w:sz w:val="24"/>
          <w:rtl/>
        </w:rPr>
        <w:t xml:space="preserve"> אך בחודש מרץ נצפה, באופן חד-פעמי, היקף משיכות גבוה של 2.3 מיליארד ש"ח, השני בגובהו בעשור האחרון. בתשעת החודשים הנותרים של השנה המשיכות דמו לממוצע של השנים האחרונות. מכאן שמדובר במשיכה יוצאת דופן של כספים פנסיוניים</w:t>
      </w:r>
      <w:r w:rsidR="00380F9C">
        <w:rPr>
          <w:rFonts w:ascii="David" w:hAnsi="David" w:cs="David" w:hint="cs"/>
          <w:sz w:val="24"/>
          <w:rtl/>
        </w:rPr>
        <w:t xml:space="preserve"> שעלולה להיות</w:t>
      </w:r>
      <w:r w:rsidRPr="00AA0547">
        <w:rPr>
          <w:rFonts w:ascii="David" w:hAnsi="David" w:cs="David"/>
          <w:sz w:val="24"/>
          <w:rtl/>
        </w:rPr>
        <w:t xml:space="preserve"> כרוכה בעלות כלכלית ניכרת (לוח 1), ולא בפרישה מוקדמת של חוסכים. </w:t>
      </w:r>
      <w:r w:rsidRPr="00AA0547">
        <w:rPr>
          <w:rFonts w:ascii="David" w:hAnsi="David" w:cs="David"/>
          <w:sz w:val="24"/>
          <w:rtl/>
        </w:rPr>
        <w:lastRenderedPageBreak/>
        <w:t xml:space="preserve">ואולם לנוכח ההיקף הגבוה של הנכסים בקרנות הוותיקות שיעורה של זו מהנכסים זניח (כ-0.5%, </w:t>
      </w:r>
      <w:r w:rsidR="004A11D4">
        <w:rPr>
          <w:rFonts w:ascii="David" w:hAnsi="David" w:cs="David"/>
          <w:noProof/>
          <w:sz w:val="24"/>
        </w:rPr>
        <w:drawing>
          <wp:anchor distT="0" distB="0" distL="114300" distR="114300" simplePos="0" relativeHeight="251662336" behindDoc="1" locked="0" layoutInCell="1" allowOverlap="1">
            <wp:simplePos x="0" y="0"/>
            <wp:positionH relativeFrom="margin">
              <wp:align>center</wp:align>
            </wp:positionH>
            <wp:positionV relativeFrom="paragraph">
              <wp:posOffset>2867025</wp:posOffset>
            </wp:positionV>
            <wp:extent cx="4707890" cy="3239770"/>
            <wp:effectExtent l="0" t="0" r="0" b="0"/>
            <wp:wrapTopAndBottom/>
            <wp:docPr id="4"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07890" cy="3239770"/>
                    </a:xfrm>
                    <a:prstGeom prst="rect">
                      <a:avLst/>
                    </a:prstGeom>
                    <a:noFill/>
                  </pic:spPr>
                </pic:pic>
              </a:graphicData>
            </a:graphic>
          </wp:anchor>
        </w:drawing>
      </w:r>
      <w:r w:rsidRPr="00AA0547">
        <w:rPr>
          <w:rFonts w:ascii="David" w:hAnsi="David" w:cs="David"/>
          <w:sz w:val="24"/>
          <w:rtl/>
        </w:rPr>
        <w:t>לעומת 0.35% בחודש ממוצע).</w:t>
      </w:r>
    </w:p>
    <w:p w:rsidR="003C538E" w:rsidRPr="00C0158A" w:rsidRDefault="003C538E" w:rsidP="00380F9C">
      <w:pPr>
        <w:rPr>
          <w:rFonts w:ascii="David" w:hAnsi="David" w:cs="David"/>
          <w:sz w:val="24"/>
          <w:rtl/>
        </w:rPr>
      </w:pPr>
      <w:r w:rsidRPr="00AA0547">
        <w:rPr>
          <w:rFonts w:ascii="David" w:hAnsi="David" w:cs="David"/>
          <w:sz w:val="24"/>
          <w:rtl/>
        </w:rPr>
        <w:t>כנגד זאת בולטים בשני המשברים שיעורי משיכה גבוהים יחסית מקרנות הנאמנות. ממצא זה אמנם תואם את היותן מכשיר חיסכון לטווח קצר, ואת העדר תמריצים להשארת הכספים בחסכונות (פרט לדחיית תשלום המס), אך שיעור המשיכות במשבר הנוכחי גבוה פי שלושה מאשר במשבר הפיננסי של 2008, והתיקון בחודש אפריל 2020 נמוך מהתיקון בחודשים שלאחר המשבר ההוא. שיעור</w:t>
      </w:r>
      <w:r w:rsidRPr="00AA0547">
        <w:rPr>
          <w:rFonts w:ascii="David" w:hAnsi="David" w:cs="David" w:hint="eastAsia"/>
          <w:sz w:val="24"/>
          <w:rtl/>
        </w:rPr>
        <w:t>י</w:t>
      </w:r>
      <w:r w:rsidRPr="00AA0547">
        <w:rPr>
          <w:rFonts w:ascii="David" w:hAnsi="David" w:cs="David"/>
          <w:sz w:val="24"/>
          <w:rtl/>
        </w:rPr>
        <w:t xml:space="preserve"> הצבירה נטו בקרנות ההשתלמות (0%) ובקופות הגמל (0.21%-) ה</w:t>
      </w:r>
      <w:r w:rsidRPr="00AA0547">
        <w:rPr>
          <w:rFonts w:ascii="David" w:hAnsi="David" w:cs="David" w:hint="eastAsia"/>
          <w:sz w:val="24"/>
          <w:rtl/>
        </w:rPr>
        <w:t>ם</w:t>
      </w:r>
      <w:r w:rsidRPr="00AA0547">
        <w:rPr>
          <w:rFonts w:ascii="David" w:hAnsi="David" w:cs="David"/>
          <w:sz w:val="24"/>
          <w:rtl/>
        </w:rPr>
        <w:t xml:space="preserve"> בין החיסכון ארוך הטווח לקצר. הצבירות במוצרי</w:t>
      </w:r>
      <w:r w:rsidR="00380F9C">
        <w:rPr>
          <w:rFonts w:ascii="David" w:hAnsi="David" w:cs="David"/>
          <w:sz w:val="24"/>
          <w:rtl/>
        </w:rPr>
        <w:t>ם אלו לרוב חיוביות</w:t>
      </w:r>
      <w:r w:rsidR="00380F9C">
        <w:rPr>
          <w:rFonts w:ascii="David" w:hAnsi="David" w:cs="David" w:hint="cs"/>
          <w:sz w:val="24"/>
          <w:rtl/>
        </w:rPr>
        <w:t>,</w:t>
      </w:r>
      <w:r w:rsidRPr="00AA0547">
        <w:rPr>
          <w:rFonts w:ascii="David" w:hAnsi="David" w:cs="David"/>
          <w:sz w:val="24"/>
          <w:rtl/>
        </w:rPr>
        <w:t xml:space="preserve"> מרבית הכספים בהן נזילים, אך </w:t>
      </w:r>
      <w:r w:rsidRPr="00E54D93">
        <w:rPr>
          <w:rFonts w:ascii="David" w:hAnsi="David" w:cs="David"/>
          <w:sz w:val="24"/>
          <w:rtl/>
        </w:rPr>
        <w:t>משיכתם כרוכה בהפסד של הטבות המס שמוצרים אלה מקנים, והנזילות בהם אינה</w:t>
      </w:r>
      <w:r w:rsidRPr="00C0158A">
        <w:rPr>
          <w:rFonts w:ascii="David" w:hAnsi="David" w:cs="David"/>
          <w:sz w:val="24"/>
          <w:rtl/>
        </w:rPr>
        <w:t xml:space="preserve"> </w:t>
      </w:r>
      <w:proofErr w:type="spellStart"/>
      <w:r w:rsidRPr="00C0158A">
        <w:rPr>
          <w:rFonts w:ascii="David" w:hAnsi="David" w:cs="David"/>
          <w:sz w:val="24"/>
          <w:rtl/>
        </w:rPr>
        <w:t>מיידית</w:t>
      </w:r>
      <w:proofErr w:type="spellEnd"/>
      <w:r w:rsidRPr="00C0158A">
        <w:rPr>
          <w:rFonts w:ascii="David" w:hAnsi="David" w:cs="David"/>
          <w:sz w:val="24"/>
          <w:rtl/>
        </w:rPr>
        <w:t>. שיעורי המשיכה מגופים אלה במשבר הקורונה נמוכים יותר מאשר במשבר הקודם. בפרט, לא נצפו שיעורי משיכה גבוהים בקרנות ההשתלמות מחודש אוגוסט 2020, אף שבגלל המשבר ניתנו מחודש זה הקלות ביחס למשיכת כספים מהם קודם להבשלת החיסכון.</w:t>
      </w:r>
      <w:r w:rsidRPr="00C0158A">
        <w:rPr>
          <w:rFonts w:ascii="David" w:hAnsi="David" w:cs="David"/>
          <w:sz w:val="24"/>
          <w:vertAlign w:val="superscript"/>
          <w:rtl/>
        </w:rPr>
        <w:t xml:space="preserve"> </w:t>
      </w:r>
      <w:r w:rsidRPr="00C0158A">
        <w:rPr>
          <w:rFonts w:ascii="David" w:hAnsi="David" w:cs="David"/>
          <w:sz w:val="24"/>
          <w:vertAlign w:val="superscript"/>
          <w:rtl/>
        </w:rPr>
        <w:footnoteReference w:id="14"/>
      </w:r>
    </w:p>
    <w:p w:rsidR="003C538E" w:rsidRPr="00C0158A" w:rsidRDefault="003C538E" w:rsidP="003C538E">
      <w:pPr>
        <w:rPr>
          <w:rFonts w:ascii="David" w:hAnsi="David" w:cs="David"/>
          <w:sz w:val="24"/>
          <w:rtl/>
        </w:rPr>
      </w:pPr>
      <w:r w:rsidRPr="00C0158A">
        <w:rPr>
          <w:rFonts w:ascii="David" w:hAnsi="David" w:cs="David"/>
          <w:sz w:val="24"/>
          <w:rtl/>
        </w:rPr>
        <w:t xml:space="preserve">הצבירה נטו בקופות הגמל להשקעה הייתה נמוכה במידה משמעותית מהצבירה במוצרי החיסכון לטווחים הבינוני והארוך, אך גבוהה מהצבירה בקרנות הנאמנות. לפיכך נראה כי תמריצי המיסוי הגלומים בהן (בהשוואה לקרנות נאמנות) – בעיקר הפטור ממס לחוסכים לטווח ארוך, ואולי גם העיכוב בנזילות – הם שגרמו לחוסכים להימנע ממשיכת החסכונות. נציין כי סך הכספים המנוהלים במוצר זה עדיין נמוך – כ-15 מיליארד ש"ח. </w:t>
      </w:r>
    </w:p>
    <w:p w:rsidR="003C538E" w:rsidRPr="00C0158A" w:rsidRDefault="003C538E" w:rsidP="003C538E">
      <w:pPr>
        <w:rPr>
          <w:rFonts w:ascii="David" w:hAnsi="David" w:cs="David"/>
          <w:sz w:val="24"/>
        </w:rPr>
      </w:pPr>
      <w:r w:rsidRPr="00C0158A">
        <w:rPr>
          <w:rFonts w:ascii="David" w:hAnsi="David" w:cs="David"/>
          <w:noProof/>
          <w:sz w:val="24"/>
          <w:rtl/>
        </w:rPr>
        <w:lastRenderedPageBreak/>
        <w:drawing>
          <wp:anchor distT="0" distB="0" distL="114300" distR="114300" simplePos="0" relativeHeight="251659264" behindDoc="1" locked="0" layoutInCell="1" allowOverlap="1" wp14:anchorId="709A7C9B" wp14:editId="71AB2C22">
            <wp:simplePos x="0" y="0"/>
            <wp:positionH relativeFrom="margin">
              <wp:align>left</wp:align>
            </wp:positionH>
            <wp:positionV relativeFrom="paragraph">
              <wp:posOffset>556260</wp:posOffset>
            </wp:positionV>
            <wp:extent cx="2560320" cy="4182110"/>
            <wp:effectExtent l="0" t="0" r="0" b="8890"/>
            <wp:wrapTight wrapText="bothSides">
              <wp:wrapPolygon edited="0">
                <wp:start x="0" y="0"/>
                <wp:lineTo x="0" y="21548"/>
                <wp:lineTo x="21375" y="21548"/>
                <wp:lineTo x="21375"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60320" cy="4182110"/>
                    </a:xfrm>
                    <a:prstGeom prst="rect">
                      <a:avLst/>
                    </a:prstGeom>
                    <a:noFill/>
                  </pic:spPr>
                </pic:pic>
              </a:graphicData>
            </a:graphic>
          </wp:anchor>
        </w:drawing>
      </w:r>
      <w:r w:rsidRPr="00C0158A">
        <w:rPr>
          <w:rFonts w:ascii="David" w:hAnsi="David" w:cs="David"/>
          <w:sz w:val="24"/>
          <w:rtl/>
        </w:rPr>
        <w:t xml:space="preserve">על רקע הצבירה השלילית בגופים המוסדיים גדלו משמעותית היקפי המזומנים והפיקדונות הבנקאיים, מה שמעיד כי מרבית הכספים שנמשכו מהגופים המוסדיים לא הושקעו מחדש בטווח הקצר. </w:t>
      </w:r>
    </w:p>
    <w:p w:rsidR="003C538E" w:rsidRPr="00C0158A" w:rsidRDefault="003C538E" w:rsidP="003C538E">
      <w:pPr>
        <w:pStyle w:val="2"/>
        <w:numPr>
          <w:ilvl w:val="0"/>
          <w:numId w:val="2"/>
        </w:numPr>
        <w:rPr>
          <w:rFonts w:ascii="David" w:hAnsi="David" w:cs="David"/>
          <w:sz w:val="24"/>
        </w:rPr>
      </w:pPr>
      <w:r w:rsidRPr="00C0158A">
        <w:rPr>
          <w:rFonts w:ascii="David" w:hAnsi="David" w:cs="David"/>
          <w:sz w:val="24"/>
          <w:rtl/>
        </w:rPr>
        <w:t>מסלולי ההשקעה</w:t>
      </w:r>
    </w:p>
    <w:p w:rsidR="003C538E" w:rsidRPr="00C0158A" w:rsidRDefault="003C538E" w:rsidP="003C538E">
      <w:pPr>
        <w:rPr>
          <w:rFonts w:ascii="David" w:hAnsi="David" w:cs="David"/>
          <w:sz w:val="24"/>
          <w:rtl/>
        </w:rPr>
      </w:pPr>
      <w:r w:rsidRPr="00C0158A">
        <w:rPr>
          <w:rFonts w:ascii="David" w:hAnsi="David" w:cs="David"/>
          <w:sz w:val="24"/>
          <w:rtl/>
        </w:rPr>
        <w:t xml:space="preserve">החוסכים בגופים המוסדיים אמנם אינם בוחרים את השקעותיהם </w:t>
      </w:r>
      <w:r>
        <w:rPr>
          <w:rFonts w:ascii="David" w:hAnsi="David" w:cs="David" w:hint="cs"/>
          <w:sz w:val="24"/>
          <w:rtl/>
        </w:rPr>
        <w:t>באופן</w:t>
      </w:r>
      <w:r w:rsidRPr="00C0158A">
        <w:rPr>
          <w:rFonts w:ascii="David" w:hAnsi="David" w:cs="David"/>
          <w:sz w:val="24"/>
          <w:rtl/>
        </w:rPr>
        <w:t xml:space="preserve"> ישיר, אך הם יכולים לבחור את מסלול ההשקעה. במוצרי החיסכון לטווחים הבינוני והארוך, וכן בקופות הגמל להשקעה, מסלולי ההשקעה הם מסלול כללי (שבו תמהיל ההשקעות נקבע בידי הגוף המוסדי), ומסלולים המוטים להתמחות בסוג השקעה מסוים – מניות, אג"ח או מכשירים </w:t>
      </w:r>
      <w:proofErr w:type="spellStart"/>
      <w:r w:rsidRPr="00C0158A">
        <w:rPr>
          <w:rFonts w:ascii="David" w:hAnsi="David" w:cs="David"/>
          <w:sz w:val="24"/>
          <w:rtl/>
        </w:rPr>
        <w:t>שקליים</w:t>
      </w:r>
      <w:proofErr w:type="spellEnd"/>
      <w:r w:rsidRPr="00C0158A">
        <w:rPr>
          <w:rFonts w:ascii="David" w:hAnsi="David" w:cs="David"/>
          <w:sz w:val="24"/>
          <w:rtl/>
        </w:rPr>
        <w:t>.</w:t>
      </w:r>
      <w:r w:rsidRPr="00C0158A">
        <w:rPr>
          <w:rStyle w:val="a9"/>
          <w:rFonts w:ascii="David" w:hAnsi="David" w:cs="David"/>
          <w:sz w:val="24"/>
          <w:rtl/>
        </w:rPr>
        <w:footnoteReference w:id="15"/>
      </w:r>
      <w:r w:rsidRPr="00C0158A">
        <w:rPr>
          <w:rFonts w:ascii="David" w:hAnsi="David" w:cs="David"/>
          <w:sz w:val="24"/>
          <w:rtl/>
        </w:rPr>
        <w:t xml:space="preserve"> בין קרנות הנאמנות אין קרנות המוגדרות ככלליות, אלא רק קרנות מתמחות. התבוננות בהתפלגות החיסכון על פני מסלולי ההשקעה האפשריים בתוך מוצרי ההשקעה יכולה לאפשר תובנות נוספות </w:t>
      </w:r>
      <w:r>
        <w:rPr>
          <w:rFonts w:ascii="David" w:hAnsi="David" w:cs="David" w:hint="cs"/>
          <w:sz w:val="24"/>
          <w:rtl/>
        </w:rPr>
        <w:t>לגבי</w:t>
      </w:r>
      <w:r w:rsidRPr="00C0158A">
        <w:rPr>
          <w:rFonts w:ascii="David" w:hAnsi="David" w:cs="David"/>
          <w:sz w:val="24"/>
          <w:rtl/>
        </w:rPr>
        <w:t xml:space="preserve"> מאפייני החיסכון והחוסכים. את העיון בהיבט זה של קרנות הפנסיה החדשות נמקד בקופות הגמל והגמל להשקעה, בקרנות ההשתלמות ובקרנות הנאמנות.</w:t>
      </w:r>
      <w:r w:rsidRPr="00C0158A">
        <w:rPr>
          <w:rStyle w:val="a9"/>
          <w:rFonts w:ascii="David" w:hAnsi="David" w:cs="David"/>
          <w:sz w:val="24"/>
          <w:rtl/>
        </w:rPr>
        <w:footnoteReference w:id="16"/>
      </w:r>
      <w:r w:rsidRPr="00C0158A">
        <w:rPr>
          <w:rFonts w:ascii="David" w:hAnsi="David" w:cs="David"/>
          <w:sz w:val="24"/>
          <w:rtl/>
        </w:rPr>
        <w:t xml:space="preserve"> </w:t>
      </w:r>
    </w:p>
    <w:p w:rsidR="003C538E" w:rsidRPr="00C0158A" w:rsidRDefault="003C538E" w:rsidP="003C538E">
      <w:pPr>
        <w:rPr>
          <w:rFonts w:ascii="David" w:hAnsi="David" w:cs="David"/>
          <w:sz w:val="24"/>
          <w:rtl/>
        </w:rPr>
      </w:pPr>
      <w:r w:rsidRPr="00C0158A">
        <w:rPr>
          <w:rFonts w:ascii="David" w:hAnsi="David" w:cs="David"/>
          <w:sz w:val="24"/>
          <w:rtl/>
        </w:rPr>
        <w:t>בקרנות הפנסיה החדשות, בקופות הגמל ובקרנות ההשתלמות מרבית הכספים מושקעים במסלולים כלליים (איור 3).</w:t>
      </w:r>
      <w:r w:rsidRPr="00C0158A">
        <w:rPr>
          <w:rStyle w:val="a9"/>
          <w:rFonts w:ascii="David" w:hAnsi="David" w:cs="David"/>
          <w:sz w:val="24"/>
          <w:rtl/>
        </w:rPr>
        <w:footnoteReference w:id="17"/>
      </w:r>
      <w:r w:rsidRPr="00C0158A">
        <w:rPr>
          <w:rFonts w:ascii="David" w:hAnsi="David" w:cs="David"/>
          <w:sz w:val="24"/>
          <w:rtl/>
        </w:rPr>
        <w:t xml:space="preserve"> בקופות הגמל להשקעה שיעור הנכסים המושקעים במסלולים המתמחים במניות גבוה משמעותית מאשר בקופות הגמל ובקרנות ההשתלמות</w:t>
      </w:r>
      <w:r>
        <w:rPr>
          <w:rFonts w:ascii="David" w:hAnsi="David" w:cs="David" w:hint="cs"/>
          <w:sz w:val="24"/>
          <w:rtl/>
        </w:rPr>
        <w:t xml:space="preserve"> </w:t>
      </w:r>
      <w:r w:rsidRPr="00C0158A">
        <w:rPr>
          <w:rFonts w:ascii="David" w:hAnsi="David" w:cs="David"/>
          <w:sz w:val="24"/>
          <w:rtl/>
        </w:rPr>
        <w:t xml:space="preserve">ודומה יותר לשיעור הנכסים המושקע במסלולים כאלה בקרנות הנאמנות. נתון זה כשלעצמו מצביע על מאפיינים ייחודיים של קופות הגמל להשקעה ועל אופי ייחודי של החוסכים בהן: הם אולי יותר אקטיביים בבחירותיהם או פחות שונאי סיכון. </w:t>
      </w:r>
    </w:p>
    <w:p w:rsidR="003C538E" w:rsidRPr="00C0158A" w:rsidRDefault="003C538E" w:rsidP="003C538E">
      <w:pPr>
        <w:rPr>
          <w:rFonts w:ascii="David" w:hAnsi="David" w:cs="David"/>
          <w:sz w:val="24"/>
          <w:rtl/>
        </w:rPr>
      </w:pPr>
      <w:r w:rsidRPr="00C0158A">
        <w:rPr>
          <w:rFonts w:ascii="David" w:hAnsi="David" w:cs="David"/>
          <w:sz w:val="24"/>
          <w:rtl/>
        </w:rPr>
        <w:t xml:space="preserve">איור 4 מציג את הצבירה נטו (חיובית או שלילית) במסלולי ההשקעה השונים בכל מוצר בנפרד כאחוז מסכום התנועות בערכים מוחלטים באותו המסלול. הצבירות נטו בערכים מוחלטים בכל המסלולים ובכל המוצרים מסתכמות ב-100%. ניתן להבחין כי בקרנות הפנסיה החדשות הייתה צבירה חיובית בכל המסלולים. מכאן שלא היו משיכות רבות ממוצר זה, וככל הנראה לא היו בו גם </w:t>
      </w:r>
      <w:r w:rsidRPr="00C0158A">
        <w:rPr>
          <w:rFonts w:ascii="David" w:hAnsi="David" w:cs="David"/>
          <w:sz w:val="24"/>
          <w:rtl/>
        </w:rPr>
        <w:lastRenderedPageBreak/>
        <w:t>מעברים בין מסלולי ההשקעה בהיקף משמעותי.</w:t>
      </w:r>
      <w:r w:rsidRPr="00C0158A">
        <w:rPr>
          <w:rStyle w:val="a9"/>
          <w:rFonts w:ascii="David" w:hAnsi="David" w:cs="David"/>
          <w:sz w:val="24"/>
          <w:rtl/>
        </w:rPr>
        <w:footnoteReference w:id="18"/>
      </w:r>
      <w:r w:rsidRPr="00C0158A">
        <w:rPr>
          <w:rFonts w:ascii="David" w:hAnsi="David" w:cs="David"/>
          <w:sz w:val="24"/>
          <w:rtl/>
        </w:rPr>
        <w:t xml:space="preserve"> לעומת זאת בקופות הגמל ובקרנות ההשתלמות הצבירה בקרנות </w:t>
      </w:r>
      <w:proofErr w:type="spellStart"/>
      <w:r w:rsidRPr="00C0158A">
        <w:rPr>
          <w:rFonts w:ascii="David" w:hAnsi="David" w:cs="David"/>
          <w:sz w:val="24"/>
          <w:rtl/>
        </w:rPr>
        <w:t>השקליות</w:t>
      </w:r>
      <w:proofErr w:type="spellEnd"/>
      <w:r w:rsidRPr="00C0158A">
        <w:rPr>
          <w:rStyle w:val="a9"/>
          <w:rFonts w:ascii="David" w:hAnsi="David" w:cs="David"/>
          <w:sz w:val="24"/>
          <w:rtl/>
        </w:rPr>
        <w:footnoteReference w:id="19"/>
      </w:r>
      <w:r w:rsidRPr="00C0158A">
        <w:rPr>
          <w:rFonts w:ascii="David" w:hAnsi="David" w:cs="David"/>
          <w:sz w:val="24"/>
          <w:rtl/>
        </w:rPr>
        <w:t xml:space="preserve"> </w:t>
      </w:r>
      <w:proofErr w:type="spellStart"/>
      <w:r w:rsidRPr="00C0158A">
        <w:rPr>
          <w:rFonts w:ascii="David" w:hAnsi="David" w:cs="David"/>
          <w:sz w:val="24"/>
          <w:rtl/>
        </w:rPr>
        <w:t>והאג"חיות</w:t>
      </w:r>
      <w:proofErr w:type="spellEnd"/>
      <w:r w:rsidRPr="00C0158A">
        <w:rPr>
          <w:rFonts w:ascii="David" w:hAnsi="David" w:cs="David"/>
          <w:sz w:val="24"/>
          <w:rtl/>
        </w:rPr>
        <w:t xml:space="preserve"> (מסלולים שנחשבים סולידיים יותר) חיובית, והיא כמעט </w:t>
      </w:r>
      <w:r w:rsidRPr="00C0158A">
        <w:rPr>
          <w:rFonts w:ascii="David" w:hAnsi="David" w:cs="David"/>
          <w:noProof/>
          <w:sz w:val="24"/>
        </w:rPr>
        <w:drawing>
          <wp:anchor distT="0" distB="0" distL="114300" distR="114300" simplePos="0" relativeHeight="251661312" behindDoc="0" locked="0" layoutInCell="1" allowOverlap="1" wp14:anchorId="4EC90EDC" wp14:editId="124BE72A">
            <wp:simplePos x="0" y="0"/>
            <wp:positionH relativeFrom="margin">
              <wp:align>left</wp:align>
            </wp:positionH>
            <wp:positionV relativeFrom="paragraph">
              <wp:posOffset>628566</wp:posOffset>
            </wp:positionV>
            <wp:extent cx="2901950" cy="39687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01950" cy="3968750"/>
                    </a:xfrm>
                    <a:prstGeom prst="rect">
                      <a:avLst/>
                    </a:prstGeom>
                    <a:noFill/>
                  </pic:spPr>
                </pic:pic>
              </a:graphicData>
            </a:graphic>
          </wp:anchor>
        </w:drawing>
      </w:r>
      <w:r w:rsidRPr="00C0158A">
        <w:rPr>
          <w:rFonts w:ascii="David" w:hAnsi="David" w:cs="David"/>
          <w:sz w:val="24"/>
          <w:rtl/>
        </w:rPr>
        <w:t xml:space="preserve">תמונת ראי של הצבירה השלילית במסלולים הכלליים ובמסלולי המניות. </w:t>
      </w:r>
      <w:r w:rsidRPr="00C0158A">
        <w:rPr>
          <w:rStyle w:val="aa"/>
          <w:rFonts w:ascii="David" w:hAnsi="David" w:cs="David"/>
          <w:sz w:val="24"/>
          <w:szCs w:val="24"/>
          <w:rtl/>
        </w:rPr>
        <w:t>נראה כי החוסכים במסלולי הגמל וההשתלמות נמנעו מלמשוך את כספיהם כדי לא לאבד את הטבות המס, ובחרו למתן את הסיכון באמצעות מעבר למסלולים סולידיים</w:t>
      </w:r>
      <w:r w:rsidRPr="00C0158A">
        <w:rPr>
          <w:rFonts w:ascii="David" w:hAnsi="David" w:cs="David"/>
          <w:sz w:val="24"/>
          <w:rtl/>
        </w:rPr>
        <w:t>. מעבר למסלולים סולידיים בעתות משבר אינו ייחודי למשבר הקורונה; תופעה דומה נצפתה בחודשי המשבר הפיננסי של 2008 בקרנות הנאמנות, בקופות הגמל ובקרנות ההשתלמות, ואז המעבר היה נרחב יותר. החוסכים עלולים לשלם על כך מחיר כבד, שכן בספרות נמצא כי מעברים למסלולים סולידיים בעת משבר כרוכים לרוב בהפסדים פיננסיים.</w:t>
      </w:r>
      <w:r w:rsidRPr="00C0158A">
        <w:rPr>
          <w:rStyle w:val="a9"/>
          <w:rFonts w:ascii="David" w:hAnsi="David" w:cs="David"/>
          <w:sz w:val="24"/>
          <w:rtl/>
        </w:rPr>
        <w:footnoteReference w:id="20"/>
      </w:r>
      <w:r w:rsidRPr="00C0158A">
        <w:rPr>
          <w:rFonts w:ascii="David" w:hAnsi="David" w:cs="David"/>
          <w:sz w:val="24"/>
          <w:rtl/>
        </w:rPr>
        <w:t xml:space="preserve"> חוסך בקופת הגמל, בקופת הגמל להשקעה או בקרן השתלמות שהעביר את </w:t>
      </w:r>
      <w:r>
        <w:rPr>
          <w:rFonts w:ascii="David" w:hAnsi="David" w:cs="David" w:hint="cs"/>
          <w:sz w:val="24"/>
          <w:rtl/>
        </w:rPr>
        <w:t>כ</w:t>
      </w:r>
      <w:r w:rsidRPr="00C0158A">
        <w:rPr>
          <w:rFonts w:ascii="David" w:hAnsi="David" w:cs="David"/>
          <w:sz w:val="24"/>
          <w:rtl/>
        </w:rPr>
        <w:t>ספו בחודש מרץ 2020 ממסלול מנייתי לשקלי הפסיד בתוך חצי שנה תשואה של כ-19.5% בממוצע.</w:t>
      </w:r>
      <w:r w:rsidRPr="00C0158A">
        <w:rPr>
          <w:rStyle w:val="a9"/>
          <w:rFonts w:ascii="David" w:hAnsi="David" w:cs="David"/>
          <w:sz w:val="24"/>
          <w:rtl/>
        </w:rPr>
        <w:footnoteReference w:id="21"/>
      </w:r>
    </w:p>
    <w:p w:rsidR="003C538E" w:rsidRPr="00C0158A" w:rsidRDefault="003C538E" w:rsidP="00D7545C">
      <w:pPr>
        <w:rPr>
          <w:rFonts w:ascii="David" w:hAnsi="David" w:cs="David"/>
          <w:sz w:val="24"/>
        </w:rPr>
      </w:pPr>
      <w:r w:rsidRPr="00C0158A">
        <w:rPr>
          <w:rFonts w:ascii="David" w:hAnsi="David" w:cs="David"/>
          <w:sz w:val="24"/>
          <w:rtl/>
        </w:rPr>
        <w:t xml:space="preserve">לעומת זאת בקרנות הנאמנות צבירות נטו שליליות (משיכות/פדיונות) נצפו בכל המסלולים (איור 4), כולל שיעור משיכה גבוה של 15% מהנכסים מהמסלול </w:t>
      </w:r>
      <w:proofErr w:type="spellStart"/>
      <w:r w:rsidRPr="00C0158A">
        <w:rPr>
          <w:rFonts w:ascii="David" w:hAnsi="David" w:cs="David"/>
          <w:sz w:val="24"/>
          <w:rtl/>
        </w:rPr>
        <w:t>השקלי</w:t>
      </w:r>
      <w:proofErr w:type="spellEnd"/>
      <w:r w:rsidRPr="00C0158A">
        <w:rPr>
          <w:rFonts w:ascii="David" w:hAnsi="David" w:cs="David"/>
          <w:sz w:val="24"/>
          <w:rtl/>
        </w:rPr>
        <w:t xml:space="preserve">, וזאת בניגוד מהתנהגות החוסכים במהלך המשבר הפיננסי, אז נצפתה במסלול זה גם בקרנות הנאמנות צבירה חיובית של כ-15%. דווקא במסלול </w:t>
      </w:r>
      <w:proofErr w:type="spellStart"/>
      <w:r w:rsidRPr="00C0158A">
        <w:rPr>
          <w:rFonts w:ascii="David" w:hAnsi="David" w:cs="David"/>
          <w:sz w:val="24"/>
          <w:rtl/>
        </w:rPr>
        <w:t>המנייתי</w:t>
      </w:r>
      <w:proofErr w:type="spellEnd"/>
      <w:r w:rsidRPr="00C0158A">
        <w:rPr>
          <w:rFonts w:ascii="David" w:hAnsi="David" w:cs="David"/>
          <w:sz w:val="24"/>
          <w:rtl/>
        </w:rPr>
        <w:t xml:space="preserve"> המשיכות במשבר הנוכחי היו נמוכות מאשר בשאר ההתמחויות. ניתן ל</w:t>
      </w:r>
      <w:r>
        <w:rPr>
          <w:rFonts w:ascii="David" w:hAnsi="David" w:cs="David" w:hint="cs"/>
          <w:sz w:val="24"/>
          <w:rtl/>
        </w:rPr>
        <w:t>הציע שני הסברים אפשריים ל</w:t>
      </w:r>
      <w:r w:rsidRPr="00C0158A">
        <w:rPr>
          <w:rFonts w:ascii="David" w:hAnsi="David" w:cs="David"/>
          <w:sz w:val="24"/>
          <w:rtl/>
        </w:rPr>
        <w:t>התנהגות זו</w:t>
      </w:r>
      <w:r>
        <w:rPr>
          <w:rFonts w:ascii="David" w:hAnsi="David" w:cs="David" w:hint="cs"/>
          <w:sz w:val="24"/>
          <w:rtl/>
        </w:rPr>
        <w:t xml:space="preserve">. </w:t>
      </w:r>
      <w:r w:rsidRPr="00C0158A">
        <w:rPr>
          <w:rFonts w:ascii="David" w:hAnsi="David" w:cs="David"/>
          <w:sz w:val="24"/>
          <w:rtl/>
        </w:rPr>
        <w:t>האפשרות הראשונה היא שהמשקיעים בקרנות הנאמנות מגיבים ביתר שאת לשינויים במחיר, המוצגים יום יום ואף במהלך היום בדיווח על התשואה של הקרן, בניגוד לשאר מוצרי ההשקעה של הגופים המוסדיים, שבהם לא מפורסמות תשואות קצרות טווח. מהספרות אנחנו יודעים שכאשר התשואות מדווחות בתדירות נמוכה יותר, יש פחות משיכות ומעברים בין מסלולי השקעה, ולכן לא רואים את אותה התופעה במוצרי החיסכון האחרים.</w:t>
      </w:r>
      <w:r w:rsidRPr="00C0158A">
        <w:rPr>
          <w:rStyle w:val="a9"/>
          <w:rFonts w:ascii="David" w:hAnsi="David" w:cs="David"/>
          <w:sz w:val="24"/>
          <w:rtl/>
        </w:rPr>
        <w:footnoteReference w:id="22"/>
      </w:r>
      <w:r w:rsidRPr="00C0158A">
        <w:rPr>
          <w:rFonts w:ascii="David" w:hAnsi="David" w:cs="David"/>
          <w:sz w:val="24"/>
          <w:rtl/>
        </w:rPr>
        <w:t xml:space="preserve"> בעת משבר הקורונה ירדו מחירי הנכסים </w:t>
      </w:r>
      <w:proofErr w:type="spellStart"/>
      <w:r w:rsidRPr="00C0158A">
        <w:rPr>
          <w:rFonts w:ascii="David" w:hAnsi="David" w:cs="David"/>
          <w:sz w:val="24"/>
          <w:rtl/>
        </w:rPr>
        <w:t>השקליים</w:t>
      </w:r>
      <w:proofErr w:type="spellEnd"/>
      <w:r w:rsidRPr="00C0158A">
        <w:rPr>
          <w:rFonts w:ascii="David" w:hAnsi="David" w:cs="David"/>
          <w:sz w:val="24"/>
          <w:rtl/>
        </w:rPr>
        <w:t xml:space="preserve"> ירידה תלולה, ובלטה ירידת מחירי </w:t>
      </w:r>
      <w:proofErr w:type="spellStart"/>
      <w:r w:rsidRPr="00C0158A">
        <w:rPr>
          <w:rFonts w:ascii="David" w:hAnsi="David" w:cs="David"/>
          <w:sz w:val="24"/>
          <w:rtl/>
        </w:rPr>
        <w:t>האג"ח</w:t>
      </w:r>
      <w:proofErr w:type="spellEnd"/>
      <w:r w:rsidRPr="00C0158A">
        <w:rPr>
          <w:rFonts w:ascii="David" w:hAnsi="David" w:cs="David"/>
          <w:sz w:val="24"/>
          <w:rtl/>
        </w:rPr>
        <w:t xml:space="preserve"> הממשלתיות בחודש מרץ. (ראו דוח היציבות הפיננסית למחצית השנייה של 2020 ותיאור בגוף פרק זה.) בקרנות הנאמנות היו גם משיכות מהמסלולים </w:t>
      </w:r>
      <w:proofErr w:type="spellStart"/>
      <w:r w:rsidRPr="00C0158A">
        <w:rPr>
          <w:rFonts w:ascii="David" w:hAnsi="David" w:cs="David"/>
          <w:sz w:val="24"/>
          <w:rtl/>
        </w:rPr>
        <w:t>המנייתיים</w:t>
      </w:r>
      <w:proofErr w:type="spellEnd"/>
      <w:r w:rsidRPr="00C0158A">
        <w:rPr>
          <w:rFonts w:ascii="David" w:hAnsi="David" w:cs="David"/>
          <w:sz w:val="24"/>
          <w:rtl/>
        </w:rPr>
        <w:t xml:space="preserve"> </w:t>
      </w:r>
      <w:proofErr w:type="spellStart"/>
      <w:r w:rsidRPr="00C0158A">
        <w:rPr>
          <w:rFonts w:ascii="David" w:hAnsi="David" w:cs="David"/>
          <w:sz w:val="24"/>
          <w:rtl/>
        </w:rPr>
        <w:t>והאג"חיים</w:t>
      </w:r>
      <w:proofErr w:type="spellEnd"/>
      <w:r w:rsidRPr="00C0158A">
        <w:rPr>
          <w:rFonts w:ascii="David" w:hAnsi="David" w:cs="David"/>
          <w:sz w:val="24"/>
          <w:rtl/>
        </w:rPr>
        <w:t xml:space="preserve">, שספגו גם הם </w:t>
      </w:r>
      <w:r w:rsidRPr="00C0158A">
        <w:rPr>
          <w:rFonts w:ascii="David" w:hAnsi="David" w:cs="David"/>
          <w:sz w:val="24"/>
          <w:rtl/>
        </w:rPr>
        <w:lastRenderedPageBreak/>
        <w:t xml:space="preserve">זעזוע בשווקים, אך הזעזוע בשווקים </w:t>
      </w:r>
      <w:proofErr w:type="spellStart"/>
      <w:r w:rsidRPr="00C0158A">
        <w:rPr>
          <w:rFonts w:ascii="David" w:hAnsi="David" w:cs="David"/>
          <w:sz w:val="24"/>
          <w:rtl/>
        </w:rPr>
        <w:t>השקליים</w:t>
      </w:r>
      <w:proofErr w:type="spellEnd"/>
      <w:r w:rsidRPr="00C0158A">
        <w:rPr>
          <w:rFonts w:ascii="David" w:hAnsi="David" w:cs="David"/>
          <w:sz w:val="24"/>
          <w:rtl/>
        </w:rPr>
        <w:t xml:space="preserve"> היה דרמטי יותר ויוצא דופן, מה שכנראה השפיע על גובה המשיכות ממסלולים אלו ביתר עוצמה. בשאר הגופים המוסדיים וגישה נוחה לתשואות קצרות הטווח אולי מנע משיכות מהמסלולים </w:t>
      </w:r>
      <w:proofErr w:type="spellStart"/>
      <w:r w:rsidRPr="00C0158A">
        <w:rPr>
          <w:rFonts w:ascii="David" w:hAnsi="David" w:cs="David"/>
          <w:sz w:val="24"/>
          <w:rtl/>
        </w:rPr>
        <w:t>השקליים</w:t>
      </w:r>
      <w:proofErr w:type="spellEnd"/>
      <w:r w:rsidRPr="00C0158A">
        <w:rPr>
          <w:rFonts w:ascii="David" w:hAnsi="David" w:cs="David"/>
          <w:sz w:val="24"/>
          <w:rtl/>
        </w:rPr>
        <w:t xml:space="preserve"> והסולידיים. הסבר אפשרי אחר הוא שהחוסכים אשר בבעלותם קרנות נאמנות צפו צורך בנזילות והעדיפו למשוך כספים ממסלולים סולידיים, ורק לאחר מכן ממסלולים מסוכנים, שנפגעים יותר מהמשבר אך צפויים להתאושש בטווח הבינוני. ייתכן גם שמשקיעים אלה הם פחות שונאי סיכון, כפי שמעיד פיזור ההשקעות בין מסלולי ההשקעה השונים מלכתחילה. </w:t>
      </w:r>
    </w:p>
    <w:p w:rsidR="003C538E" w:rsidRPr="00C0158A" w:rsidRDefault="003C538E" w:rsidP="003C538E">
      <w:pPr>
        <w:rPr>
          <w:rFonts w:ascii="David" w:hAnsi="David" w:cs="David"/>
          <w:sz w:val="24"/>
          <w:rtl/>
        </w:rPr>
      </w:pPr>
      <w:r w:rsidRPr="00C0158A">
        <w:rPr>
          <w:rFonts w:ascii="David" w:hAnsi="David" w:cs="David"/>
          <w:sz w:val="24"/>
          <w:rtl/>
        </w:rPr>
        <w:t xml:space="preserve">אשר לקופות הגמל להשקעה – למרות הדמיון לקרנות הנאמנות בהתפלגות הנכסים בין מסלולי ההשקעה, המעברים בין המסלולים במהלך משבר הקורונה דומים יותר למעברים אלה בקופות הגמל וקרנות ההשתלמות, וניכר מעבר למסלולים סולידיים (איור 4). </w:t>
      </w:r>
    </w:p>
    <w:p w:rsidR="003C538E" w:rsidRPr="00C0158A" w:rsidRDefault="003C538E" w:rsidP="003C538E">
      <w:pPr>
        <w:pStyle w:val="1"/>
        <w:rPr>
          <w:rFonts w:ascii="David" w:hAnsi="David" w:cs="David"/>
          <w:sz w:val="24"/>
          <w:rtl/>
        </w:rPr>
      </w:pPr>
      <w:r w:rsidRPr="00C0158A">
        <w:rPr>
          <w:rFonts w:ascii="David" w:hAnsi="David" w:cs="David"/>
          <w:sz w:val="24"/>
          <w:rtl/>
        </w:rPr>
        <w:t>סיכום ודיון</w:t>
      </w:r>
    </w:p>
    <w:p w:rsidR="003C538E" w:rsidRPr="00C0158A" w:rsidRDefault="003C538E" w:rsidP="003C538E">
      <w:pPr>
        <w:rPr>
          <w:rFonts w:ascii="David" w:hAnsi="David" w:cs="David"/>
          <w:sz w:val="24"/>
          <w:rtl/>
        </w:rPr>
      </w:pPr>
      <w:r w:rsidRPr="00C0158A">
        <w:rPr>
          <w:rFonts w:ascii="David" w:hAnsi="David" w:cs="David"/>
          <w:sz w:val="24"/>
          <w:rtl/>
        </w:rPr>
        <w:t xml:space="preserve">במשבר הקורונה, בדומה למשבר הפיננסי של 2008, המשיכות החריגות של החוסכים מהגופים המוסדיים בישראל היו מתואמות עם הזעזועים בשווקים. הן התרכזו בחודש מרץ, ואילו לאחר מכן, עם ההתאוששות בשווקים, לא נצפו משיכות חריגות למרות התמשכות המשבר הריאלי. אף על פי כן, בחינת האוכלוסיות שנפגעו מהמשבר ריאלית מול האוכלוסיות המחזיקות חיסכון בגופים המוסדיים מעידה שמאפייני המשיכה מתיישבים עם אופי המשבר הנוכחי. סקר ארוך טווח של </w:t>
      </w:r>
      <w:proofErr w:type="spellStart"/>
      <w:r w:rsidRPr="00C0158A">
        <w:rPr>
          <w:rFonts w:ascii="David" w:hAnsi="David" w:cs="David"/>
          <w:sz w:val="24"/>
          <w:rtl/>
        </w:rPr>
        <w:t>הלמ"ס</w:t>
      </w:r>
      <w:proofErr w:type="spellEnd"/>
      <w:r w:rsidRPr="00C0158A">
        <w:rPr>
          <w:rFonts w:ascii="David" w:hAnsi="David" w:cs="David"/>
          <w:sz w:val="24"/>
          <w:rtl/>
        </w:rPr>
        <w:t xml:space="preserve"> לשנת 2018</w:t>
      </w:r>
      <w:r w:rsidRPr="00C0158A">
        <w:rPr>
          <w:rFonts w:ascii="David" w:hAnsi="David" w:cs="David"/>
          <w:rtl/>
        </w:rPr>
        <w:t xml:space="preserve"> </w:t>
      </w:r>
      <w:r w:rsidRPr="00C0158A">
        <w:rPr>
          <w:rFonts w:ascii="David" w:hAnsi="David" w:cs="David"/>
          <w:sz w:val="24"/>
          <w:rtl/>
        </w:rPr>
        <w:t xml:space="preserve">מראה, בדומה לסקרים מהשנים הקודמות, כי מרבית החיסכון בכל המוצרים שייך לשני </w:t>
      </w:r>
      <w:proofErr w:type="spellStart"/>
      <w:r w:rsidRPr="00C0158A">
        <w:rPr>
          <w:rFonts w:ascii="David" w:hAnsi="David" w:cs="David"/>
          <w:sz w:val="24"/>
          <w:rtl/>
        </w:rPr>
        <w:t>חמישוני</w:t>
      </w:r>
      <w:proofErr w:type="spellEnd"/>
      <w:r w:rsidRPr="00C0158A">
        <w:rPr>
          <w:rFonts w:ascii="David" w:hAnsi="David" w:cs="David"/>
          <w:sz w:val="24"/>
          <w:rtl/>
        </w:rPr>
        <w:t xml:space="preserve"> ההכנסה הגבוהים במדינה, בעוד שהמשבר הנוכחי פגע בעיקר בבעלי ההכנסות הנמוכות. (ראו פרקים ה' וח' בדוח זה.) מלבד זאת, שיעור ההחזקה של </w:t>
      </w:r>
      <w:proofErr w:type="spellStart"/>
      <w:r w:rsidRPr="00C0158A">
        <w:rPr>
          <w:rFonts w:ascii="David" w:hAnsi="David" w:cs="David"/>
          <w:sz w:val="24"/>
          <w:rtl/>
        </w:rPr>
        <w:t>החמישונים</w:t>
      </w:r>
      <w:proofErr w:type="spellEnd"/>
      <w:r w:rsidRPr="00C0158A">
        <w:rPr>
          <w:rFonts w:ascii="David" w:hAnsi="David" w:cs="David"/>
          <w:sz w:val="24"/>
          <w:rtl/>
        </w:rPr>
        <w:t xml:space="preserve"> הגבוהים גבוה יותר ככל שהמוצר נזיל יותר. כך שיעור החזקתם בקרנות ההשתלמות הוא 70%, ובקרנות הנאמנות – קרוב ל-80%. מתברר שהעלייה של מספר המובטלים והעובדים בחל"ת אמנם גררה ירידה בהפקדות ביחס למגמת הגידול של השנים האחרונות אך לא הייתה עלייה במשיכות מקרנות הפנסיה ואף הייתה ירידה</w:t>
      </w:r>
      <w:r>
        <w:rPr>
          <w:rFonts w:ascii="David" w:hAnsi="David" w:cs="David" w:hint="cs"/>
          <w:sz w:val="24"/>
          <w:rtl/>
        </w:rPr>
        <w:t>,</w:t>
      </w:r>
      <w:r w:rsidRPr="00C0158A">
        <w:rPr>
          <w:rFonts w:ascii="David" w:hAnsi="David" w:cs="David"/>
          <w:sz w:val="24"/>
          <w:rtl/>
        </w:rPr>
        <w:t xml:space="preserve"> כך ש</w:t>
      </w:r>
      <w:r>
        <w:rPr>
          <w:rFonts w:ascii="David" w:hAnsi="David" w:cs="David" w:hint="cs"/>
          <w:sz w:val="24"/>
          <w:rtl/>
        </w:rPr>
        <w:t>ב</w:t>
      </w:r>
      <w:r w:rsidRPr="00C0158A">
        <w:rPr>
          <w:rFonts w:ascii="David" w:hAnsi="David" w:cs="David"/>
          <w:sz w:val="24"/>
          <w:rtl/>
        </w:rPr>
        <w:t xml:space="preserve">סך הכול ההשפעה על הצבירות הייתה בשיעור נמוך. בקרנות הוותיקות הייתה עלייה חד-פעמית של המשיכות בחודש מרץ, שככל הנראה אינה מבטאת שיעור גבוה של אנשים שהקדימו את פרישתם. </w:t>
      </w:r>
    </w:p>
    <w:p w:rsidR="003C538E" w:rsidRPr="00C0158A" w:rsidRDefault="003C538E" w:rsidP="003C538E">
      <w:pPr>
        <w:rPr>
          <w:rFonts w:ascii="David" w:hAnsi="David" w:cs="David"/>
          <w:sz w:val="24"/>
          <w:rtl/>
        </w:rPr>
      </w:pPr>
      <w:r w:rsidRPr="00C0158A">
        <w:rPr>
          <w:rFonts w:ascii="David" w:hAnsi="David" w:cs="David"/>
          <w:sz w:val="24"/>
          <w:rtl/>
        </w:rPr>
        <w:t>הסיבות להבדלים בגובה המשיכות ובמעברים בין מסלולי ההשקעה בגופים המוסדיים קשורות לדעתנו במאפייני המוצרים (בעיקר מבחינת הטבות המס והתמריץ לחסוך לטווח ארוך) ולנגישות המידע לחוסכים (תדירות זמינותו של המידע למשקיעים), ואולי גם לאופי החוסכים (נוכחות רבה יחסית של משקיעים אקטיביים ופחות שונאי סיכון בקרנות הנאמנות). ממצאים אלו מדגישים את החשיבות של הבנת מאפייני המוצרים, הרגולציה עליהם ורמת שקיפותם, ש</w:t>
      </w:r>
      <w:r>
        <w:rPr>
          <w:rFonts w:ascii="David" w:hAnsi="David" w:cs="David" w:hint="cs"/>
          <w:sz w:val="24"/>
          <w:rtl/>
        </w:rPr>
        <w:t>נודעת</w:t>
      </w:r>
      <w:r w:rsidRPr="00C0158A">
        <w:rPr>
          <w:rFonts w:ascii="David" w:hAnsi="David" w:cs="David"/>
          <w:sz w:val="24"/>
          <w:rtl/>
        </w:rPr>
        <w:t xml:space="preserve"> להם השפעה ניכרת על התנהגות החוסכים. </w:t>
      </w:r>
    </w:p>
    <w:p w:rsidR="003C538E" w:rsidRPr="00C0158A" w:rsidRDefault="003C538E" w:rsidP="003C538E">
      <w:pPr>
        <w:rPr>
          <w:rFonts w:ascii="David" w:hAnsi="David" w:cs="David"/>
          <w:sz w:val="24"/>
          <w:rtl/>
        </w:rPr>
      </w:pPr>
      <w:r w:rsidRPr="00C0158A">
        <w:rPr>
          <w:rFonts w:ascii="David" w:hAnsi="David" w:cs="David"/>
          <w:sz w:val="24"/>
          <w:rtl/>
        </w:rPr>
        <w:t>קופת גמל להשקעה היא מוצר ביניים חדש, שבו שיעור המשיכה היה נמוך ביחס לקרנות הנאמנות, אך שיעור המעבר למסלולים סולידיים היה גבוה, בדומה להתנהגות העמיתים בקופות הגמל.</w:t>
      </w:r>
    </w:p>
    <w:p w:rsidR="003C538E" w:rsidRPr="00C0158A" w:rsidRDefault="003C538E" w:rsidP="003C538E">
      <w:pPr>
        <w:rPr>
          <w:rFonts w:ascii="David" w:hAnsi="David" w:cs="David"/>
          <w:sz w:val="24"/>
          <w:rtl/>
        </w:rPr>
      </w:pPr>
      <w:r w:rsidRPr="00C0158A">
        <w:rPr>
          <w:rFonts w:ascii="David" w:hAnsi="David" w:cs="David"/>
          <w:sz w:val="24"/>
          <w:rtl/>
        </w:rPr>
        <w:t xml:space="preserve"> ככלל, </w:t>
      </w:r>
      <w:proofErr w:type="spellStart"/>
      <w:r w:rsidRPr="00C0158A">
        <w:rPr>
          <w:rFonts w:ascii="David" w:hAnsi="David" w:cs="David"/>
          <w:sz w:val="24"/>
          <w:rtl/>
        </w:rPr>
        <w:t>הניודים</w:t>
      </w:r>
      <w:proofErr w:type="spellEnd"/>
      <w:r w:rsidRPr="00C0158A">
        <w:rPr>
          <w:rFonts w:ascii="David" w:hAnsi="David" w:cs="David"/>
          <w:sz w:val="24"/>
          <w:rtl/>
        </w:rPr>
        <w:t xml:space="preserve"> גררו הפסדים ניכרים לחוסכים. עם גידול ההשקעות באמצעות הגופים המוסדיים, ובפרט בקופות הגמל להשקעה, שיעור המשיכה הנמוך והשיעורים הגבוהים של המעבר בין מסלולים נעשים רלוונטיים עוד יותר ליציבות השווקים ולתשואות </w:t>
      </w:r>
      <w:r>
        <w:rPr>
          <w:rFonts w:ascii="David" w:hAnsi="David" w:cs="David" w:hint="cs"/>
          <w:sz w:val="24"/>
          <w:rtl/>
        </w:rPr>
        <w:t>ל</w:t>
      </w:r>
      <w:r w:rsidRPr="00C0158A">
        <w:rPr>
          <w:rFonts w:ascii="David" w:hAnsi="David" w:cs="David"/>
          <w:sz w:val="24"/>
          <w:rtl/>
        </w:rPr>
        <w:t xml:space="preserve">חוסכים בעתיד. </w:t>
      </w:r>
    </w:p>
    <w:p w:rsidR="003C538E" w:rsidRPr="00C0158A" w:rsidRDefault="003C538E" w:rsidP="003C538E">
      <w:pPr>
        <w:rPr>
          <w:rFonts w:ascii="David" w:hAnsi="David" w:cs="David"/>
          <w:sz w:val="24"/>
          <w:rtl/>
        </w:rPr>
      </w:pPr>
      <w:r w:rsidRPr="00C0158A">
        <w:rPr>
          <w:rFonts w:ascii="David" w:hAnsi="David" w:cs="David"/>
          <w:sz w:val="24"/>
          <w:rtl/>
        </w:rPr>
        <w:lastRenderedPageBreak/>
        <w:t>משיכה בתקופה של זעזוע בשווקים ככל הנראה כרוכה בהפסדים, ואינה מומלצת, אלא אם כן החוסך זקוק לכסף נזיל בתקופה הקרובה, ואין לו מקור אחר. התזמון ואופי המסלולים שמהם נמשכו או הועברו כספים מעידים שפעולות אלו נבעו לא רק מצורך בנזילות אלא גם מחששות לנוכח הזעזועים בשווקים.</w:t>
      </w:r>
    </w:p>
    <w:p w:rsidR="003C538E" w:rsidRDefault="003C538E" w:rsidP="003C538E">
      <w:pPr>
        <w:rPr>
          <w:rFonts w:ascii="David" w:hAnsi="David" w:cs="David"/>
          <w:sz w:val="24"/>
          <w:u w:val="single"/>
          <w:rtl/>
        </w:rPr>
      </w:pPr>
      <w:r>
        <w:rPr>
          <w:rFonts w:ascii="David" w:hAnsi="David" w:cs="David" w:hint="cs"/>
          <w:sz w:val="24"/>
          <w:u w:val="single"/>
          <w:rtl/>
        </w:rPr>
        <w:t>מקורות</w:t>
      </w:r>
    </w:p>
    <w:p w:rsidR="003C538E" w:rsidRPr="002C697C" w:rsidRDefault="003C538E" w:rsidP="002C697C">
      <w:pPr>
        <w:rPr>
          <w:rFonts w:ascii="David" w:hAnsi="David" w:cs="David"/>
          <w:sz w:val="24"/>
          <w:rtl/>
        </w:rPr>
      </w:pPr>
      <w:r w:rsidRPr="00C0158A">
        <w:rPr>
          <w:rFonts w:ascii="David" w:hAnsi="David" w:cs="David"/>
          <w:sz w:val="24"/>
          <w:rtl/>
        </w:rPr>
        <w:t>פורת, י' ונ' שטינברג (2011). רודפים אחר זנבם: רדיפת תשואות ומומנטום בצבירות בקרב המשקיעים בקופות גמל בישראל, סדרת מאמרים לדיון של בנק ישראל 2011.07</w:t>
      </w:r>
      <w:r w:rsidRPr="00C0158A">
        <w:rPr>
          <w:rFonts w:ascii="David" w:hAnsi="David" w:cs="David"/>
          <w:sz w:val="24"/>
        </w:rPr>
        <w:t>.</w:t>
      </w:r>
    </w:p>
    <w:p w:rsidR="003C538E" w:rsidRPr="00C0158A" w:rsidRDefault="003C538E" w:rsidP="003C538E">
      <w:pPr>
        <w:bidi w:val="0"/>
        <w:rPr>
          <w:rFonts w:ascii="David" w:hAnsi="David" w:cs="David"/>
          <w:sz w:val="24"/>
        </w:rPr>
      </w:pPr>
      <w:r w:rsidRPr="00C0158A">
        <w:rPr>
          <w:rFonts w:ascii="David" w:hAnsi="David" w:cs="David"/>
          <w:sz w:val="24"/>
        </w:rPr>
        <w:t>Ben-</w:t>
      </w:r>
      <w:proofErr w:type="spellStart"/>
      <w:r w:rsidRPr="00C0158A">
        <w:rPr>
          <w:rFonts w:ascii="David" w:hAnsi="David" w:cs="David"/>
          <w:sz w:val="24"/>
        </w:rPr>
        <w:t>Rephael</w:t>
      </w:r>
      <w:proofErr w:type="spellEnd"/>
      <w:r w:rsidRPr="00C0158A">
        <w:rPr>
          <w:rFonts w:ascii="David" w:hAnsi="David" w:cs="David"/>
          <w:sz w:val="24"/>
        </w:rPr>
        <w:t xml:space="preserve">, A, S. </w:t>
      </w:r>
      <w:proofErr w:type="spellStart"/>
      <w:r w:rsidRPr="00C0158A">
        <w:rPr>
          <w:rFonts w:ascii="David" w:hAnsi="David" w:cs="David"/>
          <w:sz w:val="24"/>
        </w:rPr>
        <w:t>Kandel</w:t>
      </w:r>
      <w:proofErr w:type="spellEnd"/>
      <w:r w:rsidRPr="00C0158A">
        <w:rPr>
          <w:rFonts w:ascii="David" w:hAnsi="David" w:cs="David"/>
          <w:sz w:val="24"/>
        </w:rPr>
        <w:t xml:space="preserve"> and A. </w:t>
      </w:r>
      <w:proofErr w:type="spellStart"/>
      <w:r w:rsidRPr="00C0158A">
        <w:rPr>
          <w:rFonts w:ascii="David" w:hAnsi="David" w:cs="David"/>
          <w:sz w:val="24"/>
        </w:rPr>
        <w:t>Wohl</w:t>
      </w:r>
      <w:proofErr w:type="spellEnd"/>
      <w:r w:rsidRPr="00C0158A">
        <w:rPr>
          <w:rFonts w:ascii="David" w:hAnsi="David" w:cs="David"/>
          <w:sz w:val="24"/>
        </w:rPr>
        <w:t xml:space="preserve"> (2012). “Measuring investor sentiment with mutual fund flows”</w:t>
      </w:r>
      <w:r>
        <w:rPr>
          <w:rFonts w:ascii="David" w:hAnsi="David" w:cs="David"/>
          <w:sz w:val="24"/>
        </w:rPr>
        <w:t>,</w:t>
      </w:r>
      <w:r w:rsidRPr="00C0158A">
        <w:rPr>
          <w:rFonts w:ascii="David" w:hAnsi="David" w:cs="David"/>
          <w:sz w:val="24"/>
        </w:rPr>
        <w:t xml:space="preserve"> </w:t>
      </w:r>
      <w:r w:rsidRPr="00AA0547">
        <w:rPr>
          <w:rFonts w:ascii="David" w:hAnsi="David" w:cs="David"/>
          <w:i/>
          <w:iCs/>
          <w:sz w:val="24"/>
        </w:rPr>
        <w:t>Journal of financial Economics, 104(2</w:t>
      </w:r>
      <w:r w:rsidRPr="00C0158A">
        <w:rPr>
          <w:rFonts w:ascii="David" w:hAnsi="David" w:cs="David"/>
          <w:sz w:val="24"/>
        </w:rPr>
        <w:t>),</w:t>
      </w:r>
      <w:r w:rsidRPr="00C0158A" w:rsidDel="00E66C5C">
        <w:rPr>
          <w:rFonts w:ascii="David" w:hAnsi="David" w:cs="David"/>
          <w:sz w:val="24"/>
        </w:rPr>
        <w:t xml:space="preserve"> </w:t>
      </w:r>
      <w:r w:rsidRPr="00C0158A">
        <w:rPr>
          <w:rFonts w:ascii="David" w:hAnsi="David" w:cs="David"/>
          <w:sz w:val="24"/>
        </w:rPr>
        <w:t>363–382</w:t>
      </w:r>
      <w:r w:rsidRPr="00C0158A">
        <w:rPr>
          <w:rFonts w:ascii="David" w:hAnsi="David" w:cs="David"/>
          <w:sz w:val="24"/>
          <w:rtl/>
        </w:rPr>
        <w:t>.</w:t>
      </w:r>
    </w:p>
    <w:p w:rsidR="003C538E" w:rsidRPr="00C0158A" w:rsidRDefault="003C538E" w:rsidP="003C538E">
      <w:pPr>
        <w:bidi w:val="0"/>
        <w:rPr>
          <w:rFonts w:ascii="David" w:hAnsi="David" w:cs="David"/>
          <w:sz w:val="24"/>
        </w:rPr>
      </w:pPr>
      <w:r w:rsidRPr="00C0158A">
        <w:rPr>
          <w:rFonts w:ascii="David" w:hAnsi="David" w:cs="David"/>
          <w:sz w:val="24"/>
        </w:rPr>
        <w:t>Blanchett, D., M.</w:t>
      </w:r>
      <w:r>
        <w:rPr>
          <w:rFonts w:ascii="David" w:hAnsi="David" w:cs="David"/>
          <w:sz w:val="24"/>
        </w:rPr>
        <w:t xml:space="preserve"> </w:t>
      </w:r>
      <w:r w:rsidRPr="00C0158A">
        <w:rPr>
          <w:rFonts w:ascii="David" w:hAnsi="David" w:cs="David"/>
          <w:sz w:val="24"/>
        </w:rPr>
        <w:t>S</w:t>
      </w:r>
      <w:r>
        <w:rPr>
          <w:rFonts w:ascii="David" w:hAnsi="David" w:cs="David"/>
          <w:sz w:val="24"/>
        </w:rPr>
        <w:t>.</w:t>
      </w:r>
      <w:r w:rsidRPr="00C0158A">
        <w:rPr>
          <w:rFonts w:ascii="David" w:hAnsi="David" w:cs="David"/>
          <w:sz w:val="24"/>
        </w:rPr>
        <w:t xml:space="preserve"> Finke and J. Reuter (2020). </w:t>
      </w:r>
      <w:r w:rsidRPr="00AA0547">
        <w:rPr>
          <w:rFonts w:ascii="David" w:hAnsi="David" w:cs="David"/>
          <w:i/>
          <w:iCs/>
          <w:sz w:val="24"/>
        </w:rPr>
        <w:t>Portfolio delegation and 401 (k) plan</w:t>
      </w:r>
      <w:r w:rsidRPr="00C0158A">
        <w:rPr>
          <w:rFonts w:ascii="David" w:hAnsi="David" w:cs="David"/>
          <w:sz w:val="24"/>
        </w:rPr>
        <w:t xml:space="preserve"> </w:t>
      </w:r>
      <w:r w:rsidRPr="00AA0547">
        <w:rPr>
          <w:rFonts w:ascii="David" w:hAnsi="David" w:cs="David"/>
          <w:i/>
          <w:iCs/>
          <w:sz w:val="24"/>
        </w:rPr>
        <w:t>participant responses to COVID-19 (No. w27438)</w:t>
      </w:r>
      <w:r>
        <w:rPr>
          <w:rFonts w:ascii="David" w:hAnsi="David" w:cs="David"/>
          <w:i/>
          <w:iCs/>
          <w:sz w:val="24"/>
        </w:rPr>
        <w:t>,</w:t>
      </w:r>
      <w:r w:rsidRPr="00C0158A">
        <w:rPr>
          <w:rFonts w:ascii="David" w:hAnsi="David" w:cs="David"/>
          <w:sz w:val="24"/>
        </w:rPr>
        <w:t xml:space="preserve"> National Bureau of Economic Research</w:t>
      </w:r>
      <w:r w:rsidRPr="00C0158A">
        <w:rPr>
          <w:rFonts w:ascii="David" w:hAnsi="David" w:cs="David"/>
          <w:sz w:val="24"/>
          <w:rtl/>
        </w:rPr>
        <w:t>.</w:t>
      </w:r>
    </w:p>
    <w:p w:rsidR="003C538E" w:rsidRPr="00C0158A" w:rsidRDefault="003C538E" w:rsidP="003C538E">
      <w:pPr>
        <w:bidi w:val="0"/>
        <w:rPr>
          <w:rFonts w:ascii="David" w:hAnsi="David" w:cs="David"/>
          <w:sz w:val="24"/>
          <w:rtl/>
        </w:rPr>
      </w:pPr>
      <w:r w:rsidRPr="00C0158A">
        <w:rPr>
          <w:rFonts w:ascii="David" w:hAnsi="David" w:cs="David"/>
          <w:sz w:val="24"/>
        </w:rPr>
        <w:t>Bucher-</w:t>
      </w:r>
      <w:proofErr w:type="spellStart"/>
      <w:r w:rsidRPr="00C0158A">
        <w:rPr>
          <w:rFonts w:ascii="David" w:hAnsi="David" w:cs="David"/>
          <w:sz w:val="24"/>
        </w:rPr>
        <w:t>Koenen</w:t>
      </w:r>
      <w:proofErr w:type="spellEnd"/>
      <w:r w:rsidRPr="00C0158A">
        <w:rPr>
          <w:rFonts w:ascii="David" w:hAnsi="David" w:cs="David"/>
          <w:sz w:val="24"/>
        </w:rPr>
        <w:t xml:space="preserve">, T. and M. </w:t>
      </w:r>
      <w:proofErr w:type="spellStart"/>
      <w:r w:rsidRPr="00C0158A">
        <w:rPr>
          <w:rFonts w:ascii="David" w:hAnsi="David" w:cs="David"/>
          <w:sz w:val="24"/>
        </w:rPr>
        <w:t>Ziegelmeyer</w:t>
      </w:r>
      <w:proofErr w:type="spellEnd"/>
      <w:r w:rsidRPr="00C0158A">
        <w:rPr>
          <w:rFonts w:ascii="David" w:hAnsi="David" w:cs="David"/>
          <w:sz w:val="24"/>
        </w:rPr>
        <w:t xml:space="preserve"> (2014). “Once burned, twice shy? Financial literacy and wealth losses during the financial crisis”, </w:t>
      </w:r>
      <w:r w:rsidRPr="00AA0547">
        <w:rPr>
          <w:rFonts w:ascii="David" w:hAnsi="David" w:cs="David"/>
          <w:i/>
          <w:iCs/>
          <w:sz w:val="24"/>
        </w:rPr>
        <w:t>Review of Finance, 18(6),</w:t>
      </w:r>
      <w:r w:rsidRPr="00C0158A">
        <w:rPr>
          <w:rFonts w:ascii="David" w:hAnsi="David" w:cs="David"/>
          <w:sz w:val="24"/>
        </w:rPr>
        <w:t xml:space="preserve"> 2215–2246.</w:t>
      </w:r>
    </w:p>
    <w:p w:rsidR="0054670F" w:rsidRDefault="003C538E" w:rsidP="003C538E">
      <w:pPr>
        <w:bidi w:val="0"/>
        <w:rPr>
          <w:rFonts w:ascii="David" w:hAnsi="David" w:cs="David"/>
          <w:sz w:val="24"/>
        </w:rPr>
      </w:pPr>
      <w:proofErr w:type="spellStart"/>
      <w:r w:rsidRPr="00C0158A">
        <w:rPr>
          <w:rFonts w:ascii="David" w:hAnsi="David" w:cs="David"/>
          <w:sz w:val="24"/>
        </w:rPr>
        <w:t>Chetty</w:t>
      </w:r>
      <w:proofErr w:type="spellEnd"/>
      <w:r w:rsidRPr="00C0158A">
        <w:rPr>
          <w:rFonts w:ascii="David" w:hAnsi="David" w:cs="David"/>
          <w:sz w:val="24"/>
        </w:rPr>
        <w:t xml:space="preserve">, </w:t>
      </w:r>
      <w:proofErr w:type="gramStart"/>
      <w:r w:rsidRPr="00C0158A">
        <w:rPr>
          <w:rFonts w:ascii="David" w:hAnsi="David" w:cs="David"/>
          <w:sz w:val="24"/>
        </w:rPr>
        <w:t>Raj.,</w:t>
      </w:r>
      <w:proofErr w:type="gramEnd"/>
      <w:r w:rsidRPr="00C0158A">
        <w:rPr>
          <w:rFonts w:ascii="David" w:hAnsi="David" w:cs="David"/>
          <w:sz w:val="24"/>
        </w:rPr>
        <w:t xml:space="preserve"> John N. Friedman, Soren </w:t>
      </w:r>
      <w:proofErr w:type="spellStart"/>
      <w:r w:rsidRPr="00C0158A">
        <w:rPr>
          <w:rFonts w:ascii="David" w:hAnsi="David" w:cs="David"/>
          <w:sz w:val="24"/>
        </w:rPr>
        <w:t>Leth</w:t>
      </w:r>
      <w:proofErr w:type="spellEnd"/>
      <w:r w:rsidRPr="00C0158A">
        <w:rPr>
          <w:rFonts w:ascii="David" w:hAnsi="David" w:cs="David"/>
          <w:sz w:val="24"/>
        </w:rPr>
        <w:t xml:space="preserve">-Petersen, </w:t>
      </w:r>
      <w:proofErr w:type="spellStart"/>
      <w:r w:rsidRPr="00C0158A">
        <w:rPr>
          <w:rFonts w:ascii="David" w:hAnsi="David" w:cs="David"/>
          <w:sz w:val="24"/>
        </w:rPr>
        <w:t>Torben</w:t>
      </w:r>
      <w:proofErr w:type="spellEnd"/>
      <w:r w:rsidRPr="00C0158A">
        <w:rPr>
          <w:rFonts w:ascii="David" w:hAnsi="David" w:cs="David"/>
          <w:sz w:val="24"/>
        </w:rPr>
        <w:t xml:space="preserve"> Nielsen and Olsen Tore (2014). “Active vs. passive decisions and crowd-out in retirement savings accounts: Evidence from Denmark”, </w:t>
      </w:r>
      <w:r w:rsidRPr="00AA0547">
        <w:rPr>
          <w:rFonts w:ascii="David" w:hAnsi="David" w:cs="David"/>
          <w:i/>
          <w:iCs/>
          <w:sz w:val="24"/>
        </w:rPr>
        <w:t>The Quarterly Journal of Economics, 129(3),</w:t>
      </w:r>
      <w:r w:rsidRPr="00C0158A">
        <w:rPr>
          <w:rFonts w:ascii="David" w:hAnsi="David" w:cs="David"/>
          <w:sz w:val="24"/>
        </w:rPr>
        <w:t xml:space="preserve"> 1141–1219</w:t>
      </w:r>
      <w:r>
        <w:rPr>
          <w:rFonts w:ascii="David" w:hAnsi="David" w:cs="David"/>
          <w:sz w:val="24"/>
          <w:rtl/>
        </w:rPr>
        <w:t>.</w:t>
      </w:r>
      <w:r w:rsidR="002C697C">
        <w:rPr>
          <w:rFonts w:ascii="David" w:hAnsi="David" w:cs="David"/>
          <w:sz w:val="24"/>
        </w:rPr>
        <w:t>\</w:t>
      </w:r>
    </w:p>
    <w:p w:rsidR="002C697C" w:rsidRPr="003C538E" w:rsidRDefault="002C697C" w:rsidP="002C697C">
      <w:pPr>
        <w:bidi w:val="0"/>
        <w:rPr>
          <w:rFonts w:ascii="David" w:hAnsi="David" w:cs="David"/>
          <w:sz w:val="24"/>
        </w:rPr>
      </w:pPr>
      <w:proofErr w:type="spellStart"/>
      <w:r>
        <w:rPr>
          <w:rFonts w:ascii="David" w:hAnsi="David" w:cs="David"/>
          <w:sz w:val="24"/>
        </w:rPr>
        <w:t>Shaton</w:t>
      </w:r>
      <w:proofErr w:type="spellEnd"/>
      <w:r>
        <w:rPr>
          <w:rFonts w:ascii="David" w:hAnsi="David" w:cs="David"/>
          <w:sz w:val="24"/>
        </w:rPr>
        <w:t xml:space="preserve">, M (2017) "The display of information and household investment behavior", </w:t>
      </w:r>
      <w:r w:rsidRPr="002C697C">
        <w:rPr>
          <w:rFonts w:ascii="David" w:hAnsi="David" w:cs="David"/>
          <w:i/>
          <w:iCs/>
          <w:sz w:val="24"/>
        </w:rPr>
        <w:t>Working paper</w:t>
      </w:r>
      <w:r>
        <w:rPr>
          <w:rFonts w:ascii="David" w:hAnsi="David" w:cs="David"/>
          <w:sz w:val="24"/>
        </w:rPr>
        <w:t>.</w:t>
      </w:r>
    </w:p>
    <w:sectPr w:rsidR="002C697C" w:rsidRPr="003C538E" w:rsidSect="002A3715">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565B" w:rsidRDefault="008E565B" w:rsidP="003C538E">
      <w:pPr>
        <w:spacing w:after="0" w:line="240" w:lineRule="auto"/>
      </w:pPr>
      <w:r>
        <w:separator/>
      </w:r>
    </w:p>
  </w:endnote>
  <w:endnote w:type="continuationSeparator" w:id="0">
    <w:p w:rsidR="008E565B" w:rsidRDefault="008E565B" w:rsidP="003C53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ssistant">
    <w:altName w:val="Arial"/>
    <w:panose1 w:val="00000500000000000000"/>
    <w:charset w:val="00"/>
    <w:family w:val="auto"/>
    <w:pitch w:val="variable"/>
    <w:sig w:usb0="00000807" w:usb1="40000000" w:usb2="00000000" w:usb3="00000000" w:csb0="00000023"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David-Bold">
    <w:panose1 w:val="00000000000000000000"/>
    <w:charset w:val="B1"/>
    <w:family w:val="auto"/>
    <w:notTrueType/>
    <w:pitch w:val="default"/>
    <w:sig w:usb0="00000801" w:usb1="00000000" w:usb2="00000000" w:usb3="00000000" w:csb0="0000002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565B" w:rsidRDefault="008E565B" w:rsidP="003C538E">
      <w:pPr>
        <w:spacing w:after="0" w:line="240" w:lineRule="auto"/>
      </w:pPr>
      <w:r>
        <w:separator/>
      </w:r>
    </w:p>
  </w:footnote>
  <w:footnote w:type="continuationSeparator" w:id="0">
    <w:p w:rsidR="008E565B" w:rsidRDefault="008E565B" w:rsidP="003C538E">
      <w:pPr>
        <w:spacing w:after="0" w:line="240" w:lineRule="auto"/>
      </w:pPr>
      <w:r>
        <w:continuationSeparator/>
      </w:r>
    </w:p>
  </w:footnote>
  <w:footnote w:id="1">
    <w:p w:rsidR="003C538E" w:rsidRPr="000D4A2C" w:rsidRDefault="003C538E" w:rsidP="003C538E">
      <w:pPr>
        <w:pStyle w:val="a7"/>
        <w:rPr>
          <w:rFonts w:ascii="David" w:hAnsi="David" w:cs="David"/>
        </w:rPr>
      </w:pPr>
      <w:r w:rsidRPr="000D4A2C">
        <w:rPr>
          <w:rStyle w:val="a9"/>
          <w:rFonts w:ascii="David" w:hAnsi="David" w:cs="David"/>
        </w:rPr>
        <w:footnoteRef/>
      </w:r>
      <w:r w:rsidRPr="000D4A2C">
        <w:rPr>
          <w:rFonts w:ascii="David" w:hAnsi="David" w:cs="David"/>
          <w:rtl/>
        </w:rPr>
        <w:t xml:space="preserve"> מ-35% בראשית שנות האלפיים ל-54.2% בתחילת 2020. שאר נכסי הציבור הם החזקות ישירות של הציבור, שעיקרן פיקדונות בנקאיים, אך </w:t>
      </w:r>
      <w:r>
        <w:rPr>
          <w:rFonts w:ascii="David" w:hAnsi="David" w:cs="David" w:hint="cs"/>
          <w:rtl/>
        </w:rPr>
        <w:t xml:space="preserve">הן </w:t>
      </w:r>
      <w:r w:rsidRPr="000D4A2C">
        <w:rPr>
          <w:rFonts w:ascii="David" w:hAnsi="David" w:cs="David"/>
          <w:rtl/>
        </w:rPr>
        <w:t>כוללות גם החזקה ישירה של ניירות ערך.</w:t>
      </w:r>
    </w:p>
  </w:footnote>
  <w:footnote w:id="2">
    <w:p w:rsidR="003C538E" w:rsidRPr="000D4A2C" w:rsidRDefault="003C538E" w:rsidP="003C538E">
      <w:pPr>
        <w:pStyle w:val="a7"/>
        <w:rPr>
          <w:rFonts w:ascii="David" w:hAnsi="David" w:cs="David"/>
        </w:rPr>
      </w:pPr>
      <w:r w:rsidRPr="000D4A2C">
        <w:rPr>
          <w:rStyle w:val="a9"/>
          <w:rFonts w:ascii="David" w:hAnsi="David" w:cs="David"/>
        </w:rPr>
        <w:footnoteRef/>
      </w:r>
      <w:r w:rsidRPr="000D4A2C">
        <w:rPr>
          <w:rFonts w:ascii="David" w:hAnsi="David" w:cs="David"/>
          <w:rtl/>
        </w:rPr>
        <w:t xml:space="preserve"> לא התייחסנו כאן לקרנות החדשות הכלליות, אלא רק לקרנות המקיפות, שבהן מנוהלים רוב הנכסים.</w:t>
      </w:r>
    </w:p>
  </w:footnote>
  <w:footnote w:id="3">
    <w:p w:rsidR="003C538E" w:rsidRPr="000D4A2C" w:rsidRDefault="003C538E" w:rsidP="003C538E">
      <w:pPr>
        <w:pStyle w:val="a7"/>
        <w:rPr>
          <w:rFonts w:ascii="David" w:hAnsi="David" w:cs="David"/>
          <w:rtl/>
        </w:rPr>
      </w:pPr>
      <w:r w:rsidRPr="000D4A2C">
        <w:rPr>
          <w:rStyle w:val="a9"/>
          <w:rFonts w:ascii="David" w:hAnsi="David" w:cs="David"/>
        </w:rPr>
        <w:footnoteRef/>
      </w:r>
      <w:r w:rsidRPr="000D4A2C">
        <w:rPr>
          <w:rFonts w:ascii="David" w:hAnsi="David" w:cs="David"/>
          <w:rtl/>
        </w:rPr>
        <w:t xml:space="preserve"> לאורך כל התיבה כללנו בנתונים אלו את המוצרים: תגמולים ואישית לפיצויים, מרכזית לפיצויים וקופות למטרה אחרת.</w:t>
      </w:r>
    </w:p>
  </w:footnote>
  <w:footnote w:id="4">
    <w:p w:rsidR="003C538E" w:rsidRPr="000D4A2C" w:rsidRDefault="003C538E" w:rsidP="003C538E">
      <w:pPr>
        <w:pStyle w:val="a7"/>
        <w:rPr>
          <w:rFonts w:ascii="David" w:hAnsi="David" w:cs="David"/>
          <w:rtl/>
        </w:rPr>
      </w:pPr>
      <w:r w:rsidRPr="000D4A2C">
        <w:rPr>
          <w:rStyle w:val="a9"/>
          <w:rFonts w:ascii="David" w:hAnsi="David" w:cs="David"/>
        </w:rPr>
        <w:footnoteRef/>
      </w:r>
      <w:r w:rsidRPr="000D4A2C">
        <w:rPr>
          <w:rFonts w:ascii="David" w:hAnsi="David" w:cs="David"/>
          <w:rtl/>
        </w:rPr>
        <w:t xml:space="preserve"> לאורך כל התיבה כללנו בנתונים אלו את קופות הגמל להשקעה "חיסכון לכל ילד", וכולן סווגו במסלול הכללי.</w:t>
      </w:r>
    </w:p>
  </w:footnote>
  <w:footnote w:id="5">
    <w:p w:rsidR="003C538E" w:rsidRPr="000D4A2C" w:rsidRDefault="003C538E" w:rsidP="003C538E">
      <w:pPr>
        <w:pStyle w:val="a7"/>
        <w:rPr>
          <w:rFonts w:ascii="David" w:hAnsi="David" w:cs="David"/>
          <w:rtl/>
        </w:rPr>
      </w:pPr>
      <w:r w:rsidRPr="000D4A2C">
        <w:rPr>
          <w:rStyle w:val="a9"/>
          <w:rFonts w:ascii="David" w:hAnsi="David" w:cs="David"/>
        </w:rPr>
        <w:footnoteRef/>
      </w:r>
      <w:r w:rsidRPr="000D4A2C">
        <w:rPr>
          <w:rFonts w:ascii="David" w:hAnsi="David" w:cs="David"/>
          <w:rtl/>
        </w:rPr>
        <w:t xml:space="preserve"> בניתוח ובנתונים המוצגים אנו כוללים בקרנות הנאמנות גם קרנות מחקות, העוקבות אחרי מדדים באופן פסיבי.</w:t>
      </w:r>
    </w:p>
  </w:footnote>
  <w:footnote w:id="6">
    <w:p w:rsidR="003C538E" w:rsidRPr="000D4A2C" w:rsidRDefault="003C538E" w:rsidP="003C538E">
      <w:pPr>
        <w:pStyle w:val="a7"/>
        <w:rPr>
          <w:rFonts w:ascii="David" w:hAnsi="David" w:cs="David"/>
        </w:rPr>
      </w:pPr>
      <w:r w:rsidRPr="000D4A2C">
        <w:rPr>
          <w:rStyle w:val="a9"/>
          <w:rFonts w:ascii="David" w:hAnsi="David" w:cs="David"/>
        </w:rPr>
        <w:footnoteRef/>
      </w:r>
      <w:r w:rsidRPr="000D4A2C">
        <w:rPr>
          <w:rFonts w:ascii="David" w:hAnsi="David" w:cs="David"/>
          <w:rtl/>
        </w:rPr>
        <w:t xml:space="preserve"> למעט שיעור זניח של משקיעים בקופות גמל וקרנות השתלמות בניהול אישי – </w:t>
      </w:r>
      <w:r w:rsidRPr="000D4A2C">
        <w:rPr>
          <w:rFonts w:ascii="David" w:hAnsi="David" w:cs="David"/>
        </w:rPr>
        <w:t>IRA</w:t>
      </w:r>
      <w:r w:rsidRPr="000D4A2C">
        <w:rPr>
          <w:rFonts w:ascii="David" w:hAnsi="David" w:cs="David"/>
          <w:rtl/>
        </w:rPr>
        <w:t>.</w:t>
      </w:r>
    </w:p>
  </w:footnote>
  <w:footnote w:id="7">
    <w:p w:rsidR="004B295E" w:rsidRDefault="004B295E" w:rsidP="004B295E">
      <w:pPr>
        <w:pStyle w:val="a7"/>
        <w:rPr>
          <w:rtl/>
        </w:rPr>
      </w:pPr>
      <w:r>
        <w:rPr>
          <w:rStyle w:val="a9"/>
        </w:rPr>
        <w:footnoteRef/>
      </w:r>
      <w:r>
        <w:rPr>
          <w:rtl/>
        </w:rPr>
        <w:t xml:space="preserve"> </w:t>
      </w:r>
      <w:r w:rsidRPr="00D949A7">
        <w:rPr>
          <w:rFonts w:ascii="David" w:hAnsi="David" w:cs="David" w:hint="cs"/>
          <w:rtl/>
        </w:rPr>
        <w:t>חוק</w:t>
      </w:r>
      <w:r w:rsidRPr="00D949A7">
        <w:rPr>
          <w:rFonts w:ascii="David" w:hAnsi="David" w:cs="David"/>
          <w:rtl/>
        </w:rPr>
        <w:t xml:space="preserve"> </w:t>
      </w:r>
      <w:r w:rsidRPr="00D949A7">
        <w:rPr>
          <w:rFonts w:ascii="David" w:hAnsi="David" w:cs="David" w:hint="cs"/>
          <w:rtl/>
        </w:rPr>
        <w:t>הביטוח</w:t>
      </w:r>
      <w:r w:rsidRPr="00D949A7">
        <w:rPr>
          <w:rFonts w:ascii="David" w:hAnsi="David" w:cs="David"/>
          <w:rtl/>
        </w:rPr>
        <w:t xml:space="preserve"> </w:t>
      </w:r>
      <w:r w:rsidRPr="00D949A7">
        <w:rPr>
          <w:rFonts w:ascii="David" w:hAnsi="David" w:cs="David" w:hint="cs"/>
          <w:rtl/>
        </w:rPr>
        <w:t>הלאומי</w:t>
      </w:r>
      <w:r w:rsidRPr="00D949A7">
        <w:rPr>
          <w:rFonts w:ascii="David" w:hAnsi="David" w:cs="David"/>
          <w:rtl/>
        </w:rPr>
        <w:t xml:space="preserve"> [</w:t>
      </w:r>
      <w:r w:rsidRPr="00D949A7">
        <w:rPr>
          <w:rFonts w:ascii="David" w:hAnsi="David" w:cs="David" w:hint="cs"/>
          <w:rtl/>
        </w:rPr>
        <w:t>נוסח</w:t>
      </w:r>
      <w:r w:rsidRPr="00D949A7">
        <w:rPr>
          <w:rFonts w:ascii="David" w:hAnsi="David" w:cs="David"/>
          <w:rtl/>
        </w:rPr>
        <w:t xml:space="preserve"> </w:t>
      </w:r>
      <w:r w:rsidRPr="00D949A7">
        <w:rPr>
          <w:rFonts w:ascii="David" w:hAnsi="David" w:cs="David" w:hint="cs"/>
          <w:rtl/>
        </w:rPr>
        <w:t>משולב</w:t>
      </w:r>
      <w:r w:rsidRPr="00D949A7">
        <w:rPr>
          <w:rFonts w:ascii="David" w:hAnsi="David" w:cs="David"/>
          <w:rtl/>
        </w:rPr>
        <w:t xml:space="preserve">], </w:t>
      </w:r>
      <w:r w:rsidRPr="00D949A7">
        <w:rPr>
          <w:rFonts w:ascii="David" w:hAnsi="David" w:cs="David" w:hint="cs"/>
          <w:rtl/>
        </w:rPr>
        <w:t>תשכ</w:t>
      </w:r>
      <w:r w:rsidRPr="00D949A7">
        <w:rPr>
          <w:rFonts w:ascii="David" w:hAnsi="David" w:cs="David"/>
          <w:rtl/>
        </w:rPr>
        <w:t>"</w:t>
      </w:r>
      <w:r w:rsidRPr="00D949A7">
        <w:rPr>
          <w:rFonts w:ascii="David" w:hAnsi="David" w:cs="David" w:hint="cs"/>
          <w:rtl/>
        </w:rPr>
        <w:t>ח</w:t>
      </w:r>
      <w:r w:rsidRPr="00D949A7">
        <w:rPr>
          <w:rFonts w:ascii="David" w:hAnsi="David" w:cs="David"/>
          <w:rtl/>
        </w:rPr>
        <w:t>-1968.</w:t>
      </w:r>
    </w:p>
  </w:footnote>
  <w:footnote w:id="8">
    <w:p w:rsidR="004B295E" w:rsidRDefault="004B295E" w:rsidP="004B295E">
      <w:pPr>
        <w:pStyle w:val="a7"/>
        <w:rPr>
          <w:rtl/>
        </w:rPr>
      </w:pPr>
      <w:r>
        <w:rPr>
          <w:rStyle w:val="a9"/>
        </w:rPr>
        <w:footnoteRef/>
      </w:r>
      <w:r>
        <w:rPr>
          <w:rtl/>
        </w:rPr>
        <w:t xml:space="preserve"> </w:t>
      </w:r>
      <w:r w:rsidRPr="00D949A7">
        <w:rPr>
          <w:rFonts w:ascii="David" w:hAnsi="David" w:cs="David" w:hint="cs"/>
          <w:rtl/>
        </w:rPr>
        <w:t>צו</w:t>
      </w:r>
      <w:r w:rsidRPr="00D949A7">
        <w:rPr>
          <w:rFonts w:ascii="David" w:hAnsi="David" w:cs="David"/>
          <w:rtl/>
        </w:rPr>
        <w:t xml:space="preserve"> </w:t>
      </w:r>
      <w:r w:rsidRPr="00D949A7">
        <w:rPr>
          <w:rFonts w:ascii="David" w:hAnsi="David" w:cs="David" w:hint="cs"/>
          <w:rtl/>
        </w:rPr>
        <w:t>הרחבה</w:t>
      </w:r>
      <w:r w:rsidRPr="00D949A7">
        <w:rPr>
          <w:rFonts w:ascii="David" w:hAnsi="David" w:cs="David"/>
          <w:rtl/>
        </w:rPr>
        <w:t xml:space="preserve"> [</w:t>
      </w:r>
      <w:r w:rsidRPr="00D949A7">
        <w:rPr>
          <w:rFonts w:ascii="David" w:hAnsi="David" w:cs="David" w:hint="cs"/>
          <w:rtl/>
        </w:rPr>
        <w:t>נוסח</w:t>
      </w:r>
      <w:r w:rsidRPr="00D949A7">
        <w:rPr>
          <w:rFonts w:ascii="David" w:hAnsi="David" w:cs="David"/>
          <w:rtl/>
        </w:rPr>
        <w:t xml:space="preserve"> </w:t>
      </w:r>
      <w:r w:rsidRPr="00D949A7">
        <w:rPr>
          <w:rFonts w:ascii="David" w:hAnsi="David" w:cs="David" w:hint="cs"/>
          <w:rtl/>
        </w:rPr>
        <w:t>משולב</w:t>
      </w:r>
      <w:r w:rsidRPr="00D949A7">
        <w:rPr>
          <w:rFonts w:ascii="David" w:hAnsi="David" w:cs="David"/>
          <w:rtl/>
        </w:rPr>
        <w:t xml:space="preserve">] </w:t>
      </w:r>
      <w:r w:rsidRPr="00D949A7">
        <w:rPr>
          <w:rFonts w:ascii="David" w:hAnsi="David" w:cs="David" w:hint="cs"/>
          <w:rtl/>
        </w:rPr>
        <w:t>לפנסיה</w:t>
      </w:r>
      <w:r w:rsidRPr="00D949A7">
        <w:rPr>
          <w:rFonts w:ascii="David" w:hAnsi="David" w:cs="David"/>
          <w:rtl/>
        </w:rPr>
        <w:t xml:space="preserve"> </w:t>
      </w:r>
      <w:r w:rsidRPr="00D949A7">
        <w:rPr>
          <w:rFonts w:ascii="David" w:hAnsi="David" w:cs="David" w:hint="cs"/>
          <w:rtl/>
        </w:rPr>
        <w:t>חובה</w:t>
      </w:r>
      <w:r w:rsidRPr="00D949A7">
        <w:rPr>
          <w:rFonts w:ascii="David" w:hAnsi="David" w:cs="David"/>
          <w:rtl/>
        </w:rPr>
        <w:t xml:space="preserve"> </w:t>
      </w:r>
      <w:r w:rsidRPr="00D949A7">
        <w:rPr>
          <w:rFonts w:ascii="David" w:hAnsi="David" w:cs="David" w:hint="cs"/>
          <w:rtl/>
        </w:rPr>
        <w:t>לפי</w:t>
      </w:r>
      <w:r w:rsidRPr="00D949A7">
        <w:rPr>
          <w:rFonts w:ascii="David" w:hAnsi="David" w:cs="David"/>
          <w:rtl/>
        </w:rPr>
        <w:t xml:space="preserve"> </w:t>
      </w:r>
      <w:r w:rsidRPr="00D949A7">
        <w:rPr>
          <w:rFonts w:ascii="David" w:hAnsi="David" w:cs="David" w:hint="cs"/>
          <w:rtl/>
        </w:rPr>
        <w:t>חוק</w:t>
      </w:r>
      <w:r w:rsidRPr="00D949A7">
        <w:rPr>
          <w:rFonts w:ascii="David" w:hAnsi="David" w:cs="David"/>
          <w:rtl/>
        </w:rPr>
        <w:t xml:space="preserve"> </w:t>
      </w:r>
      <w:r w:rsidRPr="00D949A7">
        <w:rPr>
          <w:rFonts w:ascii="David" w:hAnsi="David" w:cs="David" w:hint="cs"/>
          <w:rtl/>
        </w:rPr>
        <w:t>הסכמים</w:t>
      </w:r>
      <w:r w:rsidRPr="00D949A7">
        <w:rPr>
          <w:rFonts w:ascii="David" w:hAnsi="David" w:cs="David"/>
          <w:rtl/>
        </w:rPr>
        <w:t xml:space="preserve"> </w:t>
      </w:r>
      <w:r w:rsidRPr="00D949A7">
        <w:rPr>
          <w:rFonts w:ascii="David" w:hAnsi="David" w:cs="David" w:hint="cs"/>
          <w:rtl/>
        </w:rPr>
        <w:t>קיבוציים</w:t>
      </w:r>
      <w:r w:rsidRPr="00D949A7">
        <w:rPr>
          <w:rFonts w:ascii="David" w:hAnsi="David" w:cs="David"/>
          <w:rtl/>
        </w:rPr>
        <w:t xml:space="preserve">, </w:t>
      </w:r>
      <w:r w:rsidRPr="00D949A7">
        <w:rPr>
          <w:rFonts w:ascii="David" w:hAnsi="David" w:cs="David" w:hint="cs"/>
          <w:rtl/>
        </w:rPr>
        <w:t>התשי</w:t>
      </w:r>
      <w:r w:rsidRPr="00D949A7">
        <w:rPr>
          <w:rFonts w:ascii="David" w:hAnsi="David" w:cs="David"/>
          <w:rtl/>
        </w:rPr>
        <w:t>"</w:t>
      </w:r>
      <w:r w:rsidRPr="00D949A7">
        <w:rPr>
          <w:rFonts w:ascii="David" w:hAnsi="David" w:cs="David" w:hint="cs"/>
          <w:rtl/>
        </w:rPr>
        <w:t>ז</w:t>
      </w:r>
      <w:r w:rsidRPr="00D949A7">
        <w:rPr>
          <w:rFonts w:ascii="David" w:hAnsi="David" w:cs="David"/>
          <w:rtl/>
        </w:rPr>
        <w:t>-1957</w:t>
      </w:r>
      <w:r>
        <w:rPr>
          <w:rFonts w:hint="cs"/>
          <w:rtl/>
        </w:rPr>
        <w:t xml:space="preserve">. </w:t>
      </w:r>
    </w:p>
  </w:footnote>
  <w:footnote w:id="9">
    <w:p w:rsidR="003C538E" w:rsidRPr="000D4A2C" w:rsidRDefault="003C538E" w:rsidP="003C538E">
      <w:pPr>
        <w:pStyle w:val="a7"/>
        <w:rPr>
          <w:rFonts w:ascii="David" w:hAnsi="David" w:cs="David"/>
        </w:rPr>
      </w:pPr>
      <w:r w:rsidRPr="000D4A2C">
        <w:rPr>
          <w:rStyle w:val="a9"/>
          <w:rFonts w:ascii="David" w:hAnsi="David" w:cs="David"/>
        </w:rPr>
        <w:footnoteRef/>
      </w:r>
      <w:r w:rsidRPr="000D4A2C">
        <w:rPr>
          <w:rFonts w:ascii="David" w:hAnsi="David" w:cs="David"/>
          <w:rtl/>
        </w:rPr>
        <w:t xml:space="preserve"> בגלל התקינה החשבונאית אין נתונים על משיכות מפוליסות ביטוח מנהלים. בעתיד, עם כניסתה לתוקף של שיטת התקינה החדשה </w:t>
      </w:r>
      <w:r w:rsidRPr="000D4A2C">
        <w:rPr>
          <w:rFonts w:ascii="David" w:hAnsi="David" w:cs="David"/>
        </w:rPr>
        <w:t>IFRS17</w:t>
      </w:r>
      <w:r w:rsidRPr="000D4A2C">
        <w:rPr>
          <w:rFonts w:ascii="David" w:hAnsi="David" w:cs="David"/>
          <w:rtl/>
        </w:rPr>
        <w:t>, יהיה ניתן לעקוב אחר המשיכות ממוצרי החיסכון</w:t>
      </w:r>
      <w:r>
        <w:rPr>
          <w:rFonts w:ascii="David" w:hAnsi="David" w:cs="David" w:hint="cs"/>
          <w:rtl/>
        </w:rPr>
        <w:t>, בחברות</w:t>
      </w:r>
      <w:r w:rsidRPr="000D4A2C">
        <w:rPr>
          <w:rFonts w:ascii="David" w:hAnsi="David" w:cs="David"/>
          <w:rtl/>
        </w:rPr>
        <w:t xml:space="preserve"> </w:t>
      </w:r>
      <w:r>
        <w:rPr>
          <w:rFonts w:ascii="David" w:hAnsi="David" w:cs="David" w:hint="cs"/>
          <w:rtl/>
        </w:rPr>
        <w:t>ה</w:t>
      </w:r>
      <w:r w:rsidRPr="000D4A2C">
        <w:rPr>
          <w:rFonts w:ascii="David" w:hAnsi="David" w:cs="David"/>
          <w:rtl/>
        </w:rPr>
        <w:t>ביטוח,</w:t>
      </w:r>
      <w:r>
        <w:rPr>
          <w:rFonts w:ascii="David" w:hAnsi="David" w:cs="David" w:hint="cs"/>
          <w:rtl/>
        </w:rPr>
        <w:t>.</w:t>
      </w:r>
      <w:r w:rsidRPr="000D4A2C">
        <w:rPr>
          <w:rFonts w:ascii="David" w:hAnsi="David" w:cs="David"/>
          <w:rtl/>
        </w:rPr>
        <w:t xml:space="preserve"> סביר שפעילות החוסכים בהם דומה לפעילותם במוצרים המקבילים בגופים המוסדיים.</w:t>
      </w:r>
    </w:p>
  </w:footnote>
  <w:footnote w:id="10">
    <w:p w:rsidR="003C538E" w:rsidRPr="000D4A2C" w:rsidRDefault="003C538E" w:rsidP="003C538E">
      <w:pPr>
        <w:pStyle w:val="a7"/>
        <w:rPr>
          <w:rFonts w:ascii="David" w:hAnsi="David" w:cs="David"/>
        </w:rPr>
      </w:pPr>
      <w:r w:rsidRPr="000D4A2C">
        <w:rPr>
          <w:rStyle w:val="a9"/>
          <w:rFonts w:ascii="David" w:hAnsi="David" w:cs="David"/>
        </w:rPr>
        <w:footnoteRef/>
      </w:r>
      <w:r w:rsidRPr="000D4A2C">
        <w:rPr>
          <w:rFonts w:ascii="David" w:hAnsi="David" w:cs="David"/>
          <w:rtl/>
        </w:rPr>
        <w:t xml:space="preserve"> בדיקה דומה </w:t>
      </w:r>
      <w:r>
        <w:rPr>
          <w:rFonts w:ascii="David" w:hAnsi="David" w:cs="David" w:hint="cs"/>
          <w:rtl/>
        </w:rPr>
        <w:t>לגבי</w:t>
      </w:r>
      <w:r w:rsidRPr="000D4A2C">
        <w:rPr>
          <w:rFonts w:ascii="David" w:hAnsi="David" w:cs="David"/>
          <w:rtl/>
        </w:rPr>
        <w:t xml:space="preserve"> שאר המוצרים שבתיבה לא הניבה תוצאות דומות. בפרט: בהפקדות לקרנות ההשתלמות לא נצפו ירידות בהפקדות או עליות במשיכות ביחס למגמה בחודשים אפריל–יוני.</w:t>
      </w:r>
    </w:p>
  </w:footnote>
  <w:footnote w:id="11">
    <w:p w:rsidR="003C538E" w:rsidRPr="000D4A2C" w:rsidRDefault="003C538E" w:rsidP="003C538E">
      <w:pPr>
        <w:pStyle w:val="a7"/>
        <w:rPr>
          <w:rFonts w:ascii="David" w:hAnsi="David" w:cs="David"/>
        </w:rPr>
      </w:pPr>
      <w:r w:rsidRPr="000D4A2C">
        <w:rPr>
          <w:rStyle w:val="a9"/>
          <w:rFonts w:ascii="David" w:hAnsi="David" w:cs="David"/>
        </w:rPr>
        <w:footnoteRef/>
      </w:r>
      <w:r w:rsidRPr="000D4A2C">
        <w:rPr>
          <w:rFonts w:ascii="David" w:hAnsi="David" w:cs="David"/>
          <w:rtl/>
        </w:rPr>
        <w:t xml:space="preserve"> בחודש אפריל נצפ</w:t>
      </w:r>
      <w:r>
        <w:rPr>
          <w:rFonts w:ascii="David" w:hAnsi="David" w:cs="David" w:hint="cs"/>
          <w:rtl/>
        </w:rPr>
        <w:t>ת</w:t>
      </w:r>
      <w:r w:rsidRPr="000D4A2C">
        <w:rPr>
          <w:rFonts w:ascii="David" w:hAnsi="David" w:cs="David"/>
          <w:rtl/>
        </w:rPr>
        <w:t xml:space="preserve">ה גם </w:t>
      </w:r>
      <w:r>
        <w:rPr>
          <w:rFonts w:ascii="David" w:hAnsi="David" w:cs="David" w:hint="cs"/>
          <w:rtl/>
        </w:rPr>
        <w:t>ירידה</w:t>
      </w:r>
      <w:r w:rsidRPr="000D4A2C">
        <w:rPr>
          <w:rFonts w:ascii="David" w:hAnsi="David" w:cs="David"/>
          <w:rtl/>
        </w:rPr>
        <w:t xml:space="preserve"> חד</w:t>
      </w:r>
      <w:r>
        <w:rPr>
          <w:rFonts w:ascii="David" w:hAnsi="David" w:cs="David" w:hint="cs"/>
          <w:rtl/>
        </w:rPr>
        <w:t>ה</w:t>
      </w:r>
      <w:r w:rsidRPr="000D4A2C">
        <w:rPr>
          <w:rFonts w:ascii="David" w:hAnsi="David" w:cs="David"/>
          <w:rtl/>
        </w:rPr>
        <w:t xml:space="preserve"> </w:t>
      </w:r>
      <w:r>
        <w:rPr>
          <w:rFonts w:ascii="David" w:hAnsi="David" w:cs="David" w:hint="cs"/>
          <w:rtl/>
        </w:rPr>
        <w:t xml:space="preserve">של </w:t>
      </w:r>
      <w:r w:rsidRPr="000D4A2C">
        <w:rPr>
          <w:rFonts w:ascii="David" w:hAnsi="David" w:cs="David"/>
          <w:rtl/>
        </w:rPr>
        <w:t>שיעור המשיכות, כך ששיעור הצבירה נטו ירד ביחס למגמה רק בחודשים מאי עד יולי.</w:t>
      </w:r>
    </w:p>
  </w:footnote>
  <w:footnote w:id="12">
    <w:p w:rsidR="003C538E" w:rsidRPr="000D4A2C" w:rsidRDefault="003C538E" w:rsidP="003C538E">
      <w:pPr>
        <w:pStyle w:val="a7"/>
        <w:rPr>
          <w:rFonts w:ascii="David" w:hAnsi="David" w:cs="David"/>
        </w:rPr>
      </w:pPr>
      <w:r w:rsidRPr="000D4A2C">
        <w:rPr>
          <w:rStyle w:val="a9"/>
          <w:rFonts w:ascii="David" w:hAnsi="David" w:cs="David"/>
        </w:rPr>
        <w:footnoteRef/>
      </w:r>
      <w:r w:rsidRPr="000D4A2C">
        <w:rPr>
          <w:rFonts w:ascii="David" w:hAnsi="David" w:cs="David"/>
          <w:rtl/>
        </w:rPr>
        <w:t xml:space="preserve"> לדוגמה: </w:t>
      </w:r>
    </w:p>
    <w:p w:rsidR="003C538E" w:rsidRPr="000D4A2C" w:rsidRDefault="003C538E" w:rsidP="003C538E">
      <w:pPr>
        <w:pStyle w:val="a7"/>
        <w:bidi w:val="0"/>
        <w:rPr>
          <w:rFonts w:ascii="David" w:hAnsi="David" w:cs="David"/>
        </w:rPr>
      </w:pPr>
      <w:r w:rsidRPr="000D4A2C">
        <w:rPr>
          <w:rFonts w:ascii="David" w:hAnsi="David" w:cs="David"/>
        </w:rPr>
        <w:t xml:space="preserve">Blanchett, Finke and Reuter (2020). </w:t>
      </w:r>
      <w:proofErr w:type="spellStart"/>
      <w:r w:rsidRPr="000D4A2C">
        <w:rPr>
          <w:rFonts w:ascii="David" w:hAnsi="David" w:cs="David"/>
        </w:rPr>
        <w:t>Chetty</w:t>
      </w:r>
      <w:proofErr w:type="spellEnd"/>
      <w:r w:rsidRPr="000D4A2C">
        <w:rPr>
          <w:rFonts w:ascii="David" w:hAnsi="David" w:cs="David"/>
        </w:rPr>
        <w:t xml:space="preserve">, Friedman, </w:t>
      </w:r>
      <w:proofErr w:type="spellStart"/>
      <w:r w:rsidRPr="000D4A2C">
        <w:rPr>
          <w:rFonts w:ascii="David" w:hAnsi="David" w:cs="David"/>
        </w:rPr>
        <w:t>Leth</w:t>
      </w:r>
      <w:proofErr w:type="spellEnd"/>
      <w:r w:rsidRPr="000D4A2C">
        <w:rPr>
          <w:rFonts w:ascii="David" w:hAnsi="David" w:cs="David"/>
        </w:rPr>
        <w:t xml:space="preserve">-Petersen, Nielsen and Olsen </w:t>
      </w:r>
      <w:r w:rsidRPr="000D4A2C">
        <w:rPr>
          <w:rFonts w:ascii="David" w:hAnsi="David" w:cs="David"/>
          <w:rtl/>
        </w:rPr>
        <w:t>(2014)</w:t>
      </w:r>
      <w:r w:rsidRPr="000D4A2C">
        <w:rPr>
          <w:rFonts w:ascii="David" w:hAnsi="David" w:cs="David"/>
        </w:rPr>
        <w:t>.</w:t>
      </w:r>
    </w:p>
  </w:footnote>
  <w:footnote w:id="13">
    <w:p w:rsidR="003C538E" w:rsidRPr="000D4A2C" w:rsidRDefault="003C538E" w:rsidP="003C538E">
      <w:pPr>
        <w:pStyle w:val="a7"/>
        <w:rPr>
          <w:rFonts w:ascii="David" w:hAnsi="David" w:cs="David"/>
          <w:rtl/>
        </w:rPr>
      </w:pPr>
      <w:r w:rsidRPr="000D4A2C">
        <w:rPr>
          <w:rStyle w:val="a9"/>
          <w:rFonts w:ascii="David" w:hAnsi="David" w:cs="David"/>
        </w:rPr>
        <w:footnoteRef/>
      </w:r>
      <w:r w:rsidRPr="000D4A2C">
        <w:rPr>
          <w:rFonts w:ascii="David" w:hAnsi="David" w:cs="David"/>
          <w:rtl/>
        </w:rPr>
        <w:t xml:space="preserve"> בממוצע של שלוש השנים האחרונות.</w:t>
      </w:r>
    </w:p>
  </w:footnote>
  <w:footnote w:id="14">
    <w:p w:rsidR="003C538E" w:rsidRPr="000D4A2C" w:rsidRDefault="003C538E" w:rsidP="003C538E">
      <w:pPr>
        <w:pStyle w:val="a7"/>
        <w:rPr>
          <w:rFonts w:ascii="David" w:hAnsi="David" w:cs="David"/>
          <w:rtl/>
        </w:rPr>
      </w:pPr>
      <w:r w:rsidRPr="000D4A2C">
        <w:rPr>
          <w:rStyle w:val="a9"/>
          <w:rFonts w:ascii="David" w:hAnsi="David" w:cs="David"/>
        </w:rPr>
        <w:footnoteRef/>
      </w:r>
      <w:r w:rsidRPr="000D4A2C">
        <w:rPr>
          <w:rFonts w:ascii="David" w:hAnsi="David" w:cs="David"/>
          <w:rtl/>
        </w:rPr>
        <w:t xml:space="preserve"> לשם השוואה</w:t>
      </w:r>
      <w:r>
        <w:rPr>
          <w:rFonts w:ascii="David" w:hAnsi="David" w:cs="David" w:hint="cs"/>
          <w:rtl/>
        </w:rPr>
        <w:t>:</w:t>
      </w:r>
      <w:r w:rsidRPr="000D4A2C">
        <w:rPr>
          <w:rFonts w:ascii="David" w:hAnsi="David" w:cs="David"/>
          <w:rtl/>
        </w:rPr>
        <w:t xml:space="preserve"> הקלות על משיכת כספים פנסיוניים בארה"ב הביאו לעלייה דרמטית של המשיכות בתקופת משבר הקורונה.</w:t>
      </w:r>
    </w:p>
  </w:footnote>
  <w:footnote w:id="15">
    <w:p w:rsidR="003C538E" w:rsidRPr="000D4A2C" w:rsidRDefault="003C538E" w:rsidP="003C538E">
      <w:pPr>
        <w:pStyle w:val="a7"/>
        <w:rPr>
          <w:rFonts w:ascii="David" w:hAnsi="David" w:cs="David"/>
          <w:rtl/>
        </w:rPr>
      </w:pPr>
      <w:r w:rsidRPr="000D4A2C">
        <w:rPr>
          <w:rStyle w:val="a9"/>
          <w:rFonts w:ascii="David" w:hAnsi="David" w:cs="David"/>
        </w:rPr>
        <w:footnoteRef/>
      </w:r>
      <w:r w:rsidRPr="000D4A2C">
        <w:rPr>
          <w:rFonts w:ascii="David" w:hAnsi="David" w:cs="David"/>
          <w:rtl/>
        </w:rPr>
        <w:t xml:space="preserve"> כללנו במסלול הכללי גם את המסלולים הבאים: פנסיונרים, מדרגות, חו"ל, ישראל, הלכתי, </w:t>
      </w:r>
      <w:proofErr w:type="spellStart"/>
      <w:r w:rsidRPr="000D4A2C">
        <w:rPr>
          <w:rFonts w:ascii="David" w:hAnsi="David" w:cs="David"/>
          <w:rtl/>
        </w:rPr>
        <w:t>וקוהורטות</w:t>
      </w:r>
      <w:proofErr w:type="spellEnd"/>
      <w:r w:rsidRPr="000D4A2C">
        <w:rPr>
          <w:rFonts w:ascii="David" w:hAnsi="David" w:cs="David"/>
          <w:rtl/>
        </w:rPr>
        <w:t xml:space="preserve"> ("המודל החכם"). מסלולי </w:t>
      </w:r>
      <w:proofErr w:type="spellStart"/>
      <w:r w:rsidRPr="000D4A2C">
        <w:rPr>
          <w:rFonts w:ascii="David" w:hAnsi="David" w:cs="David"/>
          <w:rtl/>
        </w:rPr>
        <w:t>האג"ח</w:t>
      </w:r>
      <w:proofErr w:type="spellEnd"/>
      <w:r w:rsidRPr="000D4A2C">
        <w:rPr>
          <w:rFonts w:ascii="David" w:hAnsi="David" w:cs="David"/>
          <w:rtl/>
        </w:rPr>
        <w:t xml:space="preserve"> והמניות כוללים גם מסלולים כאלה המתמקדים בישראל בלבד או בחו"ל בלבד. קרנות שהתמחותן מוגדרת כמדד הוגדרו כמניות. נתוני הקופות המבטיחות תשואה הושמטו. הקטגוריה "אחר" כוללת את המסלולים הבאים: אחר, תושבי חוץ, ללא סיווג, גמישות. סיווג הקרנות למסלולים השונים נעשה לפי הסיווג של רשות שוק ההון, והקופות המחולקות (לדוגמה 80:20) סווגו לפי רוב הנכסים.</w:t>
      </w:r>
    </w:p>
  </w:footnote>
  <w:footnote w:id="16">
    <w:p w:rsidR="003C538E" w:rsidRPr="000D4A2C" w:rsidRDefault="003C538E" w:rsidP="003C538E">
      <w:pPr>
        <w:pStyle w:val="a7"/>
        <w:rPr>
          <w:rFonts w:ascii="David" w:hAnsi="David" w:cs="David"/>
          <w:rtl/>
        </w:rPr>
      </w:pPr>
      <w:r w:rsidRPr="000D4A2C">
        <w:rPr>
          <w:rStyle w:val="a9"/>
          <w:rFonts w:ascii="David" w:hAnsi="David" w:cs="David"/>
        </w:rPr>
        <w:footnoteRef/>
      </w:r>
      <w:r w:rsidRPr="000D4A2C">
        <w:rPr>
          <w:rFonts w:ascii="David" w:hAnsi="David" w:cs="David"/>
          <w:rtl/>
        </w:rPr>
        <w:t xml:space="preserve"> גם כאן לא מוצגים הנתונים על חברות הביטוח אך גם בפוליסות החדשות, בדומה לקרנות הפנסיה החדשות, מרבית הכספים מושקעים בעיקר במסלולים כלליים. </w:t>
      </w:r>
    </w:p>
  </w:footnote>
  <w:footnote w:id="17">
    <w:p w:rsidR="003C538E" w:rsidRPr="000D4A2C" w:rsidRDefault="003C538E" w:rsidP="003C538E">
      <w:pPr>
        <w:pStyle w:val="a7"/>
        <w:rPr>
          <w:rFonts w:ascii="David" w:hAnsi="David" w:cs="David"/>
          <w:rtl/>
        </w:rPr>
      </w:pPr>
      <w:r w:rsidRPr="000D4A2C">
        <w:rPr>
          <w:rStyle w:val="a9"/>
          <w:rFonts w:ascii="David" w:hAnsi="David" w:cs="David"/>
        </w:rPr>
        <w:footnoteRef/>
      </w:r>
      <w:r w:rsidRPr="000D4A2C">
        <w:rPr>
          <w:rFonts w:ascii="David" w:hAnsi="David" w:cs="David"/>
          <w:rtl/>
        </w:rPr>
        <w:t xml:space="preserve"> אין בידינו פירוט על מסלולי ההשקעה ב-2008, אך ישנן אינדיקציות שלאורך כל התקופה מרבית הכספים מושקעים במסלולים כלליים.</w:t>
      </w:r>
    </w:p>
  </w:footnote>
  <w:footnote w:id="18">
    <w:p w:rsidR="003C538E" w:rsidRPr="000D4A2C" w:rsidRDefault="003C538E" w:rsidP="003C538E">
      <w:pPr>
        <w:pStyle w:val="a7"/>
        <w:rPr>
          <w:rFonts w:ascii="David" w:hAnsi="David" w:cs="David"/>
          <w:rtl/>
        </w:rPr>
      </w:pPr>
      <w:r w:rsidRPr="000D4A2C">
        <w:rPr>
          <w:rStyle w:val="a9"/>
          <w:rFonts w:ascii="David" w:hAnsi="David" w:cs="David"/>
        </w:rPr>
        <w:footnoteRef/>
      </w:r>
      <w:r w:rsidRPr="000D4A2C">
        <w:rPr>
          <w:rFonts w:ascii="David" w:hAnsi="David" w:cs="David"/>
          <w:rtl/>
        </w:rPr>
        <w:t xml:space="preserve"> בדיקה דומה עבור החודשים אפריל ומאי העלתה כי למרות הירידה </w:t>
      </w:r>
      <w:r>
        <w:rPr>
          <w:rFonts w:ascii="David" w:hAnsi="David" w:cs="David" w:hint="cs"/>
          <w:rtl/>
        </w:rPr>
        <w:t>של ה</w:t>
      </w:r>
      <w:r w:rsidRPr="000D4A2C">
        <w:rPr>
          <w:rFonts w:ascii="David" w:hAnsi="David" w:cs="David"/>
          <w:rtl/>
        </w:rPr>
        <w:t>הפקדות בחודשים הללו</w:t>
      </w:r>
      <w:r w:rsidRPr="00B71699">
        <w:rPr>
          <w:rFonts w:ascii="David" w:hAnsi="David" w:cs="David"/>
          <w:rtl/>
        </w:rPr>
        <w:t xml:space="preserve"> </w:t>
      </w:r>
      <w:r w:rsidRPr="000D4A2C">
        <w:rPr>
          <w:rFonts w:ascii="David" w:hAnsi="David" w:cs="David"/>
          <w:rtl/>
        </w:rPr>
        <w:t xml:space="preserve">יחסית למגמה, ההתפלגות בין המסלולים בצבירה נשארה </w:t>
      </w:r>
      <w:r>
        <w:rPr>
          <w:rFonts w:ascii="David" w:hAnsi="David" w:cs="David" w:hint="cs"/>
          <w:rtl/>
        </w:rPr>
        <w:t>בעינה</w:t>
      </w:r>
      <w:r w:rsidRPr="000D4A2C">
        <w:rPr>
          <w:rFonts w:ascii="David" w:hAnsi="David" w:cs="David"/>
          <w:rtl/>
        </w:rPr>
        <w:t>.</w:t>
      </w:r>
    </w:p>
  </w:footnote>
  <w:footnote w:id="19">
    <w:p w:rsidR="003C538E" w:rsidRPr="000D4A2C" w:rsidRDefault="003C538E" w:rsidP="003C538E">
      <w:pPr>
        <w:pStyle w:val="a7"/>
        <w:rPr>
          <w:rFonts w:ascii="David" w:hAnsi="David" w:cs="David"/>
        </w:rPr>
      </w:pPr>
      <w:r w:rsidRPr="000D4A2C">
        <w:rPr>
          <w:rStyle w:val="a9"/>
          <w:rFonts w:ascii="David" w:hAnsi="David" w:cs="David"/>
        </w:rPr>
        <w:footnoteRef/>
      </w:r>
      <w:r w:rsidRPr="000D4A2C">
        <w:rPr>
          <w:rFonts w:ascii="David" w:hAnsi="David" w:cs="David"/>
          <w:rtl/>
        </w:rPr>
        <w:t xml:space="preserve"> </w:t>
      </w:r>
      <w:r w:rsidRPr="000D4A2C">
        <w:rPr>
          <w:rStyle w:val="aa"/>
          <w:rFonts w:ascii="David" w:hAnsi="David" w:cs="David"/>
          <w:sz w:val="20"/>
          <w:szCs w:val="20"/>
          <w:rtl/>
        </w:rPr>
        <w:t xml:space="preserve">נתונים אלה בולטים על רקע שיעורן הנמוך של הקרנות </w:t>
      </w:r>
      <w:proofErr w:type="spellStart"/>
      <w:r w:rsidRPr="000D4A2C">
        <w:rPr>
          <w:rStyle w:val="aa"/>
          <w:rFonts w:ascii="David" w:hAnsi="David" w:cs="David"/>
          <w:sz w:val="20"/>
          <w:szCs w:val="20"/>
          <w:rtl/>
        </w:rPr>
        <w:t>השקליות</w:t>
      </w:r>
      <w:proofErr w:type="spellEnd"/>
      <w:r w:rsidRPr="000D4A2C">
        <w:rPr>
          <w:rStyle w:val="aa"/>
          <w:rFonts w:ascii="David" w:hAnsi="David" w:cs="David"/>
          <w:sz w:val="20"/>
          <w:szCs w:val="20"/>
          <w:rtl/>
        </w:rPr>
        <w:t xml:space="preserve"> במוצרים אלה ערב המשבר. סך הנכסים בקופות הגמל </w:t>
      </w:r>
      <w:proofErr w:type="spellStart"/>
      <w:r w:rsidRPr="000D4A2C">
        <w:rPr>
          <w:rStyle w:val="aa"/>
          <w:rFonts w:ascii="David" w:hAnsi="David" w:cs="David"/>
          <w:sz w:val="20"/>
          <w:szCs w:val="20"/>
          <w:rtl/>
        </w:rPr>
        <w:t>השקליות</w:t>
      </w:r>
      <w:proofErr w:type="spellEnd"/>
      <w:r w:rsidRPr="000D4A2C">
        <w:rPr>
          <w:rStyle w:val="aa"/>
          <w:rFonts w:ascii="David" w:hAnsi="David" w:cs="David"/>
          <w:sz w:val="20"/>
          <w:szCs w:val="20"/>
          <w:rtl/>
        </w:rPr>
        <w:t xml:space="preserve"> עמד בסוף חודש פברואר על 1.77 מיליארד ש"ח, ורק במרץ צברו קופות אלה 1.9 מיליארד </w:t>
      </w:r>
      <w:r>
        <w:rPr>
          <w:rStyle w:val="aa"/>
          <w:rFonts w:ascii="David" w:hAnsi="David" w:cs="David" w:hint="cs"/>
          <w:sz w:val="20"/>
          <w:szCs w:val="20"/>
          <w:rtl/>
        </w:rPr>
        <w:t xml:space="preserve">ש"ח </w:t>
      </w:r>
      <w:r w:rsidRPr="000D4A2C">
        <w:rPr>
          <w:rStyle w:val="aa"/>
          <w:rFonts w:ascii="David" w:hAnsi="David" w:cs="David"/>
          <w:sz w:val="20"/>
          <w:szCs w:val="20"/>
          <w:rtl/>
        </w:rPr>
        <w:t>(איור 2).</w:t>
      </w:r>
    </w:p>
  </w:footnote>
  <w:footnote w:id="20">
    <w:p w:rsidR="003C538E" w:rsidRPr="000D4A2C" w:rsidRDefault="003C538E" w:rsidP="003C538E">
      <w:pPr>
        <w:pStyle w:val="a7"/>
        <w:rPr>
          <w:rFonts w:ascii="David" w:hAnsi="David" w:cs="David"/>
          <w:rtl/>
        </w:rPr>
      </w:pPr>
      <w:r w:rsidRPr="000D4A2C">
        <w:rPr>
          <w:rStyle w:val="a9"/>
          <w:rFonts w:ascii="David" w:hAnsi="David" w:cs="David"/>
        </w:rPr>
        <w:footnoteRef/>
      </w:r>
      <w:r w:rsidRPr="000D4A2C">
        <w:rPr>
          <w:rFonts w:ascii="David" w:hAnsi="David" w:cs="David"/>
          <w:rtl/>
        </w:rPr>
        <w:t xml:space="preserve"> נמצא בעבר שמעבר ממסלולים "מסוכנים" למסלולים "סולידיים" פוגע בתשואות: </w:t>
      </w:r>
    </w:p>
    <w:p w:rsidR="003C538E" w:rsidRPr="000D4A2C" w:rsidRDefault="003C538E" w:rsidP="003C538E">
      <w:pPr>
        <w:pStyle w:val="a7"/>
        <w:bidi w:val="0"/>
        <w:rPr>
          <w:rFonts w:ascii="David" w:hAnsi="David" w:cs="David"/>
        </w:rPr>
      </w:pPr>
      <w:r w:rsidRPr="000D4A2C">
        <w:rPr>
          <w:rFonts w:ascii="David" w:hAnsi="David" w:cs="David"/>
          <w:color w:val="222222"/>
          <w:shd w:val="clear" w:color="auto" w:fill="FFFFFF"/>
        </w:rPr>
        <w:t>Ben-</w:t>
      </w:r>
      <w:proofErr w:type="spellStart"/>
      <w:r w:rsidRPr="000D4A2C">
        <w:rPr>
          <w:rFonts w:ascii="David" w:hAnsi="David" w:cs="David"/>
          <w:color w:val="222222"/>
          <w:shd w:val="clear" w:color="auto" w:fill="FFFFFF"/>
        </w:rPr>
        <w:t>Rephael</w:t>
      </w:r>
      <w:proofErr w:type="spellEnd"/>
      <w:r w:rsidRPr="000D4A2C">
        <w:rPr>
          <w:rFonts w:ascii="David" w:hAnsi="David" w:cs="David"/>
          <w:color w:val="222222"/>
          <w:shd w:val="clear" w:color="auto" w:fill="FFFFFF"/>
        </w:rPr>
        <w:t xml:space="preserve">, </w:t>
      </w:r>
      <w:proofErr w:type="spellStart"/>
      <w:r w:rsidRPr="000D4A2C">
        <w:rPr>
          <w:rFonts w:ascii="David" w:hAnsi="David" w:cs="David"/>
          <w:color w:val="222222"/>
          <w:shd w:val="clear" w:color="auto" w:fill="FFFFFF"/>
        </w:rPr>
        <w:t>Kandel</w:t>
      </w:r>
      <w:proofErr w:type="spellEnd"/>
      <w:r w:rsidRPr="000D4A2C">
        <w:rPr>
          <w:rFonts w:ascii="David" w:hAnsi="David" w:cs="David"/>
          <w:color w:val="222222"/>
          <w:shd w:val="clear" w:color="auto" w:fill="FFFFFF"/>
        </w:rPr>
        <w:t xml:space="preserve"> and </w:t>
      </w:r>
      <w:proofErr w:type="spellStart"/>
      <w:r w:rsidRPr="000D4A2C">
        <w:rPr>
          <w:rFonts w:ascii="David" w:hAnsi="David" w:cs="David"/>
          <w:color w:val="222222"/>
          <w:shd w:val="clear" w:color="auto" w:fill="FFFFFF"/>
        </w:rPr>
        <w:t>Wohl</w:t>
      </w:r>
      <w:proofErr w:type="spellEnd"/>
      <w:r w:rsidRPr="000D4A2C">
        <w:rPr>
          <w:rFonts w:ascii="David" w:hAnsi="David" w:cs="David"/>
          <w:color w:val="222222"/>
          <w:shd w:val="clear" w:color="auto" w:fill="FFFFFF"/>
        </w:rPr>
        <w:t xml:space="preserve"> (2012). Bucher-</w:t>
      </w:r>
      <w:proofErr w:type="spellStart"/>
      <w:r w:rsidRPr="000D4A2C">
        <w:rPr>
          <w:rFonts w:ascii="David" w:hAnsi="David" w:cs="David"/>
          <w:color w:val="222222"/>
          <w:shd w:val="clear" w:color="auto" w:fill="FFFFFF"/>
        </w:rPr>
        <w:t>Koenen</w:t>
      </w:r>
      <w:proofErr w:type="spellEnd"/>
      <w:r w:rsidRPr="000D4A2C">
        <w:rPr>
          <w:rFonts w:ascii="David" w:hAnsi="David" w:cs="David"/>
          <w:color w:val="222222"/>
          <w:shd w:val="clear" w:color="auto" w:fill="FFFFFF"/>
        </w:rPr>
        <w:t xml:space="preserve"> and </w:t>
      </w:r>
      <w:proofErr w:type="spellStart"/>
      <w:r w:rsidRPr="000D4A2C">
        <w:rPr>
          <w:rFonts w:ascii="David" w:hAnsi="David" w:cs="David"/>
          <w:color w:val="222222"/>
          <w:shd w:val="clear" w:color="auto" w:fill="FFFFFF"/>
        </w:rPr>
        <w:t>Ziegelmeyer</w:t>
      </w:r>
      <w:proofErr w:type="spellEnd"/>
      <w:r w:rsidRPr="000D4A2C">
        <w:rPr>
          <w:rFonts w:ascii="David" w:hAnsi="David" w:cs="David"/>
          <w:color w:val="222222"/>
          <w:shd w:val="clear" w:color="auto" w:fill="FFFFFF"/>
        </w:rPr>
        <w:t xml:space="preserve"> (2014).</w:t>
      </w:r>
    </w:p>
  </w:footnote>
  <w:footnote w:id="21">
    <w:p w:rsidR="003C538E" w:rsidRPr="000D4A2C" w:rsidRDefault="003C538E" w:rsidP="003C538E">
      <w:pPr>
        <w:pStyle w:val="a7"/>
        <w:rPr>
          <w:rFonts w:ascii="David" w:hAnsi="David" w:cs="David"/>
        </w:rPr>
      </w:pPr>
      <w:r w:rsidRPr="000D4A2C">
        <w:rPr>
          <w:rStyle w:val="a9"/>
          <w:rFonts w:ascii="David" w:hAnsi="David" w:cs="David"/>
        </w:rPr>
        <w:footnoteRef/>
      </w:r>
      <w:r w:rsidRPr="000D4A2C">
        <w:rPr>
          <w:rFonts w:ascii="David" w:hAnsi="David" w:cs="David"/>
          <w:rtl/>
        </w:rPr>
        <w:t xml:space="preserve"> חושב כממוצע פשוט של התשואות במסלולים </w:t>
      </w:r>
      <w:proofErr w:type="spellStart"/>
      <w:r w:rsidRPr="000D4A2C">
        <w:rPr>
          <w:rFonts w:ascii="David" w:hAnsi="David" w:cs="David"/>
          <w:rtl/>
        </w:rPr>
        <w:t>המנייתיים</w:t>
      </w:r>
      <w:proofErr w:type="spellEnd"/>
      <w:r w:rsidRPr="000D4A2C">
        <w:rPr>
          <w:rFonts w:ascii="David" w:hAnsi="David" w:cs="David"/>
          <w:rtl/>
        </w:rPr>
        <w:t xml:space="preserve"> של כל מוצר, פחות ממוצע פשוט של התשואות במסלולים </w:t>
      </w:r>
      <w:proofErr w:type="spellStart"/>
      <w:r w:rsidRPr="000D4A2C">
        <w:rPr>
          <w:rFonts w:ascii="David" w:hAnsi="David" w:cs="David"/>
          <w:rtl/>
        </w:rPr>
        <w:t>השקליים</w:t>
      </w:r>
      <w:proofErr w:type="spellEnd"/>
      <w:r w:rsidRPr="000D4A2C">
        <w:rPr>
          <w:rFonts w:ascii="David" w:hAnsi="David" w:cs="David"/>
          <w:rtl/>
        </w:rPr>
        <w:t xml:space="preserve"> בו, מתוך האתר "גמל נט". התשואות חושבו לתקופה שמתחילת 2019 עד ספטמבר 2020 פחות התשואה של אותה קרן מתחילת 2019 עד מרץ 2020. קופות וקרנות שאחד הנתונים חסר </w:t>
      </w:r>
      <w:r>
        <w:rPr>
          <w:rFonts w:ascii="David" w:hAnsi="David" w:cs="David" w:hint="cs"/>
          <w:rtl/>
        </w:rPr>
        <w:t>לגביה</w:t>
      </w:r>
      <w:r w:rsidRPr="000D4A2C">
        <w:rPr>
          <w:rFonts w:ascii="David" w:hAnsi="David" w:cs="David"/>
          <w:rtl/>
        </w:rPr>
        <w:t>ן הושמטו מחישוב הממוצע.</w:t>
      </w:r>
    </w:p>
  </w:footnote>
  <w:footnote w:id="22">
    <w:p w:rsidR="003C538E" w:rsidRPr="000D4A2C" w:rsidRDefault="003C538E" w:rsidP="003C538E">
      <w:pPr>
        <w:pStyle w:val="a7"/>
        <w:rPr>
          <w:rFonts w:ascii="David" w:hAnsi="David" w:cs="David"/>
          <w:rtl/>
        </w:rPr>
      </w:pPr>
      <w:r w:rsidRPr="000D4A2C">
        <w:rPr>
          <w:rStyle w:val="a9"/>
          <w:rFonts w:ascii="David" w:hAnsi="David" w:cs="David"/>
        </w:rPr>
        <w:footnoteRef/>
      </w:r>
      <w:r w:rsidRPr="000D4A2C">
        <w:rPr>
          <w:rFonts w:ascii="David" w:hAnsi="David" w:cs="David"/>
          <w:rtl/>
        </w:rPr>
        <w:t xml:space="preserve"> </w:t>
      </w:r>
      <w:proofErr w:type="spellStart"/>
      <w:r w:rsidRPr="000D4A2C">
        <w:rPr>
          <w:rFonts w:ascii="David" w:hAnsi="David" w:cs="David"/>
          <w:color w:val="222222"/>
          <w:shd w:val="clear" w:color="auto" w:fill="FFFFFF"/>
        </w:rPr>
        <w:t>Shaton</w:t>
      </w:r>
      <w:proofErr w:type="spellEnd"/>
      <w:r w:rsidRPr="000D4A2C">
        <w:rPr>
          <w:rFonts w:ascii="David" w:hAnsi="David" w:cs="David"/>
          <w:color w:val="222222"/>
          <w:shd w:val="clear" w:color="auto" w:fill="FFFFFF"/>
        </w:rPr>
        <w:t>, Maya. (2017)</w:t>
      </w:r>
      <w:proofErr w:type="gramStart"/>
      <w:r w:rsidRPr="000D4A2C">
        <w:rPr>
          <w:rFonts w:ascii="David" w:hAnsi="David" w:cs="David"/>
          <w:color w:val="222222"/>
          <w:shd w:val="clear" w:color="auto" w:fill="FFFFFF"/>
        </w:rPr>
        <w:t>.</w:t>
      </w:r>
      <w:r w:rsidRPr="000D4A2C">
        <w:rPr>
          <w:rFonts w:ascii="David" w:hAnsi="David" w:cs="David"/>
          <w:color w:val="222222"/>
          <w:shd w:val="clear" w:color="auto" w:fill="FFFFFF"/>
          <w:rtl/>
        </w:rPr>
        <w:t>,</w:t>
      </w:r>
      <w:proofErr w:type="gramEnd"/>
      <w:r w:rsidRPr="000D4A2C">
        <w:rPr>
          <w:rFonts w:ascii="David" w:hAnsi="David" w:cs="David"/>
          <w:color w:val="222222"/>
          <w:shd w:val="clear" w:color="auto" w:fill="FFFFFF"/>
          <w:rtl/>
        </w:rPr>
        <w:t xml:space="preserve"> </w:t>
      </w:r>
      <w:r w:rsidRPr="000D4A2C">
        <w:rPr>
          <w:rFonts w:ascii="David" w:hAnsi="David" w:cs="David"/>
          <w:rtl/>
        </w:rPr>
        <w:t>פורת ושטינברג (2011).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F59B2"/>
    <w:multiLevelType w:val="hybridMultilevel"/>
    <w:tmpl w:val="A148E5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97148E"/>
    <w:multiLevelType w:val="hybridMultilevel"/>
    <w:tmpl w:val="79F8B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3F4F9D"/>
    <w:multiLevelType w:val="hybridMultilevel"/>
    <w:tmpl w:val="DF8A5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ED71A2"/>
    <w:multiLevelType w:val="hybridMultilevel"/>
    <w:tmpl w:val="5D5896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963252A"/>
    <w:multiLevelType w:val="hybridMultilevel"/>
    <w:tmpl w:val="B8E855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B024DA"/>
    <w:multiLevelType w:val="hybridMultilevel"/>
    <w:tmpl w:val="AFC22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99761A"/>
    <w:multiLevelType w:val="multilevel"/>
    <w:tmpl w:val="19F667A8"/>
    <w:lvl w:ilvl="0">
      <w:start w:val="1"/>
      <w:numFmt w:val="decimal"/>
      <w:lvlText w:val="%1."/>
      <w:lvlJc w:val="center"/>
      <w:pPr>
        <w:ind w:left="0" w:firstLine="0"/>
      </w:pPr>
      <w:rPr>
        <w:rFonts w:hint="default"/>
      </w:rPr>
    </w:lvl>
    <w:lvl w:ilvl="1">
      <w:start w:val="1"/>
      <w:numFmt w:val="hebrew1"/>
      <w:lvlText w:val="%2."/>
      <w:lvlJc w:val="center"/>
      <w:pPr>
        <w:ind w:left="0" w:firstLine="0"/>
      </w:pPr>
      <w:rPr>
        <w:rFonts w:hint="default"/>
      </w:rPr>
    </w:lvl>
    <w:lvl w:ilvl="2">
      <w:start w:val="1"/>
      <w:numFmt w:val="decimal"/>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7" w15:restartNumberingAfterBreak="0">
    <w:nsid w:val="1C4C38B8"/>
    <w:multiLevelType w:val="hybridMultilevel"/>
    <w:tmpl w:val="6DF033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A148C8"/>
    <w:multiLevelType w:val="hybridMultilevel"/>
    <w:tmpl w:val="A96E4AC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1C943FF"/>
    <w:multiLevelType w:val="hybridMultilevel"/>
    <w:tmpl w:val="91328F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1DC2123"/>
    <w:multiLevelType w:val="hybridMultilevel"/>
    <w:tmpl w:val="F4D08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E60BEF"/>
    <w:multiLevelType w:val="hybridMultilevel"/>
    <w:tmpl w:val="174C0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F40C3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547547D"/>
    <w:multiLevelType w:val="hybridMultilevel"/>
    <w:tmpl w:val="BE2887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E30A84"/>
    <w:multiLevelType w:val="hybridMultilevel"/>
    <w:tmpl w:val="25302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3D6441"/>
    <w:multiLevelType w:val="hybridMultilevel"/>
    <w:tmpl w:val="EE3C074C"/>
    <w:lvl w:ilvl="0" w:tplc="04090011">
      <w:start w:val="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6" w15:restartNumberingAfterBreak="0">
    <w:nsid w:val="2C446D77"/>
    <w:multiLevelType w:val="hybridMultilevel"/>
    <w:tmpl w:val="7A3A73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F114A51"/>
    <w:multiLevelType w:val="multilevel"/>
    <w:tmpl w:val="1EF03070"/>
    <w:lvl w:ilvl="0">
      <w:start w:val="1"/>
      <w:numFmt w:val="decimal"/>
      <w:lvlText w:val="%1."/>
      <w:lvlJc w:val="center"/>
      <w:pPr>
        <w:ind w:left="0" w:firstLine="0"/>
      </w:pPr>
      <w:rPr>
        <w:rFonts w:hint="default"/>
      </w:rPr>
    </w:lvl>
    <w:lvl w:ilvl="1">
      <w:start w:val="1"/>
      <w:numFmt w:val="decimalZero"/>
      <w:isLgl/>
      <w:lvlText w:val="Section %1.%2"/>
      <w:lvlJc w:val="left"/>
      <w:pPr>
        <w:ind w:left="0" w:firstLine="0"/>
      </w:pPr>
      <w:rPr>
        <w:rFonts w:hint="default"/>
      </w:rPr>
    </w:lvl>
    <w:lvl w:ilvl="2">
      <w:start w:val="1"/>
      <w:numFmt w:val="hebrew2"/>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8" w15:restartNumberingAfterBreak="0">
    <w:nsid w:val="3F991B34"/>
    <w:multiLevelType w:val="hybridMultilevel"/>
    <w:tmpl w:val="5D30550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02B0599"/>
    <w:multiLevelType w:val="hybridMultilevel"/>
    <w:tmpl w:val="8800E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C91EA3"/>
    <w:multiLevelType w:val="hybridMultilevel"/>
    <w:tmpl w:val="3048A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691950"/>
    <w:multiLevelType w:val="hybridMultilevel"/>
    <w:tmpl w:val="55BED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625528"/>
    <w:multiLevelType w:val="hybridMultilevel"/>
    <w:tmpl w:val="6B065A7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8E7A27"/>
    <w:multiLevelType w:val="hybridMultilevel"/>
    <w:tmpl w:val="E25EC6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04539D"/>
    <w:multiLevelType w:val="hybridMultilevel"/>
    <w:tmpl w:val="C62AD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2B2D4C"/>
    <w:multiLevelType w:val="hybridMultilevel"/>
    <w:tmpl w:val="CB389F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011CC8"/>
    <w:multiLevelType w:val="hybridMultilevel"/>
    <w:tmpl w:val="BD445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1E3AED"/>
    <w:multiLevelType w:val="hybridMultilevel"/>
    <w:tmpl w:val="E99CBF62"/>
    <w:lvl w:ilvl="0" w:tplc="0409000F">
      <w:start w:val="1"/>
      <w:numFmt w:val="decimal"/>
      <w:lvlText w:val="%1."/>
      <w:lvlJc w:val="left"/>
      <w:pPr>
        <w:ind w:left="720" w:hanging="360"/>
      </w:pPr>
      <w:rPr>
        <w:rFonts w:hint="default"/>
      </w:rPr>
    </w:lvl>
    <w:lvl w:ilvl="1" w:tplc="04090019">
      <w:start w:val="1"/>
      <w:numFmt w:val="lowerLetter"/>
      <w:lvlText w:val="%2."/>
      <w:lvlJc w:val="left"/>
      <w:pPr>
        <w:ind w:left="1636"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AC05E2"/>
    <w:multiLevelType w:val="hybridMultilevel"/>
    <w:tmpl w:val="A4A4D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0A21A6"/>
    <w:multiLevelType w:val="hybridMultilevel"/>
    <w:tmpl w:val="2CDC6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0C605E"/>
    <w:multiLevelType w:val="hybridMultilevel"/>
    <w:tmpl w:val="954A9DAC"/>
    <w:lvl w:ilvl="0" w:tplc="B180F264">
      <w:start w:val="1"/>
      <w:numFmt w:val="bullet"/>
      <w:lvlText w:val="-"/>
      <w:lvlJc w:val="left"/>
      <w:pPr>
        <w:ind w:left="720" w:hanging="360"/>
      </w:pPr>
      <w:rPr>
        <w:rFonts w:ascii="David" w:eastAsiaTheme="minorHAnsi"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9B0A64"/>
    <w:multiLevelType w:val="multilevel"/>
    <w:tmpl w:val="B29469D6"/>
    <w:lvl w:ilvl="0">
      <w:start w:val="1"/>
      <w:numFmt w:val="decimal"/>
      <w:lvlText w:val="%1."/>
      <w:lvlJc w:val="center"/>
      <w:pPr>
        <w:ind w:left="0" w:firstLine="0"/>
      </w:pPr>
      <w:rPr>
        <w:rFonts w:hint="default"/>
      </w:rPr>
    </w:lvl>
    <w:lvl w:ilvl="1">
      <w:start w:val="1"/>
      <w:numFmt w:val="hebrew1"/>
      <w:lvlText w:val="%2."/>
      <w:lvlJc w:val="center"/>
      <w:pPr>
        <w:ind w:left="0" w:firstLine="0"/>
      </w:pPr>
      <w:rPr>
        <w:rFonts w:hint="default"/>
      </w:rPr>
    </w:lvl>
    <w:lvl w:ilvl="2">
      <w:start w:val="1"/>
      <w:numFmt w:val="hebrew2"/>
      <w:pStyle w:val="Heading31"/>
      <w:lvlText w:val="(%3)"/>
      <w:lvlJc w:val="left"/>
      <w:pPr>
        <w:ind w:left="720" w:hanging="432"/>
      </w:pPr>
      <w:rPr>
        <w:rFonts w:hint="default"/>
      </w:rPr>
    </w:lvl>
    <w:lvl w:ilvl="3">
      <w:start w:val="1"/>
      <w:numFmt w:val="lowerRoman"/>
      <w:pStyle w:val="Heading41"/>
      <w:lvlText w:val="(%4)"/>
      <w:lvlJc w:val="right"/>
      <w:pPr>
        <w:ind w:left="864" w:hanging="144"/>
      </w:pPr>
      <w:rPr>
        <w:rFonts w:hint="default"/>
      </w:rPr>
    </w:lvl>
    <w:lvl w:ilvl="4">
      <w:start w:val="1"/>
      <w:numFmt w:val="decimal"/>
      <w:pStyle w:val="Heading51"/>
      <w:lvlText w:val="%5)"/>
      <w:lvlJc w:val="left"/>
      <w:pPr>
        <w:ind w:left="1008" w:hanging="432"/>
      </w:pPr>
      <w:rPr>
        <w:rFonts w:hint="default"/>
      </w:rPr>
    </w:lvl>
    <w:lvl w:ilvl="5">
      <w:start w:val="1"/>
      <w:numFmt w:val="lowerLetter"/>
      <w:pStyle w:val="Heading61"/>
      <w:lvlText w:val="%6)"/>
      <w:lvlJc w:val="left"/>
      <w:pPr>
        <w:ind w:left="1152" w:hanging="432"/>
      </w:pPr>
      <w:rPr>
        <w:rFonts w:hint="default"/>
      </w:rPr>
    </w:lvl>
    <w:lvl w:ilvl="6">
      <w:start w:val="1"/>
      <w:numFmt w:val="lowerRoman"/>
      <w:pStyle w:val="Heading71"/>
      <w:lvlText w:val="%7)"/>
      <w:lvlJc w:val="right"/>
      <w:pPr>
        <w:ind w:left="1296" w:hanging="288"/>
      </w:pPr>
      <w:rPr>
        <w:rFonts w:hint="default"/>
      </w:rPr>
    </w:lvl>
    <w:lvl w:ilvl="7">
      <w:start w:val="1"/>
      <w:numFmt w:val="lowerLetter"/>
      <w:pStyle w:val="Heading81"/>
      <w:lvlText w:val="%8."/>
      <w:lvlJc w:val="left"/>
      <w:pPr>
        <w:ind w:left="1440" w:hanging="432"/>
      </w:pPr>
      <w:rPr>
        <w:rFonts w:hint="default"/>
      </w:rPr>
    </w:lvl>
    <w:lvl w:ilvl="8">
      <w:start w:val="1"/>
      <w:numFmt w:val="lowerRoman"/>
      <w:pStyle w:val="Heading91"/>
      <w:lvlText w:val="%9."/>
      <w:lvlJc w:val="right"/>
      <w:pPr>
        <w:ind w:left="1584" w:hanging="144"/>
      </w:pPr>
      <w:rPr>
        <w:rFonts w:hint="default"/>
      </w:rPr>
    </w:lvl>
  </w:abstractNum>
  <w:abstractNum w:abstractNumId="32" w15:restartNumberingAfterBreak="0">
    <w:nsid w:val="74856CB5"/>
    <w:multiLevelType w:val="hybridMultilevel"/>
    <w:tmpl w:val="665444BE"/>
    <w:lvl w:ilvl="0" w:tplc="B180F264">
      <w:start w:val="1"/>
      <w:numFmt w:val="bullet"/>
      <w:lvlText w:val="-"/>
      <w:lvlJc w:val="left"/>
      <w:pPr>
        <w:ind w:left="720" w:hanging="360"/>
      </w:pPr>
      <w:rPr>
        <w:rFonts w:ascii="David" w:eastAsiaTheme="minorHAnsi"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55C1AD6"/>
    <w:multiLevelType w:val="hybridMultilevel"/>
    <w:tmpl w:val="68DC47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8F3535C"/>
    <w:multiLevelType w:val="hybridMultilevel"/>
    <w:tmpl w:val="FA505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EB4EA1"/>
    <w:multiLevelType w:val="hybridMultilevel"/>
    <w:tmpl w:val="872E8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5"/>
  </w:num>
  <w:num w:numId="3">
    <w:abstractNumId w:val="13"/>
  </w:num>
  <w:num w:numId="4">
    <w:abstractNumId w:val="4"/>
  </w:num>
  <w:num w:numId="5">
    <w:abstractNumId w:val="18"/>
  </w:num>
  <w:num w:numId="6">
    <w:abstractNumId w:val="2"/>
  </w:num>
  <w:num w:numId="7">
    <w:abstractNumId w:val="23"/>
  </w:num>
  <w:num w:numId="8">
    <w:abstractNumId w:val="0"/>
  </w:num>
  <w:num w:numId="9">
    <w:abstractNumId w:val="8"/>
  </w:num>
  <w:num w:numId="10">
    <w:abstractNumId w:val="25"/>
  </w:num>
  <w:num w:numId="11">
    <w:abstractNumId w:val="28"/>
  </w:num>
  <w:num w:numId="12">
    <w:abstractNumId w:val="30"/>
  </w:num>
  <w:num w:numId="13">
    <w:abstractNumId w:val="9"/>
  </w:num>
  <w:num w:numId="14">
    <w:abstractNumId w:val="32"/>
  </w:num>
  <w:num w:numId="15">
    <w:abstractNumId w:val="29"/>
  </w:num>
  <w:num w:numId="16">
    <w:abstractNumId w:val="24"/>
  </w:num>
  <w:num w:numId="17">
    <w:abstractNumId w:val="20"/>
  </w:num>
  <w:num w:numId="18">
    <w:abstractNumId w:val="35"/>
  </w:num>
  <w:num w:numId="19">
    <w:abstractNumId w:val="21"/>
  </w:num>
  <w:num w:numId="20">
    <w:abstractNumId w:val="7"/>
  </w:num>
  <w:num w:numId="21">
    <w:abstractNumId w:val="1"/>
  </w:num>
  <w:num w:numId="22">
    <w:abstractNumId w:val="11"/>
  </w:num>
  <w:num w:numId="23">
    <w:abstractNumId w:val="10"/>
  </w:num>
  <w:num w:numId="24">
    <w:abstractNumId w:val="26"/>
  </w:num>
  <w:num w:numId="25">
    <w:abstractNumId w:val="33"/>
  </w:num>
  <w:num w:numId="26">
    <w:abstractNumId w:val="14"/>
  </w:num>
  <w:num w:numId="27">
    <w:abstractNumId w:val="5"/>
  </w:num>
  <w:num w:numId="28">
    <w:abstractNumId w:val="19"/>
  </w:num>
  <w:num w:numId="29">
    <w:abstractNumId w:val="22"/>
  </w:num>
  <w:num w:numId="30">
    <w:abstractNumId w:val="27"/>
  </w:num>
  <w:num w:numId="31">
    <w:abstractNumId w:val="34"/>
  </w:num>
  <w:num w:numId="32">
    <w:abstractNumId w:val="3"/>
  </w:num>
  <w:num w:numId="33">
    <w:abstractNumId w:val="12"/>
  </w:num>
  <w:num w:numId="34">
    <w:abstractNumId w:val="17"/>
  </w:num>
  <w:num w:numId="35">
    <w:abstractNumId w:val="31"/>
  </w:num>
  <w:num w:numId="3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38E"/>
    <w:rsid w:val="00035AC1"/>
    <w:rsid w:val="000A6C50"/>
    <w:rsid w:val="00101BEA"/>
    <w:rsid w:val="00107A51"/>
    <w:rsid w:val="00164B86"/>
    <w:rsid w:val="00190BEA"/>
    <w:rsid w:val="001F727D"/>
    <w:rsid w:val="002A3715"/>
    <w:rsid w:val="002C697C"/>
    <w:rsid w:val="002C7C82"/>
    <w:rsid w:val="003666E9"/>
    <w:rsid w:val="00380F9C"/>
    <w:rsid w:val="003C538E"/>
    <w:rsid w:val="003D611A"/>
    <w:rsid w:val="004A11D4"/>
    <w:rsid w:val="004B295E"/>
    <w:rsid w:val="004D4096"/>
    <w:rsid w:val="004F0E4D"/>
    <w:rsid w:val="00515F47"/>
    <w:rsid w:val="0054670F"/>
    <w:rsid w:val="005E0430"/>
    <w:rsid w:val="0061326E"/>
    <w:rsid w:val="0064035E"/>
    <w:rsid w:val="006F6942"/>
    <w:rsid w:val="007961C4"/>
    <w:rsid w:val="007A0384"/>
    <w:rsid w:val="00846826"/>
    <w:rsid w:val="008D41A5"/>
    <w:rsid w:val="008E565B"/>
    <w:rsid w:val="00927A9A"/>
    <w:rsid w:val="00992C71"/>
    <w:rsid w:val="009C271E"/>
    <w:rsid w:val="009D3501"/>
    <w:rsid w:val="00A10DE6"/>
    <w:rsid w:val="00AE0939"/>
    <w:rsid w:val="00B13176"/>
    <w:rsid w:val="00BD55F9"/>
    <w:rsid w:val="00CC155F"/>
    <w:rsid w:val="00D71306"/>
    <w:rsid w:val="00D7545C"/>
    <w:rsid w:val="00D97839"/>
    <w:rsid w:val="00DB2385"/>
    <w:rsid w:val="00E37E8F"/>
    <w:rsid w:val="00E40718"/>
    <w:rsid w:val="00E4554C"/>
    <w:rsid w:val="00E530F6"/>
    <w:rsid w:val="00E63250"/>
    <w:rsid w:val="00EA6AEC"/>
    <w:rsid w:val="00EC45F0"/>
    <w:rsid w:val="00FA1A89"/>
    <w:rsid w:val="00FE49A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4F367"/>
  <w15:chartTrackingRefBased/>
  <w15:docId w15:val="{511D012D-3867-435E-9458-DF10E7E5F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538E"/>
    <w:pPr>
      <w:bidi/>
      <w:spacing w:after="160" w:line="360" w:lineRule="auto"/>
      <w:jc w:val="both"/>
    </w:pPr>
    <w:rPr>
      <w:rFonts w:ascii="Assistant" w:hAnsi="Assistant" w:cs="Assistant"/>
      <w:szCs w:val="24"/>
    </w:rPr>
  </w:style>
  <w:style w:type="paragraph" w:styleId="1">
    <w:name w:val="heading 1"/>
    <w:basedOn w:val="a"/>
    <w:next w:val="a"/>
    <w:link w:val="10"/>
    <w:uiPriority w:val="9"/>
    <w:qFormat/>
    <w:rsid w:val="003C538E"/>
    <w:pPr>
      <w:outlineLvl w:val="0"/>
    </w:pPr>
    <w:rPr>
      <w:b/>
      <w:bCs/>
      <w:u w:val="single"/>
    </w:rPr>
  </w:style>
  <w:style w:type="paragraph" w:styleId="2">
    <w:name w:val="heading 2"/>
    <w:basedOn w:val="a"/>
    <w:next w:val="a"/>
    <w:link w:val="20"/>
    <w:uiPriority w:val="9"/>
    <w:unhideWhenUsed/>
    <w:qFormat/>
    <w:rsid w:val="003C538E"/>
    <w:pPr>
      <w:outlineLvl w:val="1"/>
    </w:pPr>
    <w:rPr>
      <w:u w:val="single"/>
    </w:rPr>
  </w:style>
  <w:style w:type="paragraph" w:styleId="3">
    <w:name w:val="heading 3"/>
    <w:basedOn w:val="a"/>
    <w:next w:val="a"/>
    <w:link w:val="30"/>
    <w:uiPriority w:val="9"/>
    <w:unhideWhenUsed/>
    <w:qFormat/>
    <w:rsid w:val="003C538E"/>
    <w:pPr>
      <w:keepNext/>
      <w:keepLines/>
      <w:spacing w:before="40" w:after="0"/>
      <w:outlineLvl w:val="2"/>
    </w:pPr>
    <w:rPr>
      <w:rFonts w:ascii="Calibri Light" w:eastAsia="Times New Roman" w:hAnsi="Calibri Light" w:cs="Times New Roman"/>
      <w:color w:val="1F3763"/>
      <w:szCs w:val="22"/>
    </w:rPr>
  </w:style>
  <w:style w:type="paragraph" w:styleId="4">
    <w:name w:val="heading 4"/>
    <w:basedOn w:val="a"/>
    <w:next w:val="a"/>
    <w:link w:val="40"/>
    <w:uiPriority w:val="9"/>
    <w:unhideWhenUsed/>
    <w:qFormat/>
    <w:rsid w:val="003C538E"/>
    <w:pPr>
      <w:keepNext/>
      <w:keepLines/>
      <w:spacing w:before="40" w:after="0"/>
      <w:outlineLvl w:val="3"/>
    </w:pPr>
    <w:rPr>
      <w:rFonts w:ascii="Calibri Light" w:eastAsia="Times New Roman" w:hAnsi="Calibri Light" w:cs="Times New Roman"/>
      <w:i/>
      <w:iCs/>
      <w:color w:val="2F5496"/>
      <w:szCs w:val="22"/>
    </w:rPr>
  </w:style>
  <w:style w:type="paragraph" w:styleId="5">
    <w:name w:val="heading 5"/>
    <w:basedOn w:val="a"/>
    <w:next w:val="a"/>
    <w:link w:val="50"/>
    <w:uiPriority w:val="9"/>
    <w:semiHidden/>
    <w:unhideWhenUsed/>
    <w:qFormat/>
    <w:rsid w:val="003C538E"/>
    <w:pPr>
      <w:keepNext/>
      <w:keepLines/>
      <w:spacing w:before="40" w:after="0"/>
      <w:outlineLvl w:val="4"/>
    </w:pPr>
    <w:rPr>
      <w:rFonts w:ascii="Calibri Light" w:eastAsia="Times New Roman" w:hAnsi="Calibri Light" w:cs="Times New Roman"/>
      <w:color w:val="2F5496"/>
      <w:szCs w:val="22"/>
    </w:rPr>
  </w:style>
  <w:style w:type="paragraph" w:styleId="6">
    <w:name w:val="heading 6"/>
    <w:basedOn w:val="a"/>
    <w:next w:val="a"/>
    <w:link w:val="60"/>
    <w:uiPriority w:val="9"/>
    <w:semiHidden/>
    <w:unhideWhenUsed/>
    <w:qFormat/>
    <w:rsid w:val="003C538E"/>
    <w:pPr>
      <w:keepNext/>
      <w:keepLines/>
      <w:spacing w:before="40" w:after="0"/>
      <w:outlineLvl w:val="5"/>
    </w:pPr>
    <w:rPr>
      <w:rFonts w:ascii="Calibri Light" w:eastAsia="Times New Roman" w:hAnsi="Calibri Light" w:cs="Times New Roman"/>
      <w:color w:val="1F3763"/>
      <w:szCs w:val="22"/>
    </w:rPr>
  </w:style>
  <w:style w:type="paragraph" w:styleId="7">
    <w:name w:val="heading 7"/>
    <w:basedOn w:val="a"/>
    <w:next w:val="a"/>
    <w:link w:val="70"/>
    <w:uiPriority w:val="9"/>
    <w:semiHidden/>
    <w:unhideWhenUsed/>
    <w:qFormat/>
    <w:rsid w:val="003C538E"/>
    <w:pPr>
      <w:keepNext/>
      <w:keepLines/>
      <w:spacing w:before="40" w:after="0"/>
      <w:outlineLvl w:val="6"/>
    </w:pPr>
    <w:rPr>
      <w:rFonts w:ascii="Calibri Light" w:eastAsia="Times New Roman" w:hAnsi="Calibri Light" w:cs="Times New Roman"/>
      <w:i/>
      <w:iCs/>
      <w:color w:val="1F3763"/>
      <w:szCs w:val="22"/>
    </w:rPr>
  </w:style>
  <w:style w:type="paragraph" w:styleId="8">
    <w:name w:val="heading 8"/>
    <w:basedOn w:val="a"/>
    <w:next w:val="a"/>
    <w:link w:val="80"/>
    <w:uiPriority w:val="9"/>
    <w:semiHidden/>
    <w:unhideWhenUsed/>
    <w:qFormat/>
    <w:rsid w:val="003C538E"/>
    <w:pPr>
      <w:keepNext/>
      <w:keepLines/>
      <w:spacing w:before="40" w:after="0"/>
      <w:outlineLvl w:val="7"/>
    </w:pPr>
    <w:rPr>
      <w:rFonts w:ascii="Calibri Light" w:eastAsia="Times New Roman" w:hAnsi="Calibri Light" w:cs="Times New Roman"/>
      <w:color w:val="272727"/>
      <w:sz w:val="21"/>
      <w:szCs w:val="21"/>
    </w:rPr>
  </w:style>
  <w:style w:type="paragraph" w:styleId="9">
    <w:name w:val="heading 9"/>
    <w:basedOn w:val="a"/>
    <w:next w:val="a"/>
    <w:link w:val="90"/>
    <w:uiPriority w:val="9"/>
    <w:semiHidden/>
    <w:unhideWhenUsed/>
    <w:qFormat/>
    <w:rsid w:val="003C538E"/>
    <w:pPr>
      <w:keepNext/>
      <w:keepLines/>
      <w:spacing w:before="40" w:after="0"/>
      <w:outlineLvl w:val="8"/>
    </w:pPr>
    <w:rPr>
      <w:rFonts w:ascii="Calibri Light" w:eastAsia="Times New Roman" w:hAnsi="Calibri Light" w:cs="Times New Roman"/>
      <w:i/>
      <w:iCs/>
      <w:color w:val="272727"/>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3C538E"/>
    <w:rPr>
      <w:rFonts w:ascii="Assistant" w:hAnsi="Assistant" w:cs="Assistant"/>
      <w:b/>
      <w:bCs/>
      <w:szCs w:val="24"/>
      <w:u w:val="single"/>
    </w:rPr>
  </w:style>
  <w:style w:type="character" w:customStyle="1" w:styleId="20">
    <w:name w:val="כותרת 2 תו"/>
    <w:basedOn w:val="a0"/>
    <w:link w:val="2"/>
    <w:uiPriority w:val="9"/>
    <w:rsid w:val="003C538E"/>
    <w:rPr>
      <w:rFonts w:ascii="Assistant" w:hAnsi="Assistant" w:cs="Assistant"/>
      <w:szCs w:val="24"/>
      <w:u w:val="single"/>
    </w:rPr>
  </w:style>
  <w:style w:type="character" w:customStyle="1" w:styleId="30">
    <w:name w:val="כותרת 3 תו"/>
    <w:basedOn w:val="a0"/>
    <w:link w:val="3"/>
    <w:uiPriority w:val="9"/>
    <w:rsid w:val="003C538E"/>
    <w:rPr>
      <w:rFonts w:ascii="Calibri Light" w:eastAsia="Times New Roman" w:hAnsi="Calibri Light" w:cs="Times New Roman"/>
      <w:color w:val="1F3763"/>
    </w:rPr>
  </w:style>
  <w:style w:type="character" w:customStyle="1" w:styleId="40">
    <w:name w:val="כותרת 4 תו"/>
    <w:basedOn w:val="a0"/>
    <w:link w:val="4"/>
    <w:uiPriority w:val="9"/>
    <w:rsid w:val="003C538E"/>
    <w:rPr>
      <w:rFonts w:ascii="Calibri Light" w:eastAsia="Times New Roman" w:hAnsi="Calibri Light" w:cs="Times New Roman"/>
      <w:i/>
      <w:iCs/>
      <w:color w:val="2F5496"/>
    </w:rPr>
  </w:style>
  <w:style w:type="character" w:customStyle="1" w:styleId="50">
    <w:name w:val="כותרת 5 תו"/>
    <w:basedOn w:val="a0"/>
    <w:link w:val="5"/>
    <w:uiPriority w:val="9"/>
    <w:semiHidden/>
    <w:rsid w:val="003C538E"/>
    <w:rPr>
      <w:rFonts w:ascii="Calibri Light" w:eastAsia="Times New Roman" w:hAnsi="Calibri Light" w:cs="Times New Roman"/>
      <w:color w:val="2F5496"/>
    </w:rPr>
  </w:style>
  <w:style w:type="character" w:customStyle="1" w:styleId="60">
    <w:name w:val="כותרת 6 תו"/>
    <w:basedOn w:val="a0"/>
    <w:link w:val="6"/>
    <w:uiPriority w:val="9"/>
    <w:semiHidden/>
    <w:rsid w:val="003C538E"/>
    <w:rPr>
      <w:rFonts w:ascii="Calibri Light" w:eastAsia="Times New Roman" w:hAnsi="Calibri Light" w:cs="Times New Roman"/>
      <w:color w:val="1F3763"/>
    </w:rPr>
  </w:style>
  <w:style w:type="character" w:customStyle="1" w:styleId="70">
    <w:name w:val="כותרת 7 תו"/>
    <w:basedOn w:val="a0"/>
    <w:link w:val="7"/>
    <w:uiPriority w:val="9"/>
    <w:semiHidden/>
    <w:rsid w:val="003C538E"/>
    <w:rPr>
      <w:rFonts w:ascii="Calibri Light" w:eastAsia="Times New Roman" w:hAnsi="Calibri Light" w:cs="Times New Roman"/>
      <w:i/>
      <w:iCs/>
      <w:color w:val="1F3763"/>
    </w:rPr>
  </w:style>
  <w:style w:type="character" w:customStyle="1" w:styleId="80">
    <w:name w:val="כותרת 8 תו"/>
    <w:basedOn w:val="a0"/>
    <w:link w:val="8"/>
    <w:uiPriority w:val="9"/>
    <w:semiHidden/>
    <w:rsid w:val="003C538E"/>
    <w:rPr>
      <w:rFonts w:ascii="Calibri Light" w:eastAsia="Times New Roman" w:hAnsi="Calibri Light" w:cs="Times New Roman"/>
      <w:color w:val="272727"/>
      <w:sz w:val="21"/>
      <w:szCs w:val="21"/>
    </w:rPr>
  </w:style>
  <w:style w:type="character" w:customStyle="1" w:styleId="90">
    <w:name w:val="כותרת 9 תו"/>
    <w:basedOn w:val="a0"/>
    <w:link w:val="9"/>
    <w:uiPriority w:val="9"/>
    <w:semiHidden/>
    <w:rsid w:val="003C538E"/>
    <w:rPr>
      <w:rFonts w:ascii="Calibri Light" w:eastAsia="Times New Roman" w:hAnsi="Calibri Light" w:cs="Times New Roman"/>
      <w:i/>
      <w:iCs/>
      <w:color w:val="272727"/>
      <w:sz w:val="21"/>
      <w:szCs w:val="21"/>
    </w:rPr>
  </w:style>
  <w:style w:type="paragraph" w:styleId="a3">
    <w:name w:val="header"/>
    <w:basedOn w:val="a"/>
    <w:link w:val="a4"/>
    <w:uiPriority w:val="99"/>
    <w:unhideWhenUsed/>
    <w:rsid w:val="003C538E"/>
    <w:pPr>
      <w:tabs>
        <w:tab w:val="center" w:pos="4153"/>
        <w:tab w:val="right" w:pos="8306"/>
      </w:tabs>
      <w:spacing w:after="0" w:line="240" w:lineRule="auto"/>
    </w:pPr>
  </w:style>
  <w:style w:type="character" w:customStyle="1" w:styleId="a4">
    <w:name w:val="כותרת עליונה תו"/>
    <w:basedOn w:val="a0"/>
    <w:link w:val="a3"/>
    <w:uiPriority w:val="99"/>
    <w:rsid w:val="003C538E"/>
    <w:rPr>
      <w:rFonts w:ascii="Assistant" w:hAnsi="Assistant" w:cs="Assistant"/>
      <w:szCs w:val="24"/>
    </w:rPr>
  </w:style>
  <w:style w:type="paragraph" w:styleId="a5">
    <w:name w:val="footer"/>
    <w:basedOn w:val="a"/>
    <w:link w:val="a6"/>
    <w:uiPriority w:val="99"/>
    <w:unhideWhenUsed/>
    <w:rsid w:val="003C538E"/>
    <w:pPr>
      <w:tabs>
        <w:tab w:val="center" w:pos="4153"/>
        <w:tab w:val="right" w:pos="8306"/>
      </w:tabs>
      <w:spacing w:after="0" w:line="240" w:lineRule="auto"/>
    </w:pPr>
  </w:style>
  <w:style w:type="character" w:customStyle="1" w:styleId="a6">
    <w:name w:val="כותרת תחתונה תו"/>
    <w:basedOn w:val="a0"/>
    <w:link w:val="a5"/>
    <w:uiPriority w:val="99"/>
    <w:rsid w:val="003C538E"/>
    <w:rPr>
      <w:rFonts w:ascii="Assistant" w:hAnsi="Assistant" w:cs="Assistant"/>
      <w:szCs w:val="24"/>
    </w:rPr>
  </w:style>
  <w:style w:type="paragraph" w:styleId="a7">
    <w:name w:val="footnote text"/>
    <w:aliases w:val="fn,fn Char,single space,Footnote Text Char Char Char Char Char Char,Footnote Text Char1,Footnote Text Char Char,Footnote,Fußnote,FSR footnote,lábléc,FOOTNOTES,Footnote Text Char2 Char,Footnote Text Char1 Char Char"/>
    <w:basedOn w:val="a"/>
    <w:link w:val="a8"/>
    <w:uiPriority w:val="99"/>
    <w:unhideWhenUsed/>
    <w:rsid w:val="003C538E"/>
    <w:pPr>
      <w:spacing w:after="0" w:line="240" w:lineRule="auto"/>
    </w:pPr>
    <w:rPr>
      <w:sz w:val="20"/>
      <w:szCs w:val="20"/>
    </w:rPr>
  </w:style>
  <w:style w:type="character" w:customStyle="1" w:styleId="a8">
    <w:name w:val="טקסט הערת שוליים תו"/>
    <w:aliases w:val="fn תו,fn Char תו,single space תו,Footnote Text Char Char Char Char Char Char תו,Footnote Text Char1 תו,Footnote Text Char Char תו,Footnote תו,Fußnote תו,FSR footnote תו,lábléc תו,FOOTNOTES תו,Footnote Text Char2 Char תו"/>
    <w:basedOn w:val="a0"/>
    <w:link w:val="a7"/>
    <w:uiPriority w:val="99"/>
    <w:rsid w:val="003C538E"/>
    <w:rPr>
      <w:rFonts w:ascii="Assistant" w:hAnsi="Assistant" w:cs="Assistant"/>
      <w:sz w:val="20"/>
      <w:szCs w:val="20"/>
    </w:rPr>
  </w:style>
  <w:style w:type="character" w:styleId="a9">
    <w:name w:val="footnote reference"/>
    <w:aliases w:val="טקסט הערת שוליים חדש,Footnote Reference Number,Footnote Reference_LVL6,Footnote Reference_LVL61,Footnote Reference_LVL62,Footnote Reference_LVL63,Footnote Reference_LVL64,fr,SUPERS,EN Footnote Reference,number"/>
    <w:basedOn w:val="a0"/>
    <w:uiPriority w:val="99"/>
    <w:unhideWhenUsed/>
    <w:rsid w:val="003C538E"/>
    <w:rPr>
      <w:vertAlign w:val="superscript"/>
    </w:rPr>
  </w:style>
  <w:style w:type="character" w:styleId="aa">
    <w:name w:val="annotation reference"/>
    <w:basedOn w:val="a0"/>
    <w:uiPriority w:val="99"/>
    <w:semiHidden/>
    <w:unhideWhenUsed/>
    <w:rsid w:val="003C538E"/>
    <w:rPr>
      <w:sz w:val="16"/>
      <w:szCs w:val="16"/>
    </w:rPr>
  </w:style>
  <w:style w:type="paragraph" w:styleId="ab">
    <w:name w:val="annotation text"/>
    <w:basedOn w:val="a"/>
    <w:link w:val="ac"/>
    <w:uiPriority w:val="99"/>
    <w:unhideWhenUsed/>
    <w:rsid w:val="003C538E"/>
    <w:pPr>
      <w:spacing w:line="240" w:lineRule="auto"/>
    </w:pPr>
    <w:rPr>
      <w:sz w:val="20"/>
      <w:szCs w:val="20"/>
    </w:rPr>
  </w:style>
  <w:style w:type="character" w:customStyle="1" w:styleId="ac">
    <w:name w:val="טקסט הערה תו"/>
    <w:basedOn w:val="a0"/>
    <w:link w:val="ab"/>
    <w:uiPriority w:val="99"/>
    <w:rsid w:val="003C538E"/>
    <w:rPr>
      <w:rFonts w:ascii="Assistant" w:hAnsi="Assistant" w:cs="Assistant"/>
      <w:sz w:val="20"/>
      <w:szCs w:val="20"/>
    </w:rPr>
  </w:style>
  <w:style w:type="paragraph" w:styleId="ad">
    <w:name w:val="annotation subject"/>
    <w:basedOn w:val="ab"/>
    <w:next w:val="ab"/>
    <w:link w:val="ae"/>
    <w:uiPriority w:val="99"/>
    <w:semiHidden/>
    <w:unhideWhenUsed/>
    <w:rsid w:val="003C538E"/>
    <w:rPr>
      <w:b/>
      <w:bCs/>
    </w:rPr>
  </w:style>
  <w:style w:type="character" w:customStyle="1" w:styleId="ae">
    <w:name w:val="נושא הערה תו"/>
    <w:basedOn w:val="ac"/>
    <w:link w:val="ad"/>
    <w:uiPriority w:val="99"/>
    <w:semiHidden/>
    <w:rsid w:val="003C538E"/>
    <w:rPr>
      <w:rFonts w:ascii="Assistant" w:hAnsi="Assistant" w:cs="Assistant"/>
      <w:b/>
      <w:bCs/>
      <w:sz w:val="20"/>
      <w:szCs w:val="20"/>
    </w:rPr>
  </w:style>
  <w:style w:type="paragraph" w:styleId="af">
    <w:name w:val="Balloon Text"/>
    <w:basedOn w:val="a"/>
    <w:link w:val="af0"/>
    <w:uiPriority w:val="99"/>
    <w:semiHidden/>
    <w:unhideWhenUsed/>
    <w:rsid w:val="003C538E"/>
    <w:pPr>
      <w:spacing w:after="0" w:line="240" w:lineRule="auto"/>
    </w:pPr>
    <w:rPr>
      <w:rFonts w:ascii="Tahoma" w:hAnsi="Tahoma" w:cs="Tahoma"/>
      <w:sz w:val="18"/>
      <w:szCs w:val="18"/>
    </w:rPr>
  </w:style>
  <w:style w:type="character" w:customStyle="1" w:styleId="af0">
    <w:name w:val="טקסט בלונים תו"/>
    <w:basedOn w:val="a0"/>
    <w:link w:val="af"/>
    <w:uiPriority w:val="99"/>
    <w:semiHidden/>
    <w:rsid w:val="003C538E"/>
    <w:rPr>
      <w:rFonts w:ascii="Tahoma" w:hAnsi="Tahoma" w:cs="Tahoma"/>
      <w:sz w:val="18"/>
      <w:szCs w:val="18"/>
    </w:rPr>
  </w:style>
  <w:style w:type="paragraph" w:styleId="af1">
    <w:name w:val="caption"/>
    <w:basedOn w:val="a"/>
    <w:next w:val="a"/>
    <w:uiPriority w:val="35"/>
    <w:unhideWhenUsed/>
    <w:qFormat/>
    <w:rsid w:val="003C538E"/>
    <w:pPr>
      <w:spacing w:after="200" w:line="240" w:lineRule="auto"/>
    </w:pPr>
    <w:rPr>
      <w:i/>
      <w:iCs/>
      <w:color w:val="1F497D" w:themeColor="text2"/>
      <w:sz w:val="18"/>
      <w:szCs w:val="18"/>
    </w:rPr>
  </w:style>
  <w:style w:type="paragraph" w:styleId="af2">
    <w:name w:val="Title"/>
    <w:basedOn w:val="a"/>
    <w:next w:val="a"/>
    <w:link w:val="af3"/>
    <w:uiPriority w:val="10"/>
    <w:qFormat/>
    <w:rsid w:val="003C538E"/>
    <w:pPr>
      <w:jc w:val="center"/>
    </w:pPr>
    <w:rPr>
      <w:b/>
      <w:bCs/>
      <w:u w:val="single"/>
    </w:rPr>
  </w:style>
  <w:style w:type="character" w:customStyle="1" w:styleId="af3">
    <w:name w:val="כותרת טקסט תו"/>
    <w:basedOn w:val="a0"/>
    <w:link w:val="af2"/>
    <w:uiPriority w:val="10"/>
    <w:rsid w:val="003C538E"/>
    <w:rPr>
      <w:rFonts w:ascii="Assistant" w:hAnsi="Assistant" w:cs="Assistant"/>
      <w:b/>
      <w:bCs/>
      <w:szCs w:val="24"/>
      <w:u w:val="single"/>
    </w:rPr>
  </w:style>
  <w:style w:type="paragraph" w:styleId="af4">
    <w:name w:val="Quote"/>
    <w:basedOn w:val="a"/>
    <w:next w:val="a"/>
    <w:link w:val="af5"/>
    <w:uiPriority w:val="29"/>
    <w:qFormat/>
    <w:rsid w:val="003C538E"/>
    <w:pPr>
      <w:jc w:val="center"/>
    </w:pPr>
  </w:style>
  <w:style w:type="character" w:customStyle="1" w:styleId="af5">
    <w:name w:val="ציטוט תו"/>
    <w:basedOn w:val="a0"/>
    <w:link w:val="af4"/>
    <w:uiPriority w:val="29"/>
    <w:rsid w:val="003C538E"/>
    <w:rPr>
      <w:rFonts w:ascii="Assistant" w:hAnsi="Assistant" w:cs="Assistant"/>
      <w:szCs w:val="24"/>
    </w:rPr>
  </w:style>
  <w:style w:type="paragraph" w:styleId="af6">
    <w:name w:val="Revision"/>
    <w:hidden/>
    <w:uiPriority w:val="99"/>
    <w:semiHidden/>
    <w:rsid w:val="003C538E"/>
    <w:pPr>
      <w:spacing w:after="0" w:line="240" w:lineRule="auto"/>
    </w:pPr>
    <w:rPr>
      <w:rFonts w:ascii="Assistant" w:hAnsi="Assistant" w:cs="Assistant"/>
      <w:szCs w:val="24"/>
    </w:rPr>
  </w:style>
  <w:style w:type="table" w:styleId="af7">
    <w:name w:val="Table Grid"/>
    <w:basedOn w:val="a1"/>
    <w:uiPriority w:val="39"/>
    <w:rsid w:val="003C53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List Paragraph"/>
    <w:basedOn w:val="a"/>
    <w:uiPriority w:val="34"/>
    <w:qFormat/>
    <w:rsid w:val="003C538E"/>
    <w:pPr>
      <w:ind w:left="720"/>
      <w:contextualSpacing/>
    </w:pPr>
  </w:style>
  <w:style w:type="character" w:styleId="af9">
    <w:name w:val="Placeholder Text"/>
    <w:basedOn w:val="a0"/>
    <w:uiPriority w:val="99"/>
    <w:semiHidden/>
    <w:rsid w:val="003C538E"/>
    <w:rPr>
      <w:color w:val="808080"/>
    </w:rPr>
  </w:style>
  <w:style w:type="paragraph" w:customStyle="1" w:styleId="Heading31">
    <w:name w:val="Heading 31"/>
    <w:basedOn w:val="a"/>
    <w:next w:val="a"/>
    <w:uiPriority w:val="9"/>
    <w:unhideWhenUsed/>
    <w:qFormat/>
    <w:rsid w:val="003C538E"/>
    <w:pPr>
      <w:keepNext/>
      <w:keepLines/>
      <w:numPr>
        <w:ilvl w:val="2"/>
        <w:numId w:val="35"/>
      </w:numPr>
      <w:bidi w:val="0"/>
      <w:spacing w:before="40" w:after="0" w:line="259" w:lineRule="auto"/>
      <w:ind w:left="2160" w:hanging="180"/>
      <w:jc w:val="left"/>
      <w:outlineLvl w:val="2"/>
    </w:pPr>
    <w:rPr>
      <w:rFonts w:ascii="Calibri Light" w:eastAsia="Times New Roman" w:hAnsi="Calibri Light" w:cs="Times New Roman"/>
      <w:color w:val="1F3763"/>
      <w:sz w:val="24"/>
    </w:rPr>
  </w:style>
  <w:style w:type="paragraph" w:customStyle="1" w:styleId="Heading41">
    <w:name w:val="Heading 41"/>
    <w:basedOn w:val="a"/>
    <w:next w:val="a"/>
    <w:uiPriority w:val="9"/>
    <w:unhideWhenUsed/>
    <w:qFormat/>
    <w:rsid w:val="003C538E"/>
    <w:pPr>
      <w:keepNext/>
      <w:keepLines/>
      <w:numPr>
        <w:ilvl w:val="3"/>
        <w:numId w:val="35"/>
      </w:numPr>
      <w:bidi w:val="0"/>
      <w:spacing w:before="40" w:after="0" w:line="259" w:lineRule="auto"/>
      <w:ind w:left="2880" w:hanging="360"/>
      <w:jc w:val="left"/>
      <w:outlineLvl w:val="3"/>
    </w:pPr>
    <w:rPr>
      <w:rFonts w:ascii="Calibri Light" w:eastAsia="Times New Roman" w:hAnsi="Calibri Light" w:cs="Times New Roman"/>
      <w:i/>
      <w:iCs/>
      <w:color w:val="2F5496"/>
      <w:sz w:val="24"/>
    </w:rPr>
  </w:style>
  <w:style w:type="paragraph" w:customStyle="1" w:styleId="Heading51">
    <w:name w:val="Heading 51"/>
    <w:basedOn w:val="a"/>
    <w:next w:val="a"/>
    <w:uiPriority w:val="9"/>
    <w:semiHidden/>
    <w:unhideWhenUsed/>
    <w:qFormat/>
    <w:rsid w:val="003C538E"/>
    <w:pPr>
      <w:keepNext/>
      <w:keepLines/>
      <w:numPr>
        <w:ilvl w:val="4"/>
        <w:numId w:val="35"/>
      </w:numPr>
      <w:bidi w:val="0"/>
      <w:spacing w:before="40" w:after="0" w:line="259" w:lineRule="auto"/>
      <w:ind w:left="3600" w:hanging="360"/>
      <w:jc w:val="left"/>
      <w:outlineLvl w:val="4"/>
    </w:pPr>
    <w:rPr>
      <w:rFonts w:ascii="Calibri Light" w:eastAsia="Times New Roman" w:hAnsi="Calibri Light" w:cs="Times New Roman"/>
      <w:color w:val="2F5496"/>
      <w:sz w:val="24"/>
    </w:rPr>
  </w:style>
  <w:style w:type="paragraph" w:customStyle="1" w:styleId="Heading61">
    <w:name w:val="Heading 61"/>
    <w:basedOn w:val="a"/>
    <w:next w:val="a"/>
    <w:uiPriority w:val="9"/>
    <w:semiHidden/>
    <w:unhideWhenUsed/>
    <w:qFormat/>
    <w:rsid w:val="003C538E"/>
    <w:pPr>
      <w:keepNext/>
      <w:keepLines/>
      <w:numPr>
        <w:ilvl w:val="5"/>
        <w:numId w:val="35"/>
      </w:numPr>
      <w:bidi w:val="0"/>
      <w:spacing w:before="40" w:after="0" w:line="259" w:lineRule="auto"/>
      <w:ind w:left="4320" w:hanging="180"/>
      <w:jc w:val="left"/>
      <w:outlineLvl w:val="5"/>
    </w:pPr>
    <w:rPr>
      <w:rFonts w:ascii="Calibri Light" w:eastAsia="Times New Roman" w:hAnsi="Calibri Light" w:cs="Times New Roman"/>
      <w:color w:val="1F3763"/>
      <w:sz w:val="24"/>
    </w:rPr>
  </w:style>
  <w:style w:type="paragraph" w:customStyle="1" w:styleId="Heading71">
    <w:name w:val="Heading 71"/>
    <w:basedOn w:val="a"/>
    <w:next w:val="a"/>
    <w:uiPriority w:val="9"/>
    <w:semiHidden/>
    <w:unhideWhenUsed/>
    <w:qFormat/>
    <w:rsid w:val="003C538E"/>
    <w:pPr>
      <w:keepNext/>
      <w:keepLines/>
      <w:numPr>
        <w:ilvl w:val="6"/>
        <w:numId w:val="35"/>
      </w:numPr>
      <w:bidi w:val="0"/>
      <w:spacing w:before="40" w:after="0" w:line="259" w:lineRule="auto"/>
      <w:ind w:left="5040" w:hanging="360"/>
      <w:jc w:val="left"/>
      <w:outlineLvl w:val="6"/>
    </w:pPr>
    <w:rPr>
      <w:rFonts w:ascii="Calibri Light" w:eastAsia="Times New Roman" w:hAnsi="Calibri Light" w:cs="Times New Roman"/>
      <w:i/>
      <w:iCs/>
      <w:color w:val="1F3763"/>
      <w:sz w:val="24"/>
    </w:rPr>
  </w:style>
  <w:style w:type="paragraph" w:customStyle="1" w:styleId="Heading81">
    <w:name w:val="Heading 81"/>
    <w:basedOn w:val="a"/>
    <w:next w:val="a"/>
    <w:uiPriority w:val="9"/>
    <w:semiHidden/>
    <w:unhideWhenUsed/>
    <w:qFormat/>
    <w:rsid w:val="003C538E"/>
    <w:pPr>
      <w:keepNext/>
      <w:keepLines/>
      <w:numPr>
        <w:ilvl w:val="7"/>
        <w:numId w:val="35"/>
      </w:numPr>
      <w:bidi w:val="0"/>
      <w:spacing w:before="40" w:after="0" w:line="259" w:lineRule="auto"/>
      <w:ind w:left="5760" w:hanging="360"/>
      <w:jc w:val="left"/>
      <w:outlineLvl w:val="7"/>
    </w:pPr>
    <w:rPr>
      <w:rFonts w:ascii="Calibri Light" w:eastAsia="Times New Roman" w:hAnsi="Calibri Light" w:cs="Times New Roman"/>
      <w:color w:val="272727"/>
      <w:sz w:val="21"/>
      <w:szCs w:val="21"/>
    </w:rPr>
  </w:style>
  <w:style w:type="paragraph" w:customStyle="1" w:styleId="Heading91">
    <w:name w:val="Heading 91"/>
    <w:basedOn w:val="a"/>
    <w:next w:val="a"/>
    <w:uiPriority w:val="9"/>
    <w:semiHidden/>
    <w:unhideWhenUsed/>
    <w:qFormat/>
    <w:rsid w:val="003C538E"/>
    <w:pPr>
      <w:keepNext/>
      <w:keepLines/>
      <w:numPr>
        <w:ilvl w:val="8"/>
        <w:numId w:val="35"/>
      </w:numPr>
      <w:bidi w:val="0"/>
      <w:spacing w:before="40" w:after="0" w:line="259" w:lineRule="auto"/>
      <w:ind w:left="6480" w:hanging="180"/>
      <w:jc w:val="left"/>
      <w:outlineLvl w:val="8"/>
    </w:pPr>
    <w:rPr>
      <w:rFonts w:ascii="Calibri Light" w:eastAsia="Times New Roman" w:hAnsi="Calibri Light" w:cs="Times New Roman"/>
      <w:i/>
      <w:iCs/>
      <w:color w:val="272727"/>
      <w:sz w:val="21"/>
      <w:szCs w:val="21"/>
    </w:rPr>
  </w:style>
  <w:style w:type="numbering" w:customStyle="1" w:styleId="NoList1">
    <w:name w:val="No List1"/>
    <w:next w:val="a2"/>
    <w:uiPriority w:val="99"/>
    <w:semiHidden/>
    <w:unhideWhenUsed/>
    <w:rsid w:val="003C538E"/>
  </w:style>
  <w:style w:type="paragraph" w:styleId="afa">
    <w:name w:val="TOC Heading"/>
    <w:basedOn w:val="1"/>
    <w:next w:val="a"/>
    <w:uiPriority w:val="39"/>
    <w:unhideWhenUsed/>
    <w:qFormat/>
    <w:rsid w:val="003C538E"/>
    <w:pPr>
      <w:keepNext/>
      <w:keepLines/>
      <w:bidi w:val="0"/>
      <w:spacing w:before="240" w:after="0" w:line="259" w:lineRule="auto"/>
      <w:jc w:val="left"/>
      <w:outlineLvl w:val="9"/>
    </w:pPr>
    <w:rPr>
      <w:rFonts w:ascii="Calibri Light" w:eastAsia="Times New Roman" w:hAnsi="Calibri Light" w:cs="Times New Roman"/>
      <w:b w:val="0"/>
      <w:bCs w:val="0"/>
      <w:color w:val="2F5496"/>
      <w:sz w:val="32"/>
      <w:szCs w:val="32"/>
      <w:u w:val="none"/>
      <w:lang w:bidi="ar-SA"/>
    </w:rPr>
  </w:style>
  <w:style w:type="paragraph" w:styleId="TOC1">
    <w:name w:val="toc 1"/>
    <w:basedOn w:val="a"/>
    <w:next w:val="a"/>
    <w:autoRedefine/>
    <w:uiPriority w:val="39"/>
    <w:unhideWhenUsed/>
    <w:rsid w:val="003C538E"/>
    <w:pPr>
      <w:bidi w:val="0"/>
      <w:spacing w:after="100" w:line="259" w:lineRule="auto"/>
      <w:jc w:val="left"/>
    </w:pPr>
    <w:rPr>
      <w:rFonts w:ascii="Times New Roman" w:hAnsi="Times New Roman" w:cs="David"/>
      <w:sz w:val="24"/>
    </w:rPr>
  </w:style>
  <w:style w:type="paragraph" w:styleId="TOC2">
    <w:name w:val="toc 2"/>
    <w:basedOn w:val="a"/>
    <w:next w:val="a"/>
    <w:autoRedefine/>
    <w:uiPriority w:val="39"/>
    <w:unhideWhenUsed/>
    <w:rsid w:val="003C538E"/>
    <w:pPr>
      <w:bidi w:val="0"/>
      <w:spacing w:after="100" w:line="259" w:lineRule="auto"/>
      <w:ind w:left="240"/>
      <w:jc w:val="left"/>
    </w:pPr>
    <w:rPr>
      <w:rFonts w:ascii="Times New Roman" w:hAnsi="Times New Roman" w:cs="David"/>
      <w:sz w:val="24"/>
    </w:rPr>
  </w:style>
  <w:style w:type="character" w:customStyle="1" w:styleId="Hyperlink1">
    <w:name w:val="Hyperlink1"/>
    <w:basedOn w:val="a0"/>
    <w:uiPriority w:val="99"/>
    <w:unhideWhenUsed/>
    <w:rsid w:val="003C538E"/>
    <w:rPr>
      <w:color w:val="0563C1"/>
      <w:u w:val="single"/>
    </w:rPr>
  </w:style>
  <w:style w:type="paragraph" w:styleId="TOC3">
    <w:name w:val="toc 3"/>
    <w:basedOn w:val="a"/>
    <w:next w:val="a"/>
    <w:autoRedefine/>
    <w:uiPriority w:val="39"/>
    <w:unhideWhenUsed/>
    <w:rsid w:val="003C538E"/>
    <w:pPr>
      <w:bidi w:val="0"/>
      <w:spacing w:after="100" w:line="259" w:lineRule="auto"/>
      <w:ind w:left="480"/>
      <w:jc w:val="left"/>
    </w:pPr>
    <w:rPr>
      <w:rFonts w:ascii="Times New Roman" w:hAnsi="Times New Roman" w:cs="David"/>
      <w:sz w:val="24"/>
    </w:rPr>
  </w:style>
  <w:style w:type="character" w:customStyle="1" w:styleId="FollowedHyperlink1">
    <w:name w:val="FollowedHyperlink1"/>
    <w:basedOn w:val="a0"/>
    <w:uiPriority w:val="99"/>
    <w:semiHidden/>
    <w:unhideWhenUsed/>
    <w:rsid w:val="003C538E"/>
    <w:rPr>
      <w:color w:val="954F72"/>
      <w:u w:val="single"/>
    </w:rPr>
  </w:style>
  <w:style w:type="character" w:styleId="afb">
    <w:name w:val="Strong"/>
    <w:basedOn w:val="a0"/>
    <w:uiPriority w:val="22"/>
    <w:qFormat/>
    <w:rsid w:val="003C538E"/>
    <w:rPr>
      <w:b/>
      <w:bCs/>
    </w:rPr>
  </w:style>
  <w:style w:type="table" w:customStyle="1" w:styleId="11">
    <w:name w:val="רשת טבלה1"/>
    <w:basedOn w:val="a1"/>
    <w:next w:val="af7"/>
    <w:uiPriority w:val="39"/>
    <w:rsid w:val="003C538E"/>
    <w:pPr>
      <w:bidi/>
      <w:spacing w:after="0" w:line="240" w:lineRule="auto"/>
    </w:pPr>
    <w:rPr>
      <w:rFonts w:ascii="Times New Roman" w:hAnsi="Times New Roman" w:cs="David"/>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a1"/>
    <w:next w:val="af7"/>
    <w:uiPriority w:val="39"/>
    <w:rsid w:val="003C538E"/>
    <w:pPr>
      <w:spacing w:after="0" w:line="240" w:lineRule="auto"/>
    </w:pPr>
    <w:rPr>
      <w:rFonts w:ascii="Times New Roman" w:hAnsi="Times New Roman" w:cs="David"/>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unhideWhenUsed/>
    <w:rsid w:val="003C5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jc w:val="left"/>
    </w:pPr>
    <w:rPr>
      <w:rFonts w:ascii="Courier New" w:eastAsia="Times New Roman" w:hAnsi="Courier New" w:cs="Courier New"/>
      <w:sz w:val="20"/>
      <w:szCs w:val="20"/>
    </w:rPr>
  </w:style>
  <w:style w:type="character" w:customStyle="1" w:styleId="HTML0">
    <w:name w:val="HTML מעוצב מראש תו"/>
    <w:basedOn w:val="a0"/>
    <w:link w:val="HTML"/>
    <w:uiPriority w:val="99"/>
    <w:rsid w:val="003C538E"/>
    <w:rPr>
      <w:rFonts w:ascii="Courier New" w:eastAsia="Times New Roman" w:hAnsi="Courier New" w:cs="Courier New"/>
      <w:sz w:val="20"/>
      <w:szCs w:val="20"/>
    </w:rPr>
  </w:style>
  <w:style w:type="character" w:styleId="afc">
    <w:name w:val="Emphasis"/>
    <w:basedOn w:val="a0"/>
    <w:uiPriority w:val="20"/>
    <w:qFormat/>
    <w:rsid w:val="003C538E"/>
    <w:rPr>
      <w:i/>
      <w:iCs/>
    </w:rPr>
  </w:style>
  <w:style w:type="paragraph" w:styleId="NormalWeb">
    <w:name w:val="Normal (Web)"/>
    <w:basedOn w:val="a"/>
    <w:uiPriority w:val="99"/>
    <w:semiHidden/>
    <w:unhideWhenUsed/>
    <w:rsid w:val="003C538E"/>
    <w:pPr>
      <w:bidi w:val="0"/>
      <w:spacing w:before="100" w:beforeAutospacing="1" w:after="100" w:afterAutospacing="1" w:line="240" w:lineRule="auto"/>
      <w:jc w:val="left"/>
    </w:pPr>
    <w:rPr>
      <w:rFonts w:ascii="Times New Roman" w:eastAsia="Times New Roman" w:hAnsi="Times New Roman" w:cs="Times New Roman"/>
      <w:sz w:val="24"/>
    </w:rPr>
  </w:style>
  <w:style w:type="numbering" w:customStyle="1" w:styleId="NoList11">
    <w:name w:val="No List11"/>
    <w:next w:val="a2"/>
    <w:uiPriority w:val="99"/>
    <w:semiHidden/>
    <w:unhideWhenUsed/>
    <w:rsid w:val="003C538E"/>
  </w:style>
  <w:style w:type="table" w:customStyle="1" w:styleId="TableGrid11">
    <w:name w:val="Table Grid11"/>
    <w:basedOn w:val="a1"/>
    <w:next w:val="af7"/>
    <w:uiPriority w:val="39"/>
    <w:rsid w:val="003C538E"/>
    <w:pPr>
      <w:spacing w:after="0" w:line="240" w:lineRule="auto"/>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2"/>
    <w:uiPriority w:val="99"/>
    <w:semiHidden/>
    <w:unhideWhenUsed/>
    <w:rsid w:val="003C538E"/>
  </w:style>
  <w:style w:type="table" w:customStyle="1" w:styleId="TableGrid2">
    <w:name w:val="Table Grid2"/>
    <w:basedOn w:val="a1"/>
    <w:next w:val="af7"/>
    <w:uiPriority w:val="39"/>
    <w:rsid w:val="003C538E"/>
    <w:pPr>
      <w:spacing w:after="0" w:line="240" w:lineRule="auto"/>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0"/>
    <w:uiPriority w:val="99"/>
    <w:unhideWhenUsed/>
    <w:rsid w:val="003C538E"/>
    <w:rPr>
      <w:color w:val="0000FF" w:themeColor="hyperlink"/>
      <w:u w:val="single"/>
    </w:rPr>
  </w:style>
  <w:style w:type="character" w:customStyle="1" w:styleId="Heading3Char1">
    <w:name w:val="Heading 3 Char1"/>
    <w:basedOn w:val="a0"/>
    <w:uiPriority w:val="9"/>
    <w:semiHidden/>
    <w:rsid w:val="003C538E"/>
    <w:rPr>
      <w:rFonts w:asciiTheme="majorHAnsi" w:eastAsiaTheme="majorEastAsia" w:hAnsiTheme="majorHAnsi" w:cstheme="majorBidi"/>
      <w:color w:val="243F60" w:themeColor="accent1" w:themeShade="7F"/>
      <w:sz w:val="24"/>
      <w:szCs w:val="24"/>
    </w:rPr>
  </w:style>
  <w:style w:type="character" w:styleId="FollowedHyperlink">
    <w:name w:val="FollowedHyperlink"/>
    <w:basedOn w:val="a0"/>
    <w:uiPriority w:val="99"/>
    <w:semiHidden/>
    <w:unhideWhenUsed/>
    <w:rsid w:val="003C538E"/>
    <w:rPr>
      <w:color w:val="800080" w:themeColor="followedHyperlink"/>
      <w:u w:val="single"/>
    </w:rPr>
  </w:style>
  <w:style w:type="character" w:customStyle="1" w:styleId="Heading4Char1">
    <w:name w:val="Heading 4 Char1"/>
    <w:basedOn w:val="a0"/>
    <w:uiPriority w:val="9"/>
    <w:semiHidden/>
    <w:rsid w:val="003C538E"/>
    <w:rPr>
      <w:rFonts w:asciiTheme="majorHAnsi" w:eastAsiaTheme="majorEastAsia" w:hAnsiTheme="majorHAnsi" w:cstheme="majorBidi"/>
      <w:i/>
      <w:iCs/>
      <w:color w:val="365F91" w:themeColor="accent1" w:themeShade="BF"/>
      <w:szCs w:val="24"/>
    </w:rPr>
  </w:style>
  <w:style w:type="character" w:customStyle="1" w:styleId="Heading5Char1">
    <w:name w:val="Heading 5 Char1"/>
    <w:basedOn w:val="a0"/>
    <w:uiPriority w:val="9"/>
    <w:semiHidden/>
    <w:rsid w:val="003C538E"/>
    <w:rPr>
      <w:rFonts w:asciiTheme="majorHAnsi" w:eastAsiaTheme="majorEastAsia" w:hAnsiTheme="majorHAnsi" w:cstheme="majorBidi"/>
      <w:color w:val="365F91" w:themeColor="accent1" w:themeShade="BF"/>
      <w:szCs w:val="24"/>
    </w:rPr>
  </w:style>
  <w:style w:type="character" w:customStyle="1" w:styleId="Heading6Char1">
    <w:name w:val="Heading 6 Char1"/>
    <w:basedOn w:val="a0"/>
    <w:uiPriority w:val="9"/>
    <w:semiHidden/>
    <w:rsid w:val="003C538E"/>
    <w:rPr>
      <w:rFonts w:asciiTheme="majorHAnsi" w:eastAsiaTheme="majorEastAsia" w:hAnsiTheme="majorHAnsi" w:cstheme="majorBidi"/>
      <w:color w:val="243F60" w:themeColor="accent1" w:themeShade="7F"/>
      <w:szCs w:val="24"/>
    </w:rPr>
  </w:style>
  <w:style w:type="character" w:customStyle="1" w:styleId="Heading7Char1">
    <w:name w:val="Heading 7 Char1"/>
    <w:basedOn w:val="a0"/>
    <w:uiPriority w:val="9"/>
    <w:semiHidden/>
    <w:rsid w:val="003C538E"/>
    <w:rPr>
      <w:rFonts w:asciiTheme="majorHAnsi" w:eastAsiaTheme="majorEastAsia" w:hAnsiTheme="majorHAnsi" w:cstheme="majorBidi"/>
      <w:i/>
      <w:iCs/>
      <w:color w:val="243F60" w:themeColor="accent1" w:themeShade="7F"/>
      <w:szCs w:val="24"/>
    </w:rPr>
  </w:style>
  <w:style w:type="character" w:customStyle="1" w:styleId="Heading8Char1">
    <w:name w:val="Heading 8 Char1"/>
    <w:basedOn w:val="a0"/>
    <w:uiPriority w:val="9"/>
    <w:semiHidden/>
    <w:rsid w:val="003C538E"/>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a0"/>
    <w:uiPriority w:val="9"/>
    <w:semiHidden/>
    <w:rsid w:val="003C538E"/>
    <w:rPr>
      <w:rFonts w:asciiTheme="majorHAnsi" w:eastAsiaTheme="majorEastAsia" w:hAnsiTheme="majorHAnsi" w:cstheme="majorBidi"/>
      <w:i/>
      <w:iCs/>
      <w:color w:val="272727" w:themeColor="text1" w:themeTint="D8"/>
      <w:sz w:val="21"/>
      <w:szCs w:val="21"/>
    </w:rPr>
  </w:style>
  <w:style w:type="numbering" w:customStyle="1" w:styleId="NoList3">
    <w:name w:val="No List3"/>
    <w:next w:val="a2"/>
    <w:uiPriority w:val="99"/>
    <w:semiHidden/>
    <w:unhideWhenUsed/>
    <w:rsid w:val="003C538E"/>
  </w:style>
  <w:style w:type="table" w:customStyle="1" w:styleId="110">
    <w:name w:val="רשת טבלה11"/>
    <w:basedOn w:val="a1"/>
    <w:next w:val="af7"/>
    <w:uiPriority w:val="39"/>
    <w:rsid w:val="003C538E"/>
    <w:pPr>
      <w:bidi/>
      <w:spacing w:after="0" w:line="240" w:lineRule="auto"/>
    </w:pPr>
    <w:rPr>
      <w:rFonts w:ascii="Times New Roman" w:hAnsi="Times New Roman" w:cs="David"/>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next w:val="af7"/>
    <w:uiPriority w:val="39"/>
    <w:rsid w:val="003C538E"/>
    <w:pPr>
      <w:spacing w:after="0" w:line="240" w:lineRule="auto"/>
    </w:pPr>
    <w:rPr>
      <w:rFonts w:ascii="Times New Roman" w:hAnsi="Times New Roman" w:cs="David"/>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2"/>
    <w:uiPriority w:val="99"/>
    <w:semiHidden/>
    <w:unhideWhenUsed/>
    <w:rsid w:val="003C538E"/>
  </w:style>
  <w:style w:type="table" w:customStyle="1" w:styleId="TableGrid12">
    <w:name w:val="Table Grid12"/>
    <w:basedOn w:val="a1"/>
    <w:next w:val="af7"/>
    <w:uiPriority w:val="39"/>
    <w:rsid w:val="003C538E"/>
    <w:pPr>
      <w:spacing w:after="0" w:line="240" w:lineRule="auto"/>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a2"/>
    <w:uiPriority w:val="99"/>
    <w:semiHidden/>
    <w:unhideWhenUsed/>
    <w:rsid w:val="003C538E"/>
  </w:style>
  <w:style w:type="table" w:customStyle="1" w:styleId="TableGrid21">
    <w:name w:val="Table Grid21"/>
    <w:basedOn w:val="a1"/>
    <w:next w:val="af7"/>
    <w:uiPriority w:val="39"/>
    <w:rsid w:val="003C538E"/>
    <w:pPr>
      <w:spacing w:after="0" w:line="240" w:lineRule="auto"/>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0595172">
      <w:bodyDiv w:val="1"/>
      <w:marLeft w:val="0"/>
      <w:marRight w:val="0"/>
      <w:marTop w:val="0"/>
      <w:marBottom w:val="0"/>
      <w:divBdr>
        <w:top w:val="none" w:sz="0" w:space="0" w:color="auto"/>
        <w:left w:val="none" w:sz="0" w:space="0" w:color="auto"/>
        <w:bottom w:val="none" w:sz="0" w:space="0" w:color="auto"/>
        <w:right w:val="none" w:sz="0" w:space="0" w:color="auto"/>
      </w:divBdr>
    </w:div>
    <w:div w:id="1659769971">
      <w:bodyDiv w:val="1"/>
      <w:marLeft w:val="0"/>
      <w:marRight w:val="0"/>
      <w:marTop w:val="0"/>
      <w:marBottom w:val="0"/>
      <w:divBdr>
        <w:top w:val="none" w:sz="0" w:space="0" w:color="auto"/>
        <w:left w:val="none" w:sz="0" w:space="0" w:color="auto"/>
        <w:bottom w:val="none" w:sz="0" w:space="0" w:color="auto"/>
        <w:right w:val="none" w:sz="0" w:space="0" w:color="auto"/>
      </w:divBdr>
    </w:div>
    <w:div w:id="2046516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customXml" Target="../customXml/item2.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WaveListOrderValue xmlns="http://schemas.microsoft.com/sharepoint/v3" xsi:nil="true"/>
    <_DCDateCreated xmlns="http://schemas.microsoft.com/sharepoint/v3/fields" xsi:nil="true"/>
  </documentManagement>
</p:properties>
</file>

<file path=customXml/item2.xml><?xml version="1.0" encoding="utf-8"?>
<ct:contentTypeSchema xmlns:ct="http://schemas.microsoft.com/office/2006/metadata/contentType" xmlns:ma="http://schemas.microsoft.com/office/2006/metadata/properties/metaAttributes" ct:_="" ma:_="" ma:contentTypeName="מסמך" ma:contentTypeID="0x0101000644CCD52964FE4BBD8AB8E0B060EA47" ma:contentTypeVersion="3" ma:contentTypeDescription="צור מסמך חדש." ma:contentTypeScope="" ma:versionID="2bb10b40ee8d3a599c5f62d28aa9a0b5">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c347f0a8e3e1664f2bb8f913eca227a"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1:eWaveListOrderValu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 ma:internalName="PublishingStartDate">
      <xsd:simpleType>
        <xsd:restriction base="dms:Unknown"/>
      </xsd:simpleType>
    </xsd:element>
    <xsd:element name="PublishingExpirationDate" ma:index="9" nillable="true" ma:displayName="מתזמן תאריך סיום" ma:internalName="PublishingExpirationDate">
      <xsd:simpleType>
        <xsd:restriction base="dms:Unknown"/>
      </xsd:simpleType>
    </xsd:element>
    <xsd:element name="eWaveListOrderValue" ma:index="10" nillable="true" ma:displayName="סידור" ma:decimals="2" ma:internalName="eWaveListOrderValue" ma:readOnly="false"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1" nillable="true" ma:displayName="תאריך יצירה" ma:description="התאריך שבו נוצר משאב זה"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666EAE-3716-4E26-BFF8-0ED22318B21F}"/>
</file>

<file path=customXml/itemProps2.xml><?xml version="1.0" encoding="utf-8"?>
<ds:datastoreItem xmlns:ds="http://schemas.openxmlformats.org/officeDocument/2006/customXml" ds:itemID="{CA9C3B62-58CD-4539-A24B-4DDF64027DEB}"/>
</file>

<file path=customXml/itemProps3.xml><?xml version="1.0" encoding="utf-8"?>
<ds:datastoreItem xmlns:ds="http://schemas.openxmlformats.org/officeDocument/2006/customXml" ds:itemID="{80F236F0-AEA9-4DC4-97C2-1E542B284D80}"/>
</file>

<file path=docProps/app.xml><?xml version="1.0" encoding="utf-8"?>
<Properties xmlns="http://schemas.openxmlformats.org/officeDocument/2006/extended-properties" xmlns:vt="http://schemas.openxmlformats.org/officeDocument/2006/docPropsVTypes">
  <Template>Normal.dotm</Template>
  <TotalTime>0</TotalTime>
  <Pages>10</Pages>
  <Words>2707</Words>
  <Characters>13536</Characters>
  <Application>Microsoft Office Word</Application>
  <DocSecurity>4</DocSecurity>
  <Lines>112</Lines>
  <Paragraphs>32</Paragraphs>
  <ScaleCrop>false</ScaleCrop>
  <HeadingPairs>
    <vt:vector size="2" baseType="variant">
      <vt:variant>
        <vt:lpstr>שם</vt:lpstr>
      </vt:variant>
      <vt:variant>
        <vt:i4>1</vt:i4>
      </vt:variant>
    </vt:vector>
  </HeadingPairs>
  <TitlesOfParts>
    <vt:vector size="1" baseType="lpstr">
      <vt:lpstr/>
    </vt:vector>
  </TitlesOfParts>
  <Company>BOI</Company>
  <LinksUpToDate>false</LinksUpToDate>
  <CharactersWithSpaces>16211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מאיה הרן רוזן</dc:creator>
  <cp:keywords/>
  <dc:description/>
  <cp:lastModifiedBy>מיטל רולניצקי</cp:lastModifiedBy>
  <cp:revision>2</cp:revision>
  <dcterms:created xsi:type="dcterms:W3CDTF">2021-03-24T07:25:00Z</dcterms:created>
  <dcterms:modified xsi:type="dcterms:W3CDTF">2021-03-24T07:25:00Z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0x0101000644CCD52964FE4BBD8AB8E0B060EA47</vt:lpwstr>
  </property>
</Properties>
</file>