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D921A2" w:rsidRPr="00DB1CBC" w:rsidTr="0099709A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1A2" w:rsidRDefault="00D921A2" w:rsidP="0099709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:rsidR="00D921A2" w:rsidRDefault="00D921A2" w:rsidP="0099709A">
            <w:pPr>
              <w:spacing w:line="360" w:lineRule="auto"/>
              <w:ind w:right="-101"/>
              <w:jc w:val="center"/>
            </w:pPr>
            <w:r>
              <w:rPr>
                <w:rtl/>
              </w:rPr>
              <w:t>דו</w:t>
            </w:r>
            <w:r>
              <w:rPr>
                <w:rFonts w:hint="cs"/>
                <w:rtl/>
              </w:rPr>
              <w:t>בר</w:t>
            </w:r>
            <w:r>
              <w:rPr>
                <w:rtl/>
              </w:rPr>
              <w:t>ות</w:t>
            </w:r>
            <w:r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D921A2" w:rsidRDefault="00C24930" w:rsidP="0099709A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7E565B90" wp14:editId="70D88E5F">
                  <wp:extent cx="772160" cy="769620"/>
                  <wp:effectExtent l="0" t="0" r="8890" b="0"/>
                  <wp:docPr id="3" name="תמונה 3" descr="לוגו בנק ישראל" title="לוגו בנק ישרא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K:\Dover\תפעול לשכת הדובר\כלים\לוגו\boi_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1A2" w:rsidRPr="00F30DEA" w:rsidRDefault="00D921A2" w:rsidP="00BB5A50">
            <w:pPr>
              <w:spacing w:line="480" w:lineRule="auto"/>
              <w:jc w:val="right"/>
            </w:pPr>
            <w:r>
              <w:rPr>
                <w:rFonts w:hint="eastAsia"/>
                <w:rtl/>
              </w:rPr>
              <w:t>‏</w:t>
            </w:r>
            <w:r w:rsidRPr="00F30DEA">
              <w:rPr>
                <w:rFonts w:hint="cs"/>
                <w:rtl/>
              </w:rPr>
              <w:t>ירושלים</w:t>
            </w:r>
            <w:r w:rsidR="002F0DC3">
              <w:rPr>
                <w:rFonts w:hint="cs"/>
                <w:rtl/>
              </w:rPr>
              <w:t xml:space="preserve">, </w:t>
            </w:r>
            <w:r w:rsidR="00AD19B0">
              <w:rPr>
                <w:rFonts w:hint="cs"/>
                <w:rtl/>
              </w:rPr>
              <w:t>ג</w:t>
            </w:r>
            <w:r w:rsidR="00BB5A50">
              <w:rPr>
                <w:rFonts w:hint="cs"/>
                <w:rtl/>
              </w:rPr>
              <w:t>'</w:t>
            </w:r>
            <w:r w:rsidR="00797E9F">
              <w:rPr>
                <w:rFonts w:hint="cs"/>
                <w:rtl/>
              </w:rPr>
              <w:t xml:space="preserve"> ב</w:t>
            </w:r>
            <w:r w:rsidR="00BB5A50">
              <w:rPr>
                <w:rFonts w:hint="cs"/>
                <w:rtl/>
              </w:rPr>
              <w:t>טבת</w:t>
            </w:r>
            <w:r w:rsidRPr="00F30DEA">
              <w:rPr>
                <w:rtl/>
              </w:rPr>
              <w:t xml:space="preserve"> </w:t>
            </w:r>
            <w:r w:rsidRPr="00F30DEA">
              <w:rPr>
                <w:rFonts w:hint="cs"/>
                <w:rtl/>
              </w:rPr>
              <w:t>ה</w:t>
            </w:r>
            <w:r w:rsidRPr="00F30DEA">
              <w:rPr>
                <w:rtl/>
              </w:rPr>
              <w:t>תשע"</w:t>
            </w:r>
            <w:r w:rsidR="00BB5A50">
              <w:rPr>
                <w:rFonts w:hint="cs"/>
                <w:rtl/>
              </w:rPr>
              <w:t>ו</w:t>
            </w:r>
          </w:p>
          <w:p w:rsidR="00D921A2" w:rsidRPr="00DF107C" w:rsidRDefault="00AD19B0" w:rsidP="00BB5A50">
            <w:pPr>
              <w:spacing w:line="480" w:lineRule="auto"/>
              <w:jc w:val="right"/>
            </w:pPr>
            <w:r>
              <w:rPr>
                <w:rFonts w:hint="cs"/>
                <w:rtl/>
              </w:rPr>
              <w:t>15</w:t>
            </w:r>
            <w:r w:rsidR="00444713">
              <w:rPr>
                <w:rFonts w:hint="cs"/>
                <w:rtl/>
              </w:rPr>
              <w:t xml:space="preserve"> </w:t>
            </w:r>
            <w:r w:rsidR="00BB5A50">
              <w:rPr>
                <w:rFonts w:hint="cs"/>
                <w:rtl/>
              </w:rPr>
              <w:t>בדצמבר</w:t>
            </w:r>
            <w:r w:rsidR="00444713">
              <w:rPr>
                <w:rFonts w:hint="cs"/>
                <w:rtl/>
              </w:rPr>
              <w:t xml:space="preserve"> 2015 </w:t>
            </w:r>
          </w:p>
        </w:tc>
      </w:tr>
    </w:tbl>
    <w:p w:rsidR="00D921A2" w:rsidRDefault="00D921A2" w:rsidP="00D921A2">
      <w:pPr>
        <w:spacing w:line="360" w:lineRule="auto"/>
        <w:ind w:right="-101"/>
        <w:rPr>
          <w:rtl/>
        </w:rPr>
      </w:pPr>
      <w:r w:rsidRPr="007E18EE">
        <w:rPr>
          <w:rFonts w:hint="cs"/>
          <w:rtl/>
        </w:rPr>
        <w:t>הודעה לעיתונות:</w:t>
      </w:r>
    </w:p>
    <w:p w:rsidR="00E724A2" w:rsidRPr="005E04A2" w:rsidRDefault="0078645B" w:rsidP="005E04A2">
      <w:pPr>
        <w:pStyle w:val="af1"/>
        <w:rPr>
          <w:rtl/>
        </w:rPr>
      </w:pPr>
      <w:r w:rsidRPr="005E04A2">
        <w:rPr>
          <w:rFonts w:hint="cs"/>
          <w:rtl/>
        </w:rPr>
        <w:t xml:space="preserve">התפתחויות </w:t>
      </w:r>
      <w:r w:rsidR="00E724A2" w:rsidRPr="005E04A2">
        <w:rPr>
          <w:rFonts w:hint="cs"/>
          <w:rtl/>
        </w:rPr>
        <w:t>בתיק הנכסים</w:t>
      </w:r>
      <w:r w:rsidR="00883782" w:rsidRPr="005E04A2">
        <w:rPr>
          <w:rFonts w:hint="cs"/>
          <w:rtl/>
        </w:rPr>
        <w:t xml:space="preserve"> הפיננסיים</w:t>
      </w:r>
      <w:r w:rsidR="00B35B70" w:rsidRPr="005E04A2">
        <w:rPr>
          <w:rFonts w:hint="cs"/>
          <w:rtl/>
        </w:rPr>
        <w:t xml:space="preserve"> של הציבור</w:t>
      </w:r>
      <w:r w:rsidR="003B437B" w:rsidRPr="005E04A2">
        <w:rPr>
          <w:rFonts w:hint="cs"/>
          <w:rtl/>
        </w:rPr>
        <w:t xml:space="preserve"> ברביע </w:t>
      </w:r>
      <w:r w:rsidR="00BB5A50" w:rsidRPr="005E04A2">
        <w:rPr>
          <w:rFonts w:hint="cs"/>
          <w:rtl/>
        </w:rPr>
        <w:t>השלישי</w:t>
      </w:r>
      <w:r w:rsidR="009530C6" w:rsidRPr="005E04A2">
        <w:rPr>
          <w:rFonts w:hint="cs"/>
          <w:rtl/>
        </w:rPr>
        <w:t xml:space="preserve"> </w:t>
      </w:r>
      <w:r w:rsidR="009F3982" w:rsidRPr="005E04A2">
        <w:rPr>
          <w:rFonts w:hint="cs"/>
          <w:rtl/>
        </w:rPr>
        <w:t xml:space="preserve">של </w:t>
      </w:r>
      <w:r w:rsidR="009530C6" w:rsidRPr="005E04A2">
        <w:rPr>
          <w:rFonts w:hint="cs"/>
          <w:rtl/>
        </w:rPr>
        <w:t xml:space="preserve">שנת </w:t>
      </w:r>
      <w:r w:rsidR="009F3982" w:rsidRPr="005E04A2">
        <w:rPr>
          <w:rFonts w:hint="cs"/>
          <w:rtl/>
        </w:rPr>
        <w:t>2015</w:t>
      </w:r>
    </w:p>
    <w:p w:rsidR="00091F3F" w:rsidRPr="00FA3EEF" w:rsidRDefault="00ED7FDF" w:rsidP="00AD19B0">
      <w:pPr>
        <w:pStyle w:val="ae"/>
        <w:numPr>
          <w:ilvl w:val="0"/>
          <w:numId w:val="8"/>
        </w:numPr>
        <w:spacing w:line="360" w:lineRule="auto"/>
        <w:jc w:val="both"/>
        <w:rPr>
          <w:b/>
          <w:bCs/>
          <w:rtl/>
        </w:rPr>
      </w:pPr>
      <w:r w:rsidRPr="00091F3F">
        <w:rPr>
          <w:rFonts w:hint="cs"/>
          <w:b/>
          <w:bCs/>
          <w:rtl/>
        </w:rPr>
        <w:t xml:space="preserve">ברביע </w:t>
      </w:r>
      <w:r w:rsidR="00862B40">
        <w:rPr>
          <w:rFonts w:hint="cs"/>
          <w:b/>
          <w:bCs/>
          <w:rtl/>
        </w:rPr>
        <w:t>השלישי</w:t>
      </w:r>
      <w:r w:rsidRPr="004D6685">
        <w:rPr>
          <w:rFonts w:hint="cs"/>
          <w:b/>
          <w:bCs/>
          <w:rtl/>
        </w:rPr>
        <w:t xml:space="preserve"> של שנת</w:t>
      </w:r>
      <w:r w:rsidR="004D6685">
        <w:rPr>
          <w:rFonts w:hint="cs"/>
          <w:b/>
          <w:bCs/>
          <w:rtl/>
        </w:rPr>
        <w:t xml:space="preserve"> 2015</w:t>
      </w:r>
      <w:r w:rsidRPr="004D6685">
        <w:rPr>
          <w:rFonts w:hint="cs"/>
          <w:b/>
          <w:bCs/>
          <w:rtl/>
        </w:rPr>
        <w:t xml:space="preserve"> </w:t>
      </w:r>
      <w:r w:rsidR="004D6685" w:rsidRPr="004D6685">
        <w:rPr>
          <w:rFonts w:hint="cs"/>
          <w:b/>
          <w:bCs/>
          <w:rtl/>
        </w:rPr>
        <w:t>ירד שווי תיק הנכסים בכ-</w:t>
      </w:r>
      <w:r w:rsidR="00476B53">
        <w:rPr>
          <w:rFonts w:hint="cs"/>
          <w:b/>
          <w:bCs/>
          <w:rtl/>
        </w:rPr>
        <w:t>28</w:t>
      </w:r>
      <w:r w:rsidR="004D6685" w:rsidRPr="004D6685">
        <w:rPr>
          <w:rFonts w:hint="cs"/>
          <w:b/>
          <w:bCs/>
          <w:rtl/>
        </w:rPr>
        <w:t xml:space="preserve"> מיליארדי ש</w:t>
      </w:r>
      <w:r w:rsidR="004D6685" w:rsidRPr="004D6685">
        <w:rPr>
          <w:b/>
          <w:bCs/>
          <w:rtl/>
        </w:rPr>
        <w:t>"</w:t>
      </w:r>
      <w:r w:rsidR="004D6685" w:rsidRPr="004D6685">
        <w:rPr>
          <w:rFonts w:hint="cs"/>
          <w:b/>
          <w:bCs/>
          <w:rtl/>
        </w:rPr>
        <w:t>ח (</w:t>
      </w:r>
      <w:r w:rsidR="00476B53">
        <w:rPr>
          <w:rFonts w:hint="cs"/>
          <w:b/>
          <w:bCs/>
          <w:rtl/>
        </w:rPr>
        <w:t>0.9</w:t>
      </w:r>
      <w:r w:rsidR="004D6685" w:rsidRPr="004D6685">
        <w:rPr>
          <w:rFonts w:hint="cs"/>
          <w:b/>
          <w:bCs/>
          <w:rtl/>
        </w:rPr>
        <w:t>%</w:t>
      </w:r>
      <w:r w:rsidR="00DD70A6">
        <w:rPr>
          <w:rFonts w:hint="cs"/>
          <w:b/>
          <w:bCs/>
          <w:rtl/>
        </w:rPr>
        <w:t>-</w:t>
      </w:r>
      <w:r w:rsidR="00CB5476">
        <w:rPr>
          <w:rFonts w:hint="cs"/>
          <w:b/>
          <w:bCs/>
          <w:rtl/>
        </w:rPr>
        <w:t xml:space="preserve"> לעומת היתרה בסוף הרביע </w:t>
      </w:r>
      <w:r w:rsidR="0057001B">
        <w:rPr>
          <w:rFonts w:hint="cs"/>
          <w:b/>
          <w:bCs/>
          <w:rtl/>
        </w:rPr>
        <w:t>השני</w:t>
      </w:r>
      <w:r w:rsidR="004D6685" w:rsidRPr="004D6685">
        <w:rPr>
          <w:rFonts w:hint="cs"/>
          <w:b/>
          <w:bCs/>
          <w:rtl/>
        </w:rPr>
        <w:t xml:space="preserve">) ועמד בסוף </w:t>
      </w:r>
      <w:r w:rsidR="00862B40">
        <w:rPr>
          <w:rFonts w:hint="cs"/>
          <w:b/>
          <w:bCs/>
          <w:rtl/>
        </w:rPr>
        <w:t>ספטמבר</w:t>
      </w:r>
      <w:r w:rsidR="004D6685" w:rsidRPr="004D6685">
        <w:rPr>
          <w:rFonts w:hint="cs"/>
          <w:b/>
          <w:bCs/>
          <w:rtl/>
        </w:rPr>
        <w:t xml:space="preserve"> על כ- 3.</w:t>
      </w:r>
      <w:r w:rsidR="00B95415">
        <w:rPr>
          <w:rFonts w:hint="cs"/>
          <w:b/>
          <w:bCs/>
          <w:rtl/>
        </w:rPr>
        <w:t>2</w:t>
      </w:r>
      <w:r w:rsidR="002A7F70">
        <w:rPr>
          <w:rFonts w:hint="cs"/>
          <w:b/>
          <w:bCs/>
          <w:rtl/>
        </w:rPr>
        <w:t>6</w:t>
      </w:r>
      <w:r w:rsidR="004D6685" w:rsidRPr="004D6685">
        <w:rPr>
          <w:rFonts w:hint="cs"/>
          <w:b/>
          <w:bCs/>
          <w:rtl/>
        </w:rPr>
        <w:t xml:space="preserve"> טריליוני </w:t>
      </w:r>
      <w:r w:rsidR="004D6685">
        <w:rPr>
          <w:rFonts w:hint="cs"/>
          <w:b/>
          <w:bCs/>
          <w:rtl/>
        </w:rPr>
        <w:t>ש"ח.</w:t>
      </w:r>
      <w:r w:rsidR="00091F3F" w:rsidRPr="009F776D">
        <w:rPr>
          <w:rFonts w:hint="cs"/>
          <w:b/>
          <w:bCs/>
          <w:rtl/>
        </w:rPr>
        <w:t xml:space="preserve"> </w:t>
      </w:r>
      <w:r w:rsidR="0071210C" w:rsidRPr="00E24839">
        <w:rPr>
          <w:rFonts w:hint="cs"/>
          <w:b/>
          <w:bCs/>
          <w:rtl/>
        </w:rPr>
        <w:t>מתחילת השנה</w:t>
      </w:r>
      <w:r w:rsidR="0071210C" w:rsidRPr="0071210C">
        <w:rPr>
          <w:rFonts w:hint="cs"/>
          <w:b/>
          <w:bCs/>
          <w:rtl/>
        </w:rPr>
        <w:t xml:space="preserve"> עלה שווי התיק בכ-86 מיליארדי ש</w:t>
      </w:r>
      <w:r w:rsidR="0071210C" w:rsidRPr="0071210C">
        <w:rPr>
          <w:b/>
          <w:bCs/>
          <w:rtl/>
        </w:rPr>
        <w:t>"</w:t>
      </w:r>
      <w:r w:rsidR="0071210C" w:rsidRPr="0071210C">
        <w:rPr>
          <w:rFonts w:hint="cs"/>
          <w:b/>
          <w:bCs/>
          <w:rtl/>
        </w:rPr>
        <w:t>ח (2.7%), כאשר העלייה נבעה מעליית שווי הנכסים שאינם סחירים</w:t>
      </w:r>
      <w:r w:rsidR="0071210C">
        <w:rPr>
          <w:rFonts w:hint="cs"/>
          <w:b/>
          <w:bCs/>
          <w:rtl/>
        </w:rPr>
        <w:t>.</w:t>
      </w:r>
    </w:p>
    <w:p w:rsidR="00862B40" w:rsidRDefault="004D6685" w:rsidP="00AD19B0">
      <w:pPr>
        <w:pStyle w:val="ae"/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862B40">
        <w:rPr>
          <w:rFonts w:hint="cs"/>
          <w:b/>
          <w:bCs/>
          <w:rtl/>
        </w:rPr>
        <w:t>הירידה</w:t>
      </w:r>
      <w:r w:rsidR="009069AE" w:rsidRPr="00862B40">
        <w:rPr>
          <w:rFonts w:hint="cs"/>
          <w:b/>
          <w:bCs/>
          <w:rtl/>
        </w:rPr>
        <w:t xml:space="preserve"> בשווי התיק ברביע </w:t>
      </w:r>
      <w:r w:rsidR="00862B40" w:rsidRPr="00862B40">
        <w:rPr>
          <w:rFonts w:hint="cs"/>
          <w:b/>
          <w:bCs/>
          <w:rtl/>
        </w:rPr>
        <w:t>השלישי</w:t>
      </w:r>
      <w:r w:rsidR="009069AE" w:rsidRPr="00862B40">
        <w:rPr>
          <w:rFonts w:hint="cs"/>
          <w:b/>
          <w:bCs/>
          <w:rtl/>
        </w:rPr>
        <w:t xml:space="preserve"> </w:t>
      </w:r>
      <w:r w:rsidR="00862B40" w:rsidRPr="00862B40">
        <w:rPr>
          <w:rFonts w:hint="cs"/>
          <w:b/>
          <w:bCs/>
          <w:rtl/>
        </w:rPr>
        <w:t xml:space="preserve">נבעה ברובה מהירידה בשווי המניות בארץ (כ- 48 מיליארדי </w:t>
      </w:r>
      <w:r w:rsidR="009076D4">
        <w:rPr>
          <w:rFonts w:hint="cs"/>
          <w:b/>
          <w:bCs/>
          <w:rtl/>
        </w:rPr>
        <w:t>ש"ח</w:t>
      </w:r>
      <w:r w:rsidR="00862B40" w:rsidRPr="00862B40">
        <w:rPr>
          <w:rFonts w:hint="cs"/>
          <w:b/>
          <w:bCs/>
          <w:rtl/>
        </w:rPr>
        <w:t>, 8.9%</w:t>
      </w:r>
      <w:r w:rsidR="009076D4">
        <w:rPr>
          <w:rFonts w:hint="cs"/>
          <w:b/>
          <w:bCs/>
          <w:rtl/>
        </w:rPr>
        <w:t xml:space="preserve">) ובחו"ל (כ-11 מיליארדי ש"ח, 4%), אשר קוזזה חלקית ע"י עלייה </w:t>
      </w:r>
      <w:r w:rsidR="00774C01">
        <w:rPr>
          <w:rFonts w:hint="cs"/>
          <w:b/>
          <w:bCs/>
          <w:rtl/>
        </w:rPr>
        <w:t>ביתרת</w:t>
      </w:r>
      <w:r w:rsidR="009076D4">
        <w:rPr>
          <w:rFonts w:hint="cs"/>
          <w:b/>
          <w:bCs/>
          <w:rtl/>
        </w:rPr>
        <w:t xml:space="preserve"> המזומן והפיקדונות (כ-30 מיליארדי ש"ח, 2.8%).</w:t>
      </w:r>
    </w:p>
    <w:p w:rsidR="00710306" w:rsidRPr="00710306" w:rsidRDefault="00710306" w:rsidP="00AD19B0">
      <w:pPr>
        <w:pStyle w:val="ae"/>
        <w:numPr>
          <w:ilvl w:val="0"/>
          <w:numId w:val="8"/>
        </w:numPr>
        <w:spacing w:line="360" w:lineRule="auto"/>
        <w:jc w:val="both"/>
        <w:rPr>
          <w:b/>
          <w:bCs/>
          <w:rtl/>
        </w:rPr>
      </w:pPr>
      <w:r w:rsidRPr="00710306">
        <w:rPr>
          <w:rFonts w:hint="cs"/>
          <w:b/>
          <w:bCs/>
          <w:rtl/>
        </w:rPr>
        <w:t xml:space="preserve">שווי יתרת התיק המנוהל ע"י המשקיעים המוסדיים ירד ברביע השלישי בכ-0.5% (6.5 מיליארדי ש"ח), ועמד בסוף ספטמבר על כ-1.31 טריליון ש"ח. </w:t>
      </w:r>
      <w:r w:rsidR="009076D4">
        <w:rPr>
          <w:rFonts w:hint="cs"/>
          <w:b/>
          <w:bCs/>
          <w:rtl/>
        </w:rPr>
        <w:t xml:space="preserve">עיקר </w:t>
      </w:r>
      <w:r w:rsidRPr="00710306">
        <w:rPr>
          <w:rFonts w:hint="cs"/>
          <w:b/>
          <w:bCs/>
          <w:rtl/>
        </w:rPr>
        <w:t xml:space="preserve">הירידה נרשמה בשווי  המניות בארץ (6.6 מיליארדים, 6.2%) ובחו"ל (5.1 מיליארדים, 2.8%) שקוזזה חלקית ע"י עלייה </w:t>
      </w:r>
      <w:r w:rsidR="00774C01">
        <w:rPr>
          <w:rFonts w:hint="cs"/>
          <w:b/>
          <w:bCs/>
          <w:rtl/>
        </w:rPr>
        <w:t>ביתרת</w:t>
      </w:r>
      <w:r w:rsidRPr="00710306">
        <w:rPr>
          <w:rFonts w:hint="cs"/>
          <w:b/>
          <w:bCs/>
          <w:rtl/>
        </w:rPr>
        <w:t xml:space="preserve"> המזומן והפיקדונו</w:t>
      </w:r>
      <w:r w:rsidRPr="00710306">
        <w:rPr>
          <w:rFonts w:hint="eastAsia"/>
          <w:b/>
          <w:bCs/>
          <w:rtl/>
        </w:rPr>
        <w:t>ת</w:t>
      </w:r>
      <w:r w:rsidR="009076D4">
        <w:rPr>
          <w:rFonts w:hint="cs"/>
          <w:b/>
          <w:bCs/>
          <w:rtl/>
        </w:rPr>
        <w:t xml:space="preserve"> (3.2 מיליארדים, 3.8%).</w:t>
      </w:r>
    </w:p>
    <w:p w:rsidR="00F03CB5" w:rsidRPr="00E317EA" w:rsidRDefault="00F03CB5" w:rsidP="00AD19B0">
      <w:pPr>
        <w:pStyle w:val="ae"/>
        <w:numPr>
          <w:ilvl w:val="0"/>
          <w:numId w:val="8"/>
        </w:numPr>
        <w:spacing w:line="360" w:lineRule="auto"/>
        <w:jc w:val="both"/>
        <w:rPr>
          <w:b/>
          <w:bCs/>
        </w:rPr>
      </w:pPr>
      <w:r>
        <w:rPr>
          <w:rFonts w:hint="cs"/>
          <w:b/>
          <w:bCs/>
          <w:rtl/>
        </w:rPr>
        <w:t>בר</w:t>
      </w:r>
      <w:r w:rsidRPr="00F03CB5">
        <w:rPr>
          <w:rFonts w:hint="cs"/>
          <w:b/>
          <w:bCs/>
          <w:rtl/>
        </w:rPr>
        <w:t xml:space="preserve">ביע </w:t>
      </w:r>
      <w:r w:rsidR="00862B40">
        <w:rPr>
          <w:rFonts w:hint="cs"/>
          <w:b/>
          <w:bCs/>
          <w:rtl/>
        </w:rPr>
        <w:t>השלישי</w:t>
      </w:r>
      <w:r w:rsidRPr="00F03CB5">
        <w:rPr>
          <w:rFonts w:hint="cs"/>
          <w:b/>
          <w:bCs/>
          <w:rtl/>
        </w:rPr>
        <w:t xml:space="preserve"> של שנת 2015, </w:t>
      </w:r>
      <w:r w:rsidR="004D6685">
        <w:rPr>
          <w:rFonts w:hint="cs"/>
          <w:b/>
          <w:bCs/>
          <w:rtl/>
        </w:rPr>
        <w:t>נמשכה</w:t>
      </w:r>
      <w:r w:rsidRPr="00F03CB5">
        <w:rPr>
          <w:rFonts w:hint="cs"/>
          <w:b/>
          <w:bCs/>
          <w:rtl/>
        </w:rPr>
        <w:t xml:space="preserve"> מגמת הפדיונות נטו </w:t>
      </w:r>
      <w:r w:rsidR="006726B2">
        <w:rPr>
          <w:rFonts w:hint="cs"/>
          <w:b/>
          <w:bCs/>
          <w:rtl/>
        </w:rPr>
        <w:t>ב</w:t>
      </w:r>
      <w:r w:rsidRPr="00F03CB5">
        <w:rPr>
          <w:rFonts w:hint="cs"/>
          <w:b/>
          <w:bCs/>
          <w:rtl/>
        </w:rPr>
        <w:t>קרנות הכספיות (</w:t>
      </w:r>
      <w:r w:rsidR="00CB5476">
        <w:rPr>
          <w:rFonts w:hint="cs"/>
          <w:b/>
          <w:bCs/>
          <w:rtl/>
        </w:rPr>
        <w:t>פדיון בסך</w:t>
      </w:r>
      <w:r w:rsidRPr="00F03CB5">
        <w:rPr>
          <w:rFonts w:hint="cs"/>
          <w:b/>
          <w:bCs/>
          <w:rtl/>
        </w:rPr>
        <w:t xml:space="preserve"> </w:t>
      </w:r>
      <w:r w:rsidR="00862B40">
        <w:rPr>
          <w:rFonts w:hint="cs"/>
          <w:b/>
          <w:bCs/>
          <w:rtl/>
        </w:rPr>
        <w:t>9.6</w:t>
      </w:r>
      <w:r w:rsidRPr="00F03CB5">
        <w:rPr>
          <w:rFonts w:hint="cs"/>
          <w:b/>
          <w:bCs/>
          <w:rtl/>
        </w:rPr>
        <w:t xml:space="preserve"> מיליארדי </w:t>
      </w:r>
      <w:r w:rsidR="00FD22C6">
        <w:rPr>
          <w:rFonts w:hint="cs"/>
          <w:b/>
          <w:bCs/>
          <w:rtl/>
        </w:rPr>
        <w:t>ש</w:t>
      </w:r>
      <w:r w:rsidR="00FD22C6">
        <w:rPr>
          <w:b/>
          <w:bCs/>
          <w:rtl/>
        </w:rPr>
        <w:t>"</w:t>
      </w:r>
      <w:r w:rsidR="00FD22C6">
        <w:rPr>
          <w:rFonts w:hint="cs"/>
          <w:b/>
          <w:bCs/>
          <w:rtl/>
        </w:rPr>
        <w:t>ח</w:t>
      </w:r>
      <w:r w:rsidR="00DD70A6">
        <w:rPr>
          <w:rFonts w:hint="cs"/>
          <w:b/>
          <w:bCs/>
          <w:rtl/>
        </w:rPr>
        <w:t xml:space="preserve">, </w:t>
      </w:r>
      <w:r w:rsidR="00862B40">
        <w:rPr>
          <w:rFonts w:hint="cs"/>
          <w:b/>
          <w:bCs/>
          <w:rtl/>
        </w:rPr>
        <w:t>3.9</w:t>
      </w:r>
      <w:r w:rsidR="00DD70A6">
        <w:rPr>
          <w:rFonts w:hint="cs"/>
          <w:b/>
          <w:bCs/>
          <w:rtl/>
        </w:rPr>
        <w:t>%-).</w:t>
      </w:r>
    </w:p>
    <w:p w:rsidR="00AD1F1B" w:rsidRPr="00AD1F1B" w:rsidRDefault="00AD1F1B" w:rsidP="00AD1F1B">
      <w:pPr>
        <w:pStyle w:val="ae"/>
        <w:spacing w:line="360" w:lineRule="auto"/>
        <w:jc w:val="both"/>
        <w:rPr>
          <w:b/>
          <w:bCs/>
          <w:rtl/>
        </w:rPr>
      </w:pPr>
    </w:p>
    <w:p w:rsidR="002A7E7B" w:rsidRPr="005E04A2" w:rsidRDefault="002A7E7B" w:rsidP="005E04A2">
      <w:pPr>
        <w:pStyle w:val="ae"/>
        <w:numPr>
          <w:ilvl w:val="0"/>
          <w:numId w:val="18"/>
        </w:numPr>
        <w:spacing w:line="360" w:lineRule="auto"/>
        <w:jc w:val="both"/>
        <w:rPr>
          <w:b/>
          <w:bCs/>
          <w:rtl/>
        </w:rPr>
      </w:pPr>
      <w:r w:rsidRPr="005E04A2">
        <w:rPr>
          <w:rStyle w:val="10"/>
          <w:rFonts w:hint="cs"/>
          <w:rtl/>
        </w:rPr>
        <w:t>סך תיק הנכסים</w:t>
      </w:r>
    </w:p>
    <w:p w:rsidR="001F3A15" w:rsidRDefault="0027468F" w:rsidP="002A7F70">
      <w:pPr>
        <w:spacing w:line="360" w:lineRule="auto"/>
        <w:jc w:val="both"/>
        <w:rPr>
          <w:b/>
          <w:bCs/>
          <w:rtl/>
        </w:rPr>
      </w:pPr>
      <w:r w:rsidRPr="00614FCA">
        <w:rPr>
          <w:rFonts w:hint="cs"/>
          <w:rtl/>
        </w:rPr>
        <w:t>מהחטיבה למידע ולסטטיסטיקה</w:t>
      </w:r>
      <w:r w:rsidR="000755F0">
        <w:rPr>
          <w:rFonts w:hint="cs"/>
          <w:rtl/>
        </w:rPr>
        <w:t xml:space="preserve"> בבנק ישראל</w:t>
      </w:r>
      <w:r w:rsidRPr="00614FCA">
        <w:rPr>
          <w:rFonts w:hint="cs"/>
          <w:rtl/>
        </w:rPr>
        <w:t xml:space="preserve"> נמסר</w:t>
      </w:r>
      <w:r w:rsidR="003E5DA9">
        <w:rPr>
          <w:rFonts w:hint="cs"/>
          <w:rtl/>
        </w:rPr>
        <w:t>,</w:t>
      </w:r>
      <w:r w:rsidRPr="00614FCA">
        <w:rPr>
          <w:rFonts w:hint="cs"/>
          <w:rtl/>
        </w:rPr>
        <w:t xml:space="preserve"> כי </w:t>
      </w:r>
      <w:r w:rsidR="008F4C5E">
        <w:rPr>
          <w:rFonts w:hint="cs"/>
          <w:b/>
          <w:bCs/>
          <w:rtl/>
        </w:rPr>
        <w:t xml:space="preserve">ברביע </w:t>
      </w:r>
      <w:r w:rsidR="0040499D">
        <w:rPr>
          <w:rFonts w:hint="cs"/>
          <w:b/>
          <w:bCs/>
          <w:rtl/>
        </w:rPr>
        <w:t>השלישי</w:t>
      </w:r>
      <w:r w:rsidR="008F4C5E">
        <w:rPr>
          <w:rFonts w:hint="cs"/>
          <w:b/>
          <w:bCs/>
          <w:rtl/>
        </w:rPr>
        <w:t xml:space="preserve"> של שנת</w:t>
      </w:r>
      <w:r w:rsidR="0049743C" w:rsidRPr="009F776D">
        <w:rPr>
          <w:rFonts w:hint="cs"/>
          <w:b/>
          <w:bCs/>
          <w:rtl/>
        </w:rPr>
        <w:t xml:space="preserve"> </w:t>
      </w:r>
      <w:r w:rsidR="009F3982">
        <w:rPr>
          <w:rFonts w:hint="cs"/>
          <w:b/>
          <w:bCs/>
          <w:rtl/>
        </w:rPr>
        <w:t>2015</w:t>
      </w:r>
      <w:r w:rsidR="0049743C" w:rsidRPr="009F776D">
        <w:rPr>
          <w:rFonts w:hint="cs"/>
          <w:b/>
          <w:bCs/>
          <w:color w:val="FF0000"/>
          <w:rtl/>
        </w:rPr>
        <w:t xml:space="preserve"> </w:t>
      </w:r>
      <w:r w:rsidR="00E5543B">
        <w:rPr>
          <w:rFonts w:hint="cs"/>
          <w:rtl/>
        </w:rPr>
        <w:t>ירד</w:t>
      </w:r>
      <w:r w:rsidR="0049743C" w:rsidRPr="00C75BF9">
        <w:rPr>
          <w:rFonts w:hint="cs"/>
          <w:rtl/>
        </w:rPr>
        <w:t xml:space="preserve"> שווי תיק הנכסים בכ-</w:t>
      </w:r>
      <w:r w:rsidR="00476B53">
        <w:rPr>
          <w:rFonts w:hint="cs"/>
          <w:rtl/>
        </w:rPr>
        <w:t>28</w:t>
      </w:r>
      <w:r w:rsidR="0049743C" w:rsidRPr="00C75BF9">
        <w:rPr>
          <w:rFonts w:hint="cs"/>
          <w:rtl/>
        </w:rPr>
        <w:t xml:space="preserve"> </w:t>
      </w:r>
      <w:r w:rsidR="0049743C" w:rsidRPr="00FD22C6">
        <w:rPr>
          <w:rFonts w:hint="cs"/>
          <w:rtl/>
        </w:rPr>
        <w:t xml:space="preserve">מיליארדי </w:t>
      </w:r>
      <w:r w:rsidR="00FD22C6" w:rsidRPr="00FD22C6">
        <w:rPr>
          <w:rFonts w:hint="cs"/>
          <w:rtl/>
        </w:rPr>
        <w:t>ש</w:t>
      </w:r>
      <w:r w:rsidR="00FD22C6" w:rsidRPr="00FD22C6">
        <w:rPr>
          <w:rtl/>
        </w:rPr>
        <w:t>"</w:t>
      </w:r>
      <w:r w:rsidR="00FD22C6" w:rsidRPr="00FD22C6">
        <w:rPr>
          <w:rFonts w:hint="cs"/>
          <w:rtl/>
        </w:rPr>
        <w:t>ח</w:t>
      </w:r>
      <w:r w:rsidR="00313272">
        <w:rPr>
          <w:rFonts w:hint="cs"/>
          <w:rtl/>
        </w:rPr>
        <w:t xml:space="preserve"> (</w:t>
      </w:r>
      <w:r w:rsidR="00476B53">
        <w:rPr>
          <w:rFonts w:hint="cs"/>
          <w:rtl/>
        </w:rPr>
        <w:t>0.9</w:t>
      </w:r>
      <w:r w:rsidR="00313272">
        <w:rPr>
          <w:rFonts w:hint="cs"/>
          <w:rtl/>
        </w:rPr>
        <w:t>%</w:t>
      </w:r>
      <w:r w:rsidR="00CB5476">
        <w:rPr>
          <w:rFonts w:hint="cs"/>
          <w:rtl/>
        </w:rPr>
        <w:t>-)</w:t>
      </w:r>
      <w:r w:rsidR="0049743C" w:rsidRPr="009F776D">
        <w:rPr>
          <w:rFonts w:hint="cs"/>
          <w:b/>
          <w:bCs/>
          <w:rtl/>
        </w:rPr>
        <w:t xml:space="preserve"> </w:t>
      </w:r>
      <w:r w:rsidR="0049743C">
        <w:rPr>
          <w:rFonts w:hint="cs"/>
          <w:rtl/>
        </w:rPr>
        <w:t xml:space="preserve">ועמד בסוף </w:t>
      </w:r>
      <w:r w:rsidR="0040499D">
        <w:rPr>
          <w:rFonts w:hint="cs"/>
          <w:rtl/>
        </w:rPr>
        <w:t>ספטמבר</w:t>
      </w:r>
      <w:r w:rsidR="0049743C">
        <w:rPr>
          <w:rFonts w:hint="cs"/>
          <w:rtl/>
        </w:rPr>
        <w:t xml:space="preserve"> על כ- </w:t>
      </w:r>
      <w:r w:rsidR="008F4C5E">
        <w:rPr>
          <w:rFonts w:hint="cs"/>
          <w:rtl/>
        </w:rPr>
        <w:t>3.</w:t>
      </w:r>
      <w:r w:rsidR="00B95415">
        <w:rPr>
          <w:rFonts w:hint="cs"/>
          <w:rtl/>
        </w:rPr>
        <w:t>2</w:t>
      </w:r>
      <w:r w:rsidR="002A7F70">
        <w:rPr>
          <w:rFonts w:hint="cs"/>
          <w:rtl/>
        </w:rPr>
        <w:t>6</w:t>
      </w:r>
      <w:r w:rsidR="0049743C">
        <w:rPr>
          <w:rFonts w:hint="cs"/>
          <w:rtl/>
        </w:rPr>
        <w:t xml:space="preserve"> טריליוני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9F3982">
        <w:rPr>
          <w:rFonts w:hint="cs"/>
          <w:rtl/>
        </w:rPr>
        <w:t>.</w:t>
      </w:r>
      <w:r w:rsidR="00313272">
        <w:rPr>
          <w:rFonts w:hint="cs"/>
          <w:b/>
          <w:bCs/>
          <w:rtl/>
        </w:rPr>
        <w:t xml:space="preserve"> </w:t>
      </w:r>
    </w:p>
    <w:p w:rsidR="001E6A6C" w:rsidRDefault="008C152B" w:rsidP="00CA4805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עיקר </w:t>
      </w:r>
      <w:r w:rsidR="00E5543B">
        <w:rPr>
          <w:rFonts w:hint="cs"/>
          <w:rtl/>
        </w:rPr>
        <w:t>הירידה</w:t>
      </w:r>
      <w:r>
        <w:rPr>
          <w:rFonts w:hint="cs"/>
          <w:rtl/>
        </w:rPr>
        <w:t xml:space="preserve"> בתיק הנכסים, ברביע זה</w:t>
      </w:r>
      <w:r w:rsidR="00256235" w:rsidRPr="00C75BF9">
        <w:rPr>
          <w:rFonts w:hint="cs"/>
          <w:rtl/>
        </w:rPr>
        <w:t xml:space="preserve">, </w:t>
      </w:r>
      <w:r w:rsidR="00BE1545">
        <w:rPr>
          <w:rFonts w:hint="cs"/>
          <w:rtl/>
        </w:rPr>
        <w:t xml:space="preserve">נבעה </w:t>
      </w:r>
      <w:r w:rsidR="00E5543B">
        <w:rPr>
          <w:rFonts w:hint="cs"/>
          <w:rtl/>
        </w:rPr>
        <w:t xml:space="preserve">מהירידה </w:t>
      </w:r>
      <w:r w:rsidR="00894FBB">
        <w:rPr>
          <w:rFonts w:hint="cs"/>
          <w:rtl/>
        </w:rPr>
        <w:t>בשווי</w:t>
      </w:r>
      <w:r w:rsidR="0040499D">
        <w:rPr>
          <w:rFonts w:hint="cs"/>
          <w:rtl/>
        </w:rPr>
        <w:t xml:space="preserve"> המניות בארץ (כ- 48 מיליארדי </w:t>
      </w:r>
      <w:r w:rsidR="004E60F0">
        <w:rPr>
          <w:rFonts w:hint="cs"/>
          <w:rtl/>
        </w:rPr>
        <w:t>ש</w:t>
      </w:r>
      <w:r w:rsidR="004E60F0">
        <w:rPr>
          <w:rtl/>
        </w:rPr>
        <w:t>"</w:t>
      </w:r>
      <w:r w:rsidR="004E60F0">
        <w:rPr>
          <w:rFonts w:hint="cs"/>
          <w:rtl/>
        </w:rPr>
        <w:t>ח</w:t>
      </w:r>
      <w:r w:rsidR="0040499D">
        <w:rPr>
          <w:rFonts w:hint="cs"/>
          <w:rtl/>
        </w:rPr>
        <w:t>, 8.9%</w:t>
      </w:r>
      <w:r w:rsidR="00862B40">
        <w:rPr>
          <w:rFonts w:hint="cs"/>
          <w:rtl/>
        </w:rPr>
        <w:t xml:space="preserve">) ובחו"ל (כ-11 מיליארדי </w:t>
      </w:r>
      <w:r w:rsidR="004E60F0">
        <w:rPr>
          <w:rFonts w:hint="cs"/>
          <w:rtl/>
        </w:rPr>
        <w:t>ש</w:t>
      </w:r>
      <w:r w:rsidR="004E60F0">
        <w:rPr>
          <w:rtl/>
        </w:rPr>
        <w:t>"</w:t>
      </w:r>
      <w:r w:rsidR="004E60F0">
        <w:rPr>
          <w:rFonts w:hint="cs"/>
          <w:rtl/>
        </w:rPr>
        <w:t>ח</w:t>
      </w:r>
      <w:r w:rsidR="00862B40">
        <w:rPr>
          <w:rFonts w:hint="cs"/>
          <w:rtl/>
        </w:rPr>
        <w:t>, 4</w:t>
      </w:r>
      <w:r w:rsidR="00862B40" w:rsidRPr="009076D4">
        <w:rPr>
          <w:rFonts w:hint="cs"/>
          <w:rtl/>
        </w:rPr>
        <w:t>%)</w:t>
      </w:r>
      <w:r w:rsidR="009076D4" w:rsidRPr="009076D4">
        <w:rPr>
          <w:rFonts w:hint="cs"/>
          <w:rtl/>
        </w:rPr>
        <w:t>,</w:t>
      </w:r>
      <w:r w:rsidR="00862B40" w:rsidRPr="009076D4">
        <w:rPr>
          <w:rFonts w:hint="cs"/>
          <w:rtl/>
        </w:rPr>
        <w:t xml:space="preserve"> </w:t>
      </w:r>
      <w:r w:rsidR="009076D4" w:rsidRPr="009076D4">
        <w:rPr>
          <w:rFonts w:hint="cs"/>
          <w:rtl/>
        </w:rPr>
        <w:t xml:space="preserve">אשר קוזזה חלקית ע"י עלייה </w:t>
      </w:r>
      <w:r w:rsidR="00CA4805">
        <w:rPr>
          <w:rFonts w:hint="cs"/>
          <w:rtl/>
        </w:rPr>
        <w:t>ביתרת</w:t>
      </w:r>
      <w:r w:rsidR="009076D4" w:rsidRPr="009076D4">
        <w:rPr>
          <w:rFonts w:hint="cs"/>
          <w:rtl/>
        </w:rPr>
        <w:t xml:space="preserve"> המזומן והפיקדונות (כ-30 מיליארדי ש"ח, 2.8%).</w:t>
      </w:r>
      <w:r w:rsidR="009076D4">
        <w:rPr>
          <w:rFonts w:hint="cs"/>
          <w:rtl/>
        </w:rPr>
        <w:t xml:space="preserve"> </w:t>
      </w:r>
      <w:r w:rsidR="001E6A6C" w:rsidRPr="00E24839">
        <w:rPr>
          <w:rFonts w:hint="cs"/>
          <w:b/>
          <w:bCs/>
          <w:rtl/>
        </w:rPr>
        <w:t>מתחילת השנה</w:t>
      </w:r>
      <w:r w:rsidR="001E6A6C">
        <w:rPr>
          <w:rFonts w:hint="cs"/>
          <w:rtl/>
        </w:rPr>
        <w:t xml:space="preserve"> עלה שווי התיק בכ- </w:t>
      </w:r>
      <w:r w:rsidR="00476B53">
        <w:rPr>
          <w:rFonts w:hint="cs"/>
          <w:rtl/>
        </w:rPr>
        <w:t>86</w:t>
      </w:r>
      <w:r w:rsidR="001E6A6C">
        <w:rPr>
          <w:rFonts w:hint="cs"/>
          <w:rtl/>
        </w:rPr>
        <w:t xml:space="preserve"> מיליארדי </w:t>
      </w:r>
      <w:r w:rsidR="004E60F0">
        <w:rPr>
          <w:rFonts w:hint="cs"/>
          <w:rtl/>
        </w:rPr>
        <w:t>ש</w:t>
      </w:r>
      <w:r w:rsidR="004E60F0">
        <w:rPr>
          <w:rtl/>
        </w:rPr>
        <w:t>"</w:t>
      </w:r>
      <w:r w:rsidR="004E60F0">
        <w:rPr>
          <w:rFonts w:hint="cs"/>
          <w:rtl/>
        </w:rPr>
        <w:t>ח</w:t>
      </w:r>
      <w:r w:rsidR="001E6A6C">
        <w:rPr>
          <w:rFonts w:hint="cs"/>
          <w:rtl/>
        </w:rPr>
        <w:t xml:space="preserve"> (2.</w:t>
      </w:r>
      <w:r w:rsidR="00476B53">
        <w:rPr>
          <w:rFonts w:hint="cs"/>
          <w:rtl/>
        </w:rPr>
        <w:t>7</w:t>
      </w:r>
      <w:r w:rsidR="001E6A6C">
        <w:rPr>
          <w:rFonts w:hint="cs"/>
          <w:rtl/>
        </w:rPr>
        <w:t xml:space="preserve">%), </w:t>
      </w:r>
      <w:r w:rsidR="00E24839">
        <w:rPr>
          <w:rFonts w:hint="cs"/>
          <w:rtl/>
        </w:rPr>
        <w:t>כאשר העלייה נבעה</w:t>
      </w:r>
      <w:r w:rsidR="001E6A6C">
        <w:rPr>
          <w:rFonts w:hint="cs"/>
          <w:rtl/>
        </w:rPr>
        <w:t xml:space="preserve"> </w:t>
      </w:r>
      <w:r w:rsidR="00E24839">
        <w:rPr>
          <w:rFonts w:hint="cs"/>
          <w:rtl/>
        </w:rPr>
        <w:t>מעליית שווי ה</w:t>
      </w:r>
      <w:r w:rsidR="001E6A6C">
        <w:rPr>
          <w:rFonts w:hint="cs"/>
          <w:rtl/>
        </w:rPr>
        <w:t xml:space="preserve">נכסים </w:t>
      </w:r>
      <w:r w:rsidR="00FC2E48">
        <w:rPr>
          <w:rFonts w:hint="cs"/>
          <w:rtl/>
        </w:rPr>
        <w:t xml:space="preserve">שאינם </w:t>
      </w:r>
      <w:r w:rsidR="001E6A6C">
        <w:rPr>
          <w:rFonts w:hint="cs"/>
          <w:rtl/>
        </w:rPr>
        <w:t>סחירים (תרשים 1).</w:t>
      </w:r>
      <w:r w:rsidR="00174658">
        <w:rPr>
          <w:rFonts w:hint="cs"/>
          <w:rtl/>
        </w:rPr>
        <w:t xml:space="preserve"> </w:t>
      </w:r>
    </w:p>
    <w:p w:rsidR="00471DDD" w:rsidRDefault="00181A28" w:rsidP="002E0EE1">
      <w:pPr>
        <w:spacing w:line="360" w:lineRule="auto"/>
        <w:jc w:val="both"/>
        <w:rPr>
          <w:rtl/>
        </w:rPr>
      </w:pPr>
      <w:r>
        <w:rPr>
          <w:rFonts w:hint="cs"/>
          <w:rtl/>
        </w:rPr>
        <w:t>משקל</w:t>
      </w:r>
      <w:r w:rsidR="00471DDD" w:rsidRPr="00803998">
        <w:rPr>
          <w:rFonts w:hint="cs"/>
          <w:rtl/>
        </w:rPr>
        <w:t xml:space="preserve"> תיק הנכסים</w:t>
      </w:r>
      <w:r w:rsidR="00803998" w:rsidRPr="00803998">
        <w:rPr>
          <w:rFonts w:hint="cs"/>
          <w:rtl/>
        </w:rPr>
        <w:t xml:space="preserve"> הפ</w:t>
      </w:r>
      <w:r>
        <w:rPr>
          <w:rFonts w:hint="cs"/>
          <w:rtl/>
        </w:rPr>
        <w:t>יננסיים של הציבור ביחס לתוצר</w:t>
      </w:r>
      <w:r w:rsidR="001F3A15" w:rsidRPr="00803998">
        <w:rPr>
          <w:rFonts w:hint="cs"/>
          <w:rtl/>
        </w:rPr>
        <w:t xml:space="preserve"> </w:t>
      </w:r>
      <w:r w:rsidR="00307811">
        <w:rPr>
          <w:rFonts w:hint="cs"/>
          <w:rtl/>
        </w:rPr>
        <w:t>ירד</w:t>
      </w:r>
      <w:r w:rsidR="00803998" w:rsidRPr="00803998">
        <w:rPr>
          <w:rFonts w:hint="cs"/>
          <w:rtl/>
        </w:rPr>
        <w:t xml:space="preserve"> במהלך הרביע בכ-</w:t>
      </w:r>
      <w:r w:rsidR="002E0EE1">
        <w:rPr>
          <w:rFonts w:hint="cs"/>
          <w:rtl/>
        </w:rPr>
        <w:t>6.6</w:t>
      </w:r>
      <w:r w:rsidR="00803998" w:rsidRPr="00803998">
        <w:rPr>
          <w:rFonts w:hint="cs"/>
          <w:rtl/>
        </w:rPr>
        <w:t xml:space="preserve"> נקודות האחוז ו</w:t>
      </w:r>
      <w:r w:rsidR="001F3A15" w:rsidRPr="00803998">
        <w:rPr>
          <w:rFonts w:hint="cs"/>
          <w:rtl/>
        </w:rPr>
        <w:t xml:space="preserve">עמד בסוף </w:t>
      </w:r>
      <w:r w:rsidR="0040499D">
        <w:rPr>
          <w:rFonts w:hint="cs"/>
          <w:rtl/>
        </w:rPr>
        <w:t>ספטמבר</w:t>
      </w:r>
      <w:r w:rsidR="001F3A15" w:rsidRPr="00803998">
        <w:rPr>
          <w:rFonts w:hint="cs"/>
          <w:rtl/>
        </w:rPr>
        <w:t xml:space="preserve"> </w:t>
      </w:r>
      <w:r w:rsidR="00803998" w:rsidRPr="00803998">
        <w:rPr>
          <w:rFonts w:hint="cs"/>
          <w:rtl/>
        </w:rPr>
        <w:t>2015</w:t>
      </w:r>
      <w:r w:rsidR="001F3A15" w:rsidRPr="00803998">
        <w:rPr>
          <w:rFonts w:hint="cs"/>
          <w:rtl/>
        </w:rPr>
        <w:t xml:space="preserve"> על כ-</w:t>
      </w:r>
      <w:r w:rsidR="002E0EE1">
        <w:rPr>
          <w:rFonts w:hint="cs"/>
          <w:rtl/>
        </w:rPr>
        <w:t>287</w:t>
      </w:r>
      <w:r w:rsidR="001F3A15" w:rsidRPr="00803998">
        <w:rPr>
          <w:rFonts w:hint="cs"/>
          <w:rtl/>
        </w:rPr>
        <w:t>%</w:t>
      </w:r>
      <w:r w:rsidR="00720C4A" w:rsidRPr="00803998">
        <w:rPr>
          <w:rFonts w:hint="cs"/>
          <w:rtl/>
        </w:rPr>
        <w:t xml:space="preserve"> (תרשים 2 ו-3)</w:t>
      </w:r>
      <w:r w:rsidR="001F3A15" w:rsidRPr="00803998">
        <w:rPr>
          <w:rFonts w:hint="cs"/>
          <w:rtl/>
        </w:rPr>
        <w:t>.</w:t>
      </w:r>
      <w:r w:rsidR="001F3A15">
        <w:rPr>
          <w:rFonts w:hint="cs"/>
          <w:rtl/>
        </w:rPr>
        <w:t xml:space="preserve"> </w:t>
      </w:r>
      <w:r w:rsidRPr="00DE3CCE">
        <w:rPr>
          <w:rFonts w:hint="cs"/>
          <w:rtl/>
        </w:rPr>
        <w:t xml:space="preserve">זאת </w:t>
      </w:r>
      <w:r w:rsidR="00DE3CCE">
        <w:rPr>
          <w:rFonts w:hint="cs"/>
          <w:rtl/>
        </w:rPr>
        <w:t>בהמשך לירידה של כ- 7.5 נקודות האחוז ברביע הקודם</w:t>
      </w:r>
      <w:r w:rsidRPr="00DE3CCE">
        <w:rPr>
          <w:rFonts w:hint="cs"/>
          <w:rtl/>
        </w:rPr>
        <w:t xml:space="preserve">. </w:t>
      </w:r>
      <w:r w:rsidR="00C527A7" w:rsidRPr="00DE3CCE">
        <w:rPr>
          <w:rFonts w:hint="cs"/>
          <w:rtl/>
        </w:rPr>
        <w:t>ירידה זו נבעה</w:t>
      </w:r>
      <w:r w:rsidR="00B81428" w:rsidRPr="00DE3CCE">
        <w:rPr>
          <w:rFonts w:hint="cs"/>
          <w:rtl/>
        </w:rPr>
        <w:t xml:space="preserve"> משילוב של ירידה </w:t>
      </w:r>
      <w:r w:rsidR="00C527A7" w:rsidRPr="00DE3CCE">
        <w:rPr>
          <w:rFonts w:hint="cs"/>
          <w:rtl/>
        </w:rPr>
        <w:t>ב</w:t>
      </w:r>
      <w:r w:rsidR="00B81428" w:rsidRPr="00DE3CCE">
        <w:rPr>
          <w:rFonts w:hint="cs"/>
          <w:rtl/>
        </w:rPr>
        <w:t xml:space="preserve">שווי תיק הנכסים </w:t>
      </w:r>
      <w:r w:rsidR="00C527A7" w:rsidRPr="00DE3CCE">
        <w:rPr>
          <w:rFonts w:hint="cs"/>
          <w:rtl/>
        </w:rPr>
        <w:t>ו</w:t>
      </w:r>
      <w:r w:rsidR="00B81428" w:rsidRPr="00DE3CCE">
        <w:rPr>
          <w:rFonts w:hint="cs"/>
          <w:rtl/>
        </w:rPr>
        <w:t>עלייה בתמ"ג.</w:t>
      </w:r>
      <w:r w:rsidR="00B81428">
        <w:rPr>
          <w:rFonts w:hint="cs"/>
          <w:rtl/>
        </w:rPr>
        <w:t xml:space="preserve"> </w:t>
      </w:r>
    </w:p>
    <w:p w:rsidR="00AA1AC3" w:rsidRDefault="00AA1AC3" w:rsidP="00AE0F69">
      <w:pPr>
        <w:spacing w:line="360" w:lineRule="auto"/>
        <w:jc w:val="center"/>
        <w:rPr>
          <w:rtl/>
        </w:rPr>
      </w:pPr>
    </w:p>
    <w:p w:rsidR="00174658" w:rsidRDefault="009E57C2" w:rsidP="00AE0F69">
      <w:pPr>
        <w:spacing w:line="360" w:lineRule="auto"/>
        <w:jc w:val="center"/>
        <w:rPr>
          <w:rtl/>
        </w:rPr>
      </w:pPr>
      <w:r>
        <w:rPr>
          <w:noProof/>
          <w:lang w:eastAsia="en-US"/>
        </w:rPr>
        <w:lastRenderedPageBreak/>
        <w:drawing>
          <wp:inline distT="0" distB="0" distL="0" distR="0" wp14:anchorId="12AB7BD9" wp14:editId="57BAFF6F">
            <wp:extent cx="5220000" cy="3185182"/>
            <wp:effectExtent l="0" t="0" r="0" b="0"/>
            <wp:docPr id="24" name="תמונה 24" descr="יתרת תיק הנכסים הפיננסיים שידי הציבור" title="יתרת תיק הנכסים הפיננסיים שידי הציב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3185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0C4A" w:rsidRPr="00AE0F69" w:rsidRDefault="00720C4A" w:rsidP="00AE0F69">
      <w:pPr>
        <w:spacing w:line="360" w:lineRule="auto"/>
        <w:jc w:val="center"/>
        <w:rPr>
          <w:rtl/>
        </w:rPr>
      </w:pPr>
    </w:p>
    <w:p w:rsidR="002A7E7B" w:rsidRPr="00222821" w:rsidRDefault="004C630F" w:rsidP="00AE0F69">
      <w:pPr>
        <w:spacing w:line="360" w:lineRule="auto"/>
        <w:jc w:val="center"/>
        <w:rPr>
          <w:b/>
          <w:bCs/>
          <w:highlight w:val="yellow"/>
          <w:rtl/>
        </w:rPr>
      </w:pPr>
      <w:r w:rsidRPr="004C630F">
        <w:rPr>
          <w:noProof/>
          <w:lang w:eastAsia="en-US"/>
        </w:rPr>
        <w:drawing>
          <wp:inline distT="0" distB="0" distL="0" distR="0" wp14:anchorId="3BE629BB" wp14:editId="07DBADB3">
            <wp:extent cx="5278120" cy="2620122"/>
            <wp:effectExtent l="0" t="0" r="0" b="8890"/>
            <wp:docPr id="1" name="תמונה 1" descr="התפלגות תיק הנכסים של הציבור" title="התפלגות תיק הנכסים של הציב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62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d"/>
        <w:bidiVisual/>
        <w:tblW w:w="9502" w:type="dxa"/>
        <w:tblInd w:w="-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גרפים"/>
        <w:tblDescription w:val="גרפים"/>
      </w:tblPr>
      <w:tblGrid>
        <w:gridCol w:w="4751"/>
        <w:gridCol w:w="4751"/>
      </w:tblGrid>
      <w:tr w:rsidR="00D82901" w:rsidRPr="00207B9F" w:rsidTr="00527BC9">
        <w:tc>
          <w:tcPr>
            <w:tcW w:w="4751" w:type="dxa"/>
          </w:tcPr>
          <w:p w:rsidR="00D82901" w:rsidRPr="00207B9F" w:rsidRDefault="00E24839" w:rsidP="00B80B3C">
            <w:pPr>
              <w:tabs>
                <w:tab w:val="left" w:pos="4928"/>
              </w:tabs>
              <w:spacing w:line="360" w:lineRule="auto"/>
              <w:jc w:val="both"/>
              <w:rPr>
                <w:rtl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6432" behindDoc="0" locked="0" layoutInCell="1" allowOverlap="1" wp14:anchorId="11A35970" wp14:editId="42AAD4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2879725" cy="1882775"/>
                  <wp:effectExtent l="0" t="0" r="0" b="3175"/>
                  <wp:wrapSquare wrapText="bothSides"/>
                  <wp:docPr id="11" name="תמונה 11" descr="התפתחות תיק הנכסים הפיננסיים של הציבור חעומת התוצר" title="התפתחות תיק הנכסים הפיננסיים של הציבור חעומת התוצ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1882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51" w:type="dxa"/>
          </w:tcPr>
          <w:p w:rsidR="00D82901" w:rsidRPr="00207B9F" w:rsidRDefault="004C630F" w:rsidP="00B80B3C">
            <w:pPr>
              <w:tabs>
                <w:tab w:val="left" w:pos="4928"/>
              </w:tabs>
              <w:spacing w:line="360" w:lineRule="auto"/>
              <w:jc w:val="both"/>
              <w:rPr>
                <w:rtl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70528" behindDoc="0" locked="0" layoutInCell="1" allowOverlap="1" wp14:anchorId="2E944504" wp14:editId="092880B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2879725" cy="1882775"/>
                  <wp:effectExtent l="0" t="0" r="0" b="3175"/>
                  <wp:wrapSquare wrapText="bothSides"/>
                  <wp:docPr id="10" name="תמונה 10" descr="יחס תיק הנכסים הפפינסיים של הציבור לתוצר" title="יחס תיק הנכסים הפפינסיים של הציבור לתוצ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1882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E0A5D" w:rsidRDefault="005E0A5D" w:rsidP="004F63C0">
      <w:pPr>
        <w:spacing w:line="360" w:lineRule="auto"/>
        <w:jc w:val="both"/>
        <w:rPr>
          <w:b/>
          <w:bCs/>
          <w:rtl/>
        </w:rPr>
      </w:pPr>
    </w:p>
    <w:p w:rsidR="000C6D4D" w:rsidRDefault="00F33FF6" w:rsidP="00476B53">
      <w:pPr>
        <w:spacing w:line="360" w:lineRule="auto"/>
        <w:jc w:val="both"/>
        <w:rPr>
          <w:rtl/>
        </w:rPr>
      </w:pPr>
      <w:r w:rsidRPr="005E04A2">
        <w:rPr>
          <w:rStyle w:val="10"/>
          <w:rFonts w:hint="cs"/>
          <w:rtl/>
        </w:rPr>
        <w:t>הרכב תיק הנכסים</w:t>
      </w:r>
      <w:r>
        <w:rPr>
          <w:rFonts w:hint="cs"/>
          <w:rtl/>
        </w:rPr>
        <w:t xml:space="preserve"> </w:t>
      </w:r>
      <w:r w:rsidR="008C152B">
        <w:rPr>
          <w:rtl/>
        </w:rPr>
        <w:t>–</w:t>
      </w:r>
      <w:r>
        <w:rPr>
          <w:rFonts w:hint="cs"/>
          <w:rtl/>
        </w:rPr>
        <w:t xml:space="preserve"> </w:t>
      </w:r>
      <w:r w:rsidR="001A0A07">
        <w:rPr>
          <w:rFonts w:hint="cs"/>
          <w:rtl/>
        </w:rPr>
        <w:t>מתחילת</w:t>
      </w:r>
      <w:r w:rsidR="008C152B">
        <w:rPr>
          <w:rFonts w:hint="cs"/>
          <w:rtl/>
        </w:rPr>
        <w:t xml:space="preserve"> שנת 2015</w:t>
      </w:r>
      <w:r w:rsidR="000C6D4D">
        <w:rPr>
          <w:rFonts w:hint="cs"/>
          <w:rtl/>
        </w:rPr>
        <w:t xml:space="preserve"> חלה </w:t>
      </w:r>
      <w:r w:rsidR="009413FA">
        <w:rPr>
          <w:rFonts w:hint="cs"/>
          <w:rtl/>
        </w:rPr>
        <w:t>ירידה</w:t>
      </w:r>
      <w:r w:rsidR="000C6D4D">
        <w:rPr>
          <w:rFonts w:hint="cs"/>
          <w:rtl/>
        </w:rPr>
        <w:t xml:space="preserve"> של כ</w:t>
      </w:r>
      <w:r w:rsidR="001A0A07">
        <w:rPr>
          <w:rFonts w:hint="cs"/>
          <w:rtl/>
        </w:rPr>
        <w:t xml:space="preserve">- </w:t>
      </w:r>
      <w:r w:rsidR="009413FA">
        <w:rPr>
          <w:rFonts w:hint="cs"/>
          <w:rtl/>
        </w:rPr>
        <w:t>1.</w:t>
      </w:r>
      <w:r w:rsidR="00476B53">
        <w:rPr>
          <w:rFonts w:hint="cs"/>
          <w:rtl/>
        </w:rPr>
        <w:t>4</w:t>
      </w:r>
      <w:r w:rsidR="001A0A07">
        <w:rPr>
          <w:rFonts w:hint="cs"/>
          <w:rtl/>
        </w:rPr>
        <w:t xml:space="preserve"> </w:t>
      </w:r>
      <w:r w:rsidR="008C152B">
        <w:rPr>
          <w:rFonts w:hint="cs"/>
          <w:rtl/>
        </w:rPr>
        <w:t>נקוד</w:t>
      </w:r>
      <w:r w:rsidR="001A0A07">
        <w:rPr>
          <w:rFonts w:hint="cs"/>
          <w:rtl/>
        </w:rPr>
        <w:t>ו</w:t>
      </w:r>
      <w:r w:rsidR="008C152B">
        <w:rPr>
          <w:rFonts w:hint="cs"/>
          <w:rtl/>
        </w:rPr>
        <w:t>ת</w:t>
      </w:r>
      <w:r w:rsidR="000C6D4D">
        <w:rPr>
          <w:rFonts w:hint="cs"/>
          <w:rtl/>
        </w:rPr>
        <w:t xml:space="preserve"> האחוז במשקל הנכסים </w:t>
      </w:r>
      <w:r w:rsidR="009413FA">
        <w:rPr>
          <w:rFonts w:hint="cs"/>
          <w:rtl/>
        </w:rPr>
        <w:t>הסחירים</w:t>
      </w:r>
      <w:r w:rsidR="00205C1F">
        <w:rPr>
          <w:rFonts w:hint="cs"/>
          <w:rtl/>
        </w:rPr>
        <w:t xml:space="preserve">, זאת </w:t>
      </w:r>
      <w:r w:rsidR="009413FA">
        <w:rPr>
          <w:rFonts w:hint="cs"/>
          <w:rtl/>
        </w:rPr>
        <w:t xml:space="preserve">בעיקר </w:t>
      </w:r>
      <w:r w:rsidR="00205C1F">
        <w:rPr>
          <w:rFonts w:hint="cs"/>
          <w:rtl/>
        </w:rPr>
        <w:t xml:space="preserve">על רקע </w:t>
      </w:r>
      <w:r w:rsidR="009413FA">
        <w:rPr>
          <w:rFonts w:hint="cs"/>
          <w:rtl/>
        </w:rPr>
        <w:t xml:space="preserve">ירידות השערים בבורסות </w:t>
      </w:r>
      <w:r w:rsidR="00205C1F">
        <w:rPr>
          <w:rFonts w:hint="cs"/>
          <w:rtl/>
        </w:rPr>
        <w:t xml:space="preserve">בעולם. </w:t>
      </w:r>
      <w:r w:rsidR="003B0B89">
        <w:rPr>
          <w:rFonts w:hint="cs"/>
          <w:rtl/>
        </w:rPr>
        <w:t xml:space="preserve">מנגד, חלה </w:t>
      </w:r>
      <w:r w:rsidR="009413FA">
        <w:rPr>
          <w:rFonts w:hint="cs"/>
          <w:rtl/>
        </w:rPr>
        <w:t>עלייה קלה</w:t>
      </w:r>
      <w:r w:rsidR="003B0B89">
        <w:rPr>
          <w:rFonts w:hint="cs"/>
          <w:rtl/>
        </w:rPr>
        <w:t xml:space="preserve"> </w:t>
      </w:r>
      <w:r w:rsidR="00205C1F">
        <w:rPr>
          <w:rFonts w:hint="cs"/>
          <w:rtl/>
        </w:rPr>
        <w:t xml:space="preserve">במשקל הנכסים </w:t>
      </w:r>
      <w:r w:rsidR="003B0B89">
        <w:rPr>
          <w:rFonts w:hint="cs"/>
          <w:rtl/>
        </w:rPr>
        <w:t xml:space="preserve">במט"ח </w:t>
      </w:r>
      <w:r w:rsidR="009413FA">
        <w:rPr>
          <w:rFonts w:hint="cs"/>
          <w:rtl/>
        </w:rPr>
        <w:t>והזרים</w:t>
      </w:r>
      <w:r w:rsidR="003B0B89">
        <w:rPr>
          <w:rFonts w:hint="cs"/>
          <w:rtl/>
        </w:rPr>
        <w:t xml:space="preserve">, אשר נבעה בעיקר </w:t>
      </w:r>
      <w:r w:rsidR="009413FA">
        <w:rPr>
          <w:rFonts w:hint="cs"/>
          <w:rtl/>
        </w:rPr>
        <w:t>מהחלשות</w:t>
      </w:r>
      <w:r w:rsidR="003B0B89">
        <w:rPr>
          <w:rFonts w:hint="cs"/>
          <w:rtl/>
        </w:rPr>
        <w:t xml:space="preserve"> השקל מול הדולר.</w:t>
      </w:r>
    </w:p>
    <w:p w:rsidR="00AA1AC3" w:rsidRDefault="00AA1AC3" w:rsidP="003F193A">
      <w:pPr>
        <w:spacing w:line="360" w:lineRule="auto"/>
        <w:rPr>
          <w:rtl/>
        </w:rPr>
      </w:pPr>
    </w:p>
    <w:p w:rsidR="00B84F4F" w:rsidRPr="00CD4996" w:rsidRDefault="00476B53" w:rsidP="00AE0F69">
      <w:pPr>
        <w:spacing w:line="360" w:lineRule="auto"/>
        <w:jc w:val="center"/>
        <w:rPr>
          <w:rtl/>
        </w:rPr>
      </w:pPr>
      <w:r w:rsidRPr="00476B53">
        <w:rPr>
          <w:noProof/>
          <w:lang w:eastAsia="en-US"/>
        </w:rPr>
        <w:drawing>
          <wp:inline distT="0" distB="0" distL="0" distR="0" wp14:anchorId="71DE091F" wp14:editId="6E10F002">
            <wp:extent cx="5278120" cy="1849786"/>
            <wp:effectExtent l="0" t="0" r="0" b="0"/>
            <wp:docPr id="14" name="תמונה 14" descr="סחירות וסיכון בתיק הנכסים של הציבור" title="סחירות וסיכון בתיק הנכסים של הציב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84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DDD" w:rsidRDefault="00471DDD" w:rsidP="001A095A">
      <w:pPr>
        <w:spacing w:line="360" w:lineRule="auto"/>
        <w:jc w:val="both"/>
        <w:rPr>
          <w:b/>
          <w:bCs/>
          <w:rtl/>
        </w:rPr>
      </w:pPr>
    </w:p>
    <w:p w:rsidR="001A095A" w:rsidRPr="005E04A2" w:rsidRDefault="001A095A" w:rsidP="005E04A2">
      <w:pPr>
        <w:pStyle w:val="ae"/>
        <w:numPr>
          <w:ilvl w:val="0"/>
          <w:numId w:val="18"/>
        </w:numPr>
        <w:spacing w:line="360" w:lineRule="auto"/>
        <w:jc w:val="both"/>
        <w:rPr>
          <w:b/>
          <w:bCs/>
          <w:rtl/>
        </w:rPr>
      </w:pPr>
      <w:r w:rsidRPr="005E04A2">
        <w:rPr>
          <w:rStyle w:val="10"/>
          <w:rFonts w:hint="cs"/>
          <w:rtl/>
        </w:rPr>
        <w:t>התפלגות תיק ניירות הערך לפי מכשירים עיקריים</w:t>
      </w:r>
    </w:p>
    <w:p w:rsidR="000D6B53" w:rsidRDefault="000D6B53" w:rsidP="000D22CB">
      <w:pPr>
        <w:spacing w:line="360" w:lineRule="auto"/>
        <w:jc w:val="both"/>
        <w:rPr>
          <w:b/>
          <w:bCs/>
          <w:rtl/>
        </w:rPr>
      </w:pPr>
    </w:p>
    <w:p w:rsidR="00C7577B" w:rsidRDefault="00240D58" w:rsidP="00AE0F69">
      <w:pPr>
        <w:spacing w:line="360" w:lineRule="auto"/>
        <w:jc w:val="center"/>
        <w:rPr>
          <w:b/>
          <w:bCs/>
          <w:rtl/>
        </w:rPr>
      </w:pPr>
      <w:r w:rsidRPr="00240D58">
        <w:rPr>
          <w:noProof/>
          <w:lang w:eastAsia="en-US"/>
        </w:rPr>
        <w:drawing>
          <wp:inline distT="0" distB="0" distL="0" distR="0" wp14:anchorId="1AD45F69" wp14:editId="605CFB29">
            <wp:extent cx="5278120" cy="1509518"/>
            <wp:effectExtent l="0" t="0" r="0" b="0"/>
            <wp:docPr id="23" name="תמונה 23" descr="אומדן השפעות המחיר והכמות על שווי ההשקעות בתיקי ני&quot;ע ובחו&quot;ל" title="אומדן השפעות המחיר והכמות על שווי ההשקעות בתיקי ני&quot;ע ו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509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3B0" w:rsidRDefault="007053B0" w:rsidP="00353174">
      <w:pPr>
        <w:spacing w:line="360" w:lineRule="auto"/>
        <w:jc w:val="both"/>
        <w:rPr>
          <w:b/>
          <w:bCs/>
          <w:rtl/>
        </w:rPr>
      </w:pPr>
    </w:p>
    <w:p w:rsidR="004A3D2E" w:rsidRPr="00B604AD" w:rsidRDefault="004A3D2E" w:rsidP="005E04A2">
      <w:pPr>
        <w:pStyle w:val="1"/>
        <w:rPr>
          <w:color w:val="FF0000"/>
          <w:rtl/>
        </w:rPr>
      </w:pPr>
      <w:r w:rsidRPr="00353174">
        <w:rPr>
          <w:rFonts w:hint="cs"/>
          <w:rtl/>
        </w:rPr>
        <w:t>מניות בארץ</w:t>
      </w:r>
      <w:r w:rsidR="00B604AD" w:rsidRPr="00353174">
        <w:rPr>
          <w:rFonts w:hint="cs"/>
          <w:rtl/>
        </w:rPr>
        <w:t xml:space="preserve"> </w:t>
      </w:r>
    </w:p>
    <w:p w:rsidR="004B184A" w:rsidRDefault="00A42E4B" w:rsidP="009E57C2">
      <w:pPr>
        <w:spacing w:line="360" w:lineRule="auto"/>
        <w:jc w:val="both"/>
        <w:rPr>
          <w:rtl/>
        </w:rPr>
      </w:pPr>
      <w:r w:rsidRPr="004E5982">
        <w:rPr>
          <w:rFonts w:hint="cs"/>
          <w:b/>
          <w:bCs/>
          <w:rtl/>
        </w:rPr>
        <w:t xml:space="preserve">ברביע </w:t>
      </w:r>
      <w:r w:rsidR="0041231E">
        <w:rPr>
          <w:rFonts w:hint="cs"/>
          <w:b/>
          <w:bCs/>
          <w:rtl/>
        </w:rPr>
        <w:t>השלישי</w:t>
      </w:r>
      <w:r w:rsidRPr="004E5982">
        <w:rPr>
          <w:rFonts w:hint="cs"/>
          <w:b/>
          <w:bCs/>
          <w:rtl/>
        </w:rPr>
        <w:t xml:space="preserve"> של שנת </w:t>
      </w:r>
      <w:r w:rsidR="00FB4877" w:rsidRPr="004E5982">
        <w:rPr>
          <w:rFonts w:hint="cs"/>
          <w:b/>
          <w:bCs/>
          <w:rtl/>
        </w:rPr>
        <w:t>2015</w:t>
      </w:r>
      <w:r w:rsidR="00D82456" w:rsidRPr="004E5982">
        <w:rPr>
          <w:rFonts w:hint="cs"/>
          <w:rtl/>
        </w:rPr>
        <w:t xml:space="preserve"> </w:t>
      </w:r>
      <w:r w:rsidR="0041231E">
        <w:rPr>
          <w:rFonts w:hint="cs"/>
          <w:rtl/>
        </w:rPr>
        <w:t>ירדה</w:t>
      </w:r>
      <w:r w:rsidR="0049743C" w:rsidRPr="004E5982">
        <w:rPr>
          <w:rFonts w:hint="cs"/>
          <w:rtl/>
        </w:rPr>
        <w:t xml:space="preserve"> יתרת המניות</w:t>
      </w:r>
      <w:r w:rsidRPr="004E5982">
        <w:rPr>
          <w:rFonts w:hint="cs"/>
          <w:rtl/>
        </w:rPr>
        <w:t xml:space="preserve"> בארץ</w:t>
      </w:r>
      <w:r w:rsidR="0049743C" w:rsidRPr="004E5982">
        <w:rPr>
          <w:rFonts w:hint="cs"/>
          <w:rtl/>
        </w:rPr>
        <w:t xml:space="preserve"> </w:t>
      </w:r>
      <w:r w:rsidR="00BA0C83" w:rsidRPr="004E5982">
        <w:rPr>
          <w:rFonts w:hint="cs"/>
          <w:rtl/>
        </w:rPr>
        <w:t xml:space="preserve">בתיק הנכסים </w:t>
      </w:r>
      <w:r w:rsidR="0049743C" w:rsidRPr="004E5982">
        <w:rPr>
          <w:rFonts w:hint="cs"/>
          <w:rtl/>
        </w:rPr>
        <w:t>בכ-</w:t>
      </w:r>
      <w:r w:rsidR="00C62FD8" w:rsidRPr="004E5982">
        <w:rPr>
          <w:rFonts w:hint="cs"/>
          <w:rtl/>
        </w:rPr>
        <w:t xml:space="preserve"> </w:t>
      </w:r>
      <w:r w:rsidR="0041231E">
        <w:rPr>
          <w:rFonts w:hint="cs"/>
          <w:rtl/>
        </w:rPr>
        <w:t>48</w:t>
      </w:r>
      <w:r w:rsidR="0049743C" w:rsidRPr="004E5982">
        <w:rPr>
          <w:rFonts w:hint="cs"/>
          <w:rtl/>
        </w:rPr>
        <w:t xml:space="preserve"> מיליארדי </w:t>
      </w:r>
      <w:r w:rsidR="00FD22C6" w:rsidRPr="004E5982">
        <w:rPr>
          <w:rFonts w:hint="cs"/>
          <w:rtl/>
        </w:rPr>
        <w:t>ש</w:t>
      </w:r>
      <w:r w:rsidR="00FD22C6" w:rsidRPr="004E5982">
        <w:rPr>
          <w:rtl/>
        </w:rPr>
        <w:t>"</w:t>
      </w:r>
      <w:r w:rsidR="00FD22C6" w:rsidRPr="004E5982">
        <w:rPr>
          <w:rFonts w:hint="cs"/>
          <w:rtl/>
        </w:rPr>
        <w:t>ח</w:t>
      </w:r>
      <w:r w:rsidR="00B9472B" w:rsidRPr="004E5982">
        <w:rPr>
          <w:rFonts w:hint="cs"/>
          <w:rtl/>
        </w:rPr>
        <w:t xml:space="preserve"> </w:t>
      </w:r>
      <w:r w:rsidR="0049743C" w:rsidRPr="004E5982">
        <w:rPr>
          <w:rFonts w:hint="cs"/>
          <w:rtl/>
        </w:rPr>
        <w:t>(</w:t>
      </w:r>
      <w:r w:rsidR="0041231E">
        <w:rPr>
          <w:rFonts w:hint="cs"/>
          <w:rtl/>
        </w:rPr>
        <w:t>8.9</w:t>
      </w:r>
      <w:r w:rsidR="0049743C" w:rsidRPr="004E5982">
        <w:rPr>
          <w:rFonts w:hint="cs"/>
          <w:rtl/>
        </w:rPr>
        <w:t>%</w:t>
      </w:r>
      <w:r w:rsidR="00093D73">
        <w:rPr>
          <w:rFonts w:hint="cs"/>
          <w:rtl/>
        </w:rPr>
        <w:t>-</w:t>
      </w:r>
      <w:r w:rsidR="0049743C" w:rsidRPr="004E5982">
        <w:rPr>
          <w:rFonts w:hint="cs"/>
          <w:rtl/>
        </w:rPr>
        <w:t xml:space="preserve">) ועמדה בסוף חודש </w:t>
      </w:r>
      <w:r w:rsidR="0041231E">
        <w:rPr>
          <w:rFonts w:hint="cs"/>
          <w:rtl/>
        </w:rPr>
        <w:t>ספטמבר</w:t>
      </w:r>
      <w:r w:rsidR="005E0A5D" w:rsidRPr="004E5982">
        <w:rPr>
          <w:rFonts w:hint="cs"/>
          <w:rtl/>
        </w:rPr>
        <w:t xml:space="preserve"> על כ-</w:t>
      </w:r>
      <w:r w:rsidR="0041231E">
        <w:rPr>
          <w:rFonts w:hint="cs"/>
          <w:rtl/>
        </w:rPr>
        <w:t>497</w:t>
      </w:r>
      <w:r w:rsidR="005E0A5D" w:rsidRPr="004E5982">
        <w:rPr>
          <w:rFonts w:hint="cs"/>
          <w:rtl/>
        </w:rPr>
        <w:t xml:space="preserve"> </w:t>
      </w:r>
      <w:r w:rsidR="0049743C" w:rsidRPr="004E5982">
        <w:rPr>
          <w:rFonts w:hint="cs"/>
          <w:rtl/>
        </w:rPr>
        <w:t>מיליארדים</w:t>
      </w:r>
      <w:r w:rsidR="003E433E">
        <w:rPr>
          <w:rFonts w:hint="cs"/>
          <w:rtl/>
        </w:rPr>
        <w:t xml:space="preserve">, </w:t>
      </w:r>
      <w:r w:rsidR="0041231E">
        <w:rPr>
          <w:rFonts w:hint="cs"/>
          <w:rtl/>
        </w:rPr>
        <w:t>בעיקר בשל ירידת</w:t>
      </w:r>
      <w:r w:rsidR="003E433E">
        <w:rPr>
          <w:rFonts w:hint="cs"/>
          <w:rtl/>
        </w:rPr>
        <w:t xml:space="preserve"> </w:t>
      </w:r>
      <w:r w:rsidR="0041231E">
        <w:rPr>
          <w:rFonts w:hint="cs"/>
          <w:rtl/>
        </w:rPr>
        <w:t>ה</w:t>
      </w:r>
      <w:r w:rsidR="003E433E">
        <w:rPr>
          <w:rFonts w:hint="cs"/>
          <w:rtl/>
        </w:rPr>
        <w:t>מחירים בבורסה בת"א.</w:t>
      </w:r>
      <w:r w:rsidR="0041231E">
        <w:rPr>
          <w:rFonts w:hint="cs"/>
          <w:rtl/>
        </w:rPr>
        <w:t xml:space="preserve"> </w:t>
      </w:r>
      <w:r w:rsidR="00476B53">
        <w:rPr>
          <w:rFonts w:hint="cs"/>
          <w:rtl/>
        </w:rPr>
        <w:t>זאת לאחר עלייה של כ- 51 מיליארדים במחצית הראשונה של שנת 2015, כך ש</w:t>
      </w:r>
      <w:r w:rsidR="0041231E">
        <w:rPr>
          <w:rFonts w:hint="cs"/>
          <w:rtl/>
        </w:rPr>
        <w:t xml:space="preserve">מתחילת </w:t>
      </w:r>
      <w:r w:rsidR="00476B53">
        <w:rPr>
          <w:rFonts w:hint="cs"/>
          <w:rtl/>
        </w:rPr>
        <w:t>השנה</w:t>
      </w:r>
      <w:r w:rsidR="0041231E">
        <w:rPr>
          <w:rFonts w:hint="cs"/>
          <w:rtl/>
        </w:rPr>
        <w:t xml:space="preserve"> </w:t>
      </w:r>
      <w:r w:rsidR="00B95415">
        <w:rPr>
          <w:rFonts w:hint="cs"/>
          <w:rtl/>
        </w:rPr>
        <w:t>עלתה</w:t>
      </w:r>
      <w:r w:rsidR="0041231E">
        <w:rPr>
          <w:rFonts w:hint="cs"/>
          <w:rtl/>
        </w:rPr>
        <w:t xml:space="preserve"> יתרת המניות </w:t>
      </w:r>
      <w:r w:rsidR="00476B53">
        <w:rPr>
          <w:rFonts w:hint="cs"/>
          <w:rtl/>
        </w:rPr>
        <w:t xml:space="preserve">בארץ </w:t>
      </w:r>
      <w:r w:rsidR="0041231E">
        <w:rPr>
          <w:rFonts w:hint="cs"/>
          <w:rtl/>
        </w:rPr>
        <w:t>בכ- 3 מיליארדים.</w:t>
      </w:r>
    </w:p>
    <w:p w:rsidR="007D012C" w:rsidRDefault="007D012C" w:rsidP="00870087">
      <w:pPr>
        <w:spacing w:line="360" w:lineRule="auto"/>
        <w:jc w:val="both"/>
        <w:rPr>
          <w:b/>
          <w:bCs/>
          <w:rtl/>
        </w:rPr>
      </w:pPr>
    </w:p>
    <w:p w:rsidR="00DD28B0" w:rsidRPr="00954D48" w:rsidRDefault="00DD28B0" w:rsidP="005E04A2">
      <w:pPr>
        <w:pStyle w:val="1"/>
        <w:rPr>
          <w:rtl/>
        </w:rPr>
      </w:pPr>
      <w:r w:rsidRPr="00954D48">
        <w:rPr>
          <w:rFonts w:hint="cs"/>
          <w:rtl/>
        </w:rPr>
        <w:t xml:space="preserve">אג"ח </w:t>
      </w:r>
    </w:p>
    <w:p w:rsidR="005E0A5D" w:rsidRDefault="00935917" w:rsidP="00D352AA">
      <w:pPr>
        <w:spacing w:line="360" w:lineRule="auto"/>
        <w:jc w:val="both"/>
        <w:rPr>
          <w:rtl/>
        </w:rPr>
      </w:pPr>
      <w:r w:rsidRPr="00471557">
        <w:rPr>
          <w:rFonts w:hint="cs"/>
          <w:b/>
          <w:bCs/>
          <w:rtl/>
        </w:rPr>
        <w:t xml:space="preserve">ברביע </w:t>
      </w:r>
      <w:r w:rsidR="0041231E">
        <w:rPr>
          <w:rFonts w:hint="cs"/>
          <w:b/>
          <w:bCs/>
          <w:rtl/>
        </w:rPr>
        <w:t>השלישי</w:t>
      </w:r>
      <w:r w:rsidRPr="00471557">
        <w:rPr>
          <w:rFonts w:hint="cs"/>
          <w:b/>
          <w:bCs/>
          <w:rtl/>
        </w:rPr>
        <w:t xml:space="preserve"> של שנת </w:t>
      </w:r>
      <w:r w:rsidR="00017A8F">
        <w:rPr>
          <w:rFonts w:hint="cs"/>
          <w:b/>
          <w:bCs/>
          <w:rtl/>
        </w:rPr>
        <w:t>2015</w:t>
      </w:r>
      <w:r w:rsidRPr="00471557">
        <w:rPr>
          <w:rFonts w:hint="cs"/>
          <w:rtl/>
        </w:rPr>
        <w:t xml:space="preserve"> </w:t>
      </w:r>
      <w:r w:rsidR="00042E5F">
        <w:rPr>
          <w:rFonts w:hint="cs"/>
          <w:rtl/>
        </w:rPr>
        <w:t>עלה</w:t>
      </w:r>
      <w:r w:rsidR="00870087" w:rsidRPr="00471557">
        <w:rPr>
          <w:rFonts w:hint="cs"/>
          <w:rtl/>
        </w:rPr>
        <w:t xml:space="preserve"> שווי תיק </w:t>
      </w:r>
      <w:r w:rsidR="0049743C" w:rsidRPr="00471557">
        <w:rPr>
          <w:rFonts w:hint="cs"/>
          <w:rtl/>
        </w:rPr>
        <w:t>אג"ח</w:t>
      </w:r>
      <w:r w:rsidR="00870087" w:rsidRPr="00471557">
        <w:rPr>
          <w:rFonts w:hint="cs"/>
          <w:rtl/>
        </w:rPr>
        <w:t xml:space="preserve"> החברות</w:t>
      </w:r>
      <w:r w:rsidR="0049743C" w:rsidRPr="00471557">
        <w:rPr>
          <w:rFonts w:hint="cs"/>
          <w:rtl/>
        </w:rPr>
        <w:t xml:space="preserve"> הסחיר בארץ </w:t>
      </w:r>
      <w:r w:rsidR="00042E5F">
        <w:rPr>
          <w:rFonts w:hint="cs"/>
          <w:rtl/>
        </w:rPr>
        <w:t>בכ- 7 מיליארדי ש"ח</w:t>
      </w:r>
      <w:r w:rsidR="0049743C" w:rsidRPr="00471557">
        <w:rPr>
          <w:rFonts w:hint="cs"/>
          <w:rtl/>
        </w:rPr>
        <w:t xml:space="preserve"> ועמד בסוף </w:t>
      </w:r>
      <w:r w:rsidR="0041231E">
        <w:rPr>
          <w:rFonts w:hint="cs"/>
          <w:rtl/>
        </w:rPr>
        <w:t>ספטמבר</w:t>
      </w:r>
      <w:r w:rsidR="0049743C" w:rsidRPr="00471557">
        <w:rPr>
          <w:rFonts w:hint="cs"/>
          <w:rtl/>
        </w:rPr>
        <w:t xml:space="preserve"> על כ-</w:t>
      </w:r>
      <w:r w:rsidR="00042E5F">
        <w:rPr>
          <w:rFonts w:hint="cs"/>
          <w:rtl/>
        </w:rPr>
        <w:t>270</w:t>
      </w:r>
      <w:r w:rsidR="0049743C" w:rsidRPr="00471557">
        <w:rPr>
          <w:rFonts w:hint="cs"/>
          <w:rtl/>
        </w:rPr>
        <w:t xml:space="preserve"> מיליארדי</w:t>
      </w:r>
      <w:r w:rsidR="00D82456" w:rsidRPr="00471557">
        <w:rPr>
          <w:rFonts w:hint="cs"/>
          <w:rtl/>
        </w:rPr>
        <w:t>ם</w:t>
      </w:r>
      <w:r w:rsidR="00017A8F">
        <w:rPr>
          <w:rFonts w:hint="cs"/>
          <w:rtl/>
        </w:rPr>
        <w:t>.</w:t>
      </w:r>
      <w:r w:rsidR="00042E5F">
        <w:rPr>
          <w:rFonts w:hint="cs"/>
          <w:rtl/>
        </w:rPr>
        <w:t xml:space="preserve"> </w:t>
      </w:r>
      <w:r w:rsidR="00042E5F" w:rsidRPr="00D352AA">
        <w:rPr>
          <w:rFonts w:hint="cs"/>
          <w:rtl/>
        </w:rPr>
        <w:t xml:space="preserve">העלייה נבעה </w:t>
      </w:r>
      <w:r w:rsidR="00D352AA" w:rsidRPr="00D352AA">
        <w:rPr>
          <w:rFonts w:hint="cs"/>
          <w:rtl/>
        </w:rPr>
        <w:t>בעיקר מ</w:t>
      </w:r>
      <w:r w:rsidR="00042E5F" w:rsidRPr="00D352AA">
        <w:rPr>
          <w:rFonts w:hint="cs"/>
          <w:rtl/>
        </w:rPr>
        <w:t xml:space="preserve">השקעות נטו </w:t>
      </w:r>
      <w:r w:rsidR="00214AFF" w:rsidRPr="00D352AA">
        <w:rPr>
          <w:rFonts w:hint="cs"/>
          <w:rtl/>
        </w:rPr>
        <w:t>ו</w:t>
      </w:r>
      <w:r w:rsidR="00D352AA" w:rsidRPr="00D352AA">
        <w:rPr>
          <w:rFonts w:hint="cs"/>
          <w:rtl/>
        </w:rPr>
        <w:t>כן מ</w:t>
      </w:r>
      <w:r w:rsidR="00042E5F" w:rsidRPr="00D352AA">
        <w:rPr>
          <w:rFonts w:hint="cs"/>
          <w:rtl/>
        </w:rPr>
        <w:t>עליית מחירים</w:t>
      </w:r>
      <w:r w:rsidR="00214AFF" w:rsidRPr="00D352AA">
        <w:rPr>
          <w:rFonts w:hint="cs"/>
          <w:rtl/>
        </w:rPr>
        <w:t>.</w:t>
      </w:r>
      <w:r w:rsidR="00042E5F" w:rsidRPr="00D352AA">
        <w:rPr>
          <w:rFonts w:hint="cs"/>
          <w:rtl/>
        </w:rPr>
        <w:t xml:space="preserve"> </w:t>
      </w:r>
    </w:p>
    <w:p w:rsidR="00017A8F" w:rsidRPr="00017A8F" w:rsidRDefault="00F36A26" w:rsidP="00093D73">
      <w:pPr>
        <w:spacing w:line="360" w:lineRule="auto"/>
        <w:jc w:val="both"/>
        <w:rPr>
          <w:rtl/>
        </w:rPr>
      </w:pPr>
      <w:r w:rsidRPr="00017A8F">
        <w:rPr>
          <w:rFonts w:hint="cs"/>
          <w:rtl/>
        </w:rPr>
        <w:t xml:space="preserve">ביתרת תיק </w:t>
      </w:r>
      <w:r>
        <w:rPr>
          <w:rFonts w:hint="cs"/>
          <w:rtl/>
        </w:rPr>
        <w:t>ה</w:t>
      </w:r>
      <w:r w:rsidRPr="00017A8F">
        <w:rPr>
          <w:rFonts w:hint="cs"/>
          <w:rtl/>
        </w:rPr>
        <w:t>אג"ח הממשלתיות</w:t>
      </w:r>
      <w:r>
        <w:rPr>
          <w:rFonts w:hint="cs"/>
          <w:rtl/>
        </w:rPr>
        <w:t xml:space="preserve"> חלה</w:t>
      </w:r>
      <w:r w:rsidR="00E102DB">
        <w:rPr>
          <w:rFonts w:hint="cs"/>
          <w:rtl/>
        </w:rPr>
        <w:t xml:space="preserve"> </w:t>
      </w:r>
      <w:r w:rsidR="00093D73">
        <w:rPr>
          <w:rFonts w:hint="cs"/>
          <w:rtl/>
        </w:rPr>
        <w:t>עלייה</w:t>
      </w:r>
      <w:r w:rsidR="00870087" w:rsidRPr="00017A8F">
        <w:rPr>
          <w:rFonts w:hint="cs"/>
          <w:rtl/>
        </w:rPr>
        <w:t xml:space="preserve"> </w:t>
      </w:r>
      <w:r w:rsidR="00DA5D79" w:rsidRPr="00017A8F">
        <w:rPr>
          <w:rFonts w:hint="cs"/>
          <w:rtl/>
        </w:rPr>
        <w:t>של כ-</w:t>
      </w:r>
      <w:r w:rsidR="00F653E0">
        <w:rPr>
          <w:rFonts w:hint="cs"/>
          <w:rtl/>
        </w:rPr>
        <w:t xml:space="preserve"> </w:t>
      </w:r>
      <w:r w:rsidR="00093D73">
        <w:rPr>
          <w:rFonts w:hint="cs"/>
          <w:rtl/>
        </w:rPr>
        <w:t>5.4</w:t>
      </w:r>
      <w:r w:rsidR="00DA5D79" w:rsidRPr="00017A8F">
        <w:rPr>
          <w:rFonts w:hint="cs"/>
          <w:rtl/>
        </w:rPr>
        <w:t xml:space="preserve"> מיליארדי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91110A" w:rsidRPr="00017A8F">
        <w:rPr>
          <w:rFonts w:hint="cs"/>
          <w:rtl/>
        </w:rPr>
        <w:t xml:space="preserve"> (</w:t>
      </w:r>
      <w:r>
        <w:rPr>
          <w:rFonts w:hint="cs"/>
          <w:rtl/>
        </w:rPr>
        <w:t>0.8</w:t>
      </w:r>
      <w:r w:rsidR="0091110A" w:rsidRPr="00017A8F">
        <w:rPr>
          <w:rFonts w:hint="cs"/>
          <w:rtl/>
        </w:rPr>
        <w:t>%)</w:t>
      </w:r>
      <w:r w:rsidR="00093D73">
        <w:rPr>
          <w:rFonts w:hint="cs"/>
          <w:rtl/>
        </w:rPr>
        <w:t xml:space="preserve"> ומנגד חלה ירידה של כ- 11.3 מיליארדי </w:t>
      </w:r>
      <w:r w:rsidR="004E60F0">
        <w:rPr>
          <w:rFonts w:hint="cs"/>
          <w:rtl/>
        </w:rPr>
        <w:t>ש</w:t>
      </w:r>
      <w:r w:rsidR="004E60F0">
        <w:rPr>
          <w:rtl/>
        </w:rPr>
        <w:t>"</w:t>
      </w:r>
      <w:r w:rsidR="004E60F0">
        <w:rPr>
          <w:rFonts w:hint="cs"/>
          <w:rtl/>
        </w:rPr>
        <w:t>ח</w:t>
      </w:r>
      <w:r w:rsidR="00093D73">
        <w:rPr>
          <w:rFonts w:hint="cs"/>
          <w:rtl/>
        </w:rPr>
        <w:t xml:space="preserve"> (14.2%-) </w:t>
      </w:r>
      <w:r w:rsidR="00093D73" w:rsidRPr="00D352AA">
        <w:rPr>
          <w:rFonts w:hint="cs"/>
          <w:rtl/>
        </w:rPr>
        <w:t>בשווי יתרות המק"מ.</w:t>
      </w:r>
    </w:p>
    <w:p w:rsidR="00E102DB" w:rsidRDefault="00E102DB" w:rsidP="00A94847">
      <w:pPr>
        <w:spacing w:line="360" w:lineRule="auto"/>
        <w:rPr>
          <w:b/>
          <w:bCs/>
          <w:rtl/>
        </w:rPr>
      </w:pPr>
    </w:p>
    <w:p w:rsidR="00FC2BC0" w:rsidRDefault="001F3A15" w:rsidP="00A94847">
      <w:pPr>
        <w:spacing w:line="360" w:lineRule="auto"/>
        <w:rPr>
          <w:b/>
          <w:bCs/>
          <w:rtl/>
        </w:rPr>
      </w:pPr>
      <w:r w:rsidRPr="001F3A15">
        <w:rPr>
          <w:rFonts w:hint="cs"/>
          <w:b/>
          <w:bCs/>
          <w:rtl/>
        </w:rPr>
        <w:t>מזומן ופיקדונות</w:t>
      </w:r>
    </w:p>
    <w:p w:rsidR="00D558A6" w:rsidRDefault="00CA4805" w:rsidP="00D558A6">
      <w:pPr>
        <w:spacing w:line="360" w:lineRule="auto"/>
        <w:jc w:val="both"/>
        <w:rPr>
          <w:b/>
          <w:bCs/>
          <w:rtl/>
        </w:rPr>
      </w:pPr>
      <w:r>
        <w:rPr>
          <w:rFonts w:hint="cs"/>
          <w:rtl/>
        </w:rPr>
        <w:t>יתרת</w:t>
      </w:r>
      <w:r w:rsidR="001F3A15" w:rsidRPr="001F3A15">
        <w:rPr>
          <w:rFonts w:hint="cs"/>
          <w:rtl/>
        </w:rPr>
        <w:t xml:space="preserve"> רכיבי המזומן והפיקדונו</w:t>
      </w:r>
      <w:r w:rsidR="001F3A15" w:rsidRPr="001F3A15">
        <w:rPr>
          <w:rFonts w:hint="eastAsia"/>
          <w:rtl/>
        </w:rPr>
        <w:t>ת</w:t>
      </w:r>
      <w:r w:rsidR="001F3A15" w:rsidRPr="001F3A15">
        <w:rPr>
          <w:rFonts w:hint="cs"/>
          <w:rtl/>
        </w:rPr>
        <w:t xml:space="preserve"> עלה ברביע </w:t>
      </w:r>
      <w:r w:rsidR="00E536D2">
        <w:rPr>
          <w:rFonts w:hint="cs"/>
          <w:rtl/>
        </w:rPr>
        <w:t>השלישי</w:t>
      </w:r>
      <w:r w:rsidR="001F3A15" w:rsidRPr="001F3A15">
        <w:rPr>
          <w:rFonts w:hint="cs"/>
          <w:rtl/>
        </w:rPr>
        <w:t xml:space="preserve"> בכ- </w:t>
      </w:r>
      <w:r w:rsidR="00E536D2">
        <w:rPr>
          <w:rFonts w:hint="cs"/>
          <w:rtl/>
        </w:rPr>
        <w:t>30</w:t>
      </w:r>
      <w:r w:rsidR="001F3A15" w:rsidRPr="001F3A15">
        <w:rPr>
          <w:rFonts w:hint="cs"/>
          <w:rtl/>
        </w:rPr>
        <w:t xml:space="preserve"> מיליארדי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1F3A15" w:rsidRPr="001F3A15">
        <w:rPr>
          <w:rFonts w:hint="cs"/>
          <w:rtl/>
        </w:rPr>
        <w:t xml:space="preserve"> (</w:t>
      </w:r>
      <w:r w:rsidR="00E536D2">
        <w:rPr>
          <w:rFonts w:hint="cs"/>
          <w:rtl/>
        </w:rPr>
        <w:t>2.8</w:t>
      </w:r>
      <w:r w:rsidR="001F3A15" w:rsidRPr="001F3A15">
        <w:rPr>
          <w:rFonts w:hint="cs"/>
          <w:rtl/>
        </w:rPr>
        <w:t>%)</w:t>
      </w:r>
      <w:r w:rsidR="00A71EAF">
        <w:rPr>
          <w:rFonts w:hint="cs"/>
          <w:rtl/>
        </w:rPr>
        <w:t>, זאת בהמשך לעלייה של כ- 36 מיליארדים במחצית הראשונה</w:t>
      </w:r>
      <w:r w:rsidR="00306329">
        <w:rPr>
          <w:rFonts w:hint="cs"/>
          <w:rtl/>
        </w:rPr>
        <w:t>.</w:t>
      </w:r>
      <w:r w:rsidR="001F3A15" w:rsidRPr="001F3A15">
        <w:rPr>
          <w:rFonts w:hint="cs"/>
          <w:rtl/>
        </w:rPr>
        <w:t xml:space="preserve"> </w:t>
      </w:r>
      <w:r w:rsidR="00B811C5">
        <w:rPr>
          <w:rFonts w:hint="cs"/>
          <w:rtl/>
        </w:rPr>
        <w:t xml:space="preserve">עיקר העלייה </w:t>
      </w:r>
      <w:r w:rsidR="00A71EAF">
        <w:rPr>
          <w:rFonts w:hint="cs"/>
          <w:rtl/>
        </w:rPr>
        <w:t xml:space="preserve">במהלך הרביע, </w:t>
      </w:r>
      <w:r w:rsidR="00B811C5">
        <w:rPr>
          <w:rFonts w:hint="cs"/>
          <w:rtl/>
        </w:rPr>
        <w:t xml:space="preserve">נבעה </w:t>
      </w:r>
      <w:r w:rsidR="001F3A15" w:rsidRPr="00B811C5">
        <w:rPr>
          <w:rFonts w:hint="cs"/>
          <w:rtl/>
        </w:rPr>
        <w:t>מהגדלת יתרות המזומנים והעו"ש של הציבור</w:t>
      </w:r>
      <w:r w:rsidR="00B811C5">
        <w:rPr>
          <w:rFonts w:hint="cs"/>
          <w:rtl/>
        </w:rPr>
        <w:t xml:space="preserve">, </w:t>
      </w:r>
      <w:r w:rsidR="00994D4A">
        <w:rPr>
          <w:rFonts w:hint="cs"/>
          <w:rtl/>
        </w:rPr>
        <w:t>במקביל</w:t>
      </w:r>
      <w:r w:rsidR="001F3A15" w:rsidRPr="00B811C5">
        <w:rPr>
          <w:rFonts w:hint="cs"/>
          <w:rtl/>
        </w:rPr>
        <w:t xml:space="preserve"> </w:t>
      </w:r>
      <w:r w:rsidR="00994D4A">
        <w:rPr>
          <w:rFonts w:hint="cs"/>
          <w:rtl/>
        </w:rPr>
        <w:t>לעלייה</w:t>
      </w:r>
      <w:r w:rsidR="00A257E8">
        <w:rPr>
          <w:rFonts w:hint="cs"/>
          <w:rtl/>
        </w:rPr>
        <w:t xml:space="preserve"> </w:t>
      </w:r>
      <w:r>
        <w:rPr>
          <w:rFonts w:hint="cs"/>
          <w:rtl/>
        </w:rPr>
        <w:t>ביתרת</w:t>
      </w:r>
      <w:r w:rsidR="00A257E8">
        <w:rPr>
          <w:rFonts w:hint="cs"/>
          <w:rtl/>
        </w:rPr>
        <w:t xml:space="preserve"> </w:t>
      </w:r>
      <w:r w:rsidR="00EE22F1">
        <w:rPr>
          <w:rFonts w:hint="cs"/>
          <w:rtl/>
        </w:rPr>
        <w:t>ה</w:t>
      </w:r>
      <w:r w:rsidR="00A257E8" w:rsidRPr="00EE22F1">
        <w:rPr>
          <w:rFonts w:hint="cs"/>
          <w:rtl/>
        </w:rPr>
        <w:t>פיקדונו</w:t>
      </w:r>
      <w:r w:rsidR="00A257E8" w:rsidRPr="00EE22F1">
        <w:rPr>
          <w:rFonts w:hint="eastAsia"/>
          <w:rtl/>
        </w:rPr>
        <w:t>ת</w:t>
      </w:r>
      <w:r w:rsidR="00A257E8" w:rsidRPr="00EE22F1">
        <w:rPr>
          <w:rFonts w:hint="cs"/>
          <w:rtl/>
        </w:rPr>
        <w:t xml:space="preserve"> </w:t>
      </w:r>
      <w:r w:rsidR="00994D4A">
        <w:rPr>
          <w:rFonts w:hint="cs"/>
          <w:rtl/>
        </w:rPr>
        <w:t>צמודי המט"ח והלא צמודים.</w:t>
      </w:r>
      <w:r w:rsidR="00D558A6">
        <w:rPr>
          <w:b/>
          <w:bCs/>
          <w:rtl/>
        </w:rPr>
        <w:br w:type="page"/>
      </w:r>
    </w:p>
    <w:p w:rsidR="00E94957" w:rsidRDefault="00D558A6" w:rsidP="00D558A6">
      <w:pPr>
        <w:spacing w:line="360" w:lineRule="auto"/>
        <w:jc w:val="both"/>
        <w:rPr>
          <w:b/>
          <w:bCs/>
          <w:rtl/>
        </w:rPr>
      </w:pPr>
      <w:r>
        <w:rPr>
          <w:b/>
          <w:bCs/>
          <w:rtl/>
        </w:rPr>
        <w:lastRenderedPageBreak/>
        <w:t xml:space="preserve"> </w:t>
      </w:r>
      <w:bookmarkStart w:id="0" w:name="_GoBack"/>
      <w:bookmarkEnd w:id="0"/>
      <w:r w:rsidR="00E94957" w:rsidRPr="0040667A">
        <w:rPr>
          <w:rFonts w:hint="cs"/>
          <w:b/>
          <w:bCs/>
          <w:rtl/>
        </w:rPr>
        <w:t>תיק הנכסים בחו"ל</w:t>
      </w:r>
    </w:p>
    <w:p w:rsidR="0049743C" w:rsidRPr="00831BA6" w:rsidRDefault="0049067F" w:rsidP="0071210C">
      <w:pPr>
        <w:spacing w:line="360" w:lineRule="auto"/>
        <w:jc w:val="both"/>
        <w:rPr>
          <w:b/>
          <w:bCs/>
          <w:rtl/>
        </w:rPr>
      </w:pPr>
      <w:r w:rsidRPr="005E04A2">
        <w:rPr>
          <w:rFonts w:hint="cs"/>
          <w:b/>
          <w:bCs/>
          <w:rtl/>
        </w:rPr>
        <w:t xml:space="preserve">ברביע </w:t>
      </w:r>
      <w:r w:rsidR="00994D4A" w:rsidRPr="005E04A2">
        <w:rPr>
          <w:rFonts w:hint="cs"/>
          <w:b/>
          <w:bCs/>
          <w:rtl/>
        </w:rPr>
        <w:t>השלישי</w:t>
      </w:r>
      <w:r>
        <w:rPr>
          <w:rFonts w:hint="cs"/>
          <w:b/>
          <w:bCs/>
          <w:rtl/>
        </w:rPr>
        <w:t xml:space="preserve"> של שנת </w:t>
      </w:r>
      <w:r w:rsidR="00310DC5">
        <w:rPr>
          <w:rFonts w:hint="cs"/>
          <w:b/>
          <w:bCs/>
          <w:rtl/>
        </w:rPr>
        <w:t>2015</w:t>
      </w:r>
      <w:r>
        <w:rPr>
          <w:rFonts w:hint="cs"/>
          <w:rtl/>
        </w:rPr>
        <w:t xml:space="preserve"> </w:t>
      </w:r>
      <w:r w:rsidR="00EE22F1">
        <w:rPr>
          <w:rFonts w:hint="cs"/>
          <w:rtl/>
        </w:rPr>
        <w:t>ירד</w:t>
      </w:r>
      <w:r w:rsidR="0049743C">
        <w:rPr>
          <w:rFonts w:hint="cs"/>
          <w:rtl/>
        </w:rPr>
        <w:t xml:space="preserve"> שווי התיק המוחזק ע"י </w:t>
      </w:r>
      <w:r w:rsidR="000A3314">
        <w:rPr>
          <w:rFonts w:hint="cs"/>
          <w:rtl/>
        </w:rPr>
        <w:t>הציבור</w:t>
      </w:r>
      <w:r w:rsidR="0049743C">
        <w:rPr>
          <w:rFonts w:hint="cs"/>
          <w:rtl/>
        </w:rPr>
        <w:t xml:space="preserve"> בחו"ל בכ-</w:t>
      </w:r>
      <w:r w:rsidR="00994D4A">
        <w:rPr>
          <w:rFonts w:hint="cs"/>
          <w:rtl/>
        </w:rPr>
        <w:t>3</w:t>
      </w:r>
      <w:r w:rsidR="00883E47">
        <w:rPr>
          <w:rFonts w:hint="cs"/>
          <w:rtl/>
        </w:rPr>
        <w:t xml:space="preserve"> </w:t>
      </w:r>
      <w:r w:rsidR="0049743C" w:rsidRPr="00E102DB">
        <w:rPr>
          <w:rFonts w:hint="cs"/>
          <w:rtl/>
        </w:rPr>
        <w:t xml:space="preserve">מיליארדי </w:t>
      </w:r>
      <w:r w:rsidR="00FD22C6" w:rsidRPr="00E102DB">
        <w:rPr>
          <w:rFonts w:hint="cs"/>
          <w:rtl/>
        </w:rPr>
        <w:t>ש</w:t>
      </w:r>
      <w:r w:rsidR="00FD22C6" w:rsidRPr="00E102DB">
        <w:rPr>
          <w:rtl/>
        </w:rPr>
        <w:t>"</w:t>
      </w:r>
      <w:r w:rsidR="00FD22C6" w:rsidRPr="00E102DB">
        <w:rPr>
          <w:rFonts w:hint="cs"/>
          <w:rtl/>
        </w:rPr>
        <w:t>ח</w:t>
      </w:r>
      <w:r w:rsidR="00B9472B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="00994D4A">
        <w:rPr>
          <w:rFonts w:hint="cs"/>
          <w:rtl/>
        </w:rPr>
        <w:t>0.6</w:t>
      </w:r>
      <w:r>
        <w:rPr>
          <w:rFonts w:hint="cs"/>
          <w:rtl/>
        </w:rPr>
        <w:t>%</w:t>
      </w:r>
      <w:r w:rsidR="00F54A71">
        <w:rPr>
          <w:rFonts w:hint="cs"/>
          <w:rtl/>
        </w:rPr>
        <w:t>-</w:t>
      </w:r>
      <w:r>
        <w:rPr>
          <w:rFonts w:hint="cs"/>
          <w:rtl/>
        </w:rPr>
        <w:t xml:space="preserve">) </w:t>
      </w:r>
      <w:r w:rsidR="00D82456">
        <w:rPr>
          <w:rFonts w:hint="cs"/>
          <w:rtl/>
        </w:rPr>
        <w:t xml:space="preserve">ועמד בסוף </w:t>
      </w:r>
      <w:r w:rsidR="00994D4A">
        <w:rPr>
          <w:rFonts w:hint="cs"/>
          <w:rtl/>
        </w:rPr>
        <w:t>ספטמבר</w:t>
      </w:r>
      <w:r w:rsidR="00D82456">
        <w:rPr>
          <w:rFonts w:hint="cs"/>
          <w:rtl/>
        </w:rPr>
        <w:t xml:space="preserve"> על כ-</w:t>
      </w:r>
      <w:r w:rsidR="00994D4A">
        <w:rPr>
          <w:rFonts w:hint="cs"/>
          <w:rtl/>
        </w:rPr>
        <w:t>472</w:t>
      </w:r>
      <w:r w:rsidR="0049743C">
        <w:rPr>
          <w:rFonts w:hint="cs"/>
          <w:rtl/>
        </w:rPr>
        <w:t xml:space="preserve"> מיליארדים</w:t>
      </w:r>
      <w:r w:rsidR="00872672">
        <w:rPr>
          <w:rFonts w:hint="cs"/>
          <w:rtl/>
        </w:rPr>
        <w:t xml:space="preserve"> שהם כ-</w:t>
      </w:r>
      <w:r w:rsidR="003E616A">
        <w:rPr>
          <w:rFonts w:hint="cs"/>
          <w:rtl/>
        </w:rPr>
        <w:t>14</w:t>
      </w:r>
      <w:r w:rsidR="00883E47">
        <w:rPr>
          <w:rFonts w:hint="cs"/>
          <w:rtl/>
        </w:rPr>
        <w:t>.</w:t>
      </w:r>
      <w:r w:rsidR="00994D4A">
        <w:rPr>
          <w:rFonts w:hint="cs"/>
          <w:rtl/>
        </w:rPr>
        <w:t>5</w:t>
      </w:r>
      <w:r w:rsidR="003E616A">
        <w:rPr>
          <w:rFonts w:hint="cs"/>
          <w:rtl/>
        </w:rPr>
        <w:t xml:space="preserve">% </w:t>
      </w:r>
      <w:r w:rsidR="00872672">
        <w:rPr>
          <w:rFonts w:hint="cs"/>
          <w:rtl/>
        </w:rPr>
        <w:t>מסך תיק הנכסים</w:t>
      </w:r>
      <w:r w:rsidR="0049743C">
        <w:rPr>
          <w:rFonts w:hint="cs"/>
          <w:rtl/>
        </w:rPr>
        <w:t xml:space="preserve">. </w:t>
      </w:r>
      <w:r w:rsidR="00EE22F1" w:rsidRPr="00D90F9D">
        <w:rPr>
          <w:rFonts w:hint="cs"/>
          <w:rtl/>
        </w:rPr>
        <w:t>הירידה</w:t>
      </w:r>
      <w:r w:rsidR="00B743C5" w:rsidRPr="00D90F9D">
        <w:rPr>
          <w:rFonts w:hint="cs"/>
          <w:rtl/>
        </w:rPr>
        <w:t xml:space="preserve"> בשווי התיק הושפעה </w:t>
      </w:r>
      <w:r w:rsidR="00994D4A">
        <w:rPr>
          <w:rFonts w:hint="cs"/>
          <w:rtl/>
        </w:rPr>
        <w:t xml:space="preserve">מירידות המחירים בשוקי חו"ל אשר קוזזו במקצת ע"י </w:t>
      </w:r>
      <w:r w:rsidR="00570573">
        <w:rPr>
          <w:rFonts w:hint="cs"/>
          <w:rtl/>
        </w:rPr>
        <w:t>השקעות נטו בחו"ל ו</w:t>
      </w:r>
      <w:r w:rsidR="00994D4A">
        <w:rPr>
          <w:rFonts w:hint="cs"/>
          <w:rtl/>
        </w:rPr>
        <w:t>פיחות</w:t>
      </w:r>
      <w:r w:rsidR="00784852" w:rsidRPr="00D90F9D">
        <w:rPr>
          <w:rFonts w:ascii="Arial" w:hAnsi="Arial" w:hint="cs"/>
          <w:rtl/>
        </w:rPr>
        <w:t xml:space="preserve"> השקל מול הדולר (</w:t>
      </w:r>
      <w:r w:rsidR="00994D4A">
        <w:rPr>
          <w:rFonts w:ascii="Arial" w:hAnsi="Arial" w:hint="cs"/>
          <w:rtl/>
        </w:rPr>
        <w:t>4.1</w:t>
      </w:r>
      <w:r w:rsidR="00784852" w:rsidRPr="00D90F9D">
        <w:rPr>
          <w:rFonts w:ascii="Arial" w:hAnsi="Arial" w:hint="cs"/>
          <w:rtl/>
        </w:rPr>
        <w:t>%)</w:t>
      </w:r>
      <w:r w:rsidR="00994D4A">
        <w:rPr>
          <w:rFonts w:ascii="Arial" w:hAnsi="Arial" w:hint="cs"/>
          <w:rtl/>
        </w:rPr>
        <w:t xml:space="preserve">, אשר </w:t>
      </w:r>
      <w:r w:rsidR="0071210C">
        <w:rPr>
          <w:rFonts w:ascii="Arial" w:hAnsi="Arial" w:hint="cs"/>
          <w:rtl/>
        </w:rPr>
        <w:t xml:space="preserve">העלה </w:t>
      </w:r>
      <w:r w:rsidR="00994D4A">
        <w:rPr>
          <w:rFonts w:ascii="Arial" w:hAnsi="Arial" w:hint="cs"/>
          <w:rtl/>
        </w:rPr>
        <w:t>את השווי השקלי של התיק.</w:t>
      </w:r>
    </w:p>
    <w:p w:rsidR="00D921A2" w:rsidRDefault="00B93AC3" w:rsidP="00BB5A50">
      <w:pPr>
        <w:spacing w:line="360" w:lineRule="auto"/>
        <w:jc w:val="both"/>
        <w:rPr>
          <w:rtl/>
        </w:rPr>
      </w:pPr>
      <w:r w:rsidRPr="009866DB">
        <w:rPr>
          <w:rFonts w:hint="cs"/>
          <w:rtl/>
        </w:rPr>
        <w:t xml:space="preserve">רכיב המניות בחו"ל </w:t>
      </w:r>
      <w:r w:rsidR="00E122B8">
        <w:rPr>
          <w:rFonts w:hint="cs"/>
          <w:rtl/>
        </w:rPr>
        <w:t>ירד</w:t>
      </w:r>
      <w:r w:rsidR="000C6D4D">
        <w:rPr>
          <w:rFonts w:hint="cs"/>
          <w:rtl/>
        </w:rPr>
        <w:t xml:space="preserve"> </w:t>
      </w:r>
      <w:r w:rsidR="0054204C" w:rsidRPr="009866DB">
        <w:rPr>
          <w:rFonts w:hint="cs"/>
          <w:rtl/>
        </w:rPr>
        <w:t>בכ-</w:t>
      </w:r>
      <w:r w:rsidR="00994D4A">
        <w:rPr>
          <w:rFonts w:hint="cs"/>
          <w:rtl/>
        </w:rPr>
        <w:t>11.5</w:t>
      </w:r>
      <w:r w:rsidR="00A45F9A" w:rsidRPr="009866DB">
        <w:rPr>
          <w:rFonts w:hint="cs"/>
          <w:rtl/>
        </w:rPr>
        <w:t xml:space="preserve"> </w:t>
      </w:r>
      <w:r w:rsidR="0054204C" w:rsidRPr="009866DB">
        <w:rPr>
          <w:rFonts w:hint="cs"/>
          <w:rtl/>
        </w:rPr>
        <w:t>מיליארדים (</w:t>
      </w:r>
      <w:r w:rsidR="00994D4A">
        <w:rPr>
          <w:rFonts w:hint="cs"/>
          <w:rtl/>
        </w:rPr>
        <w:t>4.1</w:t>
      </w:r>
      <w:r w:rsidR="0054204C" w:rsidRPr="009866DB">
        <w:rPr>
          <w:rFonts w:hint="cs"/>
          <w:rtl/>
        </w:rPr>
        <w:t>%</w:t>
      </w:r>
      <w:r w:rsidR="00F54A71">
        <w:rPr>
          <w:rFonts w:hint="cs"/>
          <w:rtl/>
        </w:rPr>
        <w:t>-</w:t>
      </w:r>
      <w:r w:rsidR="0054204C" w:rsidRPr="009866DB">
        <w:rPr>
          <w:rFonts w:hint="cs"/>
          <w:rtl/>
        </w:rPr>
        <w:t>)</w:t>
      </w:r>
      <w:r w:rsidR="003E61C1" w:rsidRPr="009866DB">
        <w:rPr>
          <w:rFonts w:hint="cs"/>
          <w:rtl/>
        </w:rPr>
        <w:t xml:space="preserve"> ועמד בסוף </w:t>
      </w:r>
      <w:r w:rsidR="00994D4A">
        <w:rPr>
          <w:rFonts w:hint="cs"/>
          <w:rtl/>
        </w:rPr>
        <w:t>ספטמבר</w:t>
      </w:r>
      <w:r w:rsidR="003E61C1" w:rsidRPr="009866DB">
        <w:rPr>
          <w:rFonts w:hint="cs"/>
          <w:rtl/>
        </w:rPr>
        <w:t xml:space="preserve"> על כ-</w:t>
      </w:r>
      <w:r w:rsidR="00994D4A">
        <w:rPr>
          <w:rFonts w:hint="cs"/>
          <w:rtl/>
        </w:rPr>
        <w:t>267</w:t>
      </w:r>
      <w:r w:rsidR="00FB4877">
        <w:rPr>
          <w:rFonts w:hint="cs"/>
          <w:rtl/>
        </w:rPr>
        <w:t xml:space="preserve"> מיליארדי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FB4877">
        <w:rPr>
          <w:rFonts w:hint="cs"/>
          <w:rtl/>
        </w:rPr>
        <w:t>.</w:t>
      </w:r>
      <w:r w:rsidR="00A45F9A">
        <w:rPr>
          <w:rFonts w:hint="cs"/>
          <w:rtl/>
        </w:rPr>
        <w:t xml:space="preserve"> </w:t>
      </w:r>
      <w:r w:rsidR="00994D4A">
        <w:rPr>
          <w:rFonts w:hint="cs"/>
          <w:rtl/>
        </w:rPr>
        <w:t xml:space="preserve">מנגד, </w:t>
      </w:r>
      <w:r w:rsidR="002003C2">
        <w:rPr>
          <w:rFonts w:hint="cs"/>
          <w:rtl/>
        </w:rPr>
        <w:t xml:space="preserve">שווי תיק האג"ח הסחיר בחו"ל </w:t>
      </w:r>
      <w:r w:rsidR="00994D4A">
        <w:rPr>
          <w:rFonts w:hint="cs"/>
          <w:rtl/>
        </w:rPr>
        <w:t>עלה</w:t>
      </w:r>
      <w:r w:rsidR="002003C2">
        <w:rPr>
          <w:rFonts w:hint="cs"/>
          <w:rtl/>
        </w:rPr>
        <w:t xml:space="preserve"> בכ-</w:t>
      </w:r>
      <w:r w:rsidR="00994D4A">
        <w:rPr>
          <w:rFonts w:hint="cs"/>
          <w:rtl/>
        </w:rPr>
        <w:t>3.4</w:t>
      </w:r>
      <w:r w:rsidR="00F45150">
        <w:rPr>
          <w:rFonts w:hint="cs"/>
          <w:rtl/>
        </w:rPr>
        <w:t xml:space="preserve"> </w:t>
      </w:r>
      <w:r w:rsidR="002003C2">
        <w:rPr>
          <w:rFonts w:hint="cs"/>
          <w:rtl/>
        </w:rPr>
        <w:t>מיליארדים (</w:t>
      </w:r>
      <w:r w:rsidR="00994D4A">
        <w:rPr>
          <w:rFonts w:hint="cs"/>
          <w:rtl/>
        </w:rPr>
        <w:t>1.9</w:t>
      </w:r>
      <w:r w:rsidR="002003C2">
        <w:rPr>
          <w:rFonts w:hint="cs"/>
          <w:rtl/>
        </w:rPr>
        <w:t xml:space="preserve">%) ועמד </w:t>
      </w:r>
      <w:r w:rsidR="00994D4A">
        <w:rPr>
          <w:rFonts w:hint="cs"/>
          <w:rtl/>
        </w:rPr>
        <w:t>בספטמבר</w:t>
      </w:r>
      <w:r w:rsidR="002003C2">
        <w:rPr>
          <w:rFonts w:hint="cs"/>
          <w:rtl/>
        </w:rPr>
        <w:t xml:space="preserve"> על כ-</w:t>
      </w:r>
      <w:r w:rsidR="00994D4A">
        <w:rPr>
          <w:rFonts w:hint="cs"/>
          <w:rtl/>
        </w:rPr>
        <w:t>179</w:t>
      </w:r>
      <w:r w:rsidR="00FB4877">
        <w:rPr>
          <w:rFonts w:hint="cs"/>
          <w:rtl/>
        </w:rPr>
        <w:t xml:space="preserve"> מיליארדי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FB4877">
        <w:rPr>
          <w:rFonts w:hint="cs"/>
          <w:rtl/>
        </w:rPr>
        <w:t>.</w:t>
      </w:r>
      <w:r w:rsidR="00DF514F">
        <w:rPr>
          <w:rFonts w:hint="cs"/>
          <w:rtl/>
        </w:rPr>
        <w:t xml:space="preserve"> </w:t>
      </w:r>
      <w:r w:rsidR="00831BA6">
        <w:rPr>
          <w:rFonts w:hint="cs"/>
          <w:rtl/>
        </w:rPr>
        <w:t>בנוסף</w:t>
      </w:r>
      <w:r w:rsidR="00A45F9A">
        <w:rPr>
          <w:rFonts w:hint="cs"/>
          <w:rtl/>
        </w:rPr>
        <w:t>,</w:t>
      </w:r>
      <w:r w:rsidR="008B6D53">
        <w:rPr>
          <w:rFonts w:hint="cs"/>
          <w:rtl/>
        </w:rPr>
        <w:t xml:space="preserve"> </w:t>
      </w:r>
      <w:r w:rsidR="00DF514F">
        <w:rPr>
          <w:rFonts w:hint="cs"/>
          <w:rtl/>
        </w:rPr>
        <w:t>חלה</w:t>
      </w:r>
      <w:r w:rsidR="0065430A">
        <w:rPr>
          <w:rFonts w:hint="cs"/>
          <w:rtl/>
        </w:rPr>
        <w:t xml:space="preserve"> </w:t>
      </w:r>
      <w:r w:rsidR="00BB5A50">
        <w:rPr>
          <w:rFonts w:hint="cs"/>
          <w:rtl/>
        </w:rPr>
        <w:t>עלייה</w:t>
      </w:r>
      <w:r w:rsidR="00DF514F">
        <w:rPr>
          <w:rFonts w:hint="cs"/>
          <w:rtl/>
        </w:rPr>
        <w:t xml:space="preserve"> </w:t>
      </w:r>
      <w:r w:rsidR="00FB4877">
        <w:rPr>
          <w:rFonts w:hint="cs"/>
          <w:rtl/>
        </w:rPr>
        <w:t xml:space="preserve">של </w:t>
      </w:r>
      <w:r w:rsidR="00DF514F">
        <w:rPr>
          <w:rFonts w:hint="cs"/>
          <w:rtl/>
        </w:rPr>
        <w:t>כ</w:t>
      </w:r>
      <w:r w:rsidR="00675E10">
        <w:rPr>
          <w:rFonts w:hint="cs"/>
          <w:rtl/>
        </w:rPr>
        <w:t xml:space="preserve">- </w:t>
      </w:r>
      <w:r w:rsidR="00BB5A50">
        <w:rPr>
          <w:rFonts w:hint="cs"/>
          <w:rtl/>
        </w:rPr>
        <w:t>5</w:t>
      </w:r>
      <w:r w:rsidR="00675E10">
        <w:rPr>
          <w:rFonts w:hint="cs"/>
          <w:rtl/>
        </w:rPr>
        <w:t xml:space="preserve"> </w:t>
      </w:r>
      <w:r w:rsidR="00310DC5">
        <w:rPr>
          <w:rFonts w:hint="cs"/>
          <w:rtl/>
        </w:rPr>
        <w:t>מיליארד</w:t>
      </w:r>
      <w:r w:rsidR="00675E10">
        <w:rPr>
          <w:rFonts w:hint="cs"/>
          <w:rtl/>
        </w:rPr>
        <w:t>ים</w:t>
      </w:r>
      <w:r w:rsidR="00FB4877">
        <w:rPr>
          <w:rFonts w:hint="cs"/>
          <w:rtl/>
        </w:rPr>
        <w:t xml:space="preserve"> </w:t>
      </w:r>
      <w:r w:rsidR="00DF514F">
        <w:rPr>
          <w:rFonts w:hint="cs"/>
          <w:rtl/>
        </w:rPr>
        <w:t>(</w:t>
      </w:r>
      <w:r w:rsidR="00BB5A50">
        <w:rPr>
          <w:rFonts w:hint="cs"/>
          <w:rtl/>
        </w:rPr>
        <w:t>25</w:t>
      </w:r>
      <w:r w:rsidR="00310DC5">
        <w:rPr>
          <w:rFonts w:hint="cs"/>
          <w:rtl/>
        </w:rPr>
        <w:t>%</w:t>
      </w:r>
      <w:r w:rsidR="00DF514F">
        <w:rPr>
          <w:rFonts w:hint="cs"/>
          <w:rtl/>
        </w:rPr>
        <w:t>) בשווי ה</w:t>
      </w:r>
      <w:r w:rsidR="006E7526">
        <w:rPr>
          <w:rFonts w:hint="cs"/>
          <w:rtl/>
        </w:rPr>
        <w:t>פיקדונו</w:t>
      </w:r>
      <w:r w:rsidR="006E7526">
        <w:rPr>
          <w:rFonts w:hint="eastAsia"/>
          <w:rtl/>
        </w:rPr>
        <w:t>ת</w:t>
      </w:r>
      <w:r w:rsidR="00927424">
        <w:rPr>
          <w:rFonts w:hint="cs"/>
          <w:rtl/>
        </w:rPr>
        <w:t xml:space="preserve"> בבנקים בחו"ל</w:t>
      </w:r>
      <w:r w:rsidR="00DF514F">
        <w:rPr>
          <w:rFonts w:hint="cs"/>
          <w:rtl/>
        </w:rPr>
        <w:t>.</w:t>
      </w:r>
    </w:p>
    <w:p w:rsidR="00D921A2" w:rsidRDefault="00D921A2" w:rsidP="00AA5ADB">
      <w:pPr>
        <w:spacing w:line="360" w:lineRule="auto"/>
        <w:jc w:val="both"/>
        <w:rPr>
          <w:rtl/>
        </w:rPr>
      </w:pPr>
    </w:p>
    <w:p w:rsidR="00A21D66" w:rsidRPr="001B3EBB" w:rsidRDefault="00BB5A50" w:rsidP="001B3EBB">
      <w:pPr>
        <w:spacing w:line="360" w:lineRule="auto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35889384" wp14:editId="538FF4F0">
            <wp:extent cx="5220000" cy="3185182"/>
            <wp:effectExtent l="0" t="0" r="0" b="0"/>
            <wp:docPr id="18" name="תמונה 18" descr="תיק הנכסים של תושבי ישראל בחו&quot;ל" title="תיק הנכסים של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3185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1D66" w:rsidRDefault="00A21D66" w:rsidP="00ED7589">
      <w:pPr>
        <w:spacing w:line="360" w:lineRule="auto"/>
        <w:jc w:val="both"/>
        <w:rPr>
          <w:b/>
          <w:bCs/>
          <w:highlight w:val="yellow"/>
          <w:rtl/>
        </w:rPr>
      </w:pPr>
    </w:p>
    <w:p w:rsidR="00283B13" w:rsidRPr="005E04A2" w:rsidRDefault="00283B13" w:rsidP="005E04A2">
      <w:pPr>
        <w:pStyle w:val="ae"/>
        <w:numPr>
          <w:ilvl w:val="0"/>
          <w:numId w:val="18"/>
        </w:numPr>
        <w:tabs>
          <w:tab w:val="left" w:pos="4928"/>
        </w:tabs>
        <w:spacing w:line="360" w:lineRule="auto"/>
        <w:jc w:val="both"/>
        <w:rPr>
          <w:b/>
          <w:bCs/>
          <w:rtl/>
        </w:rPr>
      </w:pPr>
      <w:r w:rsidRPr="005E04A2">
        <w:rPr>
          <w:rStyle w:val="10"/>
          <w:rFonts w:hint="cs"/>
          <w:rtl/>
        </w:rPr>
        <w:t>התיק המנוהל באמצעות המשקיעים המוסדיים</w:t>
      </w:r>
    </w:p>
    <w:p w:rsidR="00283B13" w:rsidRDefault="00283B13" w:rsidP="006769C7">
      <w:pPr>
        <w:tabs>
          <w:tab w:val="left" w:pos="4928"/>
        </w:tabs>
        <w:spacing w:line="360" w:lineRule="auto"/>
        <w:jc w:val="both"/>
        <w:rPr>
          <w:b/>
          <w:bCs/>
          <w:u w:val="single"/>
          <w:rtl/>
        </w:rPr>
      </w:pPr>
    </w:p>
    <w:p w:rsidR="00F54A71" w:rsidRDefault="00F54A71" w:rsidP="00AD19B0">
      <w:pPr>
        <w:spacing w:line="360" w:lineRule="auto"/>
        <w:jc w:val="both"/>
        <w:rPr>
          <w:rtl/>
        </w:rPr>
      </w:pPr>
      <w:r w:rsidRPr="008368C5">
        <w:rPr>
          <w:rFonts w:hint="cs"/>
          <w:b/>
          <w:bCs/>
          <w:rtl/>
        </w:rPr>
        <w:t>שווי יתרת התיק המנוהל ע"י המשקיעים המוסדיים</w:t>
      </w:r>
      <w:r w:rsidRPr="00282ABD">
        <w:rPr>
          <w:rFonts w:hint="cs"/>
          <w:rtl/>
        </w:rPr>
        <w:t xml:space="preserve"> </w:t>
      </w:r>
      <w:r w:rsidRPr="006E1EFB">
        <w:rPr>
          <w:rFonts w:hint="cs"/>
          <w:rtl/>
        </w:rPr>
        <w:t>ירד ברביע השלישי של שנת 2015</w:t>
      </w:r>
      <w:r>
        <w:rPr>
          <w:rFonts w:hint="cs"/>
          <w:rtl/>
        </w:rPr>
        <w:t xml:space="preserve"> </w:t>
      </w:r>
      <w:r w:rsidRPr="00282ABD">
        <w:rPr>
          <w:rFonts w:hint="cs"/>
          <w:rtl/>
        </w:rPr>
        <w:t>בכ-</w:t>
      </w:r>
      <w:r>
        <w:rPr>
          <w:rFonts w:hint="cs"/>
          <w:rtl/>
        </w:rPr>
        <w:t>0.5%</w:t>
      </w:r>
      <w:r w:rsidRPr="009F4FD0">
        <w:rPr>
          <w:rFonts w:hint="cs"/>
          <w:rtl/>
        </w:rPr>
        <w:t xml:space="preserve"> (</w:t>
      </w:r>
      <w:r>
        <w:rPr>
          <w:rFonts w:hint="cs"/>
          <w:rtl/>
        </w:rPr>
        <w:t>6.5</w:t>
      </w:r>
      <w:r w:rsidRPr="00282ABD">
        <w:rPr>
          <w:rFonts w:hint="cs"/>
          <w:rtl/>
        </w:rPr>
        <w:t xml:space="preserve"> מיליארדי ש"ח), </w:t>
      </w:r>
      <w:r>
        <w:rPr>
          <w:rFonts w:hint="cs"/>
          <w:rtl/>
        </w:rPr>
        <w:t xml:space="preserve">ועמד בסוף ספטמבר על כ-1.31 טריליון </w:t>
      </w:r>
      <w:r w:rsidR="004E60F0">
        <w:rPr>
          <w:rFonts w:hint="cs"/>
          <w:rtl/>
        </w:rPr>
        <w:t>ש</w:t>
      </w:r>
      <w:r w:rsidR="004E60F0">
        <w:rPr>
          <w:rtl/>
        </w:rPr>
        <w:t>"</w:t>
      </w:r>
      <w:r w:rsidR="004E60F0">
        <w:rPr>
          <w:rFonts w:hint="cs"/>
          <w:rtl/>
        </w:rPr>
        <w:t>ח</w:t>
      </w:r>
      <w:r w:rsidR="0087428E">
        <w:rPr>
          <w:rFonts w:hint="cs"/>
          <w:rtl/>
        </w:rPr>
        <w:t>.</w:t>
      </w:r>
      <w:r w:rsidR="00A71EAF">
        <w:rPr>
          <w:rFonts w:hint="cs"/>
          <w:rtl/>
        </w:rPr>
        <w:t xml:space="preserve"> המגמות בתיק </w:t>
      </w:r>
      <w:r w:rsidR="0087428E">
        <w:rPr>
          <w:rFonts w:hint="cs"/>
          <w:rtl/>
        </w:rPr>
        <w:t xml:space="preserve">המנוהל ע"י המשקיעים המוסדיים </w:t>
      </w:r>
      <w:r w:rsidR="00A71EAF">
        <w:rPr>
          <w:rFonts w:hint="cs"/>
          <w:rtl/>
        </w:rPr>
        <w:t xml:space="preserve">דומות למגמות </w:t>
      </w:r>
      <w:r w:rsidR="0087428E">
        <w:rPr>
          <w:rFonts w:hint="cs"/>
          <w:rtl/>
        </w:rPr>
        <w:t>שהתקיימו</w:t>
      </w:r>
      <w:r w:rsidR="00A71EAF">
        <w:rPr>
          <w:rFonts w:hint="cs"/>
          <w:rtl/>
        </w:rPr>
        <w:t xml:space="preserve"> במהלך הרביע בשאר תיק הנכסים. </w:t>
      </w:r>
      <w:r>
        <w:rPr>
          <w:rFonts w:hint="cs"/>
          <w:rtl/>
        </w:rPr>
        <w:t>הירידה</w:t>
      </w:r>
      <w:r w:rsidR="00A71EAF">
        <w:rPr>
          <w:rFonts w:hint="cs"/>
          <w:rtl/>
        </w:rPr>
        <w:t xml:space="preserve"> נרשמה בשווי</w:t>
      </w:r>
      <w:r w:rsidRPr="00282ABD">
        <w:rPr>
          <w:rFonts w:hint="cs"/>
          <w:rtl/>
        </w:rPr>
        <w:t xml:space="preserve"> </w:t>
      </w:r>
      <w:r>
        <w:rPr>
          <w:rFonts w:hint="cs"/>
          <w:rtl/>
        </w:rPr>
        <w:t>המניות בארץ (6.6 מיליארדים, 6.2%) ובחו"ל (5.1 מיליארדים, 2.8%) שקוזזה חלקית ע"י עלייה בשווי המזומן והפיקדונו</w:t>
      </w:r>
      <w:r>
        <w:rPr>
          <w:rFonts w:hint="eastAsia"/>
          <w:rtl/>
        </w:rPr>
        <w:t>ת</w:t>
      </w:r>
      <w:r>
        <w:rPr>
          <w:rFonts w:hint="cs"/>
          <w:rtl/>
        </w:rPr>
        <w:t xml:space="preserve"> (3.2 מיליארדים, 3.8%) ובתיק האג"ח בארץ ובחו"ל.</w:t>
      </w:r>
    </w:p>
    <w:p w:rsidR="00283B13" w:rsidRPr="00F54A71" w:rsidRDefault="00F54A71" w:rsidP="00F54A71">
      <w:pPr>
        <w:spacing w:line="360" w:lineRule="auto"/>
        <w:rPr>
          <w:rtl/>
        </w:rPr>
      </w:pPr>
      <w:r w:rsidRPr="00476290">
        <w:rPr>
          <w:rFonts w:hint="cs"/>
          <w:b/>
          <w:bCs/>
          <w:rtl/>
        </w:rPr>
        <w:lastRenderedPageBreak/>
        <w:t xml:space="preserve">משקלו של התיק המנוהל </w:t>
      </w:r>
      <w:r w:rsidRPr="00C455B2">
        <w:rPr>
          <w:rFonts w:hint="cs"/>
          <w:rtl/>
        </w:rPr>
        <w:t xml:space="preserve">ע"י המוסדיים בסך תיק הנכסים של הציבור </w:t>
      </w:r>
      <w:r>
        <w:rPr>
          <w:rFonts w:hint="cs"/>
          <w:rtl/>
        </w:rPr>
        <w:t xml:space="preserve">נותר ללא שינוי </w:t>
      </w:r>
      <w:r w:rsidRPr="00B8119B">
        <w:rPr>
          <w:rFonts w:hint="cs"/>
          <w:rtl/>
        </w:rPr>
        <w:t>במהלך הרביע ועמד בסוף ספטמבר על כ-40.3</w:t>
      </w:r>
      <w:r>
        <w:rPr>
          <w:rFonts w:hint="cs"/>
          <w:rtl/>
        </w:rPr>
        <w:t>%</w:t>
      </w:r>
      <w:r w:rsidR="00675E10">
        <w:rPr>
          <w:rFonts w:hint="cs"/>
          <w:rtl/>
        </w:rPr>
        <w:t>.</w:t>
      </w:r>
      <w:r>
        <w:rPr>
          <w:noProof/>
          <w:rtl/>
          <w:lang w:eastAsia="en-US"/>
        </w:rPr>
        <w:drawing>
          <wp:inline distT="0" distB="0" distL="0" distR="0" wp14:anchorId="54B47EB1" wp14:editId="2B6D2E89">
            <wp:extent cx="5220000" cy="3184610"/>
            <wp:effectExtent l="0" t="0" r="0" b="0"/>
            <wp:docPr id="2" name="תמונה 2" descr="יתרת סך הנכסים בתיק המנוהל בידי הגופים המוסדיים" title="יתרת סך הנכסים בתיק המנוהל בידי הגופים המוסדי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318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A44" w:rsidRDefault="00D37A44" w:rsidP="0020778C">
      <w:pPr>
        <w:spacing w:line="360" w:lineRule="auto"/>
        <w:rPr>
          <w:b/>
          <w:bCs/>
          <w:rtl/>
        </w:rPr>
      </w:pPr>
    </w:p>
    <w:p w:rsidR="00C77624" w:rsidRDefault="00C77624" w:rsidP="00817E9F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חשיפת</w:t>
      </w:r>
      <w:r w:rsidR="00794343">
        <w:rPr>
          <w:rStyle w:val="a4"/>
          <w:b/>
          <w:bCs/>
          <w:rtl/>
        </w:rPr>
        <w:footnoteReference w:id="1"/>
      </w:r>
      <w:r>
        <w:rPr>
          <w:rFonts w:hint="cs"/>
          <w:b/>
          <w:bCs/>
          <w:rtl/>
        </w:rPr>
        <w:t xml:space="preserve"> התיק המנוהל ע"י </w:t>
      </w:r>
      <w:r w:rsidR="008624F8">
        <w:rPr>
          <w:rFonts w:hint="cs"/>
          <w:b/>
          <w:bCs/>
          <w:rtl/>
        </w:rPr>
        <w:t xml:space="preserve">הגופים </w:t>
      </w:r>
      <w:r>
        <w:rPr>
          <w:rFonts w:hint="cs"/>
          <w:b/>
          <w:bCs/>
          <w:rtl/>
        </w:rPr>
        <w:t xml:space="preserve">המוסדיים לנכסים זרים ולמט"ח </w:t>
      </w:r>
      <w:r w:rsidR="00485655">
        <w:rPr>
          <w:b/>
          <w:bCs/>
          <w:rtl/>
        </w:rPr>
        <w:t>–</w:t>
      </w:r>
      <w:r w:rsidR="00485655">
        <w:rPr>
          <w:rFonts w:hint="cs"/>
          <w:b/>
          <w:bCs/>
          <w:rtl/>
        </w:rPr>
        <w:t xml:space="preserve"> </w:t>
      </w:r>
    </w:p>
    <w:p w:rsidR="00A71EAF" w:rsidRPr="00544A33" w:rsidRDefault="00A71EAF" w:rsidP="00AD19B0">
      <w:pPr>
        <w:spacing w:line="360" w:lineRule="auto"/>
        <w:jc w:val="both"/>
        <w:rPr>
          <w:b/>
          <w:bCs/>
          <w:color w:val="000080"/>
          <w:rtl/>
        </w:rPr>
      </w:pPr>
      <w:r w:rsidRPr="00F54A71">
        <w:rPr>
          <w:rFonts w:hint="cs"/>
          <w:b/>
          <w:bCs/>
          <w:rtl/>
        </w:rPr>
        <w:t>ברביע השלישי של שנת 2015</w:t>
      </w:r>
      <w:r w:rsidRPr="00A40D58">
        <w:rPr>
          <w:rFonts w:hint="cs"/>
          <w:rtl/>
        </w:rPr>
        <w:t xml:space="preserve"> שיעור החשיפה</w:t>
      </w:r>
      <w:r>
        <w:rPr>
          <w:rFonts w:hint="cs"/>
          <w:rtl/>
        </w:rPr>
        <w:t xml:space="preserve"> של המשקיעים המוסדיים</w:t>
      </w:r>
      <w:r w:rsidRPr="00A40D58">
        <w:rPr>
          <w:rFonts w:hint="cs"/>
          <w:rtl/>
        </w:rPr>
        <w:t xml:space="preserve"> </w:t>
      </w:r>
      <w:r w:rsidRPr="00F54A71">
        <w:rPr>
          <w:rFonts w:hint="cs"/>
          <w:b/>
          <w:bCs/>
          <w:rtl/>
        </w:rPr>
        <w:t>לנכסים זרים</w:t>
      </w:r>
      <w:r w:rsidRPr="00A40D58">
        <w:rPr>
          <w:rFonts w:hint="cs"/>
          <w:rtl/>
        </w:rPr>
        <w:t xml:space="preserve"> </w:t>
      </w:r>
      <w:r>
        <w:rPr>
          <w:rFonts w:hint="cs"/>
          <w:rtl/>
        </w:rPr>
        <w:t>ירד</w:t>
      </w:r>
      <w:r w:rsidRPr="00A40D58">
        <w:rPr>
          <w:rFonts w:hint="cs"/>
          <w:rtl/>
        </w:rPr>
        <w:t xml:space="preserve"> מעט (כ- 0.</w:t>
      </w:r>
      <w:r>
        <w:rPr>
          <w:rFonts w:hint="cs"/>
          <w:rtl/>
        </w:rPr>
        <w:t>3</w:t>
      </w:r>
      <w:r w:rsidRPr="00A40D58">
        <w:rPr>
          <w:rFonts w:hint="cs"/>
          <w:rtl/>
        </w:rPr>
        <w:t xml:space="preserve"> נקודת אחוז) ועמד </w:t>
      </w:r>
      <w:r>
        <w:rPr>
          <w:rFonts w:hint="cs"/>
          <w:rtl/>
        </w:rPr>
        <w:t>בספטמבר</w:t>
      </w:r>
      <w:r w:rsidRPr="00A40D58">
        <w:rPr>
          <w:rFonts w:hint="cs"/>
          <w:rtl/>
        </w:rPr>
        <w:t xml:space="preserve"> על כ- 2</w:t>
      </w:r>
      <w:r>
        <w:rPr>
          <w:rFonts w:hint="cs"/>
          <w:rtl/>
        </w:rPr>
        <w:t>4</w:t>
      </w:r>
      <w:r w:rsidRPr="00A40D58">
        <w:rPr>
          <w:rFonts w:hint="cs"/>
          <w:rtl/>
        </w:rPr>
        <w:t>.</w:t>
      </w:r>
      <w:r>
        <w:rPr>
          <w:rFonts w:hint="cs"/>
          <w:rtl/>
        </w:rPr>
        <w:t>2</w:t>
      </w:r>
      <w:r w:rsidRPr="00A40D58">
        <w:rPr>
          <w:rFonts w:hint="cs"/>
          <w:rtl/>
        </w:rPr>
        <w:t>% מהתיק (</w:t>
      </w:r>
      <w:r>
        <w:rPr>
          <w:rFonts w:hint="cs"/>
          <w:rtl/>
        </w:rPr>
        <w:t>שילוב של ירידה</w:t>
      </w:r>
      <w:r w:rsidRPr="00A40D58">
        <w:rPr>
          <w:rFonts w:hint="cs"/>
          <w:rtl/>
        </w:rPr>
        <w:t xml:space="preserve"> ב</w:t>
      </w:r>
      <w:r>
        <w:rPr>
          <w:rFonts w:hint="cs"/>
          <w:rtl/>
        </w:rPr>
        <w:t>שווי יתרת</w:t>
      </w:r>
      <w:r w:rsidRPr="00A40D58">
        <w:rPr>
          <w:rFonts w:hint="cs"/>
          <w:rtl/>
        </w:rPr>
        <w:t xml:space="preserve"> הנכסים הזרים והשפעת </w:t>
      </w:r>
      <w:r>
        <w:rPr>
          <w:rFonts w:hint="cs"/>
          <w:rtl/>
        </w:rPr>
        <w:t>הפיחות על סך כל נכסי ההשקעה</w:t>
      </w:r>
      <w:r w:rsidRPr="00A40D58">
        <w:rPr>
          <w:rFonts w:hint="cs"/>
          <w:rtl/>
        </w:rPr>
        <w:t xml:space="preserve">). </w:t>
      </w:r>
      <w:r>
        <w:rPr>
          <w:rFonts w:hint="cs"/>
          <w:rtl/>
        </w:rPr>
        <w:t xml:space="preserve">מהשינויים הבולטים, חברות הביטוח וקופות הגמל וההשתלמות הקטינו את היקף חשיפתן לנכסים זרים בכ- 0.6 נקודות האחוז כל אחת עד לרמה של כ-34.5% ו- 25.1% בהתאמה. </w:t>
      </w:r>
    </w:p>
    <w:p w:rsidR="00A71EAF" w:rsidRPr="003139F9" w:rsidRDefault="00A71EAF" w:rsidP="00AD19B0">
      <w:pPr>
        <w:spacing w:line="360" w:lineRule="auto"/>
        <w:jc w:val="both"/>
        <w:rPr>
          <w:color w:val="000080"/>
          <w:sz w:val="28"/>
          <w:szCs w:val="28"/>
          <w:rtl/>
        </w:rPr>
      </w:pPr>
      <w:r w:rsidRPr="007F052C">
        <w:rPr>
          <w:rFonts w:hint="cs"/>
          <w:b/>
          <w:bCs/>
          <w:rtl/>
        </w:rPr>
        <w:t>בחשיפה למט"ח,</w:t>
      </w:r>
      <w:r>
        <w:rPr>
          <w:rFonts w:hint="cs"/>
          <w:rtl/>
        </w:rPr>
        <w:t xml:space="preserve"> הנמדדת ע"י משקל הנכסים הנקובים והצמודים למט"ח (כולל נגזרים)</w:t>
      </w:r>
      <w:r w:rsidRPr="00942B77">
        <w:rPr>
          <w:rFonts w:hint="cs"/>
          <w:rtl/>
        </w:rPr>
        <w:t xml:space="preserve"> </w:t>
      </w:r>
      <w:r>
        <w:rPr>
          <w:rFonts w:hint="cs"/>
          <w:rtl/>
        </w:rPr>
        <w:t>מסך כל הנכסים של המשקיעים המוסדיים, חלה ירידה של כ- 1.1 נקודות אחוז ב</w:t>
      </w:r>
      <w:r w:rsidRPr="00314E30">
        <w:rPr>
          <w:rFonts w:hint="cs"/>
          <w:rtl/>
        </w:rPr>
        <w:t>שיעור החשיפה למט"</w:t>
      </w:r>
      <w:r>
        <w:rPr>
          <w:rFonts w:hint="cs"/>
          <w:rtl/>
        </w:rPr>
        <w:t>ח ועמד בסוף ספטמבר על כ- 13.3%</w:t>
      </w:r>
      <w:r>
        <w:t>;</w:t>
      </w:r>
      <w:r>
        <w:rPr>
          <w:rFonts w:hint="cs"/>
          <w:rtl/>
        </w:rPr>
        <w:t xml:space="preserve"> הירידה בשיעור החשיפה נובעת מירידה ביתרת החשיפה למט"ח במונחים שקליים (כ- 8%) בעוד שיתרת סך כל נכסי ההשקעה נותרה כמעט ללא שינוי. </w:t>
      </w:r>
      <w:r w:rsidRPr="005B4290">
        <w:rPr>
          <w:rFonts w:hint="cs"/>
          <w:rtl/>
        </w:rPr>
        <w:t xml:space="preserve">הירידה </w:t>
      </w:r>
      <w:r>
        <w:rPr>
          <w:rFonts w:hint="cs"/>
          <w:rtl/>
        </w:rPr>
        <w:t>ביתרת החשיפה</w:t>
      </w:r>
      <w:r w:rsidRPr="005B4290">
        <w:rPr>
          <w:rFonts w:hint="cs"/>
          <w:rtl/>
        </w:rPr>
        <w:t xml:space="preserve"> נבעה מירידה במחירי ני"ע בשוקי חו"ל אשר קוזזה חלקית ע"י פיחות השקל מול הדולר ורכישות נטו במט"ח.</w:t>
      </w:r>
      <w:r>
        <w:rPr>
          <w:rFonts w:hint="cs"/>
          <w:rtl/>
        </w:rPr>
        <w:t xml:space="preserve"> השינוי המשמעותי ביותר, במהלך הרביע השלישי,  התרכז בחברות הביטוח שהקטינו את חשיפתן לשינויים בשע"ח בכ- 2.1 נקודות האחוז ובמקביל</w:t>
      </w:r>
      <w:r w:rsidRPr="00B96F02">
        <w:rPr>
          <w:rFonts w:hint="cs"/>
          <w:rtl/>
        </w:rPr>
        <w:t>,</w:t>
      </w:r>
      <w:r>
        <w:rPr>
          <w:rFonts w:hint="cs"/>
          <w:color w:val="000080"/>
          <w:sz w:val="28"/>
          <w:szCs w:val="28"/>
          <w:rtl/>
        </w:rPr>
        <w:t xml:space="preserve"> </w:t>
      </w:r>
      <w:r>
        <w:rPr>
          <w:rFonts w:hint="cs"/>
          <w:rtl/>
        </w:rPr>
        <w:t xml:space="preserve">קרנות הפנסיה החדשות והוותיקות הקטינו בממוצע את חשיפתן במהלך הרביע בכ-1.2 נקודות אחוז. </w:t>
      </w:r>
    </w:p>
    <w:p w:rsidR="00A71EAF" w:rsidRPr="00544A33" w:rsidRDefault="00A71EAF" w:rsidP="00AD19B0">
      <w:pPr>
        <w:spacing w:line="360" w:lineRule="auto"/>
        <w:ind w:right="57"/>
        <w:jc w:val="both"/>
        <w:rPr>
          <w:rFonts w:ascii="David"/>
          <w:rtl/>
        </w:rPr>
      </w:pPr>
      <w:r w:rsidRPr="00376947">
        <w:rPr>
          <w:rFonts w:hint="cs"/>
          <w:rtl/>
        </w:rPr>
        <w:t>מנתוני</w:t>
      </w:r>
      <w:r w:rsidRPr="00544A33">
        <w:rPr>
          <w:rFonts w:hint="cs"/>
          <w:b/>
          <w:bCs/>
          <w:rtl/>
        </w:rPr>
        <w:t xml:space="preserve"> </w:t>
      </w:r>
      <w:r w:rsidRPr="00A71EAF">
        <w:rPr>
          <w:rFonts w:hint="cs"/>
          <w:rtl/>
        </w:rPr>
        <w:t>האומדנים</w:t>
      </w:r>
      <w:r>
        <w:rPr>
          <w:rFonts w:hint="cs"/>
          <w:b/>
          <w:bCs/>
          <w:rtl/>
        </w:rPr>
        <w:t xml:space="preserve"> ל</w:t>
      </w:r>
      <w:r w:rsidRPr="00544A33">
        <w:rPr>
          <w:rFonts w:hint="cs"/>
          <w:b/>
          <w:bCs/>
          <w:rtl/>
        </w:rPr>
        <w:t xml:space="preserve">תנועות נטו </w:t>
      </w:r>
      <w:r w:rsidRPr="00376947">
        <w:rPr>
          <w:rFonts w:hint="cs"/>
          <w:rtl/>
        </w:rPr>
        <w:t xml:space="preserve">עולה כי במהלך הרביע </w:t>
      </w:r>
      <w:r>
        <w:rPr>
          <w:rFonts w:hint="cs"/>
          <w:rtl/>
        </w:rPr>
        <w:t>השלישי</w:t>
      </w:r>
      <w:r w:rsidRPr="00376947">
        <w:rPr>
          <w:rFonts w:hint="cs"/>
          <w:rtl/>
        </w:rPr>
        <w:t xml:space="preserve"> </w:t>
      </w:r>
      <w:r>
        <w:rPr>
          <w:rFonts w:hint="cs"/>
          <w:rtl/>
        </w:rPr>
        <w:t>המשקיעים המוסדיים</w:t>
      </w:r>
      <w:r w:rsidRPr="00376947">
        <w:rPr>
          <w:rFonts w:hint="cs"/>
          <w:rtl/>
        </w:rPr>
        <w:t xml:space="preserve"> המשיכו לגדר חלקית את השקעותיהם בנכסי מט"</w:t>
      </w:r>
      <w:r>
        <w:rPr>
          <w:rFonts w:hint="cs"/>
          <w:rtl/>
        </w:rPr>
        <w:t>ח</w:t>
      </w:r>
      <w:r>
        <w:t>;</w:t>
      </w:r>
      <w:r>
        <w:rPr>
          <w:rFonts w:hint="cs"/>
          <w:rtl/>
        </w:rPr>
        <w:t xml:space="preserve"> השקיעו כ-2.2 מיליארדי דולרים </w:t>
      </w:r>
      <w:r w:rsidRPr="00376947">
        <w:rPr>
          <w:rFonts w:hint="cs"/>
          <w:rtl/>
        </w:rPr>
        <w:t>בנכסים הנקובים והצמודים למט"ח</w:t>
      </w:r>
      <w:r>
        <w:rPr>
          <w:rFonts w:hint="cs"/>
          <w:rtl/>
        </w:rPr>
        <w:t xml:space="preserve"> ומנגד מכרו מט"ח נטו באמצעות מכשירים נגזרים בהיקף של כ-1.6 מיליארדי דולרים.</w:t>
      </w:r>
    </w:p>
    <w:p w:rsidR="00A71EAF" w:rsidRPr="00A71EAF" w:rsidRDefault="00A71EAF" w:rsidP="00AD19B0">
      <w:pPr>
        <w:spacing w:line="360" w:lineRule="auto"/>
        <w:jc w:val="both"/>
        <w:rPr>
          <w:b/>
          <w:bCs/>
          <w:rtl/>
        </w:rPr>
      </w:pPr>
      <w:r w:rsidRPr="00A71EAF">
        <w:rPr>
          <w:rFonts w:hint="cs"/>
          <w:b/>
          <w:bCs/>
          <w:rtl/>
        </w:rPr>
        <w:t>*</w:t>
      </w:r>
      <w:r>
        <w:rPr>
          <w:rFonts w:hint="cs"/>
          <w:b/>
          <w:bCs/>
          <w:rtl/>
        </w:rPr>
        <w:t xml:space="preserve"> </w:t>
      </w:r>
      <w:r w:rsidRPr="00A71EAF">
        <w:rPr>
          <w:rFonts w:hint="cs"/>
          <w:b/>
          <w:bCs/>
          <w:rtl/>
        </w:rPr>
        <w:t xml:space="preserve">החל מהחודש, ניתן למצוא באתר בנק ישראל </w:t>
      </w:r>
      <w:hyperlink r:id="rId21" w:history="1">
        <w:r w:rsidRPr="0071210C">
          <w:rPr>
            <w:rStyle w:val="Hyperlink"/>
            <w:rFonts w:hint="cs"/>
            <w:b/>
            <w:bCs/>
            <w:rtl/>
          </w:rPr>
          <w:t>לוחות ארוכי טווח חודשיים</w:t>
        </w:r>
      </w:hyperlink>
      <w:r w:rsidRPr="00A71EAF">
        <w:rPr>
          <w:rFonts w:hint="cs"/>
          <w:b/>
          <w:bCs/>
          <w:rtl/>
        </w:rPr>
        <w:t xml:space="preserve"> לנתוני חשיפה למט"ח ולזרים של המשקיעים המוסדיים. </w:t>
      </w:r>
    </w:p>
    <w:p w:rsidR="001A095A" w:rsidRPr="005B0531" w:rsidRDefault="001A095A" w:rsidP="00544A33">
      <w:pPr>
        <w:tabs>
          <w:tab w:val="left" w:pos="9598"/>
        </w:tabs>
        <w:spacing w:line="360" w:lineRule="auto"/>
        <w:jc w:val="both"/>
        <w:outlineLvl w:val="0"/>
        <w:rPr>
          <w:rFonts w:asciiTheme="minorHAnsi" w:hAnsiTheme="minorHAnsi"/>
          <w:rtl/>
        </w:rPr>
      </w:pPr>
    </w:p>
    <w:tbl>
      <w:tblPr>
        <w:tblStyle w:val="ad"/>
        <w:bidiVisual/>
        <w:tblW w:w="9215" w:type="dxa"/>
        <w:tblInd w:w="-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גרפים"/>
        <w:tblDescription w:val="גרפים"/>
      </w:tblPr>
      <w:tblGrid>
        <w:gridCol w:w="4751"/>
        <w:gridCol w:w="4751"/>
      </w:tblGrid>
      <w:tr w:rsidR="00207B9F" w:rsidRPr="00207B9F" w:rsidTr="001A095A">
        <w:tc>
          <w:tcPr>
            <w:tcW w:w="4820" w:type="dxa"/>
          </w:tcPr>
          <w:p w:rsidR="00207B9F" w:rsidRPr="00207B9F" w:rsidRDefault="00A71EAF" w:rsidP="006769C7">
            <w:pPr>
              <w:tabs>
                <w:tab w:val="left" w:pos="4928"/>
              </w:tabs>
              <w:spacing w:line="360" w:lineRule="auto"/>
              <w:jc w:val="both"/>
              <w:rPr>
                <w:rtl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71552" behindDoc="0" locked="0" layoutInCell="1" allowOverlap="1" wp14:anchorId="0469FF63" wp14:editId="71772518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-3810</wp:posOffset>
                  </wp:positionV>
                  <wp:extent cx="2879725" cy="1881505"/>
                  <wp:effectExtent l="0" t="0" r="0" b="4445"/>
                  <wp:wrapSquare wrapText="bothSides"/>
                  <wp:docPr id="22" name="תמונה 22" descr="תנועות נטו בנכסי מט&quot;ח של המשקיעים המוסדיים מול שינוי בנגזרים ש&quot;ח/מט&quot;ח" title="תנועות נטו בנכסי מט&quot;ח של המשקיעים המוסדיים מול שינוי בנגזרים ש&quot;ח/מט&quot;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188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5" w:type="dxa"/>
          </w:tcPr>
          <w:p w:rsidR="00207B9F" w:rsidRPr="00207B9F" w:rsidRDefault="007B2B5E" w:rsidP="006769C7">
            <w:pPr>
              <w:tabs>
                <w:tab w:val="left" w:pos="4928"/>
              </w:tabs>
              <w:spacing w:line="360" w:lineRule="auto"/>
              <w:jc w:val="both"/>
              <w:rPr>
                <w:rtl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9504" behindDoc="0" locked="0" layoutInCell="1" allowOverlap="1" wp14:anchorId="02D70967" wp14:editId="0E90555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3175</wp:posOffset>
                  </wp:positionV>
                  <wp:extent cx="2879725" cy="1881505"/>
                  <wp:effectExtent l="0" t="0" r="0" b="4445"/>
                  <wp:wrapSquare wrapText="bothSides"/>
                  <wp:docPr id="5" name="תמונה 5" descr="שיעור החשיפה לזרים ולמט&quot;ח של המשקיעים המוסדיים" title="שיעור החשיפה לזרים ולמט&quot;ח של המשקיעים המוסדי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188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F0DC3" w:rsidRDefault="002F0DC3" w:rsidP="008F6E2B">
      <w:pPr>
        <w:tabs>
          <w:tab w:val="left" w:pos="4928"/>
        </w:tabs>
        <w:spacing w:line="360" w:lineRule="auto"/>
        <w:jc w:val="both"/>
        <w:rPr>
          <w:b/>
          <w:bCs/>
          <w:rtl/>
        </w:rPr>
      </w:pPr>
    </w:p>
    <w:p w:rsidR="007D09A4" w:rsidRDefault="009B2E23" w:rsidP="00D558A6">
      <w:pPr>
        <w:pStyle w:val="ae"/>
        <w:numPr>
          <w:ilvl w:val="0"/>
          <w:numId w:val="18"/>
        </w:numPr>
        <w:tabs>
          <w:tab w:val="left" w:pos="4928"/>
        </w:tabs>
        <w:spacing w:line="360" w:lineRule="auto"/>
        <w:jc w:val="both"/>
        <w:rPr>
          <w:rtl/>
        </w:rPr>
      </w:pPr>
      <w:r w:rsidRPr="00D558A6">
        <w:rPr>
          <w:rStyle w:val="10"/>
          <w:rFonts w:hint="cs"/>
          <w:rtl/>
        </w:rPr>
        <w:t xml:space="preserve">התיק המנוהל באמצעות </w:t>
      </w:r>
      <w:r w:rsidR="0094399B" w:rsidRPr="00D558A6">
        <w:rPr>
          <w:rStyle w:val="10"/>
          <w:rFonts w:hint="cs"/>
          <w:rtl/>
        </w:rPr>
        <w:t xml:space="preserve">קרנות </w:t>
      </w:r>
      <w:r w:rsidR="0027681B" w:rsidRPr="00D558A6">
        <w:rPr>
          <w:rStyle w:val="10"/>
          <w:rFonts w:hint="cs"/>
          <w:rtl/>
        </w:rPr>
        <w:t>ה</w:t>
      </w:r>
      <w:r w:rsidR="0094399B" w:rsidRPr="00D558A6">
        <w:rPr>
          <w:rStyle w:val="10"/>
          <w:rFonts w:hint="cs"/>
          <w:rtl/>
        </w:rPr>
        <w:t>נאמנות</w:t>
      </w:r>
      <w:r w:rsidR="00AC1D6B" w:rsidRPr="00D558A6">
        <w:rPr>
          <w:rFonts w:hint="cs"/>
          <w:b/>
          <w:bCs/>
          <w:rtl/>
        </w:rPr>
        <w:t xml:space="preserve"> </w:t>
      </w:r>
    </w:p>
    <w:p w:rsidR="00BD3B89" w:rsidRDefault="001A43E9" w:rsidP="00862B40">
      <w:pPr>
        <w:spacing w:line="360" w:lineRule="auto"/>
        <w:jc w:val="both"/>
        <w:rPr>
          <w:b/>
          <w:bCs/>
          <w:rtl/>
        </w:rPr>
      </w:pPr>
      <w:r>
        <w:rPr>
          <w:rFonts w:hint="cs"/>
          <w:rtl/>
        </w:rPr>
        <w:t xml:space="preserve">היקף התיק המנוהל באמצעות קרנות נאמנות </w:t>
      </w:r>
      <w:r w:rsidR="000A689F">
        <w:rPr>
          <w:rFonts w:hint="cs"/>
          <w:rtl/>
        </w:rPr>
        <w:t xml:space="preserve">ישראליות </w:t>
      </w:r>
      <w:r>
        <w:rPr>
          <w:rFonts w:hint="cs"/>
          <w:rtl/>
        </w:rPr>
        <w:t>עמד</w:t>
      </w:r>
      <w:r w:rsidR="00764A0A">
        <w:rPr>
          <w:rFonts w:hint="cs"/>
          <w:rtl/>
        </w:rPr>
        <w:t xml:space="preserve"> </w:t>
      </w:r>
      <w:r w:rsidR="00455C2A">
        <w:rPr>
          <w:rFonts w:hint="cs"/>
          <w:rtl/>
        </w:rPr>
        <w:t>ב</w:t>
      </w:r>
      <w:r w:rsidR="00F83CE7">
        <w:rPr>
          <w:rFonts w:hint="cs"/>
          <w:rtl/>
        </w:rPr>
        <w:t xml:space="preserve">סוף </w:t>
      </w:r>
      <w:r w:rsidR="001F4DD2">
        <w:rPr>
          <w:rFonts w:hint="cs"/>
          <w:rtl/>
        </w:rPr>
        <w:t>ספטמבר</w:t>
      </w:r>
      <w:r w:rsidR="00872C40">
        <w:rPr>
          <w:rFonts w:hint="cs"/>
          <w:rtl/>
        </w:rPr>
        <w:t xml:space="preserve"> </w:t>
      </w:r>
      <w:r w:rsidR="007F052C">
        <w:rPr>
          <w:rFonts w:hint="cs"/>
          <w:rtl/>
        </w:rPr>
        <w:t>2015</w:t>
      </w:r>
      <w:r w:rsidR="00872C40">
        <w:rPr>
          <w:rFonts w:hint="cs"/>
          <w:rtl/>
        </w:rPr>
        <w:t xml:space="preserve"> </w:t>
      </w:r>
      <w:r w:rsidR="00764A0A">
        <w:rPr>
          <w:rFonts w:hint="cs"/>
          <w:rtl/>
        </w:rPr>
        <w:t>על</w:t>
      </w:r>
      <w:r w:rsidR="0020778C">
        <w:rPr>
          <w:rFonts w:hint="cs"/>
          <w:rtl/>
        </w:rPr>
        <w:t xml:space="preserve"> כ-</w:t>
      </w:r>
      <w:r w:rsidR="001F4DD2">
        <w:rPr>
          <w:rFonts w:hint="cs"/>
          <w:rtl/>
        </w:rPr>
        <w:t>236</w:t>
      </w:r>
      <w:r w:rsidR="00870A61">
        <w:rPr>
          <w:rFonts w:hint="cs"/>
          <w:rtl/>
        </w:rPr>
        <w:t xml:space="preserve"> </w:t>
      </w:r>
      <w:r>
        <w:rPr>
          <w:rFonts w:hint="cs"/>
          <w:rtl/>
        </w:rPr>
        <w:t xml:space="preserve">מיליארדי </w:t>
      </w:r>
      <w:r w:rsidR="00FD22C6" w:rsidRPr="005E5748">
        <w:rPr>
          <w:rFonts w:hint="cs"/>
          <w:rtl/>
        </w:rPr>
        <w:t>ש</w:t>
      </w:r>
      <w:r w:rsidR="00FD22C6" w:rsidRPr="005E5748">
        <w:rPr>
          <w:rtl/>
        </w:rPr>
        <w:t>"</w:t>
      </w:r>
      <w:r w:rsidR="00FD22C6" w:rsidRPr="005E5748">
        <w:rPr>
          <w:rFonts w:hint="cs"/>
          <w:rtl/>
        </w:rPr>
        <w:t>ח</w:t>
      </w:r>
      <w:r w:rsidR="000D4218">
        <w:rPr>
          <w:rFonts w:hint="cs"/>
          <w:rtl/>
        </w:rPr>
        <w:t>,</w:t>
      </w:r>
      <w:r>
        <w:rPr>
          <w:rFonts w:hint="cs"/>
          <w:rtl/>
        </w:rPr>
        <w:t xml:space="preserve"> כ-</w:t>
      </w:r>
      <w:r w:rsidR="007F052C">
        <w:rPr>
          <w:rFonts w:hint="cs"/>
          <w:rtl/>
        </w:rPr>
        <w:t>7.</w:t>
      </w:r>
      <w:r w:rsidR="001F4DD2">
        <w:rPr>
          <w:rFonts w:hint="cs"/>
          <w:rtl/>
        </w:rPr>
        <w:t>3</w:t>
      </w:r>
      <w:r>
        <w:rPr>
          <w:rFonts w:hint="cs"/>
          <w:rtl/>
        </w:rPr>
        <w:t xml:space="preserve">% מסך תיק הנכסים של </w:t>
      </w:r>
      <w:r w:rsidRPr="009C5E5D">
        <w:rPr>
          <w:rFonts w:hint="cs"/>
          <w:rtl/>
        </w:rPr>
        <w:t>הציבור</w:t>
      </w:r>
      <w:r w:rsidR="00DB2F69" w:rsidRPr="009C5E5D">
        <w:rPr>
          <w:rFonts w:hint="cs"/>
          <w:rtl/>
        </w:rPr>
        <w:t xml:space="preserve"> וכ-</w:t>
      </w:r>
      <w:r w:rsidR="007F052C">
        <w:rPr>
          <w:rFonts w:hint="cs"/>
          <w:rtl/>
        </w:rPr>
        <w:t>14.</w:t>
      </w:r>
      <w:r w:rsidR="001F4DD2">
        <w:rPr>
          <w:rFonts w:hint="cs"/>
          <w:rtl/>
        </w:rPr>
        <w:t>2</w:t>
      </w:r>
      <w:r w:rsidR="00DB2F69" w:rsidRPr="009C5E5D">
        <w:rPr>
          <w:rFonts w:hint="cs"/>
          <w:rtl/>
        </w:rPr>
        <w:t>% מהתיק</w:t>
      </w:r>
      <w:r w:rsidR="00DB2F69">
        <w:rPr>
          <w:rFonts w:hint="cs"/>
          <w:rtl/>
        </w:rPr>
        <w:t xml:space="preserve"> הסחיר</w:t>
      </w:r>
      <w:r w:rsidR="0027681B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2237F8" w:rsidRDefault="007F052C" w:rsidP="00980385">
      <w:pPr>
        <w:spacing w:line="360" w:lineRule="auto"/>
        <w:jc w:val="both"/>
        <w:rPr>
          <w:rtl/>
        </w:rPr>
      </w:pPr>
      <w:r>
        <w:rPr>
          <w:rFonts w:hint="cs"/>
          <w:b/>
          <w:bCs/>
          <w:rtl/>
        </w:rPr>
        <w:t xml:space="preserve">ברביע </w:t>
      </w:r>
      <w:r w:rsidR="001F4DD2">
        <w:rPr>
          <w:rFonts w:hint="cs"/>
          <w:b/>
          <w:bCs/>
          <w:rtl/>
        </w:rPr>
        <w:t>השלישי</w:t>
      </w:r>
      <w:r>
        <w:rPr>
          <w:rFonts w:hint="cs"/>
          <w:b/>
          <w:bCs/>
          <w:rtl/>
        </w:rPr>
        <w:t xml:space="preserve"> של שנת 2015, נמשכת מגמת</w:t>
      </w:r>
      <w:r w:rsidR="007D09A4" w:rsidRPr="007D09A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ה</w:t>
      </w:r>
      <w:r w:rsidR="007D09A4" w:rsidRPr="007D09A4">
        <w:rPr>
          <w:rFonts w:hint="cs"/>
          <w:b/>
          <w:bCs/>
          <w:rtl/>
        </w:rPr>
        <w:t>פדיונות נטו</w:t>
      </w:r>
      <w:r w:rsidR="006F3F52">
        <w:rPr>
          <w:rFonts w:hint="cs"/>
          <w:b/>
          <w:bCs/>
          <w:rtl/>
        </w:rPr>
        <w:t xml:space="preserve"> </w:t>
      </w:r>
      <w:r w:rsidR="006F3F52">
        <w:rPr>
          <w:rFonts w:hint="cs"/>
          <w:rtl/>
        </w:rPr>
        <w:t>(עודף פדיונות על הנפקות, בניכוי דיבידנד)</w:t>
      </w:r>
      <w:r w:rsidR="00A71EAF">
        <w:rPr>
          <w:rFonts w:hint="cs"/>
          <w:rtl/>
        </w:rPr>
        <w:t xml:space="preserve"> בהיקף של כ- </w:t>
      </w:r>
      <w:r w:rsidR="00167682">
        <w:rPr>
          <w:rFonts w:hint="cs"/>
          <w:rtl/>
        </w:rPr>
        <w:t>9.6 מיליארדי ש"ח</w:t>
      </w:r>
      <w:r w:rsidR="006F3F52">
        <w:rPr>
          <w:rFonts w:hint="cs"/>
          <w:rtl/>
        </w:rPr>
        <w:t xml:space="preserve">, </w:t>
      </w:r>
      <w:r w:rsidR="007D09A4">
        <w:rPr>
          <w:rFonts w:hint="cs"/>
          <w:rtl/>
        </w:rPr>
        <w:t xml:space="preserve">זאת בהמשך למגמת הירידה בצבירות נטו מאז הרביע השני </w:t>
      </w:r>
      <w:r w:rsidR="00874FDB">
        <w:rPr>
          <w:rFonts w:hint="cs"/>
          <w:rtl/>
        </w:rPr>
        <w:t>של שנת 2014</w:t>
      </w:r>
      <w:r w:rsidR="007D09A4" w:rsidRPr="006F3F52">
        <w:rPr>
          <w:rFonts w:hint="cs"/>
          <w:rtl/>
        </w:rPr>
        <w:t>.</w:t>
      </w:r>
      <w:r w:rsidR="006F3F52" w:rsidRPr="006F3F52">
        <w:rPr>
          <w:rFonts w:hint="cs"/>
          <w:rtl/>
        </w:rPr>
        <w:t xml:space="preserve"> כתוצאה </w:t>
      </w:r>
      <w:r w:rsidR="00874FDB">
        <w:rPr>
          <w:rFonts w:hint="cs"/>
          <w:rtl/>
        </w:rPr>
        <w:t xml:space="preserve">משילוב </w:t>
      </w:r>
      <w:r w:rsidR="006F3F52" w:rsidRPr="006F3F52">
        <w:rPr>
          <w:rFonts w:hint="cs"/>
          <w:rtl/>
        </w:rPr>
        <w:t>הפדיונות</w:t>
      </w:r>
      <w:r w:rsidR="006F3F52">
        <w:rPr>
          <w:rFonts w:hint="cs"/>
          <w:rtl/>
        </w:rPr>
        <w:t xml:space="preserve"> נטו </w:t>
      </w:r>
      <w:r w:rsidR="00870A61">
        <w:rPr>
          <w:rFonts w:hint="cs"/>
          <w:rtl/>
        </w:rPr>
        <w:t>וירידת</w:t>
      </w:r>
      <w:r w:rsidR="006F3F52">
        <w:rPr>
          <w:rFonts w:hint="cs"/>
          <w:rtl/>
        </w:rPr>
        <w:t xml:space="preserve"> מחירי הנכסים</w:t>
      </w:r>
      <w:r w:rsidR="00874FDB">
        <w:rPr>
          <w:rFonts w:hint="cs"/>
          <w:rtl/>
        </w:rPr>
        <w:t>,</w:t>
      </w:r>
      <w:r w:rsidR="006F3F52">
        <w:rPr>
          <w:rFonts w:hint="cs"/>
          <w:rtl/>
        </w:rPr>
        <w:t xml:space="preserve"> </w:t>
      </w:r>
      <w:r w:rsidR="00870A61">
        <w:rPr>
          <w:rFonts w:hint="cs"/>
          <w:rtl/>
        </w:rPr>
        <w:t xml:space="preserve">ירדו </w:t>
      </w:r>
      <w:r w:rsidR="006F3F52" w:rsidRPr="00101362">
        <w:rPr>
          <w:rFonts w:hint="cs"/>
          <w:rtl/>
        </w:rPr>
        <w:t xml:space="preserve">שווי יתרות קרנות הנאמנות </w:t>
      </w:r>
      <w:r w:rsidR="00870A61">
        <w:rPr>
          <w:rFonts w:hint="cs"/>
          <w:rtl/>
        </w:rPr>
        <w:t>בכ-</w:t>
      </w:r>
      <w:r w:rsidR="001F4DD2">
        <w:rPr>
          <w:rFonts w:hint="cs"/>
          <w:rtl/>
        </w:rPr>
        <w:t xml:space="preserve">10.9 </w:t>
      </w:r>
      <w:r w:rsidR="00870A61">
        <w:rPr>
          <w:rFonts w:hint="cs"/>
          <w:rtl/>
        </w:rPr>
        <w:t>מיליארדי ש</w:t>
      </w:r>
      <w:r w:rsidR="00870A61">
        <w:rPr>
          <w:rtl/>
        </w:rPr>
        <w:t>"</w:t>
      </w:r>
      <w:r w:rsidR="00870A61">
        <w:rPr>
          <w:rFonts w:hint="cs"/>
          <w:rtl/>
        </w:rPr>
        <w:t>ח.</w:t>
      </w:r>
      <w:r w:rsidR="006F3F52">
        <w:rPr>
          <w:rFonts w:hint="cs"/>
          <w:rtl/>
        </w:rPr>
        <w:t xml:space="preserve"> </w:t>
      </w:r>
      <w:r w:rsidR="00A21D66" w:rsidRPr="00101362">
        <w:rPr>
          <w:rFonts w:hint="cs"/>
          <w:rtl/>
        </w:rPr>
        <w:t>מהתפלגות הקרנות לפי התמחויות עולה כי</w:t>
      </w:r>
      <w:r w:rsidR="00A21D66" w:rsidRPr="00101362">
        <w:rPr>
          <w:rFonts w:hint="cs"/>
          <w:b/>
          <w:bCs/>
          <w:rtl/>
        </w:rPr>
        <w:t xml:space="preserve"> </w:t>
      </w:r>
      <w:r w:rsidR="00A21D66">
        <w:rPr>
          <w:rFonts w:hint="cs"/>
          <w:rtl/>
        </w:rPr>
        <w:t>הפדיונות</w:t>
      </w:r>
      <w:r w:rsidR="00A21D66" w:rsidRPr="00101362">
        <w:rPr>
          <w:rFonts w:hint="cs"/>
          <w:rtl/>
        </w:rPr>
        <w:t xml:space="preserve"> נטו</w:t>
      </w:r>
      <w:r w:rsidR="00A21D66">
        <w:rPr>
          <w:rFonts w:hint="cs"/>
          <w:rtl/>
        </w:rPr>
        <w:t xml:space="preserve"> ברביע זה, התרכזו בנכסי </w:t>
      </w:r>
      <w:r w:rsidR="001F4DD2">
        <w:rPr>
          <w:rFonts w:hint="cs"/>
          <w:rtl/>
        </w:rPr>
        <w:t>אג"ח מדינה (</w:t>
      </w:r>
      <w:r w:rsidR="00980385">
        <w:rPr>
          <w:rFonts w:hint="cs"/>
          <w:rtl/>
        </w:rPr>
        <w:t>4.9</w:t>
      </w:r>
      <w:r w:rsidR="001F4DD2">
        <w:rPr>
          <w:rFonts w:hint="cs"/>
          <w:rtl/>
        </w:rPr>
        <w:t xml:space="preserve"> מיליארדי</w:t>
      </w:r>
      <w:r w:rsidR="001F4DD2">
        <w:rPr>
          <w:rFonts w:hint="eastAsia"/>
          <w:rtl/>
        </w:rPr>
        <w:t>ם</w:t>
      </w:r>
      <w:r w:rsidR="001F4DD2">
        <w:rPr>
          <w:rFonts w:hint="cs"/>
          <w:rtl/>
        </w:rPr>
        <w:t xml:space="preserve">, </w:t>
      </w:r>
      <w:r w:rsidR="00980385">
        <w:rPr>
          <w:rFonts w:hint="cs"/>
          <w:rtl/>
        </w:rPr>
        <w:t>10%-), ב</w:t>
      </w:r>
      <w:r w:rsidR="00A21D66">
        <w:rPr>
          <w:rFonts w:hint="cs"/>
          <w:rtl/>
        </w:rPr>
        <w:t>קרנות הכספיות (</w:t>
      </w:r>
      <w:r w:rsidR="00980385">
        <w:rPr>
          <w:rFonts w:hint="cs"/>
          <w:rtl/>
        </w:rPr>
        <w:t>2.1</w:t>
      </w:r>
      <w:r w:rsidR="00A21D66" w:rsidRPr="00101362">
        <w:rPr>
          <w:rFonts w:hint="cs"/>
          <w:rtl/>
        </w:rPr>
        <w:t xml:space="preserve"> מיליארדי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A21D66" w:rsidRPr="00101362">
        <w:rPr>
          <w:rFonts w:hint="cs"/>
          <w:rtl/>
        </w:rPr>
        <w:t xml:space="preserve">, </w:t>
      </w:r>
      <w:r w:rsidR="00980385">
        <w:rPr>
          <w:rFonts w:hint="cs"/>
          <w:rtl/>
        </w:rPr>
        <w:t>6.7</w:t>
      </w:r>
      <w:r w:rsidR="00A21D66" w:rsidRPr="00101362">
        <w:rPr>
          <w:rFonts w:hint="cs"/>
          <w:rtl/>
        </w:rPr>
        <w:t>%</w:t>
      </w:r>
      <w:r w:rsidR="002237F8">
        <w:rPr>
          <w:rFonts w:hint="cs"/>
          <w:rtl/>
        </w:rPr>
        <w:t>-</w:t>
      </w:r>
      <w:r w:rsidR="00A21D66" w:rsidRPr="00101362">
        <w:rPr>
          <w:rFonts w:hint="cs"/>
          <w:rtl/>
        </w:rPr>
        <w:t>)</w:t>
      </w:r>
      <w:r w:rsidR="00A21D66">
        <w:rPr>
          <w:rFonts w:hint="cs"/>
          <w:rtl/>
        </w:rPr>
        <w:t xml:space="preserve"> </w:t>
      </w:r>
      <w:r w:rsidR="00980385">
        <w:rPr>
          <w:rFonts w:hint="cs"/>
          <w:rtl/>
        </w:rPr>
        <w:t>ו</w:t>
      </w:r>
      <w:r w:rsidR="00F7450B">
        <w:rPr>
          <w:rFonts w:hint="cs"/>
          <w:rtl/>
        </w:rPr>
        <w:t>ב</w:t>
      </w:r>
      <w:r w:rsidR="00A21D66">
        <w:rPr>
          <w:rFonts w:hint="cs"/>
          <w:rtl/>
        </w:rPr>
        <w:t xml:space="preserve">אג"ח </w:t>
      </w:r>
      <w:r w:rsidR="00980385">
        <w:rPr>
          <w:rFonts w:hint="cs"/>
          <w:rtl/>
        </w:rPr>
        <w:t>הכללי בארץ</w:t>
      </w:r>
      <w:r w:rsidR="002237F8">
        <w:rPr>
          <w:rFonts w:hint="cs"/>
          <w:rtl/>
        </w:rPr>
        <w:t xml:space="preserve"> (</w:t>
      </w:r>
      <w:r w:rsidR="00980385">
        <w:rPr>
          <w:rFonts w:hint="cs"/>
          <w:rtl/>
        </w:rPr>
        <w:t>1.8</w:t>
      </w:r>
      <w:r w:rsidR="002237F8">
        <w:rPr>
          <w:rFonts w:hint="cs"/>
          <w:rtl/>
        </w:rPr>
        <w:t xml:space="preserve"> </w:t>
      </w:r>
      <w:r w:rsidR="00855B17">
        <w:rPr>
          <w:rFonts w:hint="cs"/>
          <w:rtl/>
        </w:rPr>
        <w:t>מיליארדי</w:t>
      </w:r>
      <w:r w:rsidR="00855B17">
        <w:rPr>
          <w:rFonts w:hint="eastAsia"/>
          <w:rtl/>
        </w:rPr>
        <w:t>ם</w:t>
      </w:r>
      <w:r w:rsidR="002237F8">
        <w:rPr>
          <w:rFonts w:hint="cs"/>
          <w:rtl/>
        </w:rPr>
        <w:t xml:space="preserve">, </w:t>
      </w:r>
      <w:r w:rsidR="00980385">
        <w:rPr>
          <w:rFonts w:hint="cs"/>
          <w:rtl/>
        </w:rPr>
        <w:t>2.4%-).</w:t>
      </w:r>
    </w:p>
    <w:p w:rsidR="00855B17" w:rsidRDefault="00855B17" w:rsidP="00855B17">
      <w:pPr>
        <w:spacing w:line="360" w:lineRule="auto"/>
        <w:jc w:val="both"/>
        <w:rPr>
          <w:rtl/>
        </w:rPr>
      </w:pPr>
    </w:p>
    <w:p w:rsidR="009B0BA1" w:rsidRDefault="001F4DD2" w:rsidP="00A332E3">
      <w:pPr>
        <w:spacing w:line="360" w:lineRule="auto"/>
        <w:jc w:val="both"/>
        <w:rPr>
          <w:rtl/>
        </w:rPr>
      </w:pPr>
      <w:r>
        <w:rPr>
          <w:noProof/>
          <w:lang w:eastAsia="en-US"/>
        </w:rPr>
        <w:drawing>
          <wp:inline distT="0" distB="0" distL="0" distR="0" wp14:anchorId="5225ADF0" wp14:editId="0A8EB2CC">
            <wp:extent cx="5220000" cy="3185182"/>
            <wp:effectExtent l="0" t="0" r="0" b="0"/>
            <wp:docPr id="6" name="תמונה 6" descr="ההפקדות נטו בקרנות הנאמנות לפי התמחות" title="ההפקדות נטו בקרנות הנאמנות לפי התמח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3185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077B" w:rsidRDefault="00C5077B" w:rsidP="00D921A2">
      <w:pPr>
        <w:autoSpaceDE w:val="0"/>
        <w:autoSpaceDN w:val="0"/>
        <w:adjustRightInd w:val="0"/>
        <w:spacing w:line="360" w:lineRule="auto"/>
        <w:rPr>
          <w:rtl/>
        </w:rPr>
      </w:pPr>
    </w:p>
    <w:p w:rsidR="002502BC" w:rsidRDefault="00CA4805" w:rsidP="00CA4805">
      <w:pPr>
        <w:autoSpaceDE w:val="0"/>
        <w:autoSpaceDN w:val="0"/>
        <w:adjustRightInd w:val="0"/>
        <w:spacing w:line="360" w:lineRule="auto"/>
        <w:rPr>
          <w:rtl/>
        </w:rPr>
      </w:pPr>
      <w:r>
        <w:rPr>
          <w:rFonts w:hint="cs"/>
          <w:rtl/>
        </w:rPr>
        <w:t xml:space="preserve">למידע נוסף בנושא זה לחץ </w:t>
      </w:r>
      <w:hyperlink r:id="rId25" w:tooltip="תפתחויות בתיק הנכסים הפיננסיים של הציבור" w:history="1">
        <w:r w:rsidRPr="00CA4805">
          <w:rPr>
            <w:rStyle w:val="Hyperlink"/>
            <w:rFonts w:hint="cs"/>
            <w:rtl/>
          </w:rPr>
          <w:t>כאן</w:t>
        </w:r>
      </w:hyperlink>
      <w:r>
        <w:rPr>
          <w:rFonts w:hint="cs"/>
          <w:rtl/>
        </w:rPr>
        <w:t>.</w:t>
      </w:r>
    </w:p>
    <w:sectPr w:rsidR="002502BC" w:rsidSect="00D921A2">
      <w:footerReference w:type="even" r:id="rId26"/>
      <w:footerReference w:type="default" r:id="rId27"/>
      <w:endnotePr>
        <w:numFmt w:val="lowerLetter"/>
      </w:endnotePr>
      <w:pgSz w:w="11906" w:h="16838"/>
      <w:pgMar w:top="964" w:right="1797" w:bottom="1134" w:left="1797" w:header="720" w:footer="17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021" w:rsidRDefault="00D61021">
      <w:r>
        <w:separator/>
      </w:r>
    </w:p>
  </w:endnote>
  <w:endnote w:type="continuationSeparator" w:id="0">
    <w:p w:rsidR="00D61021" w:rsidRDefault="00D6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89" w:rsidRDefault="00BD3B89" w:rsidP="004530BD">
    <w:pPr>
      <w:pStyle w:val="a5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BD3B89" w:rsidRDefault="00BD3B89" w:rsidP="005F72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1A2" w:rsidRPr="005E04A2" w:rsidRDefault="00D921A2" w:rsidP="001E6A6C">
    <w:pPr>
      <w:spacing w:line="360" w:lineRule="auto"/>
      <w:ind w:left="90"/>
      <w:rPr>
        <w:sz w:val="20"/>
        <w:szCs w:val="20"/>
        <w:rtl/>
        <w:cs/>
      </w:rPr>
    </w:pPr>
    <w:r w:rsidRPr="005E04A2">
      <w:rPr>
        <w:rFonts w:hint="cs"/>
        <w:sz w:val="20"/>
        <w:szCs w:val="20"/>
        <w:rtl/>
      </w:rPr>
      <w:t xml:space="preserve">בנק ישראל - התפתחויות בתיק הנכסים הפיננסיים של הציבור ברביע </w:t>
    </w:r>
    <w:r w:rsidR="001E6A6C" w:rsidRPr="005E04A2">
      <w:rPr>
        <w:rFonts w:hint="cs"/>
        <w:sz w:val="20"/>
        <w:szCs w:val="20"/>
        <w:rtl/>
      </w:rPr>
      <w:t>השלישי</w:t>
    </w:r>
    <w:r w:rsidRPr="005E04A2">
      <w:rPr>
        <w:rFonts w:hint="cs"/>
        <w:sz w:val="20"/>
        <w:szCs w:val="20"/>
        <w:rtl/>
      </w:rPr>
      <w:t xml:space="preserve"> של שנת </w:t>
    </w:r>
    <w:r w:rsidR="00B811C5" w:rsidRPr="005E04A2">
      <w:rPr>
        <w:rFonts w:hint="cs"/>
        <w:sz w:val="20"/>
        <w:szCs w:val="20"/>
        <w:rtl/>
      </w:rPr>
      <w:t>2015</w:t>
    </w:r>
    <w:r w:rsidRPr="005E04A2">
      <w:rPr>
        <w:rFonts w:hint="cs"/>
        <w:sz w:val="20"/>
        <w:szCs w:val="20"/>
        <w:rtl/>
        <w:cs/>
        <w:lang w:val="he-IL"/>
      </w:rPr>
      <w:tab/>
    </w:r>
    <w:r w:rsidRPr="005E04A2">
      <w:rPr>
        <w:sz w:val="20"/>
        <w:szCs w:val="20"/>
        <w:rtl/>
        <w:cs/>
        <w:lang w:val="he-IL"/>
      </w:rPr>
      <w:t xml:space="preserve">עמוד </w:t>
    </w:r>
    <w:r w:rsidRPr="005E04A2">
      <w:rPr>
        <w:b/>
        <w:bCs/>
        <w:sz w:val="20"/>
        <w:szCs w:val="20"/>
      </w:rPr>
      <w:fldChar w:fldCharType="begin"/>
    </w:r>
    <w:r w:rsidRPr="005E04A2">
      <w:rPr>
        <w:b/>
        <w:bCs/>
        <w:sz w:val="20"/>
        <w:szCs w:val="20"/>
        <w:rtl/>
        <w:cs/>
      </w:rPr>
      <w:instrText>PAGE</w:instrText>
    </w:r>
    <w:r w:rsidRPr="005E04A2">
      <w:rPr>
        <w:b/>
        <w:bCs/>
        <w:sz w:val="20"/>
        <w:szCs w:val="20"/>
      </w:rPr>
      <w:fldChar w:fldCharType="separate"/>
    </w:r>
    <w:r w:rsidR="00D558A6">
      <w:rPr>
        <w:b/>
        <w:bCs/>
        <w:noProof/>
        <w:sz w:val="20"/>
        <w:szCs w:val="20"/>
        <w:rtl/>
      </w:rPr>
      <w:t>4</w:t>
    </w:r>
    <w:r w:rsidRPr="005E04A2">
      <w:rPr>
        <w:b/>
        <w:bCs/>
        <w:sz w:val="20"/>
        <w:szCs w:val="20"/>
      </w:rPr>
      <w:fldChar w:fldCharType="end"/>
    </w:r>
    <w:r w:rsidRPr="005E04A2">
      <w:rPr>
        <w:sz w:val="20"/>
        <w:szCs w:val="20"/>
        <w:rtl/>
        <w:cs/>
        <w:lang w:val="he-IL"/>
      </w:rPr>
      <w:t xml:space="preserve"> מתוך </w:t>
    </w:r>
    <w:r w:rsidRPr="005E04A2">
      <w:rPr>
        <w:b/>
        <w:bCs/>
        <w:sz w:val="20"/>
        <w:szCs w:val="20"/>
      </w:rPr>
      <w:fldChar w:fldCharType="begin"/>
    </w:r>
    <w:r w:rsidRPr="005E04A2">
      <w:rPr>
        <w:b/>
        <w:bCs/>
        <w:sz w:val="20"/>
        <w:szCs w:val="20"/>
        <w:rtl/>
        <w:cs/>
      </w:rPr>
      <w:instrText>NUMPAGES</w:instrText>
    </w:r>
    <w:r w:rsidRPr="005E04A2">
      <w:rPr>
        <w:b/>
        <w:bCs/>
        <w:sz w:val="20"/>
        <w:szCs w:val="20"/>
      </w:rPr>
      <w:fldChar w:fldCharType="separate"/>
    </w:r>
    <w:r w:rsidR="00D558A6">
      <w:rPr>
        <w:b/>
        <w:bCs/>
        <w:noProof/>
        <w:sz w:val="20"/>
        <w:szCs w:val="20"/>
        <w:rtl/>
      </w:rPr>
      <w:t>6</w:t>
    </w:r>
    <w:r w:rsidRPr="005E04A2">
      <w:rPr>
        <w:b/>
        <w:bCs/>
        <w:sz w:val="20"/>
        <w:szCs w:val="20"/>
      </w:rPr>
      <w:fldChar w:fldCharType="end"/>
    </w:r>
  </w:p>
  <w:p w:rsidR="00BD3B89" w:rsidRDefault="00BD3B89" w:rsidP="005F72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021" w:rsidRDefault="00D61021">
      <w:r>
        <w:separator/>
      </w:r>
    </w:p>
  </w:footnote>
  <w:footnote w:type="continuationSeparator" w:id="0">
    <w:p w:rsidR="00D61021" w:rsidRDefault="00D61021">
      <w:r>
        <w:continuationSeparator/>
      </w:r>
    </w:p>
  </w:footnote>
  <w:footnote w:id="1">
    <w:p w:rsidR="00794343" w:rsidRDefault="00794343">
      <w:pPr>
        <w:pStyle w:val="a3"/>
        <w:rPr>
          <w:rtl/>
        </w:rPr>
      </w:pPr>
      <w:r w:rsidRPr="00794343">
        <w:rPr>
          <w:rStyle w:val="a4"/>
        </w:rPr>
        <w:footnoteRef/>
      </w:r>
      <w:r w:rsidRPr="00794343">
        <w:rPr>
          <w:rtl/>
        </w:rPr>
        <w:t xml:space="preserve"> </w:t>
      </w:r>
      <w:r w:rsidRPr="00794343">
        <w:rPr>
          <w:rFonts w:hint="cs"/>
          <w:rtl/>
        </w:rPr>
        <w:t>אומדנים לחשיפה של העמיתים (ולא של הגופים המוסדיים עצמם) לסיכונים שונים בתיק המנוהל עבורם ע"י המוסדיים (ללא תכניות ביטוח מבטיחות תשואה, בהן הסיכון הוא של המוסדיים).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83F"/>
    <w:multiLevelType w:val="hybridMultilevel"/>
    <w:tmpl w:val="3612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041AC"/>
    <w:multiLevelType w:val="hybridMultilevel"/>
    <w:tmpl w:val="3F7E41AA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F03EF7"/>
    <w:multiLevelType w:val="hybridMultilevel"/>
    <w:tmpl w:val="8660A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6A3"/>
    <w:multiLevelType w:val="hybridMultilevel"/>
    <w:tmpl w:val="8F960E4E"/>
    <w:lvl w:ilvl="0" w:tplc="38F2EF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1AB672D0"/>
    <w:multiLevelType w:val="hybridMultilevel"/>
    <w:tmpl w:val="6A2ED746"/>
    <w:lvl w:ilvl="0" w:tplc="78BE9A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10790"/>
    <w:multiLevelType w:val="hybridMultilevel"/>
    <w:tmpl w:val="16AE83B4"/>
    <w:lvl w:ilvl="0" w:tplc="A942DF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E4808"/>
    <w:multiLevelType w:val="multilevel"/>
    <w:tmpl w:val="CC1E14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2B2909E2"/>
    <w:multiLevelType w:val="hybridMultilevel"/>
    <w:tmpl w:val="6024D72E"/>
    <w:lvl w:ilvl="0" w:tplc="79E4C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32C53FA"/>
    <w:multiLevelType w:val="hybridMultilevel"/>
    <w:tmpl w:val="8D9868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9A19F6"/>
    <w:multiLevelType w:val="multilevel"/>
    <w:tmpl w:val="319EC6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A276B9"/>
    <w:multiLevelType w:val="multilevel"/>
    <w:tmpl w:val="6AA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D2227D"/>
    <w:multiLevelType w:val="hybridMultilevel"/>
    <w:tmpl w:val="319EC676"/>
    <w:lvl w:ilvl="0" w:tplc="C44894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E7459A"/>
    <w:multiLevelType w:val="hybridMultilevel"/>
    <w:tmpl w:val="EEC0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10156A"/>
    <w:multiLevelType w:val="hybridMultilevel"/>
    <w:tmpl w:val="6AA6C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A03AD9"/>
    <w:multiLevelType w:val="hybridMultilevel"/>
    <w:tmpl w:val="9A509C68"/>
    <w:lvl w:ilvl="0" w:tplc="A7725BC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17A63"/>
    <w:multiLevelType w:val="hybridMultilevel"/>
    <w:tmpl w:val="7118FF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392647"/>
    <w:multiLevelType w:val="hybridMultilevel"/>
    <w:tmpl w:val="3ADC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247B0F"/>
    <w:multiLevelType w:val="hybridMultilevel"/>
    <w:tmpl w:val="659EC63A"/>
    <w:lvl w:ilvl="0" w:tplc="76E6E1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11"/>
  </w:num>
  <w:num w:numId="5">
    <w:abstractNumId w:val="9"/>
  </w:num>
  <w:num w:numId="6">
    <w:abstractNumId w:val="13"/>
  </w:num>
  <w:num w:numId="7">
    <w:abstractNumId w:val="10"/>
  </w:num>
  <w:num w:numId="8">
    <w:abstractNumId w:val="15"/>
  </w:num>
  <w:num w:numId="9">
    <w:abstractNumId w:val="1"/>
  </w:num>
  <w:num w:numId="10">
    <w:abstractNumId w:val="7"/>
  </w:num>
  <w:num w:numId="11">
    <w:abstractNumId w:val="17"/>
  </w:num>
  <w:num w:numId="12">
    <w:abstractNumId w:val="0"/>
  </w:num>
  <w:num w:numId="13">
    <w:abstractNumId w:val="12"/>
  </w:num>
  <w:num w:numId="14">
    <w:abstractNumId w:val="4"/>
  </w:num>
  <w:num w:numId="15">
    <w:abstractNumId w:val="14"/>
  </w:num>
  <w:num w:numId="16">
    <w:abstractNumId w:val="5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36"/>
    <w:rsid w:val="0000050F"/>
    <w:rsid w:val="00000F00"/>
    <w:rsid w:val="000017DF"/>
    <w:rsid w:val="000020FA"/>
    <w:rsid w:val="000022B8"/>
    <w:rsid w:val="0000402C"/>
    <w:rsid w:val="000043D3"/>
    <w:rsid w:val="00005815"/>
    <w:rsid w:val="00005EA0"/>
    <w:rsid w:val="000060F2"/>
    <w:rsid w:val="00006D46"/>
    <w:rsid w:val="00007808"/>
    <w:rsid w:val="00010E95"/>
    <w:rsid w:val="000115E8"/>
    <w:rsid w:val="00011802"/>
    <w:rsid w:val="000119A8"/>
    <w:rsid w:val="00011A9F"/>
    <w:rsid w:val="00011DBE"/>
    <w:rsid w:val="00011F13"/>
    <w:rsid w:val="00012BF6"/>
    <w:rsid w:val="00013391"/>
    <w:rsid w:val="000133BA"/>
    <w:rsid w:val="00014368"/>
    <w:rsid w:val="0001447A"/>
    <w:rsid w:val="00014ED3"/>
    <w:rsid w:val="00016202"/>
    <w:rsid w:val="0001696E"/>
    <w:rsid w:val="00017A8F"/>
    <w:rsid w:val="0002118E"/>
    <w:rsid w:val="000217DC"/>
    <w:rsid w:val="00022355"/>
    <w:rsid w:val="00023EE3"/>
    <w:rsid w:val="00024D12"/>
    <w:rsid w:val="000257F0"/>
    <w:rsid w:val="00026858"/>
    <w:rsid w:val="00026B30"/>
    <w:rsid w:val="00027B8D"/>
    <w:rsid w:val="00031281"/>
    <w:rsid w:val="00031461"/>
    <w:rsid w:val="000334C7"/>
    <w:rsid w:val="00033B6E"/>
    <w:rsid w:val="000343D2"/>
    <w:rsid w:val="00035951"/>
    <w:rsid w:val="00035DA9"/>
    <w:rsid w:val="0003643B"/>
    <w:rsid w:val="0003655D"/>
    <w:rsid w:val="00037CA6"/>
    <w:rsid w:val="00041D3E"/>
    <w:rsid w:val="00041E3A"/>
    <w:rsid w:val="0004202D"/>
    <w:rsid w:val="000421A6"/>
    <w:rsid w:val="00042746"/>
    <w:rsid w:val="00042E5F"/>
    <w:rsid w:val="00042EAD"/>
    <w:rsid w:val="0004321B"/>
    <w:rsid w:val="00045462"/>
    <w:rsid w:val="000458D4"/>
    <w:rsid w:val="00046F09"/>
    <w:rsid w:val="00047E41"/>
    <w:rsid w:val="0005021A"/>
    <w:rsid w:val="00051250"/>
    <w:rsid w:val="00051E43"/>
    <w:rsid w:val="00052A72"/>
    <w:rsid w:val="000536B9"/>
    <w:rsid w:val="00054020"/>
    <w:rsid w:val="00054513"/>
    <w:rsid w:val="000546A3"/>
    <w:rsid w:val="00055921"/>
    <w:rsid w:val="000559EC"/>
    <w:rsid w:val="00055A9E"/>
    <w:rsid w:val="000564E4"/>
    <w:rsid w:val="00056736"/>
    <w:rsid w:val="00056C8C"/>
    <w:rsid w:val="00057225"/>
    <w:rsid w:val="00057504"/>
    <w:rsid w:val="000575A5"/>
    <w:rsid w:val="000578A2"/>
    <w:rsid w:val="00057FBC"/>
    <w:rsid w:val="00060AB4"/>
    <w:rsid w:val="000611C5"/>
    <w:rsid w:val="00061509"/>
    <w:rsid w:val="00061B54"/>
    <w:rsid w:val="00062277"/>
    <w:rsid w:val="0006250C"/>
    <w:rsid w:val="00063EA2"/>
    <w:rsid w:val="00064EC7"/>
    <w:rsid w:val="00066482"/>
    <w:rsid w:val="00067385"/>
    <w:rsid w:val="00067625"/>
    <w:rsid w:val="00067ADF"/>
    <w:rsid w:val="00071052"/>
    <w:rsid w:val="00072355"/>
    <w:rsid w:val="00072CDA"/>
    <w:rsid w:val="000735BD"/>
    <w:rsid w:val="00073BD8"/>
    <w:rsid w:val="00073F4A"/>
    <w:rsid w:val="00073FF7"/>
    <w:rsid w:val="00074FC0"/>
    <w:rsid w:val="000755F0"/>
    <w:rsid w:val="00076363"/>
    <w:rsid w:val="000764AA"/>
    <w:rsid w:val="000766B0"/>
    <w:rsid w:val="00077194"/>
    <w:rsid w:val="00080C91"/>
    <w:rsid w:val="0008142A"/>
    <w:rsid w:val="00081868"/>
    <w:rsid w:val="00081BD3"/>
    <w:rsid w:val="000820EA"/>
    <w:rsid w:val="00083BDF"/>
    <w:rsid w:val="000857FF"/>
    <w:rsid w:val="00085961"/>
    <w:rsid w:val="00085EA2"/>
    <w:rsid w:val="00086B1C"/>
    <w:rsid w:val="0009142D"/>
    <w:rsid w:val="00091F3F"/>
    <w:rsid w:val="00092CA7"/>
    <w:rsid w:val="000932F3"/>
    <w:rsid w:val="000938AA"/>
    <w:rsid w:val="00093A9E"/>
    <w:rsid w:val="00093D73"/>
    <w:rsid w:val="00094759"/>
    <w:rsid w:val="00095076"/>
    <w:rsid w:val="00096A08"/>
    <w:rsid w:val="000970F0"/>
    <w:rsid w:val="00097969"/>
    <w:rsid w:val="00097EF9"/>
    <w:rsid w:val="000A103B"/>
    <w:rsid w:val="000A23D5"/>
    <w:rsid w:val="000A2E03"/>
    <w:rsid w:val="000A3314"/>
    <w:rsid w:val="000A369B"/>
    <w:rsid w:val="000A3DE0"/>
    <w:rsid w:val="000A4097"/>
    <w:rsid w:val="000A40CD"/>
    <w:rsid w:val="000A4194"/>
    <w:rsid w:val="000A48F4"/>
    <w:rsid w:val="000A4B2A"/>
    <w:rsid w:val="000A5014"/>
    <w:rsid w:val="000A51C9"/>
    <w:rsid w:val="000A56C6"/>
    <w:rsid w:val="000A5D67"/>
    <w:rsid w:val="000A689F"/>
    <w:rsid w:val="000A6DCE"/>
    <w:rsid w:val="000A7666"/>
    <w:rsid w:val="000A7BE6"/>
    <w:rsid w:val="000A7E64"/>
    <w:rsid w:val="000A7FE1"/>
    <w:rsid w:val="000B00DD"/>
    <w:rsid w:val="000B01B7"/>
    <w:rsid w:val="000B053C"/>
    <w:rsid w:val="000B10D5"/>
    <w:rsid w:val="000B15F8"/>
    <w:rsid w:val="000B39DB"/>
    <w:rsid w:val="000B42FF"/>
    <w:rsid w:val="000B511B"/>
    <w:rsid w:val="000B56C9"/>
    <w:rsid w:val="000B75BB"/>
    <w:rsid w:val="000B7E80"/>
    <w:rsid w:val="000C003E"/>
    <w:rsid w:val="000C09A6"/>
    <w:rsid w:val="000C1436"/>
    <w:rsid w:val="000C22CB"/>
    <w:rsid w:val="000C23D5"/>
    <w:rsid w:val="000C2535"/>
    <w:rsid w:val="000C34C4"/>
    <w:rsid w:val="000C373F"/>
    <w:rsid w:val="000C38CE"/>
    <w:rsid w:val="000C3A15"/>
    <w:rsid w:val="000C4070"/>
    <w:rsid w:val="000C50E1"/>
    <w:rsid w:val="000C587D"/>
    <w:rsid w:val="000C6588"/>
    <w:rsid w:val="000C6B67"/>
    <w:rsid w:val="000C6D4D"/>
    <w:rsid w:val="000C6FB6"/>
    <w:rsid w:val="000C7167"/>
    <w:rsid w:val="000C71D9"/>
    <w:rsid w:val="000C7DEF"/>
    <w:rsid w:val="000C7F6E"/>
    <w:rsid w:val="000C7FD1"/>
    <w:rsid w:val="000C7FF0"/>
    <w:rsid w:val="000D1209"/>
    <w:rsid w:val="000D17E1"/>
    <w:rsid w:val="000D22CB"/>
    <w:rsid w:val="000D3458"/>
    <w:rsid w:val="000D3971"/>
    <w:rsid w:val="000D3EDF"/>
    <w:rsid w:val="000D4218"/>
    <w:rsid w:val="000D47E5"/>
    <w:rsid w:val="000D4C8F"/>
    <w:rsid w:val="000D4E48"/>
    <w:rsid w:val="000D4F71"/>
    <w:rsid w:val="000D6B53"/>
    <w:rsid w:val="000D6E59"/>
    <w:rsid w:val="000D6FF2"/>
    <w:rsid w:val="000E2A02"/>
    <w:rsid w:val="000E2B66"/>
    <w:rsid w:val="000E3C52"/>
    <w:rsid w:val="000E4275"/>
    <w:rsid w:val="000E46C2"/>
    <w:rsid w:val="000E5137"/>
    <w:rsid w:val="000E53AB"/>
    <w:rsid w:val="000E5A26"/>
    <w:rsid w:val="000E5F4D"/>
    <w:rsid w:val="000E63A4"/>
    <w:rsid w:val="000E64C9"/>
    <w:rsid w:val="000E6D3D"/>
    <w:rsid w:val="000E7831"/>
    <w:rsid w:val="000E7B86"/>
    <w:rsid w:val="000E7C1F"/>
    <w:rsid w:val="000F050F"/>
    <w:rsid w:val="000F0751"/>
    <w:rsid w:val="000F14F3"/>
    <w:rsid w:val="000F2B48"/>
    <w:rsid w:val="000F2BA7"/>
    <w:rsid w:val="000F35DD"/>
    <w:rsid w:val="000F5F96"/>
    <w:rsid w:val="000F6504"/>
    <w:rsid w:val="00100334"/>
    <w:rsid w:val="00100611"/>
    <w:rsid w:val="00100FA0"/>
    <w:rsid w:val="00101362"/>
    <w:rsid w:val="00101E9A"/>
    <w:rsid w:val="00101EB2"/>
    <w:rsid w:val="00103128"/>
    <w:rsid w:val="00103942"/>
    <w:rsid w:val="00104AED"/>
    <w:rsid w:val="001056DE"/>
    <w:rsid w:val="0010593A"/>
    <w:rsid w:val="0011075A"/>
    <w:rsid w:val="00110DFF"/>
    <w:rsid w:val="00110E4D"/>
    <w:rsid w:val="001138F6"/>
    <w:rsid w:val="00113CB0"/>
    <w:rsid w:val="001147D6"/>
    <w:rsid w:val="00114886"/>
    <w:rsid w:val="001153F9"/>
    <w:rsid w:val="0011547A"/>
    <w:rsid w:val="00116A10"/>
    <w:rsid w:val="0011701C"/>
    <w:rsid w:val="00117AF5"/>
    <w:rsid w:val="00117B6F"/>
    <w:rsid w:val="001206AC"/>
    <w:rsid w:val="00120AC9"/>
    <w:rsid w:val="00120C9C"/>
    <w:rsid w:val="00120F8C"/>
    <w:rsid w:val="00120FAF"/>
    <w:rsid w:val="0012102A"/>
    <w:rsid w:val="0012360B"/>
    <w:rsid w:val="001238A8"/>
    <w:rsid w:val="00123CA9"/>
    <w:rsid w:val="00124147"/>
    <w:rsid w:val="001242AB"/>
    <w:rsid w:val="00125050"/>
    <w:rsid w:val="001263FB"/>
    <w:rsid w:val="001301EF"/>
    <w:rsid w:val="00130C8C"/>
    <w:rsid w:val="00131E7F"/>
    <w:rsid w:val="0013209F"/>
    <w:rsid w:val="001320B1"/>
    <w:rsid w:val="001326DC"/>
    <w:rsid w:val="00132C7C"/>
    <w:rsid w:val="001331C2"/>
    <w:rsid w:val="001343CF"/>
    <w:rsid w:val="00134AF2"/>
    <w:rsid w:val="00134C94"/>
    <w:rsid w:val="0013516A"/>
    <w:rsid w:val="001351E2"/>
    <w:rsid w:val="00135428"/>
    <w:rsid w:val="001355CB"/>
    <w:rsid w:val="001358DA"/>
    <w:rsid w:val="00136442"/>
    <w:rsid w:val="00136C0F"/>
    <w:rsid w:val="0013726C"/>
    <w:rsid w:val="001378C4"/>
    <w:rsid w:val="00140B27"/>
    <w:rsid w:val="00140F79"/>
    <w:rsid w:val="00141F2B"/>
    <w:rsid w:val="00143E3B"/>
    <w:rsid w:val="00144B17"/>
    <w:rsid w:val="0014542F"/>
    <w:rsid w:val="00145791"/>
    <w:rsid w:val="00146AF6"/>
    <w:rsid w:val="00147410"/>
    <w:rsid w:val="0014743C"/>
    <w:rsid w:val="00150373"/>
    <w:rsid w:val="00150AD5"/>
    <w:rsid w:val="00150BFB"/>
    <w:rsid w:val="00150E47"/>
    <w:rsid w:val="0015236A"/>
    <w:rsid w:val="00152F2D"/>
    <w:rsid w:val="00154533"/>
    <w:rsid w:val="001553C3"/>
    <w:rsid w:val="001555E5"/>
    <w:rsid w:val="001558E4"/>
    <w:rsid w:val="00156D03"/>
    <w:rsid w:val="001574CD"/>
    <w:rsid w:val="00157E94"/>
    <w:rsid w:val="00160292"/>
    <w:rsid w:val="001602C1"/>
    <w:rsid w:val="001607A3"/>
    <w:rsid w:val="00160CCF"/>
    <w:rsid w:val="001613B9"/>
    <w:rsid w:val="00161545"/>
    <w:rsid w:val="00161BE9"/>
    <w:rsid w:val="00162774"/>
    <w:rsid w:val="00162F67"/>
    <w:rsid w:val="00164788"/>
    <w:rsid w:val="00164A39"/>
    <w:rsid w:val="00165449"/>
    <w:rsid w:val="00166430"/>
    <w:rsid w:val="00167682"/>
    <w:rsid w:val="001707D5"/>
    <w:rsid w:val="00170A50"/>
    <w:rsid w:val="00171E12"/>
    <w:rsid w:val="00172049"/>
    <w:rsid w:val="00172451"/>
    <w:rsid w:val="00172B5B"/>
    <w:rsid w:val="001734CD"/>
    <w:rsid w:val="00174658"/>
    <w:rsid w:val="001753AF"/>
    <w:rsid w:val="00175634"/>
    <w:rsid w:val="00176DA9"/>
    <w:rsid w:val="001776A3"/>
    <w:rsid w:val="001804EC"/>
    <w:rsid w:val="00180C9F"/>
    <w:rsid w:val="00180FBD"/>
    <w:rsid w:val="001816FC"/>
    <w:rsid w:val="00181977"/>
    <w:rsid w:val="00181A28"/>
    <w:rsid w:val="00182280"/>
    <w:rsid w:val="00183A6E"/>
    <w:rsid w:val="00183C5D"/>
    <w:rsid w:val="001840D3"/>
    <w:rsid w:val="00184396"/>
    <w:rsid w:val="00184453"/>
    <w:rsid w:val="001844D8"/>
    <w:rsid w:val="00184509"/>
    <w:rsid w:val="001857A4"/>
    <w:rsid w:val="001859DC"/>
    <w:rsid w:val="00187821"/>
    <w:rsid w:val="00187C6C"/>
    <w:rsid w:val="00187DAF"/>
    <w:rsid w:val="00187FE0"/>
    <w:rsid w:val="001904DE"/>
    <w:rsid w:val="00190779"/>
    <w:rsid w:val="00190B2D"/>
    <w:rsid w:val="00191293"/>
    <w:rsid w:val="001914FC"/>
    <w:rsid w:val="001915EE"/>
    <w:rsid w:val="00191FEA"/>
    <w:rsid w:val="00192E44"/>
    <w:rsid w:val="00194180"/>
    <w:rsid w:val="001949E8"/>
    <w:rsid w:val="00194CB7"/>
    <w:rsid w:val="0019565E"/>
    <w:rsid w:val="00197A7E"/>
    <w:rsid w:val="00197D0B"/>
    <w:rsid w:val="001A095A"/>
    <w:rsid w:val="001A0A07"/>
    <w:rsid w:val="001A0AAC"/>
    <w:rsid w:val="001A176C"/>
    <w:rsid w:val="001A17E8"/>
    <w:rsid w:val="001A21B6"/>
    <w:rsid w:val="001A2D45"/>
    <w:rsid w:val="001A3B9C"/>
    <w:rsid w:val="001A3D8F"/>
    <w:rsid w:val="001A3ED4"/>
    <w:rsid w:val="001A4138"/>
    <w:rsid w:val="001A43E9"/>
    <w:rsid w:val="001A44A2"/>
    <w:rsid w:val="001A4771"/>
    <w:rsid w:val="001A483B"/>
    <w:rsid w:val="001A5549"/>
    <w:rsid w:val="001A78C8"/>
    <w:rsid w:val="001A7A86"/>
    <w:rsid w:val="001B0368"/>
    <w:rsid w:val="001B09F8"/>
    <w:rsid w:val="001B0FB4"/>
    <w:rsid w:val="001B229F"/>
    <w:rsid w:val="001B320D"/>
    <w:rsid w:val="001B38D5"/>
    <w:rsid w:val="001B3EBB"/>
    <w:rsid w:val="001B4C48"/>
    <w:rsid w:val="001B5742"/>
    <w:rsid w:val="001B6C99"/>
    <w:rsid w:val="001B7547"/>
    <w:rsid w:val="001B7675"/>
    <w:rsid w:val="001C0856"/>
    <w:rsid w:val="001C1CA1"/>
    <w:rsid w:val="001C264C"/>
    <w:rsid w:val="001C33AA"/>
    <w:rsid w:val="001C6F8F"/>
    <w:rsid w:val="001C7E12"/>
    <w:rsid w:val="001D08C2"/>
    <w:rsid w:val="001D115C"/>
    <w:rsid w:val="001D15FD"/>
    <w:rsid w:val="001D1B66"/>
    <w:rsid w:val="001D23E6"/>
    <w:rsid w:val="001D301D"/>
    <w:rsid w:val="001D3185"/>
    <w:rsid w:val="001D333B"/>
    <w:rsid w:val="001D3E93"/>
    <w:rsid w:val="001D3EA3"/>
    <w:rsid w:val="001D415B"/>
    <w:rsid w:val="001D4550"/>
    <w:rsid w:val="001D4A54"/>
    <w:rsid w:val="001D5283"/>
    <w:rsid w:val="001D5560"/>
    <w:rsid w:val="001D6096"/>
    <w:rsid w:val="001D641F"/>
    <w:rsid w:val="001D6781"/>
    <w:rsid w:val="001D6866"/>
    <w:rsid w:val="001D7439"/>
    <w:rsid w:val="001D76B2"/>
    <w:rsid w:val="001D7970"/>
    <w:rsid w:val="001E25EF"/>
    <w:rsid w:val="001E2E95"/>
    <w:rsid w:val="001E31AC"/>
    <w:rsid w:val="001E42B4"/>
    <w:rsid w:val="001E47F2"/>
    <w:rsid w:val="001E4FB1"/>
    <w:rsid w:val="001E5746"/>
    <w:rsid w:val="001E5953"/>
    <w:rsid w:val="001E5B84"/>
    <w:rsid w:val="001E5EF4"/>
    <w:rsid w:val="001E6A6C"/>
    <w:rsid w:val="001E7B49"/>
    <w:rsid w:val="001F043C"/>
    <w:rsid w:val="001F0470"/>
    <w:rsid w:val="001F0485"/>
    <w:rsid w:val="001F0DF7"/>
    <w:rsid w:val="001F3A15"/>
    <w:rsid w:val="001F4211"/>
    <w:rsid w:val="001F4BA3"/>
    <w:rsid w:val="001F4DAA"/>
    <w:rsid w:val="001F4DD2"/>
    <w:rsid w:val="001F5733"/>
    <w:rsid w:val="001F5796"/>
    <w:rsid w:val="001F5900"/>
    <w:rsid w:val="001F5E2D"/>
    <w:rsid w:val="001F65E3"/>
    <w:rsid w:val="001F775A"/>
    <w:rsid w:val="002002CD"/>
    <w:rsid w:val="002003C2"/>
    <w:rsid w:val="0020074A"/>
    <w:rsid w:val="002014EE"/>
    <w:rsid w:val="00202AD2"/>
    <w:rsid w:val="00202D83"/>
    <w:rsid w:val="00202E28"/>
    <w:rsid w:val="00203066"/>
    <w:rsid w:val="002041BE"/>
    <w:rsid w:val="00205C1F"/>
    <w:rsid w:val="00206954"/>
    <w:rsid w:val="00206F1A"/>
    <w:rsid w:val="0020778C"/>
    <w:rsid w:val="0020788C"/>
    <w:rsid w:val="00207B9F"/>
    <w:rsid w:val="002101CA"/>
    <w:rsid w:val="0021069F"/>
    <w:rsid w:val="00210AA3"/>
    <w:rsid w:val="00210E2B"/>
    <w:rsid w:val="002112EA"/>
    <w:rsid w:val="0021211E"/>
    <w:rsid w:val="002130F3"/>
    <w:rsid w:val="0021397E"/>
    <w:rsid w:val="00213C9D"/>
    <w:rsid w:val="002143E5"/>
    <w:rsid w:val="00214AFF"/>
    <w:rsid w:val="00214B50"/>
    <w:rsid w:val="00215C50"/>
    <w:rsid w:val="0021612F"/>
    <w:rsid w:val="00217472"/>
    <w:rsid w:val="00221EB5"/>
    <w:rsid w:val="00222821"/>
    <w:rsid w:val="002237F8"/>
    <w:rsid w:val="00223C6E"/>
    <w:rsid w:val="00223E9A"/>
    <w:rsid w:val="002252E2"/>
    <w:rsid w:val="00225541"/>
    <w:rsid w:val="00226017"/>
    <w:rsid w:val="00226B3C"/>
    <w:rsid w:val="00226B99"/>
    <w:rsid w:val="00226D8A"/>
    <w:rsid w:val="00227572"/>
    <w:rsid w:val="00230C10"/>
    <w:rsid w:val="00231761"/>
    <w:rsid w:val="002321B8"/>
    <w:rsid w:val="0023245F"/>
    <w:rsid w:val="00232A5E"/>
    <w:rsid w:val="0023327D"/>
    <w:rsid w:val="002339EB"/>
    <w:rsid w:val="00234179"/>
    <w:rsid w:val="0023440A"/>
    <w:rsid w:val="00235DCE"/>
    <w:rsid w:val="0023775E"/>
    <w:rsid w:val="002379EF"/>
    <w:rsid w:val="00237C45"/>
    <w:rsid w:val="002403B2"/>
    <w:rsid w:val="00240D58"/>
    <w:rsid w:val="00241646"/>
    <w:rsid w:val="00241A25"/>
    <w:rsid w:val="00242714"/>
    <w:rsid w:val="002428E6"/>
    <w:rsid w:val="00242961"/>
    <w:rsid w:val="00245554"/>
    <w:rsid w:val="00245655"/>
    <w:rsid w:val="00245A1A"/>
    <w:rsid w:val="0024602D"/>
    <w:rsid w:val="002467E1"/>
    <w:rsid w:val="00247E64"/>
    <w:rsid w:val="00247E9A"/>
    <w:rsid w:val="002501CB"/>
    <w:rsid w:val="002502BC"/>
    <w:rsid w:val="00251056"/>
    <w:rsid w:val="002513AA"/>
    <w:rsid w:val="00251DB5"/>
    <w:rsid w:val="002520C1"/>
    <w:rsid w:val="00252115"/>
    <w:rsid w:val="00252AB5"/>
    <w:rsid w:val="00252F11"/>
    <w:rsid w:val="00253AF8"/>
    <w:rsid w:val="002545E3"/>
    <w:rsid w:val="0025558F"/>
    <w:rsid w:val="002558C4"/>
    <w:rsid w:val="00256235"/>
    <w:rsid w:val="00256719"/>
    <w:rsid w:val="002575D2"/>
    <w:rsid w:val="00257B08"/>
    <w:rsid w:val="00257BB1"/>
    <w:rsid w:val="002606CD"/>
    <w:rsid w:val="00261156"/>
    <w:rsid w:val="0026130C"/>
    <w:rsid w:val="00261A2B"/>
    <w:rsid w:val="002627FE"/>
    <w:rsid w:val="0026343B"/>
    <w:rsid w:val="0026446B"/>
    <w:rsid w:val="002649BD"/>
    <w:rsid w:val="002653A0"/>
    <w:rsid w:val="0026547B"/>
    <w:rsid w:val="002665AE"/>
    <w:rsid w:val="002670AD"/>
    <w:rsid w:val="00267A92"/>
    <w:rsid w:val="00270B18"/>
    <w:rsid w:val="002717B2"/>
    <w:rsid w:val="002726E1"/>
    <w:rsid w:val="0027319D"/>
    <w:rsid w:val="00273AE5"/>
    <w:rsid w:val="002742CF"/>
    <w:rsid w:val="0027468F"/>
    <w:rsid w:val="002757B9"/>
    <w:rsid w:val="002763DF"/>
    <w:rsid w:val="0027678D"/>
    <w:rsid w:val="0027681B"/>
    <w:rsid w:val="002769EE"/>
    <w:rsid w:val="0027784E"/>
    <w:rsid w:val="00277C1E"/>
    <w:rsid w:val="0028096C"/>
    <w:rsid w:val="0028170D"/>
    <w:rsid w:val="00281C89"/>
    <w:rsid w:val="00282C20"/>
    <w:rsid w:val="00283B13"/>
    <w:rsid w:val="002847A5"/>
    <w:rsid w:val="00284BFA"/>
    <w:rsid w:val="00286F30"/>
    <w:rsid w:val="002873E4"/>
    <w:rsid w:val="00290EF0"/>
    <w:rsid w:val="00290FF3"/>
    <w:rsid w:val="0029185D"/>
    <w:rsid w:val="00292427"/>
    <w:rsid w:val="00292432"/>
    <w:rsid w:val="00293831"/>
    <w:rsid w:val="002941EA"/>
    <w:rsid w:val="00295B3F"/>
    <w:rsid w:val="0029682A"/>
    <w:rsid w:val="00297B32"/>
    <w:rsid w:val="00297EF8"/>
    <w:rsid w:val="002A05B4"/>
    <w:rsid w:val="002A07C7"/>
    <w:rsid w:val="002A172C"/>
    <w:rsid w:val="002A245A"/>
    <w:rsid w:val="002A2D9C"/>
    <w:rsid w:val="002A323B"/>
    <w:rsid w:val="002A35C6"/>
    <w:rsid w:val="002A4D08"/>
    <w:rsid w:val="002A5864"/>
    <w:rsid w:val="002A5ABA"/>
    <w:rsid w:val="002A5C39"/>
    <w:rsid w:val="002A5F44"/>
    <w:rsid w:val="002A60E1"/>
    <w:rsid w:val="002A6911"/>
    <w:rsid w:val="002A6F4B"/>
    <w:rsid w:val="002A777C"/>
    <w:rsid w:val="002A7E7B"/>
    <w:rsid w:val="002A7F70"/>
    <w:rsid w:val="002B03DC"/>
    <w:rsid w:val="002B048F"/>
    <w:rsid w:val="002B0E4F"/>
    <w:rsid w:val="002B3BDD"/>
    <w:rsid w:val="002B4998"/>
    <w:rsid w:val="002B49E1"/>
    <w:rsid w:val="002B51DF"/>
    <w:rsid w:val="002B594E"/>
    <w:rsid w:val="002B6CDE"/>
    <w:rsid w:val="002B7042"/>
    <w:rsid w:val="002B7732"/>
    <w:rsid w:val="002C08F6"/>
    <w:rsid w:val="002C311A"/>
    <w:rsid w:val="002C3F79"/>
    <w:rsid w:val="002C433B"/>
    <w:rsid w:val="002C47D1"/>
    <w:rsid w:val="002C576B"/>
    <w:rsid w:val="002C5795"/>
    <w:rsid w:val="002C67BC"/>
    <w:rsid w:val="002C6D97"/>
    <w:rsid w:val="002C7B48"/>
    <w:rsid w:val="002D007F"/>
    <w:rsid w:val="002D0458"/>
    <w:rsid w:val="002D0C2E"/>
    <w:rsid w:val="002D24CA"/>
    <w:rsid w:val="002D2520"/>
    <w:rsid w:val="002D2B1F"/>
    <w:rsid w:val="002D2F52"/>
    <w:rsid w:val="002D35C5"/>
    <w:rsid w:val="002D5E9B"/>
    <w:rsid w:val="002D7A01"/>
    <w:rsid w:val="002E0938"/>
    <w:rsid w:val="002E0A85"/>
    <w:rsid w:val="002E0EE1"/>
    <w:rsid w:val="002E12A7"/>
    <w:rsid w:val="002E13B6"/>
    <w:rsid w:val="002E2D92"/>
    <w:rsid w:val="002E34BB"/>
    <w:rsid w:val="002E4F88"/>
    <w:rsid w:val="002E58BD"/>
    <w:rsid w:val="002E5F0A"/>
    <w:rsid w:val="002E61F8"/>
    <w:rsid w:val="002E65A5"/>
    <w:rsid w:val="002E700D"/>
    <w:rsid w:val="002F00A9"/>
    <w:rsid w:val="002F010B"/>
    <w:rsid w:val="002F0565"/>
    <w:rsid w:val="002F0602"/>
    <w:rsid w:val="002F0D7B"/>
    <w:rsid w:val="002F0DC3"/>
    <w:rsid w:val="002F18CE"/>
    <w:rsid w:val="002F1A2D"/>
    <w:rsid w:val="002F1B65"/>
    <w:rsid w:val="002F2F3D"/>
    <w:rsid w:val="002F3383"/>
    <w:rsid w:val="002F3B73"/>
    <w:rsid w:val="002F5401"/>
    <w:rsid w:val="002F56BB"/>
    <w:rsid w:val="002F5E9B"/>
    <w:rsid w:val="002F73C5"/>
    <w:rsid w:val="002F7DA5"/>
    <w:rsid w:val="00300589"/>
    <w:rsid w:val="003006F0"/>
    <w:rsid w:val="00300ACC"/>
    <w:rsid w:val="00300EBC"/>
    <w:rsid w:val="00300FCB"/>
    <w:rsid w:val="0030227E"/>
    <w:rsid w:val="0030251E"/>
    <w:rsid w:val="003026F0"/>
    <w:rsid w:val="0030392B"/>
    <w:rsid w:val="00303A9A"/>
    <w:rsid w:val="00303B7F"/>
    <w:rsid w:val="00303E6F"/>
    <w:rsid w:val="00304565"/>
    <w:rsid w:val="00305E19"/>
    <w:rsid w:val="00306329"/>
    <w:rsid w:val="00306E3F"/>
    <w:rsid w:val="00307811"/>
    <w:rsid w:val="00307A7D"/>
    <w:rsid w:val="00310D00"/>
    <w:rsid w:val="00310DC5"/>
    <w:rsid w:val="00310F6C"/>
    <w:rsid w:val="00311474"/>
    <w:rsid w:val="00311555"/>
    <w:rsid w:val="00313125"/>
    <w:rsid w:val="0031320B"/>
    <w:rsid w:val="00313272"/>
    <w:rsid w:val="003132AA"/>
    <w:rsid w:val="003139F9"/>
    <w:rsid w:val="003141E6"/>
    <w:rsid w:val="003160A4"/>
    <w:rsid w:val="00316B0E"/>
    <w:rsid w:val="0031732A"/>
    <w:rsid w:val="00317698"/>
    <w:rsid w:val="00317A35"/>
    <w:rsid w:val="00317AB0"/>
    <w:rsid w:val="00317FB2"/>
    <w:rsid w:val="003202EB"/>
    <w:rsid w:val="003221E0"/>
    <w:rsid w:val="00323EE6"/>
    <w:rsid w:val="00325387"/>
    <w:rsid w:val="003254F3"/>
    <w:rsid w:val="00325CAE"/>
    <w:rsid w:val="00326D9D"/>
    <w:rsid w:val="0032776F"/>
    <w:rsid w:val="00327E8E"/>
    <w:rsid w:val="00330BFD"/>
    <w:rsid w:val="00331B80"/>
    <w:rsid w:val="0033294C"/>
    <w:rsid w:val="00333DA8"/>
    <w:rsid w:val="00333FE1"/>
    <w:rsid w:val="0033465F"/>
    <w:rsid w:val="003350AA"/>
    <w:rsid w:val="00335187"/>
    <w:rsid w:val="003352C5"/>
    <w:rsid w:val="00336423"/>
    <w:rsid w:val="003366F0"/>
    <w:rsid w:val="00337187"/>
    <w:rsid w:val="00337209"/>
    <w:rsid w:val="003400BF"/>
    <w:rsid w:val="00340176"/>
    <w:rsid w:val="003404BC"/>
    <w:rsid w:val="003407F3"/>
    <w:rsid w:val="00340DB0"/>
    <w:rsid w:val="003410CC"/>
    <w:rsid w:val="00341B5D"/>
    <w:rsid w:val="00341CCF"/>
    <w:rsid w:val="00342128"/>
    <w:rsid w:val="003421EA"/>
    <w:rsid w:val="00343F19"/>
    <w:rsid w:val="00344A50"/>
    <w:rsid w:val="0034590D"/>
    <w:rsid w:val="00346595"/>
    <w:rsid w:val="003475AD"/>
    <w:rsid w:val="0034768C"/>
    <w:rsid w:val="0035002C"/>
    <w:rsid w:val="00350300"/>
    <w:rsid w:val="00351058"/>
    <w:rsid w:val="00351C10"/>
    <w:rsid w:val="0035212D"/>
    <w:rsid w:val="00352ABE"/>
    <w:rsid w:val="00352E75"/>
    <w:rsid w:val="00353174"/>
    <w:rsid w:val="00353A9A"/>
    <w:rsid w:val="00355B39"/>
    <w:rsid w:val="00355D57"/>
    <w:rsid w:val="003606FD"/>
    <w:rsid w:val="0036090B"/>
    <w:rsid w:val="00360EE1"/>
    <w:rsid w:val="003624D0"/>
    <w:rsid w:val="00362C17"/>
    <w:rsid w:val="00363003"/>
    <w:rsid w:val="00363E4A"/>
    <w:rsid w:val="00364520"/>
    <w:rsid w:val="00364782"/>
    <w:rsid w:val="00364D25"/>
    <w:rsid w:val="00364EED"/>
    <w:rsid w:val="00365B98"/>
    <w:rsid w:val="003673A0"/>
    <w:rsid w:val="00367E60"/>
    <w:rsid w:val="00370B25"/>
    <w:rsid w:val="00371A4B"/>
    <w:rsid w:val="00372C74"/>
    <w:rsid w:val="00374650"/>
    <w:rsid w:val="003746CA"/>
    <w:rsid w:val="003752C4"/>
    <w:rsid w:val="00376947"/>
    <w:rsid w:val="00377ADA"/>
    <w:rsid w:val="00380DA4"/>
    <w:rsid w:val="00380F38"/>
    <w:rsid w:val="00381900"/>
    <w:rsid w:val="00382A96"/>
    <w:rsid w:val="00384733"/>
    <w:rsid w:val="00384EEC"/>
    <w:rsid w:val="00386C83"/>
    <w:rsid w:val="003873F3"/>
    <w:rsid w:val="00387665"/>
    <w:rsid w:val="0039006D"/>
    <w:rsid w:val="00390265"/>
    <w:rsid w:val="00391FC3"/>
    <w:rsid w:val="00392A7D"/>
    <w:rsid w:val="00393291"/>
    <w:rsid w:val="003955FE"/>
    <w:rsid w:val="00395BC3"/>
    <w:rsid w:val="00395FE2"/>
    <w:rsid w:val="003960C5"/>
    <w:rsid w:val="00396B35"/>
    <w:rsid w:val="003971F2"/>
    <w:rsid w:val="003A09C0"/>
    <w:rsid w:val="003A0A0D"/>
    <w:rsid w:val="003A0EA4"/>
    <w:rsid w:val="003A113D"/>
    <w:rsid w:val="003A17D9"/>
    <w:rsid w:val="003A1A1E"/>
    <w:rsid w:val="003A1FCC"/>
    <w:rsid w:val="003A2C39"/>
    <w:rsid w:val="003A353B"/>
    <w:rsid w:val="003A43E6"/>
    <w:rsid w:val="003A4DF9"/>
    <w:rsid w:val="003A50BB"/>
    <w:rsid w:val="003A6452"/>
    <w:rsid w:val="003A70ED"/>
    <w:rsid w:val="003A75AC"/>
    <w:rsid w:val="003B0778"/>
    <w:rsid w:val="003B091C"/>
    <w:rsid w:val="003B0B89"/>
    <w:rsid w:val="003B24D1"/>
    <w:rsid w:val="003B264E"/>
    <w:rsid w:val="003B3ED7"/>
    <w:rsid w:val="003B437B"/>
    <w:rsid w:val="003B544B"/>
    <w:rsid w:val="003B5649"/>
    <w:rsid w:val="003B57D2"/>
    <w:rsid w:val="003B5C34"/>
    <w:rsid w:val="003B5FF2"/>
    <w:rsid w:val="003B64E0"/>
    <w:rsid w:val="003B7C04"/>
    <w:rsid w:val="003C0D88"/>
    <w:rsid w:val="003C12DF"/>
    <w:rsid w:val="003C1469"/>
    <w:rsid w:val="003C2140"/>
    <w:rsid w:val="003C2AEF"/>
    <w:rsid w:val="003C44FB"/>
    <w:rsid w:val="003C52F9"/>
    <w:rsid w:val="003C666F"/>
    <w:rsid w:val="003C6B2E"/>
    <w:rsid w:val="003C7296"/>
    <w:rsid w:val="003D236F"/>
    <w:rsid w:val="003D276A"/>
    <w:rsid w:val="003D372B"/>
    <w:rsid w:val="003D4455"/>
    <w:rsid w:val="003D48C1"/>
    <w:rsid w:val="003D4AC7"/>
    <w:rsid w:val="003D4D2F"/>
    <w:rsid w:val="003D52BA"/>
    <w:rsid w:val="003D59C6"/>
    <w:rsid w:val="003D5D6C"/>
    <w:rsid w:val="003D5EF8"/>
    <w:rsid w:val="003D624F"/>
    <w:rsid w:val="003D655C"/>
    <w:rsid w:val="003D67F1"/>
    <w:rsid w:val="003D68B5"/>
    <w:rsid w:val="003D732E"/>
    <w:rsid w:val="003D794C"/>
    <w:rsid w:val="003D7DCE"/>
    <w:rsid w:val="003D7F9A"/>
    <w:rsid w:val="003E052C"/>
    <w:rsid w:val="003E1082"/>
    <w:rsid w:val="003E1856"/>
    <w:rsid w:val="003E2034"/>
    <w:rsid w:val="003E2D61"/>
    <w:rsid w:val="003E433E"/>
    <w:rsid w:val="003E4688"/>
    <w:rsid w:val="003E4E3F"/>
    <w:rsid w:val="003E536B"/>
    <w:rsid w:val="003E5DA9"/>
    <w:rsid w:val="003E616A"/>
    <w:rsid w:val="003E61C1"/>
    <w:rsid w:val="003E6D70"/>
    <w:rsid w:val="003E740C"/>
    <w:rsid w:val="003E7730"/>
    <w:rsid w:val="003E78C4"/>
    <w:rsid w:val="003F0F09"/>
    <w:rsid w:val="003F193A"/>
    <w:rsid w:val="003F25B5"/>
    <w:rsid w:val="003F320F"/>
    <w:rsid w:val="003F39ED"/>
    <w:rsid w:val="003F3C90"/>
    <w:rsid w:val="003F4130"/>
    <w:rsid w:val="003F4B94"/>
    <w:rsid w:val="003F56FE"/>
    <w:rsid w:val="003F6511"/>
    <w:rsid w:val="003F76A6"/>
    <w:rsid w:val="00400605"/>
    <w:rsid w:val="004011E9"/>
    <w:rsid w:val="004012D8"/>
    <w:rsid w:val="0040139E"/>
    <w:rsid w:val="004017A6"/>
    <w:rsid w:val="004021CE"/>
    <w:rsid w:val="004021D8"/>
    <w:rsid w:val="00403BFB"/>
    <w:rsid w:val="0040499D"/>
    <w:rsid w:val="0040667A"/>
    <w:rsid w:val="00406F16"/>
    <w:rsid w:val="004077F7"/>
    <w:rsid w:val="00410237"/>
    <w:rsid w:val="004103EF"/>
    <w:rsid w:val="0041053D"/>
    <w:rsid w:val="0041081C"/>
    <w:rsid w:val="0041231E"/>
    <w:rsid w:val="00413A2B"/>
    <w:rsid w:val="00413F0A"/>
    <w:rsid w:val="00414C0A"/>
    <w:rsid w:val="004161F0"/>
    <w:rsid w:val="00416F4B"/>
    <w:rsid w:val="00417A04"/>
    <w:rsid w:val="004211E7"/>
    <w:rsid w:val="004211EB"/>
    <w:rsid w:val="00423E9F"/>
    <w:rsid w:val="00423FF4"/>
    <w:rsid w:val="004242EF"/>
    <w:rsid w:val="00424A00"/>
    <w:rsid w:val="00425589"/>
    <w:rsid w:val="00425E0E"/>
    <w:rsid w:val="004261B5"/>
    <w:rsid w:val="004267EF"/>
    <w:rsid w:val="0042718A"/>
    <w:rsid w:val="004279A7"/>
    <w:rsid w:val="00432302"/>
    <w:rsid w:val="004324AC"/>
    <w:rsid w:val="00433492"/>
    <w:rsid w:val="00433A8C"/>
    <w:rsid w:val="00433B9F"/>
    <w:rsid w:val="004340A2"/>
    <w:rsid w:val="0043465E"/>
    <w:rsid w:val="00434B2F"/>
    <w:rsid w:val="00434B61"/>
    <w:rsid w:val="00436800"/>
    <w:rsid w:val="004376A1"/>
    <w:rsid w:val="00437961"/>
    <w:rsid w:val="00440BED"/>
    <w:rsid w:val="004411E9"/>
    <w:rsid w:val="00441BA1"/>
    <w:rsid w:val="004420AD"/>
    <w:rsid w:val="0044337F"/>
    <w:rsid w:val="004437C5"/>
    <w:rsid w:val="004444F6"/>
    <w:rsid w:val="00444713"/>
    <w:rsid w:val="00444BA9"/>
    <w:rsid w:val="00444C51"/>
    <w:rsid w:val="00444CCE"/>
    <w:rsid w:val="00446E0B"/>
    <w:rsid w:val="00447086"/>
    <w:rsid w:val="004475B6"/>
    <w:rsid w:val="00447D54"/>
    <w:rsid w:val="00450711"/>
    <w:rsid w:val="00451612"/>
    <w:rsid w:val="0045263F"/>
    <w:rsid w:val="004530BD"/>
    <w:rsid w:val="004544A5"/>
    <w:rsid w:val="004548C2"/>
    <w:rsid w:val="00454A35"/>
    <w:rsid w:val="00455644"/>
    <w:rsid w:val="00455C2A"/>
    <w:rsid w:val="004571F7"/>
    <w:rsid w:val="004573B7"/>
    <w:rsid w:val="0045777A"/>
    <w:rsid w:val="00457B83"/>
    <w:rsid w:val="0046008B"/>
    <w:rsid w:val="00460297"/>
    <w:rsid w:val="004617C1"/>
    <w:rsid w:val="004617DB"/>
    <w:rsid w:val="00461B7F"/>
    <w:rsid w:val="00461D64"/>
    <w:rsid w:val="00462065"/>
    <w:rsid w:val="00462458"/>
    <w:rsid w:val="004630C4"/>
    <w:rsid w:val="00463C99"/>
    <w:rsid w:val="00464BC6"/>
    <w:rsid w:val="00464FDC"/>
    <w:rsid w:val="00465236"/>
    <w:rsid w:val="004654D6"/>
    <w:rsid w:val="0046655F"/>
    <w:rsid w:val="004674EA"/>
    <w:rsid w:val="00467542"/>
    <w:rsid w:val="00467F7D"/>
    <w:rsid w:val="0047034B"/>
    <w:rsid w:val="00471557"/>
    <w:rsid w:val="00471573"/>
    <w:rsid w:val="00471DDD"/>
    <w:rsid w:val="00472D10"/>
    <w:rsid w:val="00473638"/>
    <w:rsid w:val="004740B8"/>
    <w:rsid w:val="00474955"/>
    <w:rsid w:val="00474DF4"/>
    <w:rsid w:val="004750D6"/>
    <w:rsid w:val="004755D0"/>
    <w:rsid w:val="00475710"/>
    <w:rsid w:val="00476B53"/>
    <w:rsid w:val="004770C3"/>
    <w:rsid w:val="00477660"/>
    <w:rsid w:val="004816F5"/>
    <w:rsid w:val="00482F4E"/>
    <w:rsid w:val="004830F5"/>
    <w:rsid w:val="00483238"/>
    <w:rsid w:val="004839C5"/>
    <w:rsid w:val="00483D20"/>
    <w:rsid w:val="00484774"/>
    <w:rsid w:val="004848EF"/>
    <w:rsid w:val="00485655"/>
    <w:rsid w:val="00485F4E"/>
    <w:rsid w:val="004860E6"/>
    <w:rsid w:val="00486F4F"/>
    <w:rsid w:val="004876DA"/>
    <w:rsid w:val="0049067F"/>
    <w:rsid w:val="004910DE"/>
    <w:rsid w:val="004916C0"/>
    <w:rsid w:val="00491D04"/>
    <w:rsid w:val="004922D4"/>
    <w:rsid w:val="00492BB1"/>
    <w:rsid w:val="00492DE8"/>
    <w:rsid w:val="0049302E"/>
    <w:rsid w:val="00493595"/>
    <w:rsid w:val="00493C39"/>
    <w:rsid w:val="00493F84"/>
    <w:rsid w:val="004946BD"/>
    <w:rsid w:val="00495917"/>
    <w:rsid w:val="00496899"/>
    <w:rsid w:val="0049743C"/>
    <w:rsid w:val="0049781C"/>
    <w:rsid w:val="004A1529"/>
    <w:rsid w:val="004A378B"/>
    <w:rsid w:val="004A3D2E"/>
    <w:rsid w:val="004A425C"/>
    <w:rsid w:val="004A47C0"/>
    <w:rsid w:val="004A5764"/>
    <w:rsid w:val="004A5D5C"/>
    <w:rsid w:val="004A612B"/>
    <w:rsid w:val="004A75C5"/>
    <w:rsid w:val="004B0767"/>
    <w:rsid w:val="004B07C7"/>
    <w:rsid w:val="004B0B2A"/>
    <w:rsid w:val="004B14F2"/>
    <w:rsid w:val="004B184A"/>
    <w:rsid w:val="004B2B22"/>
    <w:rsid w:val="004B325D"/>
    <w:rsid w:val="004B3ACE"/>
    <w:rsid w:val="004B40EF"/>
    <w:rsid w:val="004B5295"/>
    <w:rsid w:val="004B5898"/>
    <w:rsid w:val="004B7112"/>
    <w:rsid w:val="004B7BE8"/>
    <w:rsid w:val="004C029C"/>
    <w:rsid w:val="004C0943"/>
    <w:rsid w:val="004C12F3"/>
    <w:rsid w:val="004C175D"/>
    <w:rsid w:val="004C2622"/>
    <w:rsid w:val="004C2A42"/>
    <w:rsid w:val="004C33BB"/>
    <w:rsid w:val="004C4ECE"/>
    <w:rsid w:val="004C6117"/>
    <w:rsid w:val="004C630F"/>
    <w:rsid w:val="004C7F8A"/>
    <w:rsid w:val="004D1BB9"/>
    <w:rsid w:val="004D2132"/>
    <w:rsid w:val="004D3D72"/>
    <w:rsid w:val="004D4754"/>
    <w:rsid w:val="004D5F39"/>
    <w:rsid w:val="004D6685"/>
    <w:rsid w:val="004D7152"/>
    <w:rsid w:val="004D7632"/>
    <w:rsid w:val="004D7AAA"/>
    <w:rsid w:val="004E1046"/>
    <w:rsid w:val="004E1730"/>
    <w:rsid w:val="004E1854"/>
    <w:rsid w:val="004E1B0C"/>
    <w:rsid w:val="004E1CBD"/>
    <w:rsid w:val="004E29FF"/>
    <w:rsid w:val="004E366A"/>
    <w:rsid w:val="004E597A"/>
    <w:rsid w:val="004E5982"/>
    <w:rsid w:val="004E60F0"/>
    <w:rsid w:val="004E69A2"/>
    <w:rsid w:val="004E6B6B"/>
    <w:rsid w:val="004E6DC8"/>
    <w:rsid w:val="004E7019"/>
    <w:rsid w:val="004E7B17"/>
    <w:rsid w:val="004F11FF"/>
    <w:rsid w:val="004F1F22"/>
    <w:rsid w:val="004F2641"/>
    <w:rsid w:val="004F4131"/>
    <w:rsid w:val="004F4520"/>
    <w:rsid w:val="004F4558"/>
    <w:rsid w:val="004F63C0"/>
    <w:rsid w:val="0050200C"/>
    <w:rsid w:val="005025ED"/>
    <w:rsid w:val="00502607"/>
    <w:rsid w:val="005026F5"/>
    <w:rsid w:val="0050306E"/>
    <w:rsid w:val="0050361C"/>
    <w:rsid w:val="00504BB7"/>
    <w:rsid w:val="00505831"/>
    <w:rsid w:val="005065AB"/>
    <w:rsid w:val="005067A7"/>
    <w:rsid w:val="00506A77"/>
    <w:rsid w:val="00507A39"/>
    <w:rsid w:val="005105FC"/>
    <w:rsid w:val="005122CD"/>
    <w:rsid w:val="0051370C"/>
    <w:rsid w:val="00513F91"/>
    <w:rsid w:val="00514C88"/>
    <w:rsid w:val="00515C2D"/>
    <w:rsid w:val="00516BA9"/>
    <w:rsid w:val="00516E2E"/>
    <w:rsid w:val="0052046F"/>
    <w:rsid w:val="005205BC"/>
    <w:rsid w:val="005208FE"/>
    <w:rsid w:val="005213E5"/>
    <w:rsid w:val="00521A60"/>
    <w:rsid w:val="00521E21"/>
    <w:rsid w:val="00522BA7"/>
    <w:rsid w:val="005234AF"/>
    <w:rsid w:val="00523693"/>
    <w:rsid w:val="00524143"/>
    <w:rsid w:val="00526189"/>
    <w:rsid w:val="00526621"/>
    <w:rsid w:val="00526F17"/>
    <w:rsid w:val="00527785"/>
    <w:rsid w:val="00527BC9"/>
    <w:rsid w:val="00531339"/>
    <w:rsid w:val="005313B6"/>
    <w:rsid w:val="00531CCD"/>
    <w:rsid w:val="005327E7"/>
    <w:rsid w:val="00532DDE"/>
    <w:rsid w:val="0053481F"/>
    <w:rsid w:val="00534B6F"/>
    <w:rsid w:val="00534D5C"/>
    <w:rsid w:val="0053543D"/>
    <w:rsid w:val="005359B8"/>
    <w:rsid w:val="00536030"/>
    <w:rsid w:val="00540790"/>
    <w:rsid w:val="005408C0"/>
    <w:rsid w:val="00540E7C"/>
    <w:rsid w:val="00541101"/>
    <w:rsid w:val="0054135A"/>
    <w:rsid w:val="0054204C"/>
    <w:rsid w:val="0054218E"/>
    <w:rsid w:val="00542666"/>
    <w:rsid w:val="00543AA7"/>
    <w:rsid w:val="00544A33"/>
    <w:rsid w:val="00546DC4"/>
    <w:rsid w:val="00547A72"/>
    <w:rsid w:val="00547E18"/>
    <w:rsid w:val="00550AB4"/>
    <w:rsid w:val="00551177"/>
    <w:rsid w:val="0055128C"/>
    <w:rsid w:val="00551935"/>
    <w:rsid w:val="005524A0"/>
    <w:rsid w:val="00553A28"/>
    <w:rsid w:val="00554024"/>
    <w:rsid w:val="00554B56"/>
    <w:rsid w:val="00555D9B"/>
    <w:rsid w:val="00556253"/>
    <w:rsid w:val="00557374"/>
    <w:rsid w:val="00557537"/>
    <w:rsid w:val="005577E9"/>
    <w:rsid w:val="0056018C"/>
    <w:rsid w:val="0056031C"/>
    <w:rsid w:val="00560396"/>
    <w:rsid w:val="00561371"/>
    <w:rsid w:val="00561A36"/>
    <w:rsid w:val="00562708"/>
    <w:rsid w:val="00562C47"/>
    <w:rsid w:val="005632C4"/>
    <w:rsid w:val="00563362"/>
    <w:rsid w:val="00564C79"/>
    <w:rsid w:val="00564CDE"/>
    <w:rsid w:val="0056771E"/>
    <w:rsid w:val="0057001B"/>
    <w:rsid w:val="00570573"/>
    <w:rsid w:val="00570D25"/>
    <w:rsid w:val="0057177B"/>
    <w:rsid w:val="00571C86"/>
    <w:rsid w:val="005729AD"/>
    <w:rsid w:val="00573331"/>
    <w:rsid w:val="005758BF"/>
    <w:rsid w:val="0058069E"/>
    <w:rsid w:val="00581EDA"/>
    <w:rsid w:val="0058250E"/>
    <w:rsid w:val="005827A7"/>
    <w:rsid w:val="005829DC"/>
    <w:rsid w:val="005829E0"/>
    <w:rsid w:val="00584BA9"/>
    <w:rsid w:val="00586368"/>
    <w:rsid w:val="00587A0E"/>
    <w:rsid w:val="00587D2A"/>
    <w:rsid w:val="00590491"/>
    <w:rsid w:val="00591B56"/>
    <w:rsid w:val="005922B7"/>
    <w:rsid w:val="00592339"/>
    <w:rsid w:val="00592C53"/>
    <w:rsid w:val="00592FC4"/>
    <w:rsid w:val="00594445"/>
    <w:rsid w:val="00594D93"/>
    <w:rsid w:val="00595646"/>
    <w:rsid w:val="00595EE0"/>
    <w:rsid w:val="00595F8E"/>
    <w:rsid w:val="005A0571"/>
    <w:rsid w:val="005A057E"/>
    <w:rsid w:val="005A06B1"/>
    <w:rsid w:val="005A2360"/>
    <w:rsid w:val="005A2F2B"/>
    <w:rsid w:val="005A3577"/>
    <w:rsid w:val="005A3767"/>
    <w:rsid w:val="005A39DA"/>
    <w:rsid w:val="005A3E85"/>
    <w:rsid w:val="005A4B25"/>
    <w:rsid w:val="005A6A2F"/>
    <w:rsid w:val="005A6D4A"/>
    <w:rsid w:val="005A7DF4"/>
    <w:rsid w:val="005B0531"/>
    <w:rsid w:val="005B0598"/>
    <w:rsid w:val="005B083B"/>
    <w:rsid w:val="005B0912"/>
    <w:rsid w:val="005B17DC"/>
    <w:rsid w:val="005B3EB5"/>
    <w:rsid w:val="005B4ED8"/>
    <w:rsid w:val="005B5D14"/>
    <w:rsid w:val="005B6141"/>
    <w:rsid w:val="005B62C6"/>
    <w:rsid w:val="005B75A5"/>
    <w:rsid w:val="005C0464"/>
    <w:rsid w:val="005C0ADB"/>
    <w:rsid w:val="005C0C84"/>
    <w:rsid w:val="005C0DD9"/>
    <w:rsid w:val="005C0E71"/>
    <w:rsid w:val="005C0FDA"/>
    <w:rsid w:val="005C10AE"/>
    <w:rsid w:val="005C1596"/>
    <w:rsid w:val="005C22CA"/>
    <w:rsid w:val="005C26EF"/>
    <w:rsid w:val="005C3274"/>
    <w:rsid w:val="005C356B"/>
    <w:rsid w:val="005C48D0"/>
    <w:rsid w:val="005C4D75"/>
    <w:rsid w:val="005C4F1D"/>
    <w:rsid w:val="005C561B"/>
    <w:rsid w:val="005C5CCB"/>
    <w:rsid w:val="005C6EE1"/>
    <w:rsid w:val="005C76C4"/>
    <w:rsid w:val="005C7DF4"/>
    <w:rsid w:val="005C7ECF"/>
    <w:rsid w:val="005D0048"/>
    <w:rsid w:val="005D07E1"/>
    <w:rsid w:val="005D0E7B"/>
    <w:rsid w:val="005D119C"/>
    <w:rsid w:val="005D14DE"/>
    <w:rsid w:val="005D2081"/>
    <w:rsid w:val="005D2D46"/>
    <w:rsid w:val="005D35B2"/>
    <w:rsid w:val="005D4748"/>
    <w:rsid w:val="005D4B0B"/>
    <w:rsid w:val="005D4B8B"/>
    <w:rsid w:val="005D5633"/>
    <w:rsid w:val="005D68FE"/>
    <w:rsid w:val="005D7A0B"/>
    <w:rsid w:val="005E000E"/>
    <w:rsid w:val="005E04A2"/>
    <w:rsid w:val="005E0637"/>
    <w:rsid w:val="005E0A5D"/>
    <w:rsid w:val="005E1D34"/>
    <w:rsid w:val="005E2178"/>
    <w:rsid w:val="005E2B17"/>
    <w:rsid w:val="005E3253"/>
    <w:rsid w:val="005E3B3E"/>
    <w:rsid w:val="005E3D7F"/>
    <w:rsid w:val="005E426C"/>
    <w:rsid w:val="005E49EB"/>
    <w:rsid w:val="005E4F72"/>
    <w:rsid w:val="005E543A"/>
    <w:rsid w:val="005E5748"/>
    <w:rsid w:val="005F1EF0"/>
    <w:rsid w:val="005F4C65"/>
    <w:rsid w:val="005F4C89"/>
    <w:rsid w:val="005F538C"/>
    <w:rsid w:val="005F62A5"/>
    <w:rsid w:val="005F7255"/>
    <w:rsid w:val="0060033E"/>
    <w:rsid w:val="006005D1"/>
    <w:rsid w:val="00601E18"/>
    <w:rsid w:val="00602422"/>
    <w:rsid w:val="006024B7"/>
    <w:rsid w:val="00603FFB"/>
    <w:rsid w:val="00604067"/>
    <w:rsid w:val="00604F6E"/>
    <w:rsid w:val="00605280"/>
    <w:rsid w:val="006068F5"/>
    <w:rsid w:val="00607581"/>
    <w:rsid w:val="00607A45"/>
    <w:rsid w:val="00610AD6"/>
    <w:rsid w:val="00610EE3"/>
    <w:rsid w:val="00610FAD"/>
    <w:rsid w:val="00611F87"/>
    <w:rsid w:val="00612581"/>
    <w:rsid w:val="006136B3"/>
    <w:rsid w:val="0061427C"/>
    <w:rsid w:val="00614FCA"/>
    <w:rsid w:val="006157E2"/>
    <w:rsid w:val="006162B6"/>
    <w:rsid w:val="00616FE6"/>
    <w:rsid w:val="0061760A"/>
    <w:rsid w:val="00617941"/>
    <w:rsid w:val="0061797B"/>
    <w:rsid w:val="0062039E"/>
    <w:rsid w:val="00623185"/>
    <w:rsid w:val="006238E4"/>
    <w:rsid w:val="006238FB"/>
    <w:rsid w:val="00624992"/>
    <w:rsid w:val="0063002D"/>
    <w:rsid w:val="006312DD"/>
    <w:rsid w:val="0063194D"/>
    <w:rsid w:val="00631E00"/>
    <w:rsid w:val="006328E1"/>
    <w:rsid w:val="00632A48"/>
    <w:rsid w:val="00632FEE"/>
    <w:rsid w:val="00634930"/>
    <w:rsid w:val="00635064"/>
    <w:rsid w:val="0063521B"/>
    <w:rsid w:val="006352A4"/>
    <w:rsid w:val="0063543C"/>
    <w:rsid w:val="006374B0"/>
    <w:rsid w:val="006406FF"/>
    <w:rsid w:val="00640F92"/>
    <w:rsid w:val="00641355"/>
    <w:rsid w:val="006423CF"/>
    <w:rsid w:val="00642717"/>
    <w:rsid w:val="00642A98"/>
    <w:rsid w:val="00644304"/>
    <w:rsid w:val="00644CA0"/>
    <w:rsid w:val="00645EF3"/>
    <w:rsid w:val="006475B1"/>
    <w:rsid w:val="0065052F"/>
    <w:rsid w:val="00650DE6"/>
    <w:rsid w:val="006517B1"/>
    <w:rsid w:val="0065202F"/>
    <w:rsid w:val="006524CD"/>
    <w:rsid w:val="00653A58"/>
    <w:rsid w:val="0065430A"/>
    <w:rsid w:val="006544A2"/>
    <w:rsid w:val="00654888"/>
    <w:rsid w:val="0065528C"/>
    <w:rsid w:val="006562AF"/>
    <w:rsid w:val="00656515"/>
    <w:rsid w:val="00657533"/>
    <w:rsid w:val="006577C1"/>
    <w:rsid w:val="006578A4"/>
    <w:rsid w:val="00660503"/>
    <w:rsid w:val="006610C7"/>
    <w:rsid w:val="00661BE6"/>
    <w:rsid w:val="00662B29"/>
    <w:rsid w:val="00663349"/>
    <w:rsid w:val="00663F14"/>
    <w:rsid w:val="006640AF"/>
    <w:rsid w:val="00664695"/>
    <w:rsid w:val="00664DDD"/>
    <w:rsid w:val="006652E3"/>
    <w:rsid w:val="00665C39"/>
    <w:rsid w:val="00665CBD"/>
    <w:rsid w:val="00670184"/>
    <w:rsid w:val="0067088C"/>
    <w:rsid w:val="00670A4E"/>
    <w:rsid w:val="00671C97"/>
    <w:rsid w:val="00671E95"/>
    <w:rsid w:val="006721A3"/>
    <w:rsid w:val="006726B2"/>
    <w:rsid w:val="00672799"/>
    <w:rsid w:val="0067283E"/>
    <w:rsid w:val="00672FD1"/>
    <w:rsid w:val="00673138"/>
    <w:rsid w:val="0067313B"/>
    <w:rsid w:val="00673679"/>
    <w:rsid w:val="00673753"/>
    <w:rsid w:val="00675295"/>
    <w:rsid w:val="00675E10"/>
    <w:rsid w:val="006769C7"/>
    <w:rsid w:val="00676AB8"/>
    <w:rsid w:val="00677235"/>
    <w:rsid w:val="006808A6"/>
    <w:rsid w:val="00680EC7"/>
    <w:rsid w:val="00681356"/>
    <w:rsid w:val="006822D7"/>
    <w:rsid w:val="006840E0"/>
    <w:rsid w:val="00685747"/>
    <w:rsid w:val="0068589B"/>
    <w:rsid w:val="00685E9A"/>
    <w:rsid w:val="00686194"/>
    <w:rsid w:val="00687C5E"/>
    <w:rsid w:val="0069038C"/>
    <w:rsid w:val="006908F6"/>
    <w:rsid w:val="0069381D"/>
    <w:rsid w:val="006946B2"/>
    <w:rsid w:val="00694DBB"/>
    <w:rsid w:val="00694E99"/>
    <w:rsid w:val="00695BA6"/>
    <w:rsid w:val="00695D8B"/>
    <w:rsid w:val="0069676F"/>
    <w:rsid w:val="00697C52"/>
    <w:rsid w:val="006A0A11"/>
    <w:rsid w:val="006A108F"/>
    <w:rsid w:val="006A3377"/>
    <w:rsid w:val="006A3AFA"/>
    <w:rsid w:val="006A3DDC"/>
    <w:rsid w:val="006A4E16"/>
    <w:rsid w:val="006A60FC"/>
    <w:rsid w:val="006A69F6"/>
    <w:rsid w:val="006A74F8"/>
    <w:rsid w:val="006B0283"/>
    <w:rsid w:val="006B0A2D"/>
    <w:rsid w:val="006B2120"/>
    <w:rsid w:val="006B2423"/>
    <w:rsid w:val="006B2A0B"/>
    <w:rsid w:val="006B340D"/>
    <w:rsid w:val="006B58F6"/>
    <w:rsid w:val="006B62E0"/>
    <w:rsid w:val="006B7816"/>
    <w:rsid w:val="006B7F4C"/>
    <w:rsid w:val="006C036F"/>
    <w:rsid w:val="006C0718"/>
    <w:rsid w:val="006C26E1"/>
    <w:rsid w:val="006C3FC3"/>
    <w:rsid w:val="006C471A"/>
    <w:rsid w:val="006C4998"/>
    <w:rsid w:val="006C4DD2"/>
    <w:rsid w:val="006C50BF"/>
    <w:rsid w:val="006C52C9"/>
    <w:rsid w:val="006C614A"/>
    <w:rsid w:val="006C617D"/>
    <w:rsid w:val="006C65C6"/>
    <w:rsid w:val="006C7665"/>
    <w:rsid w:val="006C7854"/>
    <w:rsid w:val="006D0AE4"/>
    <w:rsid w:val="006D0CCA"/>
    <w:rsid w:val="006D1860"/>
    <w:rsid w:val="006D22AC"/>
    <w:rsid w:val="006D313A"/>
    <w:rsid w:val="006D3F8C"/>
    <w:rsid w:val="006D5195"/>
    <w:rsid w:val="006D5AD8"/>
    <w:rsid w:val="006D63A8"/>
    <w:rsid w:val="006D67C1"/>
    <w:rsid w:val="006D69C8"/>
    <w:rsid w:val="006D6FF9"/>
    <w:rsid w:val="006D76CD"/>
    <w:rsid w:val="006D7923"/>
    <w:rsid w:val="006E01BA"/>
    <w:rsid w:val="006E047B"/>
    <w:rsid w:val="006E0A34"/>
    <w:rsid w:val="006E0FDB"/>
    <w:rsid w:val="006E1C2C"/>
    <w:rsid w:val="006E1FF1"/>
    <w:rsid w:val="006E277A"/>
    <w:rsid w:val="006E284A"/>
    <w:rsid w:val="006E2FA9"/>
    <w:rsid w:val="006E3347"/>
    <w:rsid w:val="006E38E0"/>
    <w:rsid w:val="006E406F"/>
    <w:rsid w:val="006E4D58"/>
    <w:rsid w:val="006E6301"/>
    <w:rsid w:val="006E6E66"/>
    <w:rsid w:val="006E7526"/>
    <w:rsid w:val="006F02F7"/>
    <w:rsid w:val="006F057E"/>
    <w:rsid w:val="006F05E3"/>
    <w:rsid w:val="006F0781"/>
    <w:rsid w:val="006F09F8"/>
    <w:rsid w:val="006F126F"/>
    <w:rsid w:val="006F191F"/>
    <w:rsid w:val="006F19ED"/>
    <w:rsid w:val="006F1AAC"/>
    <w:rsid w:val="006F1B0C"/>
    <w:rsid w:val="006F2CC7"/>
    <w:rsid w:val="006F2FB0"/>
    <w:rsid w:val="006F32EF"/>
    <w:rsid w:val="006F3F52"/>
    <w:rsid w:val="006F58DB"/>
    <w:rsid w:val="006F5BFB"/>
    <w:rsid w:val="006F6E04"/>
    <w:rsid w:val="006F794E"/>
    <w:rsid w:val="006F7DB1"/>
    <w:rsid w:val="0070233A"/>
    <w:rsid w:val="00703335"/>
    <w:rsid w:val="00703FAB"/>
    <w:rsid w:val="00704171"/>
    <w:rsid w:val="00704532"/>
    <w:rsid w:val="007053B0"/>
    <w:rsid w:val="00705884"/>
    <w:rsid w:val="007058AC"/>
    <w:rsid w:val="00706187"/>
    <w:rsid w:val="00706329"/>
    <w:rsid w:val="0070667D"/>
    <w:rsid w:val="00710306"/>
    <w:rsid w:val="00711693"/>
    <w:rsid w:val="00711B8F"/>
    <w:rsid w:val="0071210C"/>
    <w:rsid w:val="0071241C"/>
    <w:rsid w:val="00714BAE"/>
    <w:rsid w:val="007153E0"/>
    <w:rsid w:val="00715973"/>
    <w:rsid w:val="00715AD1"/>
    <w:rsid w:val="007162B9"/>
    <w:rsid w:val="00716534"/>
    <w:rsid w:val="00716904"/>
    <w:rsid w:val="00716B81"/>
    <w:rsid w:val="00717096"/>
    <w:rsid w:val="0072077A"/>
    <w:rsid w:val="00720BF1"/>
    <w:rsid w:val="00720C4A"/>
    <w:rsid w:val="007218AF"/>
    <w:rsid w:val="00721E93"/>
    <w:rsid w:val="0072306C"/>
    <w:rsid w:val="00723948"/>
    <w:rsid w:val="007244E4"/>
    <w:rsid w:val="00724DB6"/>
    <w:rsid w:val="0072531C"/>
    <w:rsid w:val="007253DD"/>
    <w:rsid w:val="00725BE7"/>
    <w:rsid w:val="007270AA"/>
    <w:rsid w:val="007273B9"/>
    <w:rsid w:val="00730F38"/>
    <w:rsid w:val="00731FAF"/>
    <w:rsid w:val="0073263C"/>
    <w:rsid w:val="007327DC"/>
    <w:rsid w:val="00733C1E"/>
    <w:rsid w:val="00734452"/>
    <w:rsid w:val="007358BD"/>
    <w:rsid w:val="00736775"/>
    <w:rsid w:val="007370F9"/>
    <w:rsid w:val="00741000"/>
    <w:rsid w:val="0074280B"/>
    <w:rsid w:val="00742C25"/>
    <w:rsid w:val="00743BCD"/>
    <w:rsid w:val="00746BB5"/>
    <w:rsid w:val="00747313"/>
    <w:rsid w:val="007475BC"/>
    <w:rsid w:val="007477A3"/>
    <w:rsid w:val="00747A16"/>
    <w:rsid w:val="0075006F"/>
    <w:rsid w:val="00750350"/>
    <w:rsid w:val="00750513"/>
    <w:rsid w:val="00751716"/>
    <w:rsid w:val="007518AC"/>
    <w:rsid w:val="007540D6"/>
    <w:rsid w:val="00754AA0"/>
    <w:rsid w:val="00755B01"/>
    <w:rsid w:val="00755E67"/>
    <w:rsid w:val="007562F7"/>
    <w:rsid w:val="00756A9F"/>
    <w:rsid w:val="007602F8"/>
    <w:rsid w:val="00760ABF"/>
    <w:rsid w:val="00760FE1"/>
    <w:rsid w:val="00761B75"/>
    <w:rsid w:val="0076297A"/>
    <w:rsid w:val="007634A5"/>
    <w:rsid w:val="00764A0A"/>
    <w:rsid w:val="007651CD"/>
    <w:rsid w:val="0076566A"/>
    <w:rsid w:val="00765BFE"/>
    <w:rsid w:val="007663AE"/>
    <w:rsid w:val="00766C85"/>
    <w:rsid w:val="00766D35"/>
    <w:rsid w:val="0077064B"/>
    <w:rsid w:val="0077125F"/>
    <w:rsid w:val="00772608"/>
    <w:rsid w:val="0077476D"/>
    <w:rsid w:val="00774A00"/>
    <w:rsid w:val="00774C01"/>
    <w:rsid w:val="00774CC6"/>
    <w:rsid w:val="00774DE7"/>
    <w:rsid w:val="007750D6"/>
    <w:rsid w:val="0077551D"/>
    <w:rsid w:val="00775CAB"/>
    <w:rsid w:val="00775D5E"/>
    <w:rsid w:val="00776E53"/>
    <w:rsid w:val="00781063"/>
    <w:rsid w:val="0078179A"/>
    <w:rsid w:val="00781C63"/>
    <w:rsid w:val="007826D6"/>
    <w:rsid w:val="00782ACB"/>
    <w:rsid w:val="00783236"/>
    <w:rsid w:val="00783537"/>
    <w:rsid w:val="00784141"/>
    <w:rsid w:val="00784443"/>
    <w:rsid w:val="007847D4"/>
    <w:rsid w:val="00784852"/>
    <w:rsid w:val="00784A57"/>
    <w:rsid w:val="007859BB"/>
    <w:rsid w:val="00785E6C"/>
    <w:rsid w:val="0078645B"/>
    <w:rsid w:val="0079059D"/>
    <w:rsid w:val="00792F53"/>
    <w:rsid w:val="00794343"/>
    <w:rsid w:val="00794658"/>
    <w:rsid w:val="00794AA2"/>
    <w:rsid w:val="00794CA1"/>
    <w:rsid w:val="007955A4"/>
    <w:rsid w:val="00795879"/>
    <w:rsid w:val="00796DE9"/>
    <w:rsid w:val="0079733C"/>
    <w:rsid w:val="00797B93"/>
    <w:rsid w:val="00797D9B"/>
    <w:rsid w:val="00797E9F"/>
    <w:rsid w:val="007A00DB"/>
    <w:rsid w:val="007A0131"/>
    <w:rsid w:val="007A0C0F"/>
    <w:rsid w:val="007A179D"/>
    <w:rsid w:val="007A220F"/>
    <w:rsid w:val="007A472E"/>
    <w:rsid w:val="007A5B0E"/>
    <w:rsid w:val="007A5C9B"/>
    <w:rsid w:val="007A63B6"/>
    <w:rsid w:val="007A6993"/>
    <w:rsid w:val="007A6F50"/>
    <w:rsid w:val="007A767B"/>
    <w:rsid w:val="007B0077"/>
    <w:rsid w:val="007B0B4F"/>
    <w:rsid w:val="007B12F2"/>
    <w:rsid w:val="007B1721"/>
    <w:rsid w:val="007B218E"/>
    <w:rsid w:val="007B2A79"/>
    <w:rsid w:val="007B2B5E"/>
    <w:rsid w:val="007B2C6A"/>
    <w:rsid w:val="007B2F32"/>
    <w:rsid w:val="007B3837"/>
    <w:rsid w:val="007B3936"/>
    <w:rsid w:val="007B40A6"/>
    <w:rsid w:val="007B4E63"/>
    <w:rsid w:val="007B5CD4"/>
    <w:rsid w:val="007C0073"/>
    <w:rsid w:val="007C0B54"/>
    <w:rsid w:val="007C1030"/>
    <w:rsid w:val="007C161B"/>
    <w:rsid w:val="007C2805"/>
    <w:rsid w:val="007C3758"/>
    <w:rsid w:val="007C48A1"/>
    <w:rsid w:val="007C4AD3"/>
    <w:rsid w:val="007C5255"/>
    <w:rsid w:val="007C57EE"/>
    <w:rsid w:val="007C7735"/>
    <w:rsid w:val="007C7ABB"/>
    <w:rsid w:val="007C7E23"/>
    <w:rsid w:val="007D012C"/>
    <w:rsid w:val="007D02D9"/>
    <w:rsid w:val="007D044C"/>
    <w:rsid w:val="007D09A4"/>
    <w:rsid w:val="007D0EE4"/>
    <w:rsid w:val="007D19EB"/>
    <w:rsid w:val="007D1D1D"/>
    <w:rsid w:val="007D1E54"/>
    <w:rsid w:val="007D1F08"/>
    <w:rsid w:val="007D42ED"/>
    <w:rsid w:val="007D491A"/>
    <w:rsid w:val="007D50AE"/>
    <w:rsid w:val="007D5620"/>
    <w:rsid w:val="007D57F4"/>
    <w:rsid w:val="007D6E7B"/>
    <w:rsid w:val="007D72CD"/>
    <w:rsid w:val="007D78D0"/>
    <w:rsid w:val="007E0DBE"/>
    <w:rsid w:val="007E113E"/>
    <w:rsid w:val="007E15CE"/>
    <w:rsid w:val="007E2494"/>
    <w:rsid w:val="007E24CD"/>
    <w:rsid w:val="007E2953"/>
    <w:rsid w:val="007E34CA"/>
    <w:rsid w:val="007E38C2"/>
    <w:rsid w:val="007E3917"/>
    <w:rsid w:val="007E3E92"/>
    <w:rsid w:val="007E3F41"/>
    <w:rsid w:val="007E3FCD"/>
    <w:rsid w:val="007E5BA8"/>
    <w:rsid w:val="007E60C5"/>
    <w:rsid w:val="007E63B6"/>
    <w:rsid w:val="007E7D2B"/>
    <w:rsid w:val="007F0312"/>
    <w:rsid w:val="007F052C"/>
    <w:rsid w:val="007F0BA1"/>
    <w:rsid w:val="007F1F58"/>
    <w:rsid w:val="007F1FB1"/>
    <w:rsid w:val="007F4B36"/>
    <w:rsid w:val="007F4E83"/>
    <w:rsid w:val="007F5774"/>
    <w:rsid w:val="007F5FEE"/>
    <w:rsid w:val="007F63DA"/>
    <w:rsid w:val="007F6602"/>
    <w:rsid w:val="007F6ABF"/>
    <w:rsid w:val="007F6FA6"/>
    <w:rsid w:val="007F709D"/>
    <w:rsid w:val="00800388"/>
    <w:rsid w:val="00800987"/>
    <w:rsid w:val="00801C55"/>
    <w:rsid w:val="008028DC"/>
    <w:rsid w:val="00803998"/>
    <w:rsid w:val="00804486"/>
    <w:rsid w:val="008045B6"/>
    <w:rsid w:val="008046F9"/>
    <w:rsid w:val="008047D7"/>
    <w:rsid w:val="0080491A"/>
    <w:rsid w:val="00804DB7"/>
    <w:rsid w:val="0080506C"/>
    <w:rsid w:val="0080779D"/>
    <w:rsid w:val="00811536"/>
    <w:rsid w:val="00811690"/>
    <w:rsid w:val="00813914"/>
    <w:rsid w:val="008141A8"/>
    <w:rsid w:val="00814F2C"/>
    <w:rsid w:val="0081510E"/>
    <w:rsid w:val="00815961"/>
    <w:rsid w:val="00816CFC"/>
    <w:rsid w:val="00817677"/>
    <w:rsid w:val="00817A2A"/>
    <w:rsid w:val="00817DAE"/>
    <w:rsid w:val="00817E9F"/>
    <w:rsid w:val="00820488"/>
    <w:rsid w:val="0082075E"/>
    <w:rsid w:val="0082087F"/>
    <w:rsid w:val="00820DAF"/>
    <w:rsid w:val="008211F1"/>
    <w:rsid w:val="00821D3D"/>
    <w:rsid w:val="00822316"/>
    <w:rsid w:val="00822DF2"/>
    <w:rsid w:val="008239C1"/>
    <w:rsid w:val="0082484A"/>
    <w:rsid w:val="00825EBB"/>
    <w:rsid w:val="008260D4"/>
    <w:rsid w:val="00826235"/>
    <w:rsid w:val="00826684"/>
    <w:rsid w:val="008273C7"/>
    <w:rsid w:val="00830328"/>
    <w:rsid w:val="0083079A"/>
    <w:rsid w:val="0083131E"/>
    <w:rsid w:val="00831BA6"/>
    <w:rsid w:val="008331C8"/>
    <w:rsid w:val="0083404D"/>
    <w:rsid w:val="00834689"/>
    <w:rsid w:val="0083500F"/>
    <w:rsid w:val="0083543B"/>
    <w:rsid w:val="00835A37"/>
    <w:rsid w:val="00835DAF"/>
    <w:rsid w:val="0083669F"/>
    <w:rsid w:val="00837154"/>
    <w:rsid w:val="008402A3"/>
    <w:rsid w:val="00840505"/>
    <w:rsid w:val="00840B17"/>
    <w:rsid w:val="00842E88"/>
    <w:rsid w:val="008435DB"/>
    <w:rsid w:val="008444F3"/>
    <w:rsid w:val="008446CB"/>
    <w:rsid w:val="00844F9E"/>
    <w:rsid w:val="00846679"/>
    <w:rsid w:val="0084799D"/>
    <w:rsid w:val="00847AD4"/>
    <w:rsid w:val="00851C59"/>
    <w:rsid w:val="008521CA"/>
    <w:rsid w:val="00852E98"/>
    <w:rsid w:val="0085320F"/>
    <w:rsid w:val="00854C1A"/>
    <w:rsid w:val="00855B17"/>
    <w:rsid w:val="00855FEC"/>
    <w:rsid w:val="00857FC4"/>
    <w:rsid w:val="00861524"/>
    <w:rsid w:val="008618B7"/>
    <w:rsid w:val="008619CC"/>
    <w:rsid w:val="00861B23"/>
    <w:rsid w:val="008624F8"/>
    <w:rsid w:val="00862B40"/>
    <w:rsid w:val="00864102"/>
    <w:rsid w:val="0086490E"/>
    <w:rsid w:val="00866417"/>
    <w:rsid w:val="00866E29"/>
    <w:rsid w:val="00867185"/>
    <w:rsid w:val="00867252"/>
    <w:rsid w:val="00870087"/>
    <w:rsid w:val="008703B9"/>
    <w:rsid w:val="0087087A"/>
    <w:rsid w:val="00870A61"/>
    <w:rsid w:val="008714AA"/>
    <w:rsid w:val="00872672"/>
    <w:rsid w:val="00872785"/>
    <w:rsid w:val="00872C40"/>
    <w:rsid w:val="0087428E"/>
    <w:rsid w:val="00874FDB"/>
    <w:rsid w:val="0087702A"/>
    <w:rsid w:val="008773CD"/>
    <w:rsid w:val="00877602"/>
    <w:rsid w:val="008778F3"/>
    <w:rsid w:val="008801D2"/>
    <w:rsid w:val="008804EE"/>
    <w:rsid w:val="00880ABC"/>
    <w:rsid w:val="00880EE8"/>
    <w:rsid w:val="00881C04"/>
    <w:rsid w:val="00881EC7"/>
    <w:rsid w:val="00882922"/>
    <w:rsid w:val="00882C54"/>
    <w:rsid w:val="00882DF1"/>
    <w:rsid w:val="008834D1"/>
    <w:rsid w:val="008835AB"/>
    <w:rsid w:val="00883782"/>
    <w:rsid w:val="00883E47"/>
    <w:rsid w:val="0088412D"/>
    <w:rsid w:val="0088541F"/>
    <w:rsid w:val="00885C57"/>
    <w:rsid w:val="00886DD1"/>
    <w:rsid w:val="00890541"/>
    <w:rsid w:val="00890B3F"/>
    <w:rsid w:val="00890F94"/>
    <w:rsid w:val="0089138D"/>
    <w:rsid w:val="00891F12"/>
    <w:rsid w:val="00892672"/>
    <w:rsid w:val="00892CF6"/>
    <w:rsid w:val="00894927"/>
    <w:rsid w:val="00894C88"/>
    <w:rsid w:val="00894FBB"/>
    <w:rsid w:val="008953AC"/>
    <w:rsid w:val="00895BE4"/>
    <w:rsid w:val="008964F1"/>
    <w:rsid w:val="008967A8"/>
    <w:rsid w:val="00897587"/>
    <w:rsid w:val="008A14F7"/>
    <w:rsid w:val="008A15C3"/>
    <w:rsid w:val="008A1A45"/>
    <w:rsid w:val="008A1B81"/>
    <w:rsid w:val="008A1B96"/>
    <w:rsid w:val="008A223E"/>
    <w:rsid w:val="008A23DA"/>
    <w:rsid w:val="008A548A"/>
    <w:rsid w:val="008A5BE6"/>
    <w:rsid w:val="008A6201"/>
    <w:rsid w:val="008A653B"/>
    <w:rsid w:val="008A693F"/>
    <w:rsid w:val="008A6CD6"/>
    <w:rsid w:val="008A7C5D"/>
    <w:rsid w:val="008B028E"/>
    <w:rsid w:val="008B0BB6"/>
    <w:rsid w:val="008B195C"/>
    <w:rsid w:val="008B1A7C"/>
    <w:rsid w:val="008B28BD"/>
    <w:rsid w:val="008B28F3"/>
    <w:rsid w:val="008B2923"/>
    <w:rsid w:val="008B2ECA"/>
    <w:rsid w:val="008B358E"/>
    <w:rsid w:val="008B3C56"/>
    <w:rsid w:val="008B3FE7"/>
    <w:rsid w:val="008B4660"/>
    <w:rsid w:val="008B55B4"/>
    <w:rsid w:val="008B5E60"/>
    <w:rsid w:val="008B6BBD"/>
    <w:rsid w:val="008B6D53"/>
    <w:rsid w:val="008B7682"/>
    <w:rsid w:val="008B77BA"/>
    <w:rsid w:val="008B7E79"/>
    <w:rsid w:val="008C080D"/>
    <w:rsid w:val="008C0B02"/>
    <w:rsid w:val="008C0B8A"/>
    <w:rsid w:val="008C0BA1"/>
    <w:rsid w:val="008C0DE1"/>
    <w:rsid w:val="008C12D6"/>
    <w:rsid w:val="008C152B"/>
    <w:rsid w:val="008C2778"/>
    <w:rsid w:val="008C2F0C"/>
    <w:rsid w:val="008C3603"/>
    <w:rsid w:val="008C36D6"/>
    <w:rsid w:val="008C3C14"/>
    <w:rsid w:val="008C408B"/>
    <w:rsid w:val="008C4EAF"/>
    <w:rsid w:val="008C5388"/>
    <w:rsid w:val="008D09E7"/>
    <w:rsid w:val="008D0A34"/>
    <w:rsid w:val="008D2453"/>
    <w:rsid w:val="008D28ED"/>
    <w:rsid w:val="008D7517"/>
    <w:rsid w:val="008E03AF"/>
    <w:rsid w:val="008E0F12"/>
    <w:rsid w:val="008E127E"/>
    <w:rsid w:val="008E142E"/>
    <w:rsid w:val="008E284D"/>
    <w:rsid w:val="008E39C8"/>
    <w:rsid w:val="008E57AC"/>
    <w:rsid w:val="008E6930"/>
    <w:rsid w:val="008E788F"/>
    <w:rsid w:val="008E7DC9"/>
    <w:rsid w:val="008F22E6"/>
    <w:rsid w:val="008F2D5A"/>
    <w:rsid w:val="008F3576"/>
    <w:rsid w:val="008F3D19"/>
    <w:rsid w:val="008F3F68"/>
    <w:rsid w:val="008F4C5E"/>
    <w:rsid w:val="008F52D5"/>
    <w:rsid w:val="008F6E2B"/>
    <w:rsid w:val="008F6E4B"/>
    <w:rsid w:val="008F6EAB"/>
    <w:rsid w:val="008F7702"/>
    <w:rsid w:val="00900FD2"/>
    <w:rsid w:val="0090129E"/>
    <w:rsid w:val="00901848"/>
    <w:rsid w:val="00902232"/>
    <w:rsid w:val="009027EF"/>
    <w:rsid w:val="00902842"/>
    <w:rsid w:val="00902B30"/>
    <w:rsid w:val="00902BC3"/>
    <w:rsid w:val="0090308B"/>
    <w:rsid w:val="009039F6"/>
    <w:rsid w:val="009039FE"/>
    <w:rsid w:val="0090431A"/>
    <w:rsid w:val="0090572C"/>
    <w:rsid w:val="009069AE"/>
    <w:rsid w:val="0090733A"/>
    <w:rsid w:val="009076D4"/>
    <w:rsid w:val="00910672"/>
    <w:rsid w:val="00910DDF"/>
    <w:rsid w:val="0091110A"/>
    <w:rsid w:val="009118D4"/>
    <w:rsid w:val="0091197E"/>
    <w:rsid w:val="00912ACD"/>
    <w:rsid w:val="009131B0"/>
    <w:rsid w:val="00913AAF"/>
    <w:rsid w:val="00914662"/>
    <w:rsid w:val="00914A9F"/>
    <w:rsid w:val="009152BE"/>
    <w:rsid w:val="009161E4"/>
    <w:rsid w:val="0091696F"/>
    <w:rsid w:val="00916D75"/>
    <w:rsid w:val="00920A52"/>
    <w:rsid w:val="009218E0"/>
    <w:rsid w:val="00922CCB"/>
    <w:rsid w:val="00923B12"/>
    <w:rsid w:val="0092433A"/>
    <w:rsid w:val="0092527C"/>
    <w:rsid w:val="00927424"/>
    <w:rsid w:val="00931154"/>
    <w:rsid w:val="00932F32"/>
    <w:rsid w:val="00933E33"/>
    <w:rsid w:val="00934056"/>
    <w:rsid w:val="0093443F"/>
    <w:rsid w:val="00934F6F"/>
    <w:rsid w:val="009358B8"/>
    <w:rsid w:val="00935917"/>
    <w:rsid w:val="009364DC"/>
    <w:rsid w:val="00937391"/>
    <w:rsid w:val="00937433"/>
    <w:rsid w:val="00940BB4"/>
    <w:rsid w:val="00940D96"/>
    <w:rsid w:val="009412E9"/>
    <w:rsid w:val="009413FA"/>
    <w:rsid w:val="00942595"/>
    <w:rsid w:val="00943026"/>
    <w:rsid w:val="0094307F"/>
    <w:rsid w:val="0094399B"/>
    <w:rsid w:val="009447A5"/>
    <w:rsid w:val="00944A3C"/>
    <w:rsid w:val="00945C1E"/>
    <w:rsid w:val="00947532"/>
    <w:rsid w:val="009476A1"/>
    <w:rsid w:val="00947ADA"/>
    <w:rsid w:val="00947CEB"/>
    <w:rsid w:val="00951235"/>
    <w:rsid w:val="00951504"/>
    <w:rsid w:val="00951A6A"/>
    <w:rsid w:val="009524A9"/>
    <w:rsid w:val="0095253D"/>
    <w:rsid w:val="009530C6"/>
    <w:rsid w:val="009532DE"/>
    <w:rsid w:val="00953E2B"/>
    <w:rsid w:val="00954D48"/>
    <w:rsid w:val="00954FF8"/>
    <w:rsid w:val="00956118"/>
    <w:rsid w:val="00956494"/>
    <w:rsid w:val="009569DD"/>
    <w:rsid w:val="00957510"/>
    <w:rsid w:val="0096127C"/>
    <w:rsid w:val="0096175B"/>
    <w:rsid w:val="00961914"/>
    <w:rsid w:val="00961AD6"/>
    <w:rsid w:val="00962373"/>
    <w:rsid w:val="0096451E"/>
    <w:rsid w:val="009656EC"/>
    <w:rsid w:val="00966E6D"/>
    <w:rsid w:val="00967C05"/>
    <w:rsid w:val="00971C6B"/>
    <w:rsid w:val="00971E06"/>
    <w:rsid w:val="00971FF4"/>
    <w:rsid w:val="0097234F"/>
    <w:rsid w:val="009725B8"/>
    <w:rsid w:val="0097316B"/>
    <w:rsid w:val="0097430B"/>
    <w:rsid w:val="009745E7"/>
    <w:rsid w:val="00974D2D"/>
    <w:rsid w:val="009754A9"/>
    <w:rsid w:val="00977429"/>
    <w:rsid w:val="009802DD"/>
    <w:rsid w:val="00980385"/>
    <w:rsid w:val="00980A67"/>
    <w:rsid w:val="00981166"/>
    <w:rsid w:val="00982BEB"/>
    <w:rsid w:val="00983F8E"/>
    <w:rsid w:val="00984453"/>
    <w:rsid w:val="00985634"/>
    <w:rsid w:val="00985AAA"/>
    <w:rsid w:val="009866DB"/>
    <w:rsid w:val="009868D3"/>
    <w:rsid w:val="00986E50"/>
    <w:rsid w:val="00987364"/>
    <w:rsid w:val="00990047"/>
    <w:rsid w:val="00991244"/>
    <w:rsid w:val="00991432"/>
    <w:rsid w:val="009914FF"/>
    <w:rsid w:val="00991B71"/>
    <w:rsid w:val="00991F69"/>
    <w:rsid w:val="0099217B"/>
    <w:rsid w:val="00992BE5"/>
    <w:rsid w:val="00993200"/>
    <w:rsid w:val="0099326D"/>
    <w:rsid w:val="00994404"/>
    <w:rsid w:val="009947FE"/>
    <w:rsid w:val="00994A4F"/>
    <w:rsid w:val="00994D4A"/>
    <w:rsid w:val="0099579F"/>
    <w:rsid w:val="00996E50"/>
    <w:rsid w:val="0099709A"/>
    <w:rsid w:val="009972C3"/>
    <w:rsid w:val="0099737F"/>
    <w:rsid w:val="009A0294"/>
    <w:rsid w:val="009A1775"/>
    <w:rsid w:val="009A298F"/>
    <w:rsid w:val="009A2B88"/>
    <w:rsid w:val="009A35A4"/>
    <w:rsid w:val="009A394F"/>
    <w:rsid w:val="009A4389"/>
    <w:rsid w:val="009A5F9B"/>
    <w:rsid w:val="009B08E9"/>
    <w:rsid w:val="009B0BA1"/>
    <w:rsid w:val="009B234E"/>
    <w:rsid w:val="009B253E"/>
    <w:rsid w:val="009B2782"/>
    <w:rsid w:val="009B2E23"/>
    <w:rsid w:val="009B4D55"/>
    <w:rsid w:val="009B50B0"/>
    <w:rsid w:val="009B51E4"/>
    <w:rsid w:val="009B5211"/>
    <w:rsid w:val="009B6A05"/>
    <w:rsid w:val="009B6E34"/>
    <w:rsid w:val="009B77FB"/>
    <w:rsid w:val="009B784C"/>
    <w:rsid w:val="009C0DCF"/>
    <w:rsid w:val="009C1212"/>
    <w:rsid w:val="009C211F"/>
    <w:rsid w:val="009C21BD"/>
    <w:rsid w:val="009C2394"/>
    <w:rsid w:val="009C28A6"/>
    <w:rsid w:val="009C2C2B"/>
    <w:rsid w:val="009C2C70"/>
    <w:rsid w:val="009C30B2"/>
    <w:rsid w:val="009C40BA"/>
    <w:rsid w:val="009C4338"/>
    <w:rsid w:val="009C437E"/>
    <w:rsid w:val="009C5AEF"/>
    <w:rsid w:val="009C5E5D"/>
    <w:rsid w:val="009C5FFB"/>
    <w:rsid w:val="009C6F90"/>
    <w:rsid w:val="009C7643"/>
    <w:rsid w:val="009D0477"/>
    <w:rsid w:val="009D0634"/>
    <w:rsid w:val="009D0994"/>
    <w:rsid w:val="009D1786"/>
    <w:rsid w:val="009D2B71"/>
    <w:rsid w:val="009D327A"/>
    <w:rsid w:val="009D336C"/>
    <w:rsid w:val="009D3745"/>
    <w:rsid w:val="009D416A"/>
    <w:rsid w:val="009D6206"/>
    <w:rsid w:val="009D76DF"/>
    <w:rsid w:val="009D7F70"/>
    <w:rsid w:val="009E1EF0"/>
    <w:rsid w:val="009E2223"/>
    <w:rsid w:val="009E2556"/>
    <w:rsid w:val="009E29AB"/>
    <w:rsid w:val="009E29E3"/>
    <w:rsid w:val="009E2A1D"/>
    <w:rsid w:val="009E2A9B"/>
    <w:rsid w:val="009E4898"/>
    <w:rsid w:val="009E503D"/>
    <w:rsid w:val="009E52B7"/>
    <w:rsid w:val="009E5464"/>
    <w:rsid w:val="009E57C2"/>
    <w:rsid w:val="009E5958"/>
    <w:rsid w:val="009E5AF4"/>
    <w:rsid w:val="009E6EE5"/>
    <w:rsid w:val="009F0162"/>
    <w:rsid w:val="009F26BB"/>
    <w:rsid w:val="009F28D1"/>
    <w:rsid w:val="009F2CD7"/>
    <w:rsid w:val="009F3323"/>
    <w:rsid w:val="009F3451"/>
    <w:rsid w:val="009F3982"/>
    <w:rsid w:val="009F499C"/>
    <w:rsid w:val="009F5869"/>
    <w:rsid w:val="009F63C4"/>
    <w:rsid w:val="009F6A0E"/>
    <w:rsid w:val="009F7082"/>
    <w:rsid w:val="009F776D"/>
    <w:rsid w:val="009F7DF6"/>
    <w:rsid w:val="00A019AE"/>
    <w:rsid w:val="00A02489"/>
    <w:rsid w:val="00A0262E"/>
    <w:rsid w:val="00A0280D"/>
    <w:rsid w:val="00A0325F"/>
    <w:rsid w:val="00A035CD"/>
    <w:rsid w:val="00A037FD"/>
    <w:rsid w:val="00A03A19"/>
    <w:rsid w:val="00A04868"/>
    <w:rsid w:val="00A050F7"/>
    <w:rsid w:val="00A06AB6"/>
    <w:rsid w:val="00A07374"/>
    <w:rsid w:val="00A0762B"/>
    <w:rsid w:val="00A10E68"/>
    <w:rsid w:val="00A117B5"/>
    <w:rsid w:val="00A11A50"/>
    <w:rsid w:val="00A11AF1"/>
    <w:rsid w:val="00A12BEB"/>
    <w:rsid w:val="00A12CCB"/>
    <w:rsid w:val="00A13039"/>
    <w:rsid w:val="00A139AB"/>
    <w:rsid w:val="00A14046"/>
    <w:rsid w:val="00A14822"/>
    <w:rsid w:val="00A14ABD"/>
    <w:rsid w:val="00A16E50"/>
    <w:rsid w:val="00A16E95"/>
    <w:rsid w:val="00A17251"/>
    <w:rsid w:val="00A1737F"/>
    <w:rsid w:val="00A219A4"/>
    <w:rsid w:val="00A21D66"/>
    <w:rsid w:val="00A21ECF"/>
    <w:rsid w:val="00A22967"/>
    <w:rsid w:val="00A22D8E"/>
    <w:rsid w:val="00A23B39"/>
    <w:rsid w:val="00A23B42"/>
    <w:rsid w:val="00A25343"/>
    <w:rsid w:val="00A253DD"/>
    <w:rsid w:val="00A257E8"/>
    <w:rsid w:val="00A25812"/>
    <w:rsid w:val="00A25C86"/>
    <w:rsid w:val="00A25D2E"/>
    <w:rsid w:val="00A25ECC"/>
    <w:rsid w:val="00A2644B"/>
    <w:rsid w:val="00A26D06"/>
    <w:rsid w:val="00A26E5E"/>
    <w:rsid w:val="00A31A74"/>
    <w:rsid w:val="00A31AD5"/>
    <w:rsid w:val="00A3201C"/>
    <w:rsid w:val="00A32464"/>
    <w:rsid w:val="00A32D28"/>
    <w:rsid w:val="00A332E3"/>
    <w:rsid w:val="00A33605"/>
    <w:rsid w:val="00A35C25"/>
    <w:rsid w:val="00A40CE0"/>
    <w:rsid w:val="00A41E06"/>
    <w:rsid w:val="00A42A14"/>
    <w:rsid w:val="00A42C01"/>
    <w:rsid w:val="00A42E4B"/>
    <w:rsid w:val="00A4475C"/>
    <w:rsid w:val="00A44891"/>
    <w:rsid w:val="00A44C00"/>
    <w:rsid w:val="00A44FF0"/>
    <w:rsid w:val="00A4538F"/>
    <w:rsid w:val="00A45819"/>
    <w:rsid w:val="00A4584C"/>
    <w:rsid w:val="00A45E71"/>
    <w:rsid w:val="00A45F9A"/>
    <w:rsid w:val="00A470A6"/>
    <w:rsid w:val="00A47A5E"/>
    <w:rsid w:val="00A51521"/>
    <w:rsid w:val="00A51DD3"/>
    <w:rsid w:val="00A51EFC"/>
    <w:rsid w:val="00A52587"/>
    <w:rsid w:val="00A525A8"/>
    <w:rsid w:val="00A5289A"/>
    <w:rsid w:val="00A52BD4"/>
    <w:rsid w:val="00A52E79"/>
    <w:rsid w:val="00A53860"/>
    <w:rsid w:val="00A544D3"/>
    <w:rsid w:val="00A54D01"/>
    <w:rsid w:val="00A564F6"/>
    <w:rsid w:val="00A57429"/>
    <w:rsid w:val="00A60199"/>
    <w:rsid w:val="00A6106A"/>
    <w:rsid w:val="00A61844"/>
    <w:rsid w:val="00A61AF6"/>
    <w:rsid w:val="00A61EB4"/>
    <w:rsid w:val="00A62A3D"/>
    <w:rsid w:val="00A665A8"/>
    <w:rsid w:val="00A67508"/>
    <w:rsid w:val="00A676CA"/>
    <w:rsid w:val="00A71654"/>
    <w:rsid w:val="00A71697"/>
    <w:rsid w:val="00A718E5"/>
    <w:rsid w:val="00A71EAF"/>
    <w:rsid w:val="00A720C6"/>
    <w:rsid w:val="00A722B2"/>
    <w:rsid w:val="00A72499"/>
    <w:rsid w:val="00A728E2"/>
    <w:rsid w:val="00A72E53"/>
    <w:rsid w:val="00A734C0"/>
    <w:rsid w:val="00A73B1C"/>
    <w:rsid w:val="00A74380"/>
    <w:rsid w:val="00A74565"/>
    <w:rsid w:val="00A74D39"/>
    <w:rsid w:val="00A756EC"/>
    <w:rsid w:val="00A774F2"/>
    <w:rsid w:val="00A77C0F"/>
    <w:rsid w:val="00A77C3F"/>
    <w:rsid w:val="00A80C73"/>
    <w:rsid w:val="00A81E20"/>
    <w:rsid w:val="00A829E2"/>
    <w:rsid w:val="00A82E79"/>
    <w:rsid w:val="00A83370"/>
    <w:rsid w:val="00A83792"/>
    <w:rsid w:val="00A83A23"/>
    <w:rsid w:val="00A845A6"/>
    <w:rsid w:val="00A854E1"/>
    <w:rsid w:val="00A869EC"/>
    <w:rsid w:val="00A86B3D"/>
    <w:rsid w:val="00A87353"/>
    <w:rsid w:val="00A876FF"/>
    <w:rsid w:val="00A90BF8"/>
    <w:rsid w:val="00A91698"/>
    <w:rsid w:val="00A91B8B"/>
    <w:rsid w:val="00A92882"/>
    <w:rsid w:val="00A92D55"/>
    <w:rsid w:val="00A93938"/>
    <w:rsid w:val="00A945C9"/>
    <w:rsid w:val="00A94847"/>
    <w:rsid w:val="00A95094"/>
    <w:rsid w:val="00A951DB"/>
    <w:rsid w:val="00A95FB3"/>
    <w:rsid w:val="00A97162"/>
    <w:rsid w:val="00AA06C2"/>
    <w:rsid w:val="00AA0FB8"/>
    <w:rsid w:val="00AA10A0"/>
    <w:rsid w:val="00AA1466"/>
    <w:rsid w:val="00AA1492"/>
    <w:rsid w:val="00AA1AC3"/>
    <w:rsid w:val="00AA2184"/>
    <w:rsid w:val="00AA31B0"/>
    <w:rsid w:val="00AA5016"/>
    <w:rsid w:val="00AA517F"/>
    <w:rsid w:val="00AA5ADB"/>
    <w:rsid w:val="00AA5BDE"/>
    <w:rsid w:val="00AB0646"/>
    <w:rsid w:val="00AB0AC4"/>
    <w:rsid w:val="00AB1795"/>
    <w:rsid w:val="00AB32BC"/>
    <w:rsid w:val="00AB3D4D"/>
    <w:rsid w:val="00AB3DF3"/>
    <w:rsid w:val="00AB5993"/>
    <w:rsid w:val="00AB5A2C"/>
    <w:rsid w:val="00AB5BA2"/>
    <w:rsid w:val="00AB6477"/>
    <w:rsid w:val="00AB6FCB"/>
    <w:rsid w:val="00AC07A2"/>
    <w:rsid w:val="00AC1CB6"/>
    <w:rsid w:val="00AC1D6B"/>
    <w:rsid w:val="00AC39EC"/>
    <w:rsid w:val="00AC41B5"/>
    <w:rsid w:val="00AC48D1"/>
    <w:rsid w:val="00AC57A4"/>
    <w:rsid w:val="00AC5CBC"/>
    <w:rsid w:val="00AC5DD2"/>
    <w:rsid w:val="00AC7016"/>
    <w:rsid w:val="00AC71C5"/>
    <w:rsid w:val="00AD018C"/>
    <w:rsid w:val="00AD01F1"/>
    <w:rsid w:val="00AD137C"/>
    <w:rsid w:val="00AD18E8"/>
    <w:rsid w:val="00AD19B0"/>
    <w:rsid w:val="00AD1DA0"/>
    <w:rsid w:val="00AD1F1B"/>
    <w:rsid w:val="00AD1F5F"/>
    <w:rsid w:val="00AD238A"/>
    <w:rsid w:val="00AD2DA0"/>
    <w:rsid w:val="00AD45CA"/>
    <w:rsid w:val="00AD5803"/>
    <w:rsid w:val="00AD5C19"/>
    <w:rsid w:val="00AD70F9"/>
    <w:rsid w:val="00AD7A37"/>
    <w:rsid w:val="00AE002D"/>
    <w:rsid w:val="00AE0F69"/>
    <w:rsid w:val="00AE101F"/>
    <w:rsid w:val="00AE16EA"/>
    <w:rsid w:val="00AE1E98"/>
    <w:rsid w:val="00AE45BB"/>
    <w:rsid w:val="00AE4DD7"/>
    <w:rsid w:val="00AE6E0F"/>
    <w:rsid w:val="00AE6EF5"/>
    <w:rsid w:val="00AE6FF6"/>
    <w:rsid w:val="00AE7AD6"/>
    <w:rsid w:val="00AF0027"/>
    <w:rsid w:val="00AF05A7"/>
    <w:rsid w:val="00AF091A"/>
    <w:rsid w:val="00AF09BF"/>
    <w:rsid w:val="00AF1B20"/>
    <w:rsid w:val="00AF1EB0"/>
    <w:rsid w:val="00AF1EB7"/>
    <w:rsid w:val="00AF1F56"/>
    <w:rsid w:val="00AF28A4"/>
    <w:rsid w:val="00AF2B04"/>
    <w:rsid w:val="00AF36AA"/>
    <w:rsid w:val="00AF4FB0"/>
    <w:rsid w:val="00AF5358"/>
    <w:rsid w:val="00AF5910"/>
    <w:rsid w:val="00B004B2"/>
    <w:rsid w:val="00B00D3B"/>
    <w:rsid w:val="00B01430"/>
    <w:rsid w:val="00B01470"/>
    <w:rsid w:val="00B01AED"/>
    <w:rsid w:val="00B01DC3"/>
    <w:rsid w:val="00B0210E"/>
    <w:rsid w:val="00B024B9"/>
    <w:rsid w:val="00B02717"/>
    <w:rsid w:val="00B02788"/>
    <w:rsid w:val="00B03678"/>
    <w:rsid w:val="00B049D8"/>
    <w:rsid w:val="00B050ED"/>
    <w:rsid w:val="00B06933"/>
    <w:rsid w:val="00B06E8A"/>
    <w:rsid w:val="00B07016"/>
    <w:rsid w:val="00B0728F"/>
    <w:rsid w:val="00B07CDB"/>
    <w:rsid w:val="00B07D0D"/>
    <w:rsid w:val="00B110B8"/>
    <w:rsid w:val="00B1203C"/>
    <w:rsid w:val="00B12F73"/>
    <w:rsid w:val="00B14990"/>
    <w:rsid w:val="00B14E4D"/>
    <w:rsid w:val="00B15589"/>
    <w:rsid w:val="00B17A06"/>
    <w:rsid w:val="00B17C8E"/>
    <w:rsid w:val="00B20BA3"/>
    <w:rsid w:val="00B20FFD"/>
    <w:rsid w:val="00B21510"/>
    <w:rsid w:val="00B21CF4"/>
    <w:rsid w:val="00B22074"/>
    <w:rsid w:val="00B22252"/>
    <w:rsid w:val="00B22EEA"/>
    <w:rsid w:val="00B2354D"/>
    <w:rsid w:val="00B23AF3"/>
    <w:rsid w:val="00B243B6"/>
    <w:rsid w:val="00B244AE"/>
    <w:rsid w:val="00B24873"/>
    <w:rsid w:val="00B26123"/>
    <w:rsid w:val="00B26662"/>
    <w:rsid w:val="00B26714"/>
    <w:rsid w:val="00B275C1"/>
    <w:rsid w:val="00B30057"/>
    <w:rsid w:val="00B30591"/>
    <w:rsid w:val="00B318C7"/>
    <w:rsid w:val="00B322D9"/>
    <w:rsid w:val="00B33431"/>
    <w:rsid w:val="00B33A93"/>
    <w:rsid w:val="00B357C6"/>
    <w:rsid w:val="00B35B70"/>
    <w:rsid w:val="00B36EF8"/>
    <w:rsid w:val="00B40CA6"/>
    <w:rsid w:val="00B41088"/>
    <w:rsid w:val="00B433F1"/>
    <w:rsid w:val="00B4484F"/>
    <w:rsid w:val="00B449D7"/>
    <w:rsid w:val="00B44FFA"/>
    <w:rsid w:val="00B45743"/>
    <w:rsid w:val="00B46D68"/>
    <w:rsid w:val="00B46E80"/>
    <w:rsid w:val="00B50AC7"/>
    <w:rsid w:val="00B50F70"/>
    <w:rsid w:val="00B51D64"/>
    <w:rsid w:val="00B535BB"/>
    <w:rsid w:val="00B54C43"/>
    <w:rsid w:val="00B54CCB"/>
    <w:rsid w:val="00B554A6"/>
    <w:rsid w:val="00B55685"/>
    <w:rsid w:val="00B55833"/>
    <w:rsid w:val="00B56035"/>
    <w:rsid w:val="00B567EA"/>
    <w:rsid w:val="00B56FB7"/>
    <w:rsid w:val="00B57332"/>
    <w:rsid w:val="00B575A9"/>
    <w:rsid w:val="00B604AD"/>
    <w:rsid w:val="00B60532"/>
    <w:rsid w:val="00B621EC"/>
    <w:rsid w:val="00B62A37"/>
    <w:rsid w:val="00B62ADB"/>
    <w:rsid w:val="00B62BB5"/>
    <w:rsid w:val="00B62F9B"/>
    <w:rsid w:val="00B6359D"/>
    <w:rsid w:val="00B63B01"/>
    <w:rsid w:val="00B64239"/>
    <w:rsid w:val="00B64C87"/>
    <w:rsid w:val="00B654C5"/>
    <w:rsid w:val="00B65643"/>
    <w:rsid w:val="00B67396"/>
    <w:rsid w:val="00B677D6"/>
    <w:rsid w:val="00B67B06"/>
    <w:rsid w:val="00B7045E"/>
    <w:rsid w:val="00B70A64"/>
    <w:rsid w:val="00B70D32"/>
    <w:rsid w:val="00B71170"/>
    <w:rsid w:val="00B71F91"/>
    <w:rsid w:val="00B71FA3"/>
    <w:rsid w:val="00B72F06"/>
    <w:rsid w:val="00B743C5"/>
    <w:rsid w:val="00B749E2"/>
    <w:rsid w:val="00B751BE"/>
    <w:rsid w:val="00B76768"/>
    <w:rsid w:val="00B77BD3"/>
    <w:rsid w:val="00B77D0B"/>
    <w:rsid w:val="00B811C5"/>
    <w:rsid w:val="00B811FD"/>
    <w:rsid w:val="00B81428"/>
    <w:rsid w:val="00B81589"/>
    <w:rsid w:val="00B8390E"/>
    <w:rsid w:val="00B83D24"/>
    <w:rsid w:val="00B84017"/>
    <w:rsid w:val="00B8405F"/>
    <w:rsid w:val="00B84126"/>
    <w:rsid w:val="00B841CC"/>
    <w:rsid w:val="00B84457"/>
    <w:rsid w:val="00B84F4F"/>
    <w:rsid w:val="00B85476"/>
    <w:rsid w:val="00B86324"/>
    <w:rsid w:val="00B8695E"/>
    <w:rsid w:val="00B86F71"/>
    <w:rsid w:val="00B908E4"/>
    <w:rsid w:val="00B91BB6"/>
    <w:rsid w:val="00B91D8F"/>
    <w:rsid w:val="00B921B8"/>
    <w:rsid w:val="00B93812"/>
    <w:rsid w:val="00B93AC3"/>
    <w:rsid w:val="00B93E27"/>
    <w:rsid w:val="00B94393"/>
    <w:rsid w:val="00B9472B"/>
    <w:rsid w:val="00B94E1F"/>
    <w:rsid w:val="00B94F3D"/>
    <w:rsid w:val="00B95415"/>
    <w:rsid w:val="00B961D9"/>
    <w:rsid w:val="00BA012F"/>
    <w:rsid w:val="00BA0464"/>
    <w:rsid w:val="00BA0C83"/>
    <w:rsid w:val="00BA0FAB"/>
    <w:rsid w:val="00BA0FF4"/>
    <w:rsid w:val="00BA15D0"/>
    <w:rsid w:val="00BA2CA9"/>
    <w:rsid w:val="00BA3F48"/>
    <w:rsid w:val="00BA4714"/>
    <w:rsid w:val="00BA47FE"/>
    <w:rsid w:val="00BA5557"/>
    <w:rsid w:val="00BA6A5A"/>
    <w:rsid w:val="00BA71FD"/>
    <w:rsid w:val="00BA72AE"/>
    <w:rsid w:val="00BA7340"/>
    <w:rsid w:val="00BB026F"/>
    <w:rsid w:val="00BB0E52"/>
    <w:rsid w:val="00BB1148"/>
    <w:rsid w:val="00BB2294"/>
    <w:rsid w:val="00BB2F7A"/>
    <w:rsid w:val="00BB35CB"/>
    <w:rsid w:val="00BB3D35"/>
    <w:rsid w:val="00BB47C3"/>
    <w:rsid w:val="00BB5A50"/>
    <w:rsid w:val="00BB69E2"/>
    <w:rsid w:val="00BC0829"/>
    <w:rsid w:val="00BC13AB"/>
    <w:rsid w:val="00BC4486"/>
    <w:rsid w:val="00BC4F51"/>
    <w:rsid w:val="00BC6605"/>
    <w:rsid w:val="00BC71FC"/>
    <w:rsid w:val="00BC7892"/>
    <w:rsid w:val="00BC7ACF"/>
    <w:rsid w:val="00BC7CC4"/>
    <w:rsid w:val="00BD0051"/>
    <w:rsid w:val="00BD17E6"/>
    <w:rsid w:val="00BD2602"/>
    <w:rsid w:val="00BD30ED"/>
    <w:rsid w:val="00BD3271"/>
    <w:rsid w:val="00BD32A9"/>
    <w:rsid w:val="00BD380B"/>
    <w:rsid w:val="00BD3B89"/>
    <w:rsid w:val="00BD43E6"/>
    <w:rsid w:val="00BD484F"/>
    <w:rsid w:val="00BD586A"/>
    <w:rsid w:val="00BD5F3F"/>
    <w:rsid w:val="00BD6EEB"/>
    <w:rsid w:val="00BD795C"/>
    <w:rsid w:val="00BE1076"/>
    <w:rsid w:val="00BE13E0"/>
    <w:rsid w:val="00BE1545"/>
    <w:rsid w:val="00BE27F3"/>
    <w:rsid w:val="00BE2BD1"/>
    <w:rsid w:val="00BE2D01"/>
    <w:rsid w:val="00BE4F12"/>
    <w:rsid w:val="00BE509C"/>
    <w:rsid w:val="00BE74E0"/>
    <w:rsid w:val="00BE774D"/>
    <w:rsid w:val="00BF127F"/>
    <w:rsid w:val="00BF30FF"/>
    <w:rsid w:val="00BF349D"/>
    <w:rsid w:val="00BF34ED"/>
    <w:rsid w:val="00BF44F3"/>
    <w:rsid w:val="00BF58E0"/>
    <w:rsid w:val="00BF6A98"/>
    <w:rsid w:val="00BF6B5C"/>
    <w:rsid w:val="00BF6F78"/>
    <w:rsid w:val="00C00120"/>
    <w:rsid w:val="00C00A28"/>
    <w:rsid w:val="00C00B75"/>
    <w:rsid w:val="00C01157"/>
    <w:rsid w:val="00C01269"/>
    <w:rsid w:val="00C021B7"/>
    <w:rsid w:val="00C0318A"/>
    <w:rsid w:val="00C03949"/>
    <w:rsid w:val="00C04B00"/>
    <w:rsid w:val="00C04B8D"/>
    <w:rsid w:val="00C056B7"/>
    <w:rsid w:val="00C05A1F"/>
    <w:rsid w:val="00C06284"/>
    <w:rsid w:val="00C06B81"/>
    <w:rsid w:val="00C06C7D"/>
    <w:rsid w:val="00C10507"/>
    <w:rsid w:val="00C110D4"/>
    <w:rsid w:val="00C113FD"/>
    <w:rsid w:val="00C1283E"/>
    <w:rsid w:val="00C130B5"/>
    <w:rsid w:val="00C1546D"/>
    <w:rsid w:val="00C1598E"/>
    <w:rsid w:val="00C160E8"/>
    <w:rsid w:val="00C1658E"/>
    <w:rsid w:val="00C2080B"/>
    <w:rsid w:val="00C20ED8"/>
    <w:rsid w:val="00C232F1"/>
    <w:rsid w:val="00C23417"/>
    <w:rsid w:val="00C23A3D"/>
    <w:rsid w:val="00C23B02"/>
    <w:rsid w:val="00C23B24"/>
    <w:rsid w:val="00C2404F"/>
    <w:rsid w:val="00C243A4"/>
    <w:rsid w:val="00C24930"/>
    <w:rsid w:val="00C24AD9"/>
    <w:rsid w:val="00C26CCE"/>
    <w:rsid w:val="00C302B6"/>
    <w:rsid w:val="00C31341"/>
    <w:rsid w:val="00C313E3"/>
    <w:rsid w:val="00C31D33"/>
    <w:rsid w:val="00C32786"/>
    <w:rsid w:val="00C32C00"/>
    <w:rsid w:val="00C34E9B"/>
    <w:rsid w:val="00C35A6F"/>
    <w:rsid w:val="00C378CB"/>
    <w:rsid w:val="00C402A4"/>
    <w:rsid w:val="00C40919"/>
    <w:rsid w:val="00C4316F"/>
    <w:rsid w:val="00C43209"/>
    <w:rsid w:val="00C442ED"/>
    <w:rsid w:val="00C4519F"/>
    <w:rsid w:val="00C45766"/>
    <w:rsid w:val="00C479BB"/>
    <w:rsid w:val="00C47FDC"/>
    <w:rsid w:val="00C50361"/>
    <w:rsid w:val="00C5077B"/>
    <w:rsid w:val="00C50E5F"/>
    <w:rsid w:val="00C527A7"/>
    <w:rsid w:val="00C5305C"/>
    <w:rsid w:val="00C53119"/>
    <w:rsid w:val="00C54FE6"/>
    <w:rsid w:val="00C55629"/>
    <w:rsid w:val="00C56FCB"/>
    <w:rsid w:val="00C6125D"/>
    <w:rsid w:val="00C61EB9"/>
    <w:rsid w:val="00C629B4"/>
    <w:rsid w:val="00C62FD8"/>
    <w:rsid w:val="00C636F4"/>
    <w:rsid w:val="00C63F6F"/>
    <w:rsid w:val="00C6437D"/>
    <w:rsid w:val="00C64589"/>
    <w:rsid w:val="00C648D0"/>
    <w:rsid w:val="00C65B0A"/>
    <w:rsid w:val="00C662D3"/>
    <w:rsid w:val="00C66FB8"/>
    <w:rsid w:val="00C67898"/>
    <w:rsid w:val="00C70465"/>
    <w:rsid w:val="00C70D21"/>
    <w:rsid w:val="00C70F89"/>
    <w:rsid w:val="00C71044"/>
    <w:rsid w:val="00C710A2"/>
    <w:rsid w:val="00C71EE1"/>
    <w:rsid w:val="00C72252"/>
    <w:rsid w:val="00C7577B"/>
    <w:rsid w:val="00C75BF9"/>
    <w:rsid w:val="00C77624"/>
    <w:rsid w:val="00C77B5B"/>
    <w:rsid w:val="00C8051D"/>
    <w:rsid w:val="00C809F2"/>
    <w:rsid w:val="00C80BFD"/>
    <w:rsid w:val="00C81007"/>
    <w:rsid w:val="00C8154A"/>
    <w:rsid w:val="00C81DC4"/>
    <w:rsid w:val="00C82461"/>
    <w:rsid w:val="00C82785"/>
    <w:rsid w:val="00C84136"/>
    <w:rsid w:val="00C8515C"/>
    <w:rsid w:val="00C8520B"/>
    <w:rsid w:val="00C87B02"/>
    <w:rsid w:val="00C87E1B"/>
    <w:rsid w:val="00C87F31"/>
    <w:rsid w:val="00C92BC6"/>
    <w:rsid w:val="00C93889"/>
    <w:rsid w:val="00C93C8D"/>
    <w:rsid w:val="00C94373"/>
    <w:rsid w:val="00C94387"/>
    <w:rsid w:val="00C9438E"/>
    <w:rsid w:val="00C94431"/>
    <w:rsid w:val="00C94D2C"/>
    <w:rsid w:val="00C967E0"/>
    <w:rsid w:val="00C96E76"/>
    <w:rsid w:val="00CA017A"/>
    <w:rsid w:val="00CA27AE"/>
    <w:rsid w:val="00CA27F7"/>
    <w:rsid w:val="00CA2A9D"/>
    <w:rsid w:val="00CA3229"/>
    <w:rsid w:val="00CA36ED"/>
    <w:rsid w:val="00CA3C2E"/>
    <w:rsid w:val="00CA4805"/>
    <w:rsid w:val="00CA4C2C"/>
    <w:rsid w:val="00CA5659"/>
    <w:rsid w:val="00CA6239"/>
    <w:rsid w:val="00CA6C6E"/>
    <w:rsid w:val="00CA7571"/>
    <w:rsid w:val="00CA7D40"/>
    <w:rsid w:val="00CB028C"/>
    <w:rsid w:val="00CB0B59"/>
    <w:rsid w:val="00CB2174"/>
    <w:rsid w:val="00CB27CA"/>
    <w:rsid w:val="00CB3A8C"/>
    <w:rsid w:val="00CB3AE7"/>
    <w:rsid w:val="00CB3E5F"/>
    <w:rsid w:val="00CB41D7"/>
    <w:rsid w:val="00CB4D63"/>
    <w:rsid w:val="00CB4F96"/>
    <w:rsid w:val="00CB5115"/>
    <w:rsid w:val="00CB5189"/>
    <w:rsid w:val="00CB545E"/>
    <w:rsid w:val="00CB5476"/>
    <w:rsid w:val="00CB55EC"/>
    <w:rsid w:val="00CB58C9"/>
    <w:rsid w:val="00CB5BA5"/>
    <w:rsid w:val="00CB669E"/>
    <w:rsid w:val="00CB6802"/>
    <w:rsid w:val="00CB6A1B"/>
    <w:rsid w:val="00CC0269"/>
    <w:rsid w:val="00CC041C"/>
    <w:rsid w:val="00CC0C1C"/>
    <w:rsid w:val="00CC1D2B"/>
    <w:rsid w:val="00CC2A55"/>
    <w:rsid w:val="00CC2C1A"/>
    <w:rsid w:val="00CC438F"/>
    <w:rsid w:val="00CC56B9"/>
    <w:rsid w:val="00CC5F86"/>
    <w:rsid w:val="00CC7989"/>
    <w:rsid w:val="00CC7D5A"/>
    <w:rsid w:val="00CD13D3"/>
    <w:rsid w:val="00CD1E38"/>
    <w:rsid w:val="00CD209F"/>
    <w:rsid w:val="00CD2B89"/>
    <w:rsid w:val="00CD388A"/>
    <w:rsid w:val="00CD4996"/>
    <w:rsid w:val="00CD6D7B"/>
    <w:rsid w:val="00CD6F40"/>
    <w:rsid w:val="00CD7A33"/>
    <w:rsid w:val="00CE05EE"/>
    <w:rsid w:val="00CE05F3"/>
    <w:rsid w:val="00CE1708"/>
    <w:rsid w:val="00CE1969"/>
    <w:rsid w:val="00CE1C36"/>
    <w:rsid w:val="00CE1E89"/>
    <w:rsid w:val="00CE37AF"/>
    <w:rsid w:val="00CE3EF6"/>
    <w:rsid w:val="00CE3F5B"/>
    <w:rsid w:val="00CE5CFA"/>
    <w:rsid w:val="00CE6EBF"/>
    <w:rsid w:val="00CE767C"/>
    <w:rsid w:val="00CF010F"/>
    <w:rsid w:val="00CF06AE"/>
    <w:rsid w:val="00CF0DC4"/>
    <w:rsid w:val="00CF1ECA"/>
    <w:rsid w:val="00CF2B2F"/>
    <w:rsid w:val="00CF2C2B"/>
    <w:rsid w:val="00CF2C9E"/>
    <w:rsid w:val="00CF4157"/>
    <w:rsid w:val="00CF425D"/>
    <w:rsid w:val="00CF4990"/>
    <w:rsid w:val="00CF4997"/>
    <w:rsid w:val="00CF4BF4"/>
    <w:rsid w:val="00CF4E82"/>
    <w:rsid w:val="00CF51AC"/>
    <w:rsid w:val="00CF55C0"/>
    <w:rsid w:val="00CF64DF"/>
    <w:rsid w:val="00CF6840"/>
    <w:rsid w:val="00CF7757"/>
    <w:rsid w:val="00CF7C03"/>
    <w:rsid w:val="00D0339D"/>
    <w:rsid w:val="00D037F3"/>
    <w:rsid w:val="00D04086"/>
    <w:rsid w:val="00D048E8"/>
    <w:rsid w:val="00D04C81"/>
    <w:rsid w:val="00D04F2F"/>
    <w:rsid w:val="00D04FC3"/>
    <w:rsid w:val="00D052EA"/>
    <w:rsid w:val="00D05A55"/>
    <w:rsid w:val="00D06879"/>
    <w:rsid w:val="00D06FF3"/>
    <w:rsid w:val="00D07CC5"/>
    <w:rsid w:val="00D07CDE"/>
    <w:rsid w:val="00D1009A"/>
    <w:rsid w:val="00D10351"/>
    <w:rsid w:val="00D11409"/>
    <w:rsid w:val="00D11995"/>
    <w:rsid w:val="00D11F1E"/>
    <w:rsid w:val="00D11F67"/>
    <w:rsid w:val="00D12313"/>
    <w:rsid w:val="00D12CE3"/>
    <w:rsid w:val="00D1316B"/>
    <w:rsid w:val="00D14B62"/>
    <w:rsid w:val="00D1588F"/>
    <w:rsid w:val="00D15C91"/>
    <w:rsid w:val="00D16592"/>
    <w:rsid w:val="00D16E49"/>
    <w:rsid w:val="00D171FE"/>
    <w:rsid w:val="00D206E4"/>
    <w:rsid w:val="00D20843"/>
    <w:rsid w:val="00D21CA2"/>
    <w:rsid w:val="00D2395A"/>
    <w:rsid w:val="00D24FA1"/>
    <w:rsid w:val="00D25381"/>
    <w:rsid w:val="00D257C2"/>
    <w:rsid w:val="00D2698F"/>
    <w:rsid w:val="00D269DB"/>
    <w:rsid w:val="00D26B26"/>
    <w:rsid w:val="00D26DC4"/>
    <w:rsid w:val="00D27A33"/>
    <w:rsid w:val="00D30917"/>
    <w:rsid w:val="00D30B0F"/>
    <w:rsid w:val="00D31175"/>
    <w:rsid w:val="00D3251F"/>
    <w:rsid w:val="00D32FEF"/>
    <w:rsid w:val="00D334B7"/>
    <w:rsid w:val="00D33A02"/>
    <w:rsid w:val="00D33E0C"/>
    <w:rsid w:val="00D34293"/>
    <w:rsid w:val="00D352AA"/>
    <w:rsid w:val="00D35887"/>
    <w:rsid w:val="00D36EA0"/>
    <w:rsid w:val="00D37A44"/>
    <w:rsid w:val="00D40CD4"/>
    <w:rsid w:val="00D4132F"/>
    <w:rsid w:val="00D41D62"/>
    <w:rsid w:val="00D42150"/>
    <w:rsid w:val="00D421F4"/>
    <w:rsid w:val="00D424FD"/>
    <w:rsid w:val="00D43044"/>
    <w:rsid w:val="00D4305E"/>
    <w:rsid w:val="00D4431C"/>
    <w:rsid w:val="00D44C6D"/>
    <w:rsid w:val="00D44DC9"/>
    <w:rsid w:val="00D46BC2"/>
    <w:rsid w:val="00D47115"/>
    <w:rsid w:val="00D471B4"/>
    <w:rsid w:val="00D47518"/>
    <w:rsid w:val="00D47EC2"/>
    <w:rsid w:val="00D508CE"/>
    <w:rsid w:val="00D50D06"/>
    <w:rsid w:val="00D50FAB"/>
    <w:rsid w:val="00D53AE0"/>
    <w:rsid w:val="00D54D59"/>
    <w:rsid w:val="00D55475"/>
    <w:rsid w:val="00D558A6"/>
    <w:rsid w:val="00D5617E"/>
    <w:rsid w:val="00D602F2"/>
    <w:rsid w:val="00D61021"/>
    <w:rsid w:val="00D62B7E"/>
    <w:rsid w:val="00D634C5"/>
    <w:rsid w:val="00D64032"/>
    <w:rsid w:val="00D64C63"/>
    <w:rsid w:val="00D653DE"/>
    <w:rsid w:val="00D6653A"/>
    <w:rsid w:val="00D6692C"/>
    <w:rsid w:val="00D6713F"/>
    <w:rsid w:val="00D677FC"/>
    <w:rsid w:val="00D67D5E"/>
    <w:rsid w:val="00D70709"/>
    <w:rsid w:val="00D70C1F"/>
    <w:rsid w:val="00D7185F"/>
    <w:rsid w:val="00D723CD"/>
    <w:rsid w:val="00D72F0D"/>
    <w:rsid w:val="00D73171"/>
    <w:rsid w:val="00D73733"/>
    <w:rsid w:val="00D75FD8"/>
    <w:rsid w:val="00D761AA"/>
    <w:rsid w:val="00D775B7"/>
    <w:rsid w:val="00D7797D"/>
    <w:rsid w:val="00D8000E"/>
    <w:rsid w:val="00D80990"/>
    <w:rsid w:val="00D81598"/>
    <w:rsid w:val="00D81725"/>
    <w:rsid w:val="00D8195C"/>
    <w:rsid w:val="00D81AFB"/>
    <w:rsid w:val="00D81DC9"/>
    <w:rsid w:val="00D820C7"/>
    <w:rsid w:val="00D8239C"/>
    <w:rsid w:val="00D82456"/>
    <w:rsid w:val="00D82901"/>
    <w:rsid w:val="00D82C17"/>
    <w:rsid w:val="00D82E76"/>
    <w:rsid w:val="00D832B5"/>
    <w:rsid w:val="00D83902"/>
    <w:rsid w:val="00D84418"/>
    <w:rsid w:val="00D84F8F"/>
    <w:rsid w:val="00D86B23"/>
    <w:rsid w:val="00D86EA4"/>
    <w:rsid w:val="00D90F9D"/>
    <w:rsid w:val="00D921A2"/>
    <w:rsid w:val="00D922CE"/>
    <w:rsid w:val="00D92B68"/>
    <w:rsid w:val="00D937AD"/>
    <w:rsid w:val="00D94AB4"/>
    <w:rsid w:val="00D94E2C"/>
    <w:rsid w:val="00D951F3"/>
    <w:rsid w:val="00D95F7F"/>
    <w:rsid w:val="00D962F2"/>
    <w:rsid w:val="00D96E9E"/>
    <w:rsid w:val="00DA008F"/>
    <w:rsid w:val="00DA014D"/>
    <w:rsid w:val="00DA0B81"/>
    <w:rsid w:val="00DA1295"/>
    <w:rsid w:val="00DA294A"/>
    <w:rsid w:val="00DA357C"/>
    <w:rsid w:val="00DA3910"/>
    <w:rsid w:val="00DA4739"/>
    <w:rsid w:val="00DA478C"/>
    <w:rsid w:val="00DA4A3C"/>
    <w:rsid w:val="00DA5D2F"/>
    <w:rsid w:val="00DA5D79"/>
    <w:rsid w:val="00DA5E3D"/>
    <w:rsid w:val="00DA6BEC"/>
    <w:rsid w:val="00DA7877"/>
    <w:rsid w:val="00DA7B5F"/>
    <w:rsid w:val="00DB05A6"/>
    <w:rsid w:val="00DB0A62"/>
    <w:rsid w:val="00DB12CA"/>
    <w:rsid w:val="00DB223D"/>
    <w:rsid w:val="00DB2F69"/>
    <w:rsid w:val="00DB43A7"/>
    <w:rsid w:val="00DB4650"/>
    <w:rsid w:val="00DB51D7"/>
    <w:rsid w:val="00DB53CF"/>
    <w:rsid w:val="00DB5435"/>
    <w:rsid w:val="00DB7541"/>
    <w:rsid w:val="00DB792B"/>
    <w:rsid w:val="00DC066E"/>
    <w:rsid w:val="00DC077A"/>
    <w:rsid w:val="00DC13C0"/>
    <w:rsid w:val="00DC1B18"/>
    <w:rsid w:val="00DC1ED0"/>
    <w:rsid w:val="00DC37CE"/>
    <w:rsid w:val="00DC3EB3"/>
    <w:rsid w:val="00DC3EC5"/>
    <w:rsid w:val="00DC4A35"/>
    <w:rsid w:val="00DC4AC0"/>
    <w:rsid w:val="00DC4DDF"/>
    <w:rsid w:val="00DC5C31"/>
    <w:rsid w:val="00DC66CD"/>
    <w:rsid w:val="00DC686A"/>
    <w:rsid w:val="00DC698C"/>
    <w:rsid w:val="00DC6EF1"/>
    <w:rsid w:val="00DC7524"/>
    <w:rsid w:val="00DD00E3"/>
    <w:rsid w:val="00DD05F7"/>
    <w:rsid w:val="00DD0711"/>
    <w:rsid w:val="00DD0D01"/>
    <w:rsid w:val="00DD12B4"/>
    <w:rsid w:val="00DD2647"/>
    <w:rsid w:val="00DD26C4"/>
    <w:rsid w:val="00DD28B0"/>
    <w:rsid w:val="00DD3284"/>
    <w:rsid w:val="00DD36B4"/>
    <w:rsid w:val="00DD3B25"/>
    <w:rsid w:val="00DD4952"/>
    <w:rsid w:val="00DD5DE9"/>
    <w:rsid w:val="00DD6014"/>
    <w:rsid w:val="00DD6C5F"/>
    <w:rsid w:val="00DD70A6"/>
    <w:rsid w:val="00DD769F"/>
    <w:rsid w:val="00DD7959"/>
    <w:rsid w:val="00DD7962"/>
    <w:rsid w:val="00DD7AE1"/>
    <w:rsid w:val="00DD7FCF"/>
    <w:rsid w:val="00DE236D"/>
    <w:rsid w:val="00DE3704"/>
    <w:rsid w:val="00DE3CCE"/>
    <w:rsid w:val="00DE4046"/>
    <w:rsid w:val="00DE4B1A"/>
    <w:rsid w:val="00DE553B"/>
    <w:rsid w:val="00DE5AF5"/>
    <w:rsid w:val="00DE7047"/>
    <w:rsid w:val="00DE7DD4"/>
    <w:rsid w:val="00DF0FA5"/>
    <w:rsid w:val="00DF10BC"/>
    <w:rsid w:val="00DF10F6"/>
    <w:rsid w:val="00DF118A"/>
    <w:rsid w:val="00DF16E5"/>
    <w:rsid w:val="00DF19BE"/>
    <w:rsid w:val="00DF21E0"/>
    <w:rsid w:val="00DF2385"/>
    <w:rsid w:val="00DF2D4D"/>
    <w:rsid w:val="00DF30DD"/>
    <w:rsid w:val="00DF3C9D"/>
    <w:rsid w:val="00DF3DBB"/>
    <w:rsid w:val="00DF451C"/>
    <w:rsid w:val="00DF4BA5"/>
    <w:rsid w:val="00DF514F"/>
    <w:rsid w:val="00DF6043"/>
    <w:rsid w:val="00DF6158"/>
    <w:rsid w:val="00DF7121"/>
    <w:rsid w:val="00DF71ED"/>
    <w:rsid w:val="00DF739B"/>
    <w:rsid w:val="00DF75A8"/>
    <w:rsid w:val="00DF75EF"/>
    <w:rsid w:val="00E002CE"/>
    <w:rsid w:val="00E026C7"/>
    <w:rsid w:val="00E03533"/>
    <w:rsid w:val="00E04F18"/>
    <w:rsid w:val="00E05752"/>
    <w:rsid w:val="00E05957"/>
    <w:rsid w:val="00E05EED"/>
    <w:rsid w:val="00E0622F"/>
    <w:rsid w:val="00E06B25"/>
    <w:rsid w:val="00E10039"/>
    <w:rsid w:val="00E102DB"/>
    <w:rsid w:val="00E11DC4"/>
    <w:rsid w:val="00E12064"/>
    <w:rsid w:val="00E122B8"/>
    <w:rsid w:val="00E12E3D"/>
    <w:rsid w:val="00E12F9A"/>
    <w:rsid w:val="00E13C72"/>
    <w:rsid w:val="00E13C98"/>
    <w:rsid w:val="00E14BCB"/>
    <w:rsid w:val="00E14FF2"/>
    <w:rsid w:val="00E15875"/>
    <w:rsid w:val="00E15A77"/>
    <w:rsid w:val="00E15A91"/>
    <w:rsid w:val="00E1648C"/>
    <w:rsid w:val="00E16623"/>
    <w:rsid w:val="00E16A49"/>
    <w:rsid w:val="00E1704A"/>
    <w:rsid w:val="00E17A60"/>
    <w:rsid w:val="00E2025A"/>
    <w:rsid w:val="00E205A6"/>
    <w:rsid w:val="00E21931"/>
    <w:rsid w:val="00E21FC3"/>
    <w:rsid w:val="00E22217"/>
    <w:rsid w:val="00E2297E"/>
    <w:rsid w:val="00E22EC0"/>
    <w:rsid w:val="00E23146"/>
    <w:rsid w:val="00E2333C"/>
    <w:rsid w:val="00E23727"/>
    <w:rsid w:val="00E24787"/>
    <w:rsid w:val="00E24839"/>
    <w:rsid w:val="00E24EA8"/>
    <w:rsid w:val="00E25A23"/>
    <w:rsid w:val="00E25A92"/>
    <w:rsid w:val="00E25E27"/>
    <w:rsid w:val="00E26756"/>
    <w:rsid w:val="00E26C78"/>
    <w:rsid w:val="00E26CF2"/>
    <w:rsid w:val="00E26F55"/>
    <w:rsid w:val="00E27C22"/>
    <w:rsid w:val="00E30692"/>
    <w:rsid w:val="00E317EA"/>
    <w:rsid w:val="00E32723"/>
    <w:rsid w:val="00E32B7A"/>
    <w:rsid w:val="00E3302E"/>
    <w:rsid w:val="00E33931"/>
    <w:rsid w:val="00E339D5"/>
    <w:rsid w:val="00E33C57"/>
    <w:rsid w:val="00E34506"/>
    <w:rsid w:val="00E34ADB"/>
    <w:rsid w:val="00E34B71"/>
    <w:rsid w:val="00E363C7"/>
    <w:rsid w:val="00E364B6"/>
    <w:rsid w:val="00E36D02"/>
    <w:rsid w:val="00E3713D"/>
    <w:rsid w:val="00E37E63"/>
    <w:rsid w:val="00E4053C"/>
    <w:rsid w:val="00E40E1B"/>
    <w:rsid w:val="00E41A31"/>
    <w:rsid w:val="00E426B1"/>
    <w:rsid w:val="00E428E1"/>
    <w:rsid w:val="00E43C5C"/>
    <w:rsid w:val="00E462EC"/>
    <w:rsid w:val="00E46A5E"/>
    <w:rsid w:val="00E47A26"/>
    <w:rsid w:val="00E47B36"/>
    <w:rsid w:val="00E47C7D"/>
    <w:rsid w:val="00E51BBD"/>
    <w:rsid w:val="00E51FDC"/>
    <w:rsid w:val="00E52CF3"/>
    <w:rsid w:val="00E53409"/>
    <w:rsid w:val="00E5362B"/>
    <w:rsid w:val="00E536D2"/>
    <w:rsid w:val="00E53746"/>
    <w:rsid w:val="00E53DD6"/>
    <w:rsid w:val="00E53E87"/>
    <w:rsid w:val="00E5508B"/>
    <w:rsid w:val="00E5531A"/>
    <w:rsid w:val="00E5543B"/>
    <w:rsid w:val="00E55DE3"/>
    <w:rsid w:val="00E56AD2"/>
    <w:rsid w:val="00E57B19"/>
    <w:rsid w:val="00E60790"/>
    <w:rsid w:val="00E60874"/>
    <w:rsid w:val="00E610DE"/>
    <w:rsid w:val="00E6324C"/>
    <w:rsid w:val="00E635CF"/>
    <w:rsid w:val="00E636EC"/>
    <w:rsid w:val="00E63768"/>
    <w:rsid w:val="00E63B87"/>
    <w:rsid w:val="00E6633B"/>
    <w:rsid w:val="00E6655F"/>
    <w:rsid w:val="00E66963"/>
    <w:rsid w:val="00E66D78"/>
    <w:rsid w:val="00E67A18"/>
    <w:rsid w:val="00E708C3"/>
    <w:rsid w:val="00E724A2"/>
    <w:rsid w:val="00E726FF"/>
    <w:rsid w:val="00E72B87"/>
    <w:rsid w:val="00E72DA9"/>
    <w:rsid w:val="00E73EBD"/>
    <w:rsid w:val="00E747C4"/>
    <w:rsid w:val="00E74E38"/>
    <w:rsid w:val="00E757B4"/>
    <w:rsid w:val="00E7615D"/>
    <w:rsid w:val="00E76682"/>
    <w:rsid w:val="00E77099"/>
    <w:rsid w:val="00E7783A"/>
    <w:rsid w:val="00E77C0F"/>
    <w:rsid w:val="00E81415"/>
    <w:rsid w:val="00E815A8"/>
    <w:rsid w:val="00E81D1D"/>
    <w:rsid w:val="00E82FDA"/>
    <w:rsid w:val="00E846DD"/>
    <w:rsid w:val="00E8554D"/>
    <w:rsid w:val="00E85B18"/>
    <w:rsid w:val="00E91078"/>
    <w:rsid w:val="00E9110C"/>
    <w:rsid w:val="00E923F7"/>
    <w:rsid w:val="00E92FCA"/>
    <w:rsid w:val="00E9370D"/>
    <w:rsid w:val="00E93965"/>
    <w:rsid w:val="00E939D9"/>
    <w:rsid w:val="00E93D56"/>
    <w:rsid w:val="00E94314"/>
    <w:rsid w:val="00E94918"/>
    <w:rsid w:val="00E94957"/>
    <w:rsid w:val="00E953F2"/>
    <w:rsid w:val="00E9579A"/>
    <w:rsid w:val="00E9781C"/>
    <w:rsid w:val="00EA025E"/>
    <w:rsid w:val="00EA14BE"/>
    <w:rsid w:val="00EA204C"/>
    <w:rsid w:val="00EA2316"/>
    <w:rsid w:val="00EA23F2"/>
    <w:rsid w:val="00EA256E"/>
    <w:rsid w:val="00EA343B"/>
    <w:rsid w:val="00EA382D"/>
    <w:rsid w:val="00EA3D04"/>
    <w:rsid w:val="00EA3FFA"/>
    <w:rsid w:val="00EA51B2"/>
    <w:rsid w:val="00EA5E26"/>
    <w:rsid w:val="00EA6AD4"/>
    <w:rsid w:val="00EA7227"/>
    <w:rsid w:val="00EA7D18"/>
    <w:rsid w:val="00EB00DE"/>
    <w:rsid w:val="00EB0B0F"/>
    <w:rsid w:val="00EB0C79"/>
    <w:rsid w:val="00EB24D4"/>
    <w:rsid w:val="00EB2557"/>
    <w:rsid w:val="00EB25C3"/>
    <w:rsid w:val="00EB3067"/>
    <w:rsid w:val="00EB6AE9"/>
    <w:rsid w:val="00EB7B33"/>
    <w:rsid w:val="00EB7FFA"/>
    <w:rsid w:val="00EC0436"/>
    <w:rsid w:val="00EC1E2E"/>
    <w:rsid w:val="00EC1EA7"/>
    <w:rsid w:val="00EC356C"/>
    <w:rsid w:val="00EC3A69"/>
    <w:rsid w:val="00EC3DC6"/>
    <w:rsid w:val="00EC487E"/>
    <w:rsid w:val="00EC66C2"/>
    <w:rsid w:val="00ED2035"/>
    <w:rsid w:val="00ED35C8"/>
    <w:rsid w:val="00ED3DF1"/>
    <w:rsid w:val="00ED4E58"/>
    <w:rsid w:val="00ED73CD"/>
    <w:rsid w:val="00ED7589"/>
    <w:rsid w:val="00ED78CE"/>
    <w:rsid w:val="00ED7A28"/>
    <w:rsid w:val="00ED7D29"/>
    <w:rsid w:val="00ED7E7D"/>
    <w:rsid w:val="00ED7FDF"/>
    <w:rsid w:val="00EE02E4"/>
    <w:rsid w:val="00EE044A"/>
    <w:rsid w:val="00EE0F2E"/>
    <w:rsid w:val="00EE10BB"/>
    <w:rsid w:val="00EE22F1"/>
    <w:rsid w:val="00EE3200"/>
    <w:rsid w:val="00EE40ED"/>
    <w:rsid w:val="00EE4C6D"/>
    <w:rsid w:val="00EE6262"/>
    <w:rsid w:val="00EE683C"/>
    <w:rsid w:val="00EE6FF1"/>
    <w:rsid w:val="00EE74C0"/>
    <w:rsid w:val="00EF08D7"/>
    <w:rsid w:val="00EF0F56"/>
    <w:rsid w:val="00EF120C"/>
    <w:rsid w:val="00EF1615"/>
    <w:rsid w:val="00EF22B5"/>
    <w:rsid w:val="00EF23EC"/>
    <w:rsid w:val="00EF250F"/>
    <w:rsid w:val="00EF3553"/>
    <w:rsid w:val="00EF39CC"/>
    <w:rsid w:val="00EF3B77"/>
    <w:rsid w:val="00EF3F85"/>
    <w:rsid w:val="00EF40E0"/>
    <w:rsid w:val="00EF4781"/>
    <w:rsid w:val="00EF4B1E"/>
    <w:rsid w:val="00EF6491"/>
    <w:rsid w:val="00EF6B22"/>
    <w:rsid w:val="00EF7428"/>
    <w:rsid w:val="00F00C14"/>
    <w:rsid w:val="00F00DB7"/>
    <w:rsid w:val="00F023A3"/>
    <w:rsid w:val="00F025EE"/>
    <w:rsid w:val="00F02CC7"/>
    <w:rsid w:val="00F02F37"/>
    <w:rsid w:val="00F03912"/>
    <w:rsid w:val="00F03B35"/>
    <w:rsid w:val="00F03CB5"/>
    <w:rsid w:val="00F044F7"/>
    <w:rsid w:val="00F04C61"/>
    <w:rsid w:val="00F04D62"/>
    <w:rsid w:val="00F06342"/>
    <w:rsid w:val="00F064D4"/>
    <w:rsid w:val="00F07156"/>
    <w:rsid w:val="00F07897"/>
    <w:rsid w:val="00F104D8"/>
    <w:rsid w:val="00F11371"/>
    <w:rsid w:val="00F11D59"/>
    <w:rsid w:val="00F120FA"/>
    <w:rsid w:val="00F126E7"/>
    <w:rsid w:val="00F13EBF"/>
    <w:rsid w:val="00F144E4"/>
    <w:rsid w:val="00F168A1"/>
    <w:rsid w:val="00F176B8"/>
    <w:rsid w:val="00F17D21"/>
    <w:rsid w:val="00F213A6"/>
    <w:rsid w:val="00F218D1"/>
    <w:rsid w:val="00F21E16"/>
    <w:rsid w:val="00F22A73"/>
    <w:rsid w:val="00F2324C"/>
    <w:rsid w:val="00F23CF2"/>
    <w:rsid w:val="00F258C5"/>
    <w:rsid w:val="00F26A50"/>
    <w:rsid w:val="00F30323"/>
    <w:rsid w:val="00F30DEA"/>
    <w:rsid w:val="00F30E40"/>
    <w:rsid w:val="00F324DE"/>
    <w:rsid w:val="00F33318"/>
    <w:rsid w:val="00F33FF6"/>
    <w:rsid w:val="00F348CA"/>
    <w:rsid w:val="00F34CB1"/>
    <w:rsid w:val="00F34E61"/>
    <w:rsid w:val="00F35673"/>
    <w:rsid w:val="00F35BEC"/>
    <w:rsid w:val="00F36A26"/>
    <w:rsid w:val="00F37E97"/>
    <w:rsid w:val="00F4053D"/>
    <w:rsid w:val="00F42595"/>
    <w:rsid w:val="00F4264D"/>
    <w:rsid w:val="00F43A2D"/>
    <w:rsid w:val="00F43A81"/>
    <w:rsid w:val="00F449E4"/>
    <w:rsid w:val="00F45150"/>
    <w:rsid w:val="00F46F06"/>
    <w:rsid w:val="00F46FEF"/>
    <w:rsid w:val="00F4764E"/>
    <w:rsid w:val="00F47E1E"/>
    <w:rsid w:val="00F47FA4"/>
    <w:rsid w:val="00F50972"/>
    <w:rsid w:val="00F50B26"/>
    <w:rsid w:val="00F517E7"/>
    <w:rsid w:val="00F51B25"/>
    <w:rsid w:val="00F51F3A"/>
    <w:rsid w:val="00F535ED"/>
    <w:rsid w:val="00F54A71"/>
    <w:rsid w:val="00F54F1B"/>
    <w:rsid w:val="00F5609A"/>
    <w:rsid w:val="00F6001C"/>
    <w:rsid w:val="00F60629"/>
    <w:rsid w:val="00F6082A"/>
    <w:rsid w:val="00F60DA3"/>
    <w:rsid w:val="00F61ECE"/>
    <w:rsid w:val="00F61FA4"/>
    <w:rsid w:val="00F63FB3"/>
    <w:rsid w:val="00F64DDD"/>
    <w:rsid w:val="00F653E0"/>
    <w:rsid w:val="00F659C9"/>
    <w:rsid w:val="00F65CC4"/>
    <w:rsid w:val="00F6638D"/>
    <w:rsid w:val="00F6648C"/>
    <w:rsid w:val="00F6709D"/>
    <w:rsid w:val="00F712E4"/>
    <w:rsid w:val="00F726D3"/>
    <w:rsid w:val="00F73026"/>
    <w:rsid w:val="00F7450B"/>
    <w:rsid w:val="00F74701"/>
    <w:rsid w:val="00F75242"/>
    <w:rsid w:val="00F764D2"/>
    <w:rsid w:val="00F76758"/>
    <w:rsid w:val="00F77CF5"/>
    <w:rsid w:val="00F8100D"/>
    <w:rsid w:val="00F816BE"/>
    <w:rsid w:val="00F81DEB"/>
    <w:rsid w:val="00F82BAC"/>
    <w:rsid w:val="00F82CD8"/>
    <w:rsid w:val="00F82ECB"/>
    <w:rsid w:val="00F83CE7"/>
    <w:rsid w:val="00F83F16"/>
    <w:rsid w:val="00F842EB"/>
    <w:rsid w:val="00F846A2"/>
    <w:rsid w:val="00F8479B"/>
    <w:rsid w:val="00F84C68"/>
    <w:rsid w:val="00F84E26"/>
    <w:rsid w:val="00F851A9"/>
    <w:rsid w:val="00F853AE"/>
    <w:rsid w:val="00F85F9F"/>
    <w:rsid w:val="00F86122"/>
    <w:rsid w:val="00F861B3"/>
    <w:rsid w:val="00F863A3"/>
    <w:rsid w:val="00F86410"/>
    <w:rsid w:val="00F867AB"/>
    <w:rsid w:val="00F8684A"/>
    <w:rsid w:val="00F9141E"/>
    <w:rsid w:val="00F9165F"/>
    <w:rsid w:val="00F92BA4"/>
    <w:rsid w:val="00F92CE8"/>
    <w:rsid w:val="00F935F8"/>
    <w:rsid w:val="00F9379C"/>
    <w:rsid w:val="00F93926"/>
    <w:rsid w:val="00F94B01"/>
    <w:rsid w:val="00F94D81"/>
    <w:rsid w:val="00F952CD"/>
    <w:rsid w:val="00F955D5"/>
    <w:rsid w:val="00FA221A"/>
    <w:rsid w:val="00FA2B69"/>
    <w:rsid w:val="00FA2DCB"/>
    <w:rsid w:val="00FA3EEF"/>
    <w:rsid w:val="00FA4801"/>
    <w:rsid w:val="00FA5838"/>
    <w:rsid w:val="00FA5E2C"/>
    <w:rsid w:val="00FA68DE"/>
    <w:rsid w:val="00FA7B36"/>
    <w:rsid w:val="00FA7C7D"/>
    <w:rsid w:val="00FB03A8"/>
    <w:rsid w:val="00FB0692"/>
    <w:rsid w:val="00FB09EC"/>
    <w:rsid w:val="00FB0B14"/>
    <w:rsid w:val="00FB0F29"/>
    <w:rsid w:val="00FB0F95"/>
    <w:rsid w:val="00FB1891"/>
    <w:rsid w:val="00FB1AAC"/>
    <w:rsid w:val="00FB1C3F"/>
    <w:rsid w:val="00FB2165"/>
    <w:rsid w:val="00FB242C"/>
    <w:rsid w:val="00FB2F2A"/>
    <w:rsid w:val="00FB43F4"/>
    <w:rsid w:val="00FB4877"/>
    <w:rsid w:val="00FB4CE3"/>
    <w:rsid w:val="00FB5131"/>
    <w:rsid w:val="00FB6F1E"/>
    <w:rsid w:val="00FB7685"/>
    <w:rsid w:val="00FB7A29"/>
    <w:rsid w:val="00FC1514"/>
    <w:rsid w:val="00FC277A"/>
    <w:rsid w:val="00FC2BC0"/>
    <w:rsid w:val="00FC2E48"/>
    <w:rsid w:val="00FC332C"/>
    <w:rsid w:val="00FC34E8"/>
    <w:rsid w:val="00FC4719"/>
    <w:rsid w:val="00FC474A"/>
    <w:rsid w:val="00FC55A0"/>
    <w:rsid w:val="00FC5A11"/>
    <w:rsid w:val="00FC64E3"/>
    <w:rsid w:val="00FC6800"/>
    <w:rsid w:val="00FD0DAF"/>
    <w:rsid w:val="00FD0FB7"/>
    <w:rsid w:val="00FD20C3"/>
    <w:rsid w:val="00FD22C6"/>
    <w:rsid w:val="00FD293C"/>
    <w:rsid w:val="00FD3890"/>
    <w:rsid w:val="00FD3E2A"/>
    <w:rsid w:val="00FD4C4E"/>
    <w:rsid w:val="00FD5904"/>
    <w:rsid w:val="00FD6BF1"/>
    <w:rsid w:val="00FD70D6"/>
    <w:rsid w:val="00FD7565"/>
    <w:rsid w:val="00FE0101"/>
    <w:rsid w:val="00FE023D"/>
    <w:rsid w:val="00FE03A8"/>
    <w:rsid w:val="00FE10A2"/>
    <w:rsid w:val="00FE126F"/>
    <w:rsid w:val="00FE2600"/>
    <w:rsid w:val="00FE2825"/>
    <w:rsid w:val="00FE2A46"/>
    <w:rsid w:val="00FE2DA5"/>
    <w:rsid w:val="00FE3DF1"/>
    <w:rsid w:val="00FE3FD3"/>
    <w:rsid w:val="00FE41FA"/>
    <w:rsid w:val="00FE4369"/>
    <w:rsid w:val="00FE4C61"/>
    <w:rsid w:val="00FE575C"/>
    <w:rsid w:val="00FE698D"/>
    <w:rsid w:val="00FE7D6D"/>
    <w:rsid w:val="00FE7E72"/>
    <w:rsid w:val="00FE7FB9"/>
    <w:rsid w:val="00FE7FE0"/>
    <w:rsid w:val="00FF1330"/>
    <w:rsid w:val="00FF16F7"/>
    <w:rsid w:val="00FF20AA"/>
    <w:rsid w:val="00FF21A5"/>
    <w:rsid w:val="00FF2B95"/>
    <w:rsid w:val="00FF4B6B"/>
    <w:rsid w:val="00FF5928"/>
    <w:rsid w:val="00FF5B90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5E04A2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E142E"/>
    <w:rPr>
      <w:sz w:val="20"/>
      <w:szCs w:val="20"/>
    </w:rPr>
  </w:style>
  <w:style w:type="character" w:styleId="a4">
    <w:name w:val="footnote reference"/>
    <w:semiHidden/>
    <w:rsid w:val="008E142E"/>
    <w:rPr>
      <w:vertAlign w:val="superscript"/>
    </w:rPr>
  </w:style>
  <w:style w:type="paragraph" w:styleId="a5">
    <w:name w:val="footer"/>
    <w:basedOn w:val="a"/>
    <w:link w:val="a6"/>
    <w:uiPriority w:val="99"/>
    <w:rsid w:val="005F725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F7255"/>
  </w:style>
  <w:style w:type="paragraph" w:styleId="a8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a">
    <w:name w:val="annotation reference"/>
    <w:semiHidden/>
    <w:rsid w:val="003606FD"/>
    <w:rPr>
      <w:sz w:val="16"/>
      <w:szCs w:val="16"/>
    </w:rPr>
  </w:style>
  <w:style w:type="paragraph" w:styleId="ab">
    <w:name w:val="annotation text"/>
    <w:basedOn w:val="a"/>
    <w:semiHidden/>
    <w:rsid w:val="003606FD"/>
    <w:rPr>
      <w:sz w:val="20"/>
      <w:szCs w:val="20"/>
    </w:rPr>
  </w:style>
  <w:style w:type="paragraph" w:styleId="ac">
    <w:name w:val="annotation subject"/>
    <w:basedOn w:val="ab"/>
    <w:next w:val="ab"/>
    <w:semiHidden/>
    <w:rsid w:val="003606FD"/>
    <w:rPr>
      <w:b/>
      <w:bCs/>
    </w:rPr>
  </w:style>
  <w:style w:type="table" w:styleId="ad">
    <w:name w:val="Table Grid"/>
    <w:basedOn w:val="a1"/>
    <w:rsid w:val="00AC07A2"/>
    <w:pPr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A548A"/>
    <w:rPr>
      <w:color w:val="0000FF"/>
      <w:u w:val="single"/>
    </w:rPr>
  </w:style>
  <w:style w:type="character" w:customStyle="1" w:styleId="a6">
    <w:name w:val="כותרת תחתונה תו"/>
    <w:link w:val="a5"/>
    <w:uiPriority w:val="99"/>
    <w:rsid w:val="00D921A2"/>
    <w:rPr>
      <w:rFonts w:cs="David"/>
      <w:sz w:val="24"/>
      <w:szCs w:val="24"/>
      <w:lang w:eastAsia="he-IL"/>
    </w:rPr>
  </w:style>
  <w:style w:type="paragraph" w:styleId="ae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טקסט רגיל תו"/>
    <w:basedOn w:val="a0"/>
    <w:link w:val="af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1">
    <w:name w:val="Title"/>
    <w:basedOn w:val="a"/>
    <w:next w:val="a"/>
    <w:link w:val="af2"/>
    <w:qFormat/>
    <w:rsid w:val="005E04A2"/>
    <w:pPr>
      <w:spacing w:line="360" w:lineRule="auto"/>
      <w:jc w:val="center"/>
    </w:pPr>
    <w:rPr>
      <w:sz w:val="28"/>
      <w:szCs w:val="28"/>
    </w:rPr>
  </w:style>
  <w:style w:type="character" w:customStyle="1" w:styleId="af2">
    <w:name w:val="כותרת טקסט תו"/>
    <w:basedOn w:val="a0"/>
    <w:link w:val="af1"/>
    <w:rsid w:val="005E04A2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5E04A2"/>
    <w:rPr>
      <w:rFonts w:cs="David"/>
      <w:b/>
      <w:bCs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5E04A2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E142E"/>
    <w:rPr>
      <w:sz w:val="20"/>
      <w:szCs w:val="20"/>
    </w:rPr>
  </w:style>
  <w:style w:type="character" w:styleId="a4">
    <w:name w:val="footnote reference"/>
    <w:semiHidden/>
    <w:rsid w:val="008E142E"/>
    <w:rPr>
      <w:vertAlign w:val="superscript"/>
    </w:rPr>
  </w:style>
  <w:style w:type="paragraph" w:styleId="a5">
    <w:name w:val="footer"/>
    <w:basedOn w:val="a"/>
    <w:link w:val="a6"/>
    <w:uiPriority w:val="99"/>
    <w:rsid w:val="005F725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F7255"/>
  </w:style>
  <w:style w:type="paragraph" w:styleId="a8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a">
    <w:name w:val="annotation reference"/>
    <w:semiHidden/>
    <w:rsid w:val="003606FD"/>
    <w:rPr>
      <w:sz w:val="16"/>
      <w:szCs w:val="16"/>
    </w:rPr>
  </w:style>
  <w:style w:type="paragraph" w:styleId="ab">
    <w:name w:val="annotation text"/>
    <w:basedOn w:val="a"/>
    <w:semiHidden/>
    <w:rsid w:val="003606FD"/>
    <w:rPr>
      <w:sz w:val="20"/>
      <w:szCs w:val="20"/>
    </w:rPr>
  </w:style>
  <w:style w:type="paragraph" w:styleId="ac">
    <w:name w:val="annotation subject"/>
    <w:basedOn w:val="ab"/>
    <w:next w:val="ab"/>
    <w:semiHidden/>
    <w:rsid w:val="003606FD"/>
    <w:rPr>
      <w:b/>
      <w:bCs/>
    </w:rPr>
  </w:style>
  <w:style w:type="table" w:styleId="ad">
    <w:name w:val="Table Grid"/>
    <w:basedOn w:val="a1"/>
    <w:rsid w:val="00AC07A2"/>
    <w:pPr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A548A"/>
    <w:rPr>
      <w:color w:val="0000FF"/>
      <w:u w:val="single"/>
    </w:rPr>
  </w:style>
  <w:style w:type="character" w:customStyle="1" w:styleId="a6">
    <w:name w:val="כותרת תחתונה תו"/>
    <w:link w:val="a5"/>
    <w:uiPriority w:val="99"/>
    <w:rsid w:val="00D921A2"/>
    <w:rPr>
      <w:rFonts w:cs="David"/>
      <w:sz w:val="24"/>
      <w:szCs w:val="24"/>
      <w:lang w:eastAsia="he-IL"/>
    </w:rPr>
  </w:style>
  <w:style w:type="paragraph" w:styleId="ae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טקסט רגיל תו"/>
    <w:basedOn w:val="a0"/>
    <w:link w:val="af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1">
    <w:name w:val="Title"/>
    <w:basedOn w:val="a"/>
    <w:next w:val="a"/>
    <w:link w:val="af2"/>
    <w:qFormat/>
    <w:rsid w:val="005E04A2"/>
    <w:pPr>
      <w:spacing w:line="360" w:lineRule="auto"/>
      <w:jc w:val="center"/>
    </w:pPr>
    <w:rPr>
      <w:sz w:val="28"/>
      <w:szCs w:val="28"/>
    </w:rPr>
  </w:style>
  <w:style w:type="character" w:customStyle="1" w:styleId="af2">
    <w:name w:val="כותרת טקסט תו"/>
    <w:basedOn w:val="a0"/>
    <w:link w:val="af1"/>
    <w:rsid w:val="005E04A2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5E04A2"/>
    <w:rPr>
      <w:rFonts w:cs="David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e.boi.org.il/he/DataAndStatistics/Pages/MainPage.aspx?Level=3&amp;Sid=49&amp;SubjectType=2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hyperlink" Target="https://e.boi.org.il/he/DataAndStatistics/Pages/MainPage.aspx?Level=2&amp;Sid=15&amp;SubjectType=1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>2015-12-15T10:00:00+00:00</PublishingStartDate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B028B3-9739-4E58-9398-D38D2BEAC623}"/>
</file>

<file path=customXml/itemProps2.xml><?xml version="1.0" encoding="utf-8"?>
<ds:datastoreItem xmlns:ds="http://schemas.openxmlformats.org/officeDocument/2006/customXml" ds:itemID="{1007F79D-A864-424E-BF09-63A963A7BFCF}"/>
</file>

<file path=customXml/itemProps3.xml><?xml version="1.0" encoding="utf-8"?>
<ds:datastoreItem xmlns:ds="http://schemas.openxmlformats.org/officeDocument/2006/customXml" ds:itemID="{63C5E5E2-45DE-41D3-98EC-CD14E3BADC44}"/>
</file>

<file path=customXml/itemProps4.xml><?xml version="1.0" encoding="utf-8"?>
<ds:datastoreItem xmlns:ds="http://schemas.openxmlformats.org/officeDocument/2006/customXml" ds:itemID="{06F59881-D3FA-4D50-AAF8-C1037F00EF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1071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6417</CharactersWithSpaces>
  <SharedDoc>false</SharedDoc>
  <HLinks>
    <vt:vector size="6" baseType="variant">
      <vt:variant>
        <vt:i4>2097185</vt:i4>
      </vt:variant>
      <vt:variant>
        <vt:i4>9</vt:i4>
      </vt:variant>
      <vt:variant>
        <vt:i4>0</vt:i4>
      </vt:variant>
      <vt:variant>
        <vt:i4>5</vt:i4>
      </vt:variant>
      <vt:variant>
        <vt:lpwstr>http://www.boi.org.il/he/DataAndStatistics/Pages/MainPage.aspx?Level=3&amp;Sid=47&amp;SubjectType=2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2016-09-04T08:32:00Z</dcterms:created>
  <dcterms:modified xsi:type="dcterms:W3CDTF">2016-09-04T08:32:00Z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