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212" w:rsidRPr="00E8008F" w:rsidRDefault="009C1E74" w:rsidP="00B108AE">
      <w:pPr>
        <w:bidi w:val="0"/>
        <w:jc w:val="center"/>
        <w:rPr>
          <w:rtl/>
        </w:rPr>
      </w:pPr>
      <w:r>
        <w:rPr>
          <w:noProof/>
          <w:rtl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191600" cy="1191600"/>
            <wp:effectExtent l="0" t="0" r="8890" b="8890"/>
            <wp:wrapSquare wrapText="bothSides"/>
            <wp:docPr id="1" name="Picture 1" descr="C:\Users\u17x\Desktop\תמונת לוגו (jpg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17x\Desktop\תמונת לוגו (jpg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600" cy="119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12" w:rsidRDefault="008A7212" w:rsidP="00B108AE">
      <w:pPr>
        <w:pStyle w:val="regpar"/>
        <w:spacing w:line="300" w:lineRule="atLeast"/>
        <w:ind w:firstLine="0"/>
        <w:jc w:val="center"/>
        <w:rPr>
          <w:b/>
        </w:rPr>
      </w:pPr>
    </w:p>
    <w:p w:rsidR="009C1E74" w:rsidRDefault="009C1E74" w:rsidP="00B108AE">
      <w:pPr>
        <w:pStyle w:val="regpar"/>
        <w:spacing w:line="300" w:lineRule="atLeast"/>
        <w:ind w:firstLine="0"/>
        <w:jc w:val="center"/>
        <w:rPr>
          <w:rFonts w:ascii="Times New Roman" w:hAnsi="Times New Roman" w:cs="David"/>
          <w:bCs/>
        </w:rPr>
      </w:pPr>
    </w:p>
    <w:p w:rsidR="009C1E74" w:rsidRDefault="009C1E74" w:rsidP="00B108AE">
      <w:pPr>
        <w:pStyle w:val="regpar"/>
        <w:spacing w:line="300" w:lineRule="atLeast"/>
        <w:ind w:firstLine="0"/>
        <w:jc w:val="center"/>
        <w:rPr>
          <w:rFonts w:ascii="Times New Roman" w:hAnsi="Times New Roman" w:cs="David"/>
          <w:bCs/>
        </w:rPr>
      </w:pPr>
    </w:p>
    <w:p w:rsidR="009C1E74" w:rsidRDefault="009C1E74" w:rsidP="00B108AE">
      <w:pPr>
        <w:pStyle w:val="regpar"/>
        <w:spacing w:line="300" w:lineRule="atLeast"/>
        <w:ind w:firstLine="0"/>
        <w:jc w:val="center"/>
        <w:rPr>
          <w:rFonts w:ascii="Times New Roman" w:hAnsi="Times New Roman" w:cs="David"/>
          <w:bCs/>
        </w:rPr>
      </w:pPr>
    </w:p>
    <w:p w:rsidR="009C1E74" w:rsidRDefault="009C1E74" w:rsidP="00B108AE">
      <w:pPr>
        <w:pStyle w:val="regpar"/>
        <w:spacing w:line="300" w:lineRule="atLeast"/>
        <w:ind w:firstLine="0"/>
        <w:jc w:val="center"/>
        <w:rPr>
          <w:rFonts w:ascii="Times New Roman" w:hAnsi="Times New Roman" w:cs="David"/>
          <w:bCs/>
        </w:rPr>
      </w:pPr>
    </w:p>
    <w:p w:rsidR="009C1E74" w:rsidRDefault="009C1E74" w:rsidP="00B108AE">
      <w:pPr>
        <w:pStyle w:val="regpar"/>
        <w:spacing w:line="300" w:lineRule="atLeast"/>
        <w:ind w:firstLine="0"/>
        <w:jc w:val="center"/>
        <w:rPr>
          <w:rFonts w:ascii="Times New Roman" w:hAnsi="Times New Roman" w:cs="David"/>
          <w:bCs/>
        </w:rPr>
      </w:pPr>
      <w:bookmarkStart w:id="0" w:name="_GoBack"/>
    </w:p>
    <w:bookmarkEnd w:id="0"/>
    <w:p w:rsidR="008A7212" w:rsidRPr="00000A06" w:rsidRDefault="008A7212" w:rsidP="00B108AE">
      <w:pPr>
        <w:pStyle w:val="regpar"/>
        <w:spacing w:line="300" w:lineRule="atLeast"/>
        <w:ind w:firstLine="0"/>
        <w:jc w:val="center"/>
        <w:rPr>
          <w:rFonts w:ascii="Times New Roman" w:hAnsi="Times New Roman" w:cs="David"/>
          <w:bCs/>
        </w:rPr>
      </w:pPr>
      <w:r w:rsidRPr="00000A06">
        <w:rPr>
          <w:rFonts w:ascii="Times New Roman" w:hAnsi="Times New Roman" w:cs="David"/>
          <w:bCs/>
        </w:rPr>
        <w:t>BANK OF ISRAEL</w:t>
      </w:r>
    </w:p>
    <w:p w:rsidR="008A7212" w:rsidRPr="00000A06" w:rsidRDefault="008A7212" w:rsidP="00B108AE">
      <w:pPr>
        <w:pStyle w:val="regpar"/>
        <w:spacing w:line="300" w:lineRule="atLeast"/>
        <w:ind w:firstLine="0"/>
        <w:jc w:val="center"/>
        <w:rPr>
          <w:rFonts w:ascii="Times New Roman" w:hAnsi="Times New Roman" w:cs="Times New Roman"/>
          <w:b/>
        </w:rPr>
      </w:pPr>
      <w:r w:rsidRPr="00000A06">
        <w:rPr>
          <w:rFonts w:ascii="Times New Roman" w:hAnsi="Times New Roman" w:cs="Times New Roman"/>
        </w:rPr>
        <w:t>Office of the Spokes</w:t>
      </w:r>
      <w:r w:rsidR="003D6F31">
        <w:rPr>
          <w:rFonts w:ascii="Times New Roman" w:hAnsi="Times New Roman" w:cs="Times New Roman"/>
        </w:rPr>
        <w:t>person</w:t>
      </w:r>
      <w:r w:rsidRPr="00000A06">
        <w:rPr>
          <w:rFonts w:ascii="Times New Roman" w:hAnsi="Times New Roman" w:cs="Times New Roman"/>
        </w:rPr>
        <w:t xml:space="preserve"> and Economic Information</w:t>
      </w:r>
    </w:p>
    <w:p w:rsidR="00A62731" w:rsidRDefault="00A62731" w:rsidP="00A62731">
      <w:pPr>
        <w:bidi w:val="0"/>
        <w:jc w:val="center"/>
        <w:rPr>
          <w:rFonts w:cs="David"/>
          <w:b/>
          <w:bCs/>
          <w:sz w:val="26"/>
          <w:szCs w:val="26"/>
        </w:rPr>
      </w:pPr>
    </w:p>
    <w:p w:rsidR="00A62731" w:rsidRDefault="00B9767B" w:rsidP="009F2B6A">
      <w:pPr>
        <w:bidi w:val="0"/>
      </w:pPr>
      <w:r w:rsidRPr="006902CB">
        <w:t xml:space="preserve">May </w:t>
      </w:r>
      <w:r w:rsidR="006902CB" w:rsidRPr="006902CB">
        <w:rPr>
          <w:rFonts w:hint="cs"/>
          <w:rtl/>
        </w:rPr>
        <w:t>1</w:t>
      </w:r>
      <w:r w:rsidR="009F2B6A">
        <w:rPr>
          <w:rFonts w:hint="cs"/>
          <w:rtl/>
        </w:rPr>
        <w:t>3</w:t>
      </w:r>
      <w:r w:rsidRPr="006902CB">
        <w:t>, 2019</w:t>
      </w:r>
    </w:p>
    <w:p w:rsidR="00716379" w:rsidRPr="0094738B" w:rsidRDefault="00716379" w:rsidP="00716379">
      <w:pPr>
        <w:pStyle w:val="PressReleaseTitle"/>
      </w:pPr>
      <w:r w:rsidRPr="007B2BDC">
        <w:t>Press Release</w:t>
      </w:r>
    </w:p>
    <w:p w:rsidR="00716379" w:rsidRPr="0094738B" w:rsidRDefault="00716379" w:rsidP="00716379">
      <w:pPr>
        <w:pStyle w:val="PressReleaseTitle"/>
      </w:pPr>
    </w:p>
    <w:p w:rsidR="00716379" w:rsidRPr="0094738B" w:rsidRDefault="00716379" w:rsidP="00B9767B">
      <w:pPr>
        <w:pStyle w:val="PressReleaseTitle"/>
      </w:pPr>
      <w:r>
        <w:t xml:space="preserve">Israel’s foreign currency market in </w:t>
      </w:r>
      <w:r w:rsidR="006811E6">
        <w:t xml:space="preserve">the </w:t>
      </w:r>
      <w:r w:rsidR="00B9767B">
        <w:t xml:space="preserve">first </w:t>
      </w:r>
      <w:r w:rsidR="00692468">
        <w:t>quarter</w:t>
      </w:r>
      <w:r w:rsidR="0017665B">
        <w:t xml:space="preserve"> </w:t>
      </w:r>
      <w:r w:rsidR="00B9767B">
        <w:t>of 2019</w:t>
      </w:r>
    </w:p>
    <w:p w:rsidR="00316A5F" w:rsidRDefault="00316A5F" w:rsidP="00316A5F">
      <w:pPr>
        <w:bidi w:val="0"/>
        <w:spacing w:line="300" w:lineRule="exact"/>
        <w:jc w:val="center"/>
        <w:rPr>
          <w:sz w:val="22"/>
          <w:szCs w:val="22"/>
        </w:rPr>
      </w:pPr>
    </w:p>
    <w:p w:rsidR="00716379" w:rsidRPr="007D2403" w:rsidRDefault="00316A5F" w:rsidP="007D2403">
      <w:pPr>
        <w:bidi w:val="0"/>
        <w:spacing w:line="300" w:lineRule="exact"/>
        <w:jc w:val="center"/>
        <w:rPr>
          <w:b/>
          <w:bCs/>
          <w:sz w:val="28"/>
          <w:szCs w:val="28"/>
        </w:rPr>
      </w:pPr>
      <w:r w:rsidRPr="007D2403">
        <w:rPr>
          <w:b/>
          <w:bCs/>
          <w:sz w:val="22"/>
          <w:szCs w:val="22"/>
        </w:rPr>
        <w:t xml:space="preserve">Beginning with this notice, a section that presents the activity of the main activity sectors in the foreign currency market will also be </w:t>
      </w:r>
      <w:r w:rsidR="007D2403">
        <w:rPr>
          <w:b/>
          <w:bCs/>
          <w:sz w:val="22"/>
          <w:szCs w:val="22"/>
        </w:rPr>
        <w:t>included</w:t>
      </w:r>
      <w:r w:rsidRPr="007D2403">
        <w:rPr>
          <w:b/>
          <w:bCs/>
          <w:sz w:val="22"/>
          <w:szCs w:val="22"/>
        </w:rPr>
        <w:t>.</w:t>
      </w:r>
    </w:p>
    <w:p w:rsidR="00716379" w:rsidRDefault="00716379" w:rsidP="00716379">
      <w:pPr>
        <w:bidi w:val="0"/>
        <w:spacing w:line="300" w:lineRule="exact"/>
        <w:jc w:val="both"/>
        <w:rPr>
          <w:b/>
          <w:bCs/>
        </w:rPr>
      </w:pPr>
    </w:p>
    <w:p w:rsidR="00716379" w:rsidRDefault="00716379" w:rsidP="00716379">
      <w:pPr>
        <w:bidi w:val="0"/>
        <w:spacing w:line="300" w:lineRule="exact"/>
        <w:jc w:val="both"/>
        <w:rPr>
          <w:b/>
          <w:bCs/>
        </w:rPr>
      </w:pPr>
      <w:r>
        <w:rPr>
          <w:b/>
          <w:bCs/>
        </w:rPr>
        <w:t>1. The Exchange Rate</w:t>
      </w:r>
    </w:p>
    <w:p w:rsidR="00716379" w:rsidRDefault="0002528B" w:rsidP="0002528B">
      <w:pPr>
        <w:bidi w:val="0"/>
        <w:spacing w:line="300" w:lineRule="exact"/>
        <w:jc w:val="both"/>
        <w:rPr>
          <w:b/>
          <w:bCs/>
        </w:rPr>
      </w:pPr>
      <w:r>
        <w:rPr>
          <w:b/>
          <w:bCs/>
        </w:rPr>
        <w:t xml:space="preserve">Strengthening </w:t>
      </w:r>
      <w:r w:rsidR="00716379">
        <w:rPr>
          <w:b/>
          <w:bCs/>
        </w:rPr>
        <w:t xml:space="preserve">of the shekel against the dollar, </w:t>
      </w:r>
      <w:r>
        <w:rPr>
          <w:b/>
          <w:bCs/>
        </w:rPr>
        <w:t xml:space="preserve">in parallel with </w:t>
      </w:r>
      <w:r w:rsidR="006811E6">
        <w:rPr>
          <w:b/>
          <w:bCs/>
        </w:rPr>
        <w:t xml:space="preserve">a </w:t>
      </w:r>
      <w:r w:rsidR="00692468">
        <w:rPr>
          <w:b/>
          <w:bCs/>
        </w:rPr>
        <w:t>mixed trend</w:t>
      </w:r>
      <w:r w:rsidR="006811E6">
        <w:rPr>
          <w:b/>
          <w:bCs/>
        </w:rPr>
        <w:t xml:space="preserve"> of the dollar </w:t>
      </w:r>
      <w:r w:rsidR="00716379">
        <w:rPr>
          <w:b/>
          <w:bCs/>
        </w:rPr>
        <w:t>worldwide.</w:t>
      </w:r>
    </w:p>
    <w:p w:rsidR="00716379" w:rsidRDefault="006811E6" w:rsidP="0002528B">
      <w:pPr>
        <w:bidi w:val="0"/>
        <w:spacing w:line="300" w:lineRule="exact"/>
        <w:jc w:val="both"/>
      </w:pPr>
      <w:r>
        <w:t xml:space="preserve">During </w:t>
      </w:r>
      <w:r w:rsidR="0002528B">
        <w:t xml:space="preserve">the course of the first </w:t>
      </w:r>
      <w:r w:rsidR="006A301B">
        <w:t>quarter</w:t>
      </w:r>
      <w:r w:rsidR="00716379">
        <w:t xml:space="preserve">, the shekel </w:t>
      </w:r>
      <w:r w:rsidR="0002528B">
        <w:t xml:space="preserve">strengthened </w:t>
      </w:r>
      <w:r w:rsidR="00716379">
        <w:t xml:space="preserve">by </w:t>
      </w:r>
      <w:r w:rsidR="0002528B">
        <w:t xml:space="preserve">approximately </w:t>
      </w:r>
      <w:r w:rsidR="006A301B">
        <w:t>3.</w:t>
      </w:r>
      <w:r w:rsidR="0002528B">
        <w:t>1</w:t>
      </w:r>
      <w:r w:rsidR="00716379">
        <w:t xml:space="preserve"> percent against the </w:t>
      </w:r>
      <w:r>
        <w:t>dollar</w:t>
      </w:r>
      <w:r w:rsidR="00E503AA">
        <w:t xml:space="preserve">, </w:t>
      </w:r>
      <w:r w:rsidR="00BA69BE">
        <w:t xml:space="preserve">and </w:t>
      </w:r>
      <w:r w:rsidR="00716379" w:rsidRPr="006902CB">
        <w:t xml:space="preserve">by </w:t>
      </w:r>
      <w:r w:rsidR="0002528B" w:rsidRPr="006902CB">
        <w:t xml:space="preserve">5 </w:t>
      </w:r>
      <w:r w:rsidR="00716379" w:rsidRPr="006902CB">
        <w:t>percent</w:t>
      </w:r>
      <w:r w:rsidR="00716379">
        <w:t xml:space="preserve"> against the </w:t>
      </w:r>
      <w:r>
        <w:t>euro</w:t>
      </w:r>
      <w:r w:rsidR="00716379">
        <w:t xml:space="preserve">. </w:t>
      </w:r>
    </w:p>
    <w:p w:rsidR="00716379" w:rsidRDefault="00716379" w:rsidP="00C01B10">
      <w:pPr>
        <w:bidi w:val="0"/>
        <w:spacing w:line="300" w:lineRule="exact"/>
        <w:jc w:val="both"/>
      </w:pPr>
      <w:r>
        <w:t xml:space="preserve">Against the currencies of Israel's main trading partners, in terms of the nominal effective exchange rate of the shekel (i.e., the trade-weighted </w:t>
      </w:r>
      <w:r w:rsidRPr="00DC2232">
        <w:t>average shekel exchange rate</w:t>
      </w:r>
      <w:r>
        <w:t xml:space="preserve"> against those currencies), the shekel </w:t>
      </w:r>
      <w:r w:rsidR="003A103D">
        <w:t xml:space="preserve">strengthened </w:t>
      </w:r>
      <w:r>
        <w:t>by about</w:t>
      </w:r>
      <w:r w:rsidR="006A301B">
        <w:t xml:space="preserve"> 3.</w:t>
      </w:r>
      <w:r w:rsidR="003A103D">
        <w:t>5</w:t>
      </w:r>
      <w:r w:rsidR="00E503AA">
        <w:t xml:space="preserve"> </w:t>
      </w:r>
      <w:r>
        <w:t>percent</w:t>
      </w:r>
      <w:r w:rsidR="00C01B10">
        <w:t>.</w:t>
      </w:r>
    </w:p>
    <w:p w:rsidR="003A103D" w:rsidRDefault="003A103D" w:rsidP="006A301B">
      <w:pPr>
        <w:bidi w:val="0"/>
        <w:spacing w:line="300" w:lineRule="exact"/>
        <w:jc w:val="both"/>
      </w:pPr>
    </w:p>
    <w:p w:rsidR="003A103D" w:rsidRDefault="003A103D" w:rsidP="003A103D">
      <w:pPr>
        <w:bidi w:val="0"/>
        <w:spacing w:line="300" w:lineRule="exact"/>
        <w:jc w:val="both"/>
      </w:pPr>
    </w:p>
    <w:p w:rsidR="003A103D" w:rsidRDefault="003A103D" w:rsidP="003A103D">
      <w:pPr>
        <w:bidi w:val="0"/>
        <w:spacing w:line="300" w:lineRule="exact"/>
        <w:jc w:val="both"/>
      </w:pPr>
    </w:p>
    <w:p w:rsidR="003A103D" w:rsidRDefault="003A103D" w:rsidP="003A103D">
      <w:pPr>
        <w:bidi w:val="0"/>
        <w:spacing w:line="300" w:lineRule="exact"/>
        <w:jc w:val="both"/>
      </w:pPr>
    </w:p>
    <w:p w:rsidR="003A103D" w:rsidRDefault="006902CB" w:rsidP="003A103D">
      <w:pPr>
        <w:bidi w:val="0"/>
        <w:spacing w:line="300" w:lineRule="exact"/>
        <w:jc w:val="both"/>
      </w:pPr>
      <w:r>
        <w:rPr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5945885</wp:posOffset>
            </wp:positionV>
            <wp:extent cx="5278120" cy="3220646"/>
            <wp:effectExtent l="38100" t="38100" r="93980" b="94615"/>
            <wp:wrapSquare wrapText="bothSides"/>
            <wp:docPr id="2" name="תמונה 2" descr="Index of NIS/$ exchange rate, and the nominal effective exchange rate*&#10;" title="Index of NIS/$ exchange rate, and the nominal effective exchange rate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20" cy="3220646"/>
                    </a:xfrm>
                    <a:prstGeom prst="rect">
                      <a:avLst/>
                    </a:prstGeom>
                    <a:noFill/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16379" w:rsidRDefault="00716379" w:rsidP="00E6114C">
      <w:pPr>
        <w:bidi w:val="0"/>
        <w:spacing w:line="300" w:lineRule="exact"/>
        <w:jc w:val="both"/>
      </w:pPr>
      <w:r>
        <w:lastRenderedPageBreak/>
        <w:t xml:space="preserve">Worldwide, the US dollar </w:t>
      </w:r>
      <w:r w:rsidR="006426A2">
        <w:t xml:space="preserve">traded mixed </w:t>
      </w:r>
      <w:r w:rsidR="00AF471B">
        <w:t xml:space="preserve">against </w:t>
      </w:r>
      <w:r w:rsidR="006A301B">
        <w:t>most</w:t>
      </w:r>
      <w:r w:rsidR="00AF471B">
        <w:t xml:space="preserve"> major currencies</w:t>
      </w:r>
      <w:r>
        <w:t xml:space="preserve"> in </w:t>
      </w:r>
      <w:r w:rsidR="00B66537">
        <w:t xml:space="preserve">the </w:t>
      </w:r>
      <w:r w:rsidR="006426A2">
        <w:t xml:space="preserve">first </w:t>
      </w:r>
      <w:r w:rsidR="006A301B">
        <w:t>quarter</w:t>
      </w:r>
      <w:r>
        <w:t xml:space="preserve">. The dollar </w:t>
      </w:r>
      <w:r w:rsidR="0024170D">
        <w:t>strength</w:t>
      </w:r>
      <w:r w:rsidR="006811E6">
        <w:t xml:space="preserve">ened by </w:t>
      </w:r>
      <w:r w:rsidR="006426A2">
        <w:t xml:space="preserve">approximately 2 </w:t>
      </w:r>
      <w:r w:rsidR="0017665B">
        <w:t xml:space="preserve">percent against the euro, </w:t>
      </w:r>
      <w:r w:rsidR="00065F2F">
        <w:t>by</w:t>
      </w:r>
      <w:r w:rsidR="006426A2">
        <w:t xml:space="preserve"> 0.9</w:t>
      </w:r>
      <w:r w:rsidR="00065F2F">
        <w:t xml:space="preserve"> percent against the </w:t>
      </w:r>
      <w:r w:rsidR="006426A2">
        <w:t>Japanese yen</w:t>
      </w:r>
      <w:r w:rsidR="00065F2F">
        <w:t xml:space="preserve">, </w:t>
      </w:r>
      <w:r w:rsidR="006426A2">
        <w:t xml:space="preserve">and </w:t>
      </w:r>
      <w:r w:rsidR="00E40ED5">
        <w:t xml:space="preserve">by </w:t>
      </w:r>
      <w:r w:rsidR="006426A2">
        <w:t xml:space="preserve">1.1 </w:t>
      </w:r>
      <w:r w:rsidR="00E40ED5">
        <w:t xml:space="preserve">percent against the </w:t>
      </w:r>
      <w:r w:rsidR="006A301B">
        <w:t>Swiss franc.</w:t>
      </w:r>
      <w:r w:rsidR="00E40ED5">
        <w:t xml:space="preserve"> </w:t>
      </w:r>
      <w:r w:rsidR="006A301B">
        <w:t>In contrast, the dollar</w:t>
      </w:r>
      <w:r w:rsidR="00E40ED5">
        <w:t xml:space="preserve"> weakened </w:t>
      </w:r>
      <w:r w:rsidR="00065F2F">
        <w:t xml:space="preserve">by </w:t>
      </w:r>
      <w:r w:rsidR="006426A2">
        <w:t xml:space="preserve">1.9 </w:t>
      </w:r>
      <w:r w:rsidR="00E40ED5">
        <w:t>percent against the</w:t>
      </w:r>
      <w:r w:rsidR="006426A2" w:rsidRPr="006426A2">
        <w:t xml:space="preserve"> </w:t>
      </w:r>
      <w:r w:rsidR="006426A2">
        <w:t>British pound</w:t>
      </w:r>
      <w:r w:rsidR="006811E6">
        <w:t>.</w:t>
      </w:r>
    </w:p>
    <w:p w:rsidR="006902CB" w:rsidRDefault="006902CB" w:rsidP="006902CB">
      <w:pPr>
        <w:bidi w:val="0"/>
        <w:spacing w:line="300" w:lineRule="exact"/>
        <w:jc w:val="both"/>
      </w:pPr>
    </w:p>
    <w:p w:rsidR="006902CB" w:rsidRDefault="006902CB" w:rsidP="006902CB">
      <w:pPr>
        <w:bidi w:val="0"/>
        <w:spacing w:line="300" w:lineRule="exact"/>
        <w:jc w:val="both"/>
      </w:pPr>
    </w:p>
    <w:p w:rsidR="006902CB" w:rsidRDefault="006902CB" w:rsidP="006902CB">
      <w:pPr>
        <w:bidi w:val="0"/>
        <w:spacing w:line="300" w:lineRule="exact"/>
        <w:jc w:val="both"/>
      </w:pPr>
      <w:r>
        <w:rPr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46478</wp:posOffset>
            </wp:positionV>
            <wp:extent cx="4387755" cy="2987283"/>
            <wp:effectExtent l="38100" t="38100" r="89535" b="99060"/>
            <wp:wrapNone/>
            <wp:docPr id="6" name="תמונה 6" descr="Rate of change of exchange rates of various currencies against the dollar*  Q1 2019" title="Rate of change of exchange rates of various currencies against the dollar*  Q1 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755" cy="2987283"/>
                    </a:xfrm>
                    <a:prstGeom prst="rect">
                      <a:avLst/>
                    </a:prstGeom>
                    <a:noFill/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02CB" w:rsidRDefault="006902CB" w:rsidP="006902CB">
      <w:pPr>
        <w:bidi w:val="0"/>
        <w:spacing w:line="300" w:lineRule="exact"/>
        <w:jc w:val="both"/>
      </w:pPr>
    </w:p>
    <w:p w:rsidR="008A4204" w:rsidRDefault="008A4204" w:rsidP="008A4204">
      <w:pPr>
        <w:bidi w:val="0"/>
        <w:spacing w:line="300" w:lineRule="exact"/>
        <w:jc w:val="both"/>
      </w:pPr>
    </w:p>
    <w:p w:rsidR="008A4204" w:rsidRDefault="008A4204" w:rsidP="008A4204">
      <w:pPr>
        <w:bidi w:val="0"/>
        <w:spacing w:line="300" w:lineRule="exact"/>
        <w:jc w:val="both"/>
      </w:pPr>
    </w:p>
    <w:p w:rsidR="006902CB" w:rsidRDefault="006902CB" w:rsidP="006902CB">
      <w:pPr>
        <w:bidi w:val="0"/>
        <w:spacing w:line="300" w:lineRule="exact"/>
        <w:jc w:val="both"/>
      </w:pPr>
    </w:p>
    <w:p w:rsidR="006902CB" w:rsidRDefault="006902CB" w:rsidP="006902CB">
      <w:pPr>
        <w:bidi w:val="0"/>
        <w:spacing w:line="300" w:lineRule="exact"/>
        <w:jc w:val="both"/>
      </w:pPr>
    </w:p>
    <w:p w:rsidR="006902CB" w:rsidRDefault="006902CB" w:rsidP="006902CB">
      <w:pPr>
        <w:bidi w:val="0"/>
        <w:spacing w:line="300" w:lineRule="exact"/>
        <w:jc w:val="both"/>
      </w:pPr>
    </w:p>
    <w:p w:rsidR="006902CB" w:rsidRDefault="006902CB" w:rsidP="006902CB">
      <w:pPr>
        <w:bidi w:val="0"/>
        <w:spacing w:line="300" w:lineRule="exact"/>
        <w:jc w:val="both"/>
      </w:pPr>
    </w:p>
    <w:p w:rsidR="006902CB" w:rsidRDefault="006902CB" w:rsidP="006902CB">
      <w:pPr>
        <w:bidi w:val="0"/>
        <w:spacing w:line="300" w:lineRule="exact"/>
        <w:jc w:val="both"/>
      </w:pPr>
    </w:p>
    <w:p w:rsidR="006902CB" w:rsidRDefault="006902CB" w:rsidP="006902CB">
      <w:pPr>
        <w:bidi w:val="0"/>
        <w:spacing w:line="300" w:lineRule="exact"/>
        <w:jc w:val="both"/>
      </w:pPr>
    </w:p>
    <w:p w:rsidR="006902CB" w:rsidRDefault="006902CB" w:rsidP="006902CB">
      <w:pPr>
        <w:bidi w:val="0"/>
        <w:spacing w:line="300" w:lineRule="exact"/>
        <w:jc w:val="both"/>
      </w:pPr>
    </w:p>
    <w:p w:rsidR="006902CB" w:rsidRDefault="006902CB" w:rsidP="006902CB">
      <w:pPr>
        <w:bidi w:val="0"/>
        <w:spacing w:line="300" w:lineRule="exact"/>
        <w:jc w:val="both"/>
      </w:pPr>
    </w:p>
    <w:p w:rsidR="006902CB" w:rsidRDefault="006902CB" w:rsidP="006902CB">
      <w:pPr>
        <w:bidi w:val="0"/>
        <w:spacing w:line="300" w:lineRule="exact"/>
        <w:jc w:val="both"/>
      </w:pPr>
    </w:p>
    <w:p w:rsidR="006902CB" w:rsidRDefault="006902CB" w:rsidP="006902CB">
      <w:pPr>
        <w:bidi w:val="0"/>
        <w:spacing w:line="300" w:lineRule="exact"/>
        <w:jc w:val="both"/>
      </w:pPr>
    </w:p>
    <w:p w:rsidR="006902CB" w:rsidRDefault="006902CB" w:rsidP="006902CB">
      <w:pPr>
        <w:bidi w:val="0"/>
        <w:spacing w:line="300" w:lineRule="exact"/>
        <w:jc w:val="both"/>
      </w:pPr>
    </w:p>
    <w:p w:rsidR="006902CB" w:rsidRDefault="006902CB" w:rsidP="006902CB">
      <w:pPr>
        <w:bidi w:val="0"/>
        <w:spacing w:line="300" w:lineRule="exact"/>
        <w:jc w:val="both"/>
      </w:pPr>
    </w:p>
    <w:p w:rsidR="006902CB" w:rsidRDefault="006902CB" w:rsidP="006902CB">
      <w:pPr>
        <w:bidi w:val="0"/>
        <w:spacing w:line="300" w:lineRule="exact"/>
        <w:jc w:val="both"/>
      </w:pPr>
    </w:p>
    <w:p w:rsidR="006902CB" w:rsidRDefault="006902CB" w:rsidP="006902CB">
      <w:pPr>
        <w:bidi w:val="0"/>
        <w:spacing w:line="300" w:lineRule="exact"/>
        <w:jc w:val="both"/>
      </w:pPr>
    </w:p>
    <w:p w:rsidR="006902CB" w:rsidRDefault="006902CB" w:rsidP="006902CB">
      <w:pPr>
        <w:bidi w:val="0"/>
        <w:spacing w:line="300" w:lineRule="exact"/>
        <w:jc w:val="both"/>
      </w:pPr>
    </w:p>
    <w:p w:rsidR="00716379" w:rsidRDefault="00716379" w:rsidP="006902CB">
      <w:pPr>
        <w:bidi w:val="0"/>
        <w:spacing w:line="300" w:lineRule="exact"/>
        <w:jc w:val="both"/>
        <w:rPr>
          <w:b/>
          <w:bCs/>
        </w:rPr>
      </w:pPr>
      <w:r>
        <w:rPr>
          <w:b/>
          <w:bCs/>
        </w:rPr>
        <w:t>2. Exchange Rate Volatility</w:t>
      </w:r>
    </w:p>
    <w:p w:rsidR="00716379" w:rsidRDefault="006811E6" w:rsidP="00D67FD3">
      <w:pPr>
        <w:bidi w:val="0"/>
        <w:spacing w:line="300" w:lineRule="exact"/>
        <w:jc w:val="both"/>
        <w:rPr>
          <w:b/>
          <w:bCs/>
        </w:rPr>
      </w:pPr>
      <w:r>
        <w:rPr>
          <w:b/>
          <w:bCs/>
        </w:rPr>
        <w:t>A</w:t>
      </w:r>
      <w:r w:rsidR="00724066">
        <w:rPr>
          <w:b/>
          <w:bCs/>
        </w:rPr>
        <w:t xml:space="preserve"> </w:t>
      </w:r>
      <w:r w:rsidR="00D67FD3">
        <w:rPr>
          <w:b/>
          <w:bCs/>
        </w:rPr>
        <w:t>decline</w:t>
      </w:r>
      <w:r w:rsidR="001F6A4A">
        <w:rPr>
          <w:b/>
          <w:bCs/>
        </w:rPr>
        <w:t xml:space="preserve"> </w:t>
      </w:r>
      <w:r w:rsidR="00716379">
        <w:rPr>
          <w:b/>
          <w:bCs/>
        </w:rPr>
        <w:t>in actual volatility of the exchange rate</w:t>
      </w:r>
      <w:r w:rsidR="006855BF">
        <w:rPr>
          <w:b/>
          <w:bCs/>
        </w:rPr>
        <w:t>,</w:t>
      </w:r>
      <w:r w:rsidR="00716379">
        <w:rPr>
          <w:b/>
          <w:bCs/>
        </w:rPr>
        <w:t xml:space="preserve"> </w:t>
      </w:r>
      <w:r w:rsidR="00065F2F">
        <w:rPr>
          <w:b/>
          <w:bCs/>
        </w:rPr>
        <w:t xml:space="preserve">and </w:t>
      </w:r>
      <w:r w:rsidR="00D67FD3">
        <w:rPr>
          <w:b/>
          <w:bCs/>
        </w:rPr>
        <w:t>stability</w:t>
      </w:r>
      <w:r w:rsidR="00065F2F">
        <w:rPr>
          <w:b/>
          <w:bCs/>
        </w:rPr>
        <w:t xml:space="preserve"> in</w:t>
      </w:r>
      <w:r>
        <w:rPr>
          <w:b/>
          <w:bCs/>
        </w:rPr>
        <w:t xml:space="preserve"> implied volatility</w:t>
      </w:r>
      <w:r w:rsidR="00716379">
        <w:rPr>
          <w:b/>
          <w:bCs/>
        </w:rPr>
        <w:t xml:space="preserve">. </w:t>
      </w:r>
    </w:p>
    <w:p w:rsidR="00716379" w:rsidRDefault="00716379" w:rsidP="006902CB">
      <w:pPr>
        <w:bidi w:val="0"/>
        <w:spacing w:line="300" w:lineRule="exact"/>
        <w:jc w:val="both"/>
      </w:pPr>
      <w:r>
        <w:t xml:space="preserve">The standard deviation of changes </w:t>
      </w:r>
      <w:r w:rsidRPr="00DF2C76">
        <w:t xml:space="preserve">in the </w:t>
      </w:r>
      <w:r w:rsidRPr="00116B89">
        <w:t>shekel</w:t>
      </w:r>
      <w:r w:rsidR="00724066">
        <w:t>/</w:t>
      </w:r>
      <w:r w:rsidRPr="00116B89">
        <w:t>dollar exchange rate,</w:t>
      </w:r>
      <w:r>
        <w:t xml:space="preserve"> which represents its </w:t>
      </w:r>
      <w:r w:rsidRPr="00661AD3">
        <w:rPr>
          <w:b/>
          <w:bCs/>
        </w:rPr>
        <w:t>actual</w:t>
      </w:r>
      <w:r>
        <w:t xml:space="preserve"> volatility, </w:t>
      </w:r>
      <w:r w:rsidR="007B2448">
        <w:t>declin</w:t>
      </w:r>
      <w:r w:rsidR="00724066">
        <w:t>ed</w:t>
      </w:r>
      <w:r>
        <w:t xml:space="preserve"> by about </w:t>
      </w:r>
      <w:r w:rsidR="00707976">
        <w:t>0.</w:t>
      </w:r>
      <w:r w:rsidR="00B5463B">
        <w:t>3</w:t>
      </w:r>
      <w:r>
        <w:t xml:space="preserve"> percentage points in </w:t>
      </w:r>
      <w:r w:rsidR="006811E6">
        <w:t xml:space="preserve">the </w:t>
      </w:r>
      <w:r w:rsidR="00B5463B">
        <w:t xml:space="preserve">first </w:t>
      </w:r>
      <w:r w:rsidR="006A301B">
        <w:t>quarter</w:t>
      </w:r>
      <w:r>
        <w:t xml:space="preserve">, to </w:t>
      </w:r>
      <w:r w:rsidR="007B2448">
        <w:t>5.</w:t>
      </w:r>
      <w:r w:rsidR="00B5463B">
        <w:t xml:space="preserve">1 </w:t>
      </w:r>
      <w:r>
        <w:t xml:space="preserve">percent at the end of </w:t>
      </w:r>
      <w:r w:rsidR="00B5463B">
        <w:t>March</w:t>
      </w:r>
      <w:r>
        <w:t xml:space="preserve">. </w:t>
      </w:r>
    </w:p>
    <w:p w:rsidR="00E6114C" w:rsidRDefault="00E6114C" w:rsidP="00E6114C">
      <w:pPr>
        <w:bidi w:val="0"/>
        <w:spacing w:line="300" w:lineRule="exact"/>
        <w:jc w:val="both"/>
      </w:pPr>
    </w:p>
    <w:p w:rsidR="00E6114C" w:rsidRDefault="00E6114C" w:rsidP="00E6114C">
      <w:pPr>
        <w:bidi w:val="0"/>
        <w:spacing w:line="300" w:lineRule="exact"/>
        <w:jc w:val="both"/>
      </w:pPr>
    </w:p>
    <w:p w:rsidR="00E6114C" w:rsidRDefault="006902CB" w:rsidP="00E6114C">
      <w:pPr>
        <w:bidi w:val="0"/>
        <w:spacing w:line="300" w:lineRule="exact"/>
        <w:jc w:val="both"/>
      </w:pPr>
      <w:r>
        <w:rPr>
          <w:noProof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281466</wp:posOffset>
            </wp:positionV>
            <wp:extent cx="4879074" cy="2975339"/>
            <wp:effectExtent l="38100" t="38100" r="93345" b="92075"/>
            <wp:wrapSquare wrapText="bothSides"/>
            <wp:docPr id="7" name="תמונה 7" descr="standard" title="stand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9074" cy="2975339"/>
                    </a:xfrm>
                    <a:prstGeom prst="rect">
                      <a:avLst/>
                    </a:prstGeom>
                    <a:noFill/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6379" w:rsidRDefault="00716379" w:rsidP="006C3672">
      <w:pPr>
        <w:bidi w:val="0"/>
        <w:spacing w:line="300" w:lineRule="exact"/>
        <w:jc w:val="both"/>
      </w:pPr>
      <w:r w:rsidRPr="0008141D">
        <w:lastRenderedPageBreak/>
        <w:t>The average level</w:t>
      </w:r>
      <w:r>
        <w:t xml:space="preserve"> of implied volatility in over the counter shekel</w:t>
      </w:r>
      <w:r w:rsidR="00724066">
        <w:t>/</w:t>
      </w:r>
      <w:r>
        <w:t>dollar options</w:t>
      </w:r>
      <w:r w:rsidR="00E04770">
        <w:t xml:space="preserve"> </w:t>
      </w:r>
      <w:r w:rsidR="007B2448">
        <w:t xml:space="preserve">remained stable </w:t>
      </w:r>
      <w:r w:rsidR="00C443BC">
        <w:t xml:space="preserve">in the </w:t>
      </w:r>
      <w:r w:rsidR="00EF312C">
        <w:t>first</w:t>
      </w:r>
      <w:r w:rsidR="006A301B">
        <w:t xml:space="preserve"> quarter</w:t>
      </w:r>
      <w:r w:rsidR="00AF471B">
        <w:t xml:space="preserve">, </w:t>
      </w:r>
      <w:r w:rsidR="00B66537">
        <w:t xml:space="preserve">and was </w:t>
      </w:r>
      <w:r w:rsidR="001F527C">
        <w:t>7.</w:t>
      </w:r>
      <w:r w:rsidR="00724066">
        <w:t>4</w:t>
      </w:r>
      <w:r>
        <w:t xml:space="preserve"> percent at the </w:t>
      </w:r>
      <w:r w:rsidRPr="001C795C">
        <w:t xml:space="preserve">end of </w:t>
      </w:r>
      <w:r w:rsidR="00EF312C">
        <w:t>March</w:t>
      </w:r>
      <w:r w:rsidRPr="001C795C">
        <w:t>.</w:t>
      </w:r>
      <w:r>
        <w:t xml:space="preserve"> </w:t>
      </w:r>
    </w:p>
    <w:p w:rsidR="00716379" w:rsidRDefault="006811E6" w:rsidP="008639EC">
      <w:pPr>
        <w:bidi w:val="0"/>
        <w:spacing w:line="300" w:lineRule="exact"/>
        <w:jc w:val="both"/>
      </w:pPr>
      <w:r>
        <w:t>T</w:t>
      </w:r>
      <w:r w:rsidR="00716379">
        <w:t>he i</w:t>
      </w:r>
      <w:r w:rsidR="00716379" w:rsidRPr="00E017A8">
        <w:t>mplied volatili</w:t>
      </w:r>
      <w:r w:rsidR="00716379">
        <w:t>ty</w:t>
      </w:r>
      <w:r w:rsidR="00716379" w:rsidRPr="00E017A8">
        <w:t xml:space="preserve"> </w:t>
      </w:r>
      <w:r w:rsidR="00716379">
        <w:t xml:space="preserve">in </w:t>
      </w:r>
      <w:r w:rsidR="00716379" w:rsidRPr="00E017A8">
        <w:t xml:space="preserve">foreign exchange options </w:t>
      </w:r>
      <w:r w:rsidR="007B2448">
        <w:t xml:space="preserve">in emerging markets declined </w:t>
      </w:r>
      <w:r w:rsidR="008829AB">
        <w:t xml:space="preserve">in the </w:t>
      </w:r>
      <w:r w:rsidR="008639EC">
        <w:t xml:space="preserve">first </w:t>
      </w:r>
      <w:r w:rsidR="006A301B">
        <w:t>quarter</w:t>
      </w:r>
      <w:r w:rsidR="008829AB">
        <w:t xml:space="preserve"> to </w:t>
      </w:r>
      <w:r w:rsidR="008639EC">
        <w:t xml:space="preserve">9.5 </w:t>
      </w:r>
      <w:r w:rsidR="007B2448">
        <w:t>percent</w:t>
      </w:r>
      <w:r w:rsidR="008639EC">
        <w:t>,</w:t>
      </w:r>
      <w:r w:rsidR="007B2448">
        <w:t xml:space="preserve"> compared with </w:t>
      </w:r>
      <w:r w:rsidR="008639EC">
        <w:t xml:space="preserve">10.8 </w:t>
      </w:r>
      <w:r w:rsidR="008829AB">
        <w:t>percent</w:t>
      </w:r>
      <w:r w:rsidR="007B2448">
        <w:t xml:space="preserve"> at the end of the previous quarter</w:t>
      </w:r>
      <w:r w:rsidR="008639EC">
        <w:t>. T</w:t>
      </w:r>
      <w:r w:rsidR="00CE529E">
        <w:t xml:space="preserve">he implied volatility in foreign exchange options in </w:t>
      </w:r>
      <w:r w:rsidR="008639EC">
        <w:t xml:space="preserve">developed </w:t>
      </w:r>
      <w:r w:rsidR="00CE529E">
        <w:t xml:space="preserve">markets </w:t>
      </w:r>
      <w:r w:rsidR="008639EC">
        <w:t>de</w:t>
      </w:r>
      <w:r w:rsidR="00CE529E">
        <w:t xml:space="preserve">creased to </w:t>
      </w:r>
      <w:r w:rsidR="008639EC">
        <w:t xml:space="preserve">7.5 </w:t>
      </w:r>
      <w:r w:rsidR="00CE529E">
        <w:t xml:space="preserve">percent at the end of the </w:t>
      </w:r>
      <w:r w:rsidR="008639EC">
        <w:t xml:space="preserve">first </w:t>
      </w:r>
      <w:r w:rsidR="00CE529E">
        <w:t>quarter, compared with</w:t>
      </w:r>
      <w:r w:rsidR="008829AB">
        <w:t xml:space="preserve"> </w:t>
      </w:r>
      <w:r w:rsidR="008639EC">
        <w:t xml:space="preserve">8.1 </w:t>
      </w:r>
      <w:r w:rsidR="008829AB">
        <w:t xml:space="preserve">percent </w:t>
      </w:r>
      <w:r w:rsidR="00CE529E">
        <w:t>at the end of the previous quarter</w:t>
      </w:r>
      <w:r w:rsidR="00716379" w:rsidRPr="00D32DDD">
        <w:t xml:space="preserve"> (Figure 4).</w:t>
      </w:r>
    </w:p>
    <w:p w:rsidR="00853938" w:rsidRDefault="00FF017C" w:rsidP="00FF017C">
      <w:pPr>
        <w:bidi w:val="0"/>
        <w:spacing w:line="300" w:lineRule="exact"/>
        <w:jc w:val="both"/>
      </w:pPr>
      <w:r>
        <w:t>The i</w:t>
      </w:r>
      <w:r w:rsidR="00853938">
        <w:t xml:space="preserve">mplied volatility in </w:t>
      </w:r>
      <w:r w:rsidR="00853938" w:rsidRPr="00E017A8">
        <w:t>foreign exchange option</w:t>
      </w:r>
      <w:r w:rsidR="00853938">
        <w:t xml:space="preserve">s trading is </w:t>
      </w:r>
      <w:r w:rsidR="00853938" w:rsidRPr="00E15596">
        <w:t xml:space="preserve">an indication of </w:t>
      </w:r>
      <w:r w:rsidR="00853938" w:rsidRPr="00661AD3">
        <w:rPr>
          <w:b/>
          <w:bCs/>
        </w:rPr>
        <w:t>expected</w:t>
      </w:r>
      <w:r w:rsidR="00853938" w:rsidRPr="00E15596">
        <w:t xml:space="preserve"> exchange rate volatility</w:t>
      </w:r>
      <w:r w:rsidR="00853938">
        <w:t>.</w:t>
      </w:r>
    </w:p>
    <w:p w:rsidR="00716379" w:rsidRDefault="00716379" w:rsidP="00716379">
      <w:pPr>
        <w:bidi w:val="0"/>
        <w:spacing w:line="300" w:lineRule="exact"/>
        <w:jc w:val="both"/>
      </w:pPr>
    </w:p>
    <w:p w:rsidR="008639EC" w:rsidRDefault="006902CB" w:rsidP="008639EC">
      <w:pPr>
        <w:bidi w:val="0"/>
        <w:spacing w:line="300" w:lineRule="exact"/>
        <w:jc w:val="both"/>
      </w:pPr>
      <w:r>
        <w:rPr>
          <w:noProof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121285</wp:posOffset>
            </wp:positionH>
            <wp:positionV relativeFrom="paragraph">
              <wp:posOffset>236646</wp:posOffset>
            </wp:positionV>
            <wp:extent cx="4817110" cy="2941320"/>
            <wp:effectExtent l="38100" t="38100" r="97790" b="87630"/>
            <wp:wrapSquare wrapText="bothSides"/>
            <wp:docPr id="8" name="תמונה 8" descr="International comparison of implied volatility of shekel/dollar options&#10;" title="International comparison of implied volatility of shekel/dollar op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7110" cy="2941320"/>
                    </a:xfrm>
                    <a:prstGeom prst="rect">
                      <a:avLst/>
                    </a:prstGeom>
                    <a:noFill/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39EC" w:rsidRDefault="008639EC" w:rsidP="008639EC">
      <w:pPr>
        <w:bidi w:val="0"/>
        <w:spacing w:line="300" w:lineRule="exact"/>
        <w:jc w:val="both"/>
      </w:pPr>
    </w:p>
    <w:p w:rsidR="006902CB" w:rsidRDefault="006902CB" w:rsidP="006902CB">
      <w:pPr>
        <w:bidi w:val="0"/>
        <w:spacing w:line="300" w:lineRule="exact"/>
        <w:jc w:val="both"/>
      </w:pPr>
    </w:p>
    <w:p w:rsidR="006902CB" w:rsidRDefault="006902CB" w:rsidP="006902CB">
      <w:pPr>
        <w:bidi w:val="0"/>
        <w:spacing w:line="300" w:lineRule="exact"/>
        <w:jc w:val="both"/>
      </w:pPr>
    </w:p>
    <w:p w:rsidR="008639EC" w:rsidRPr="009831EE" w:rsidRDefault="009831EE" w:rsidP="008639EC">
      <w:pPr>
        <w:bidi w:val="0"/>
        <w:spacing w:line="300" w:lineRule="exact"/>
        <w:jc w:val="both"/>
        <w:rPr>
          <w:b/>
          <w:bCs/>
        </w:rPr>
      </w:pPr>
      <w:r w:rsidRPr="009831EE">
        <w:rPr>
          <w:b/>
          <w:bCs/>
        </w:rPr>
        <w:t>3. The Activity of the Main Sectors in the Foreign Currency Market</w:t>
      </w:r>
      <w:r w:rsidR="00221362">
        <w:rPr>
          <w:rStyle w:val="ad"/>
          <w:b/>
          <w:bCs/>
        </w:rPr>
        <w:footnoteReference w:id="1"/>
      </w:r>
    </w:p>
    <w:p w:rsidR="009831EE" w:rsidRDefault="009831EE" w:rsidP="00E11590">
      <w:pPr>
        <w:bidi w:val="0"/>
        <w:spacing w:line="300" w:lineRule="exact"/>
        <w:jc w:val="both"/>
      </w:pPr>
      <w:r>
        <w:t xml:space="preserve">An estimate of the activity of the </w:t>
      </w:r>
      <w:r w:rsidRPr="009831EE">
        <w:rPr>
          <w:b/>
          <w:bCs/>
        </w:rPr>
        <w:t>main</w:t>
      </w:r>
      <w:r>
        <w:t xml:space="preserve"> sectors in the foreign currency market in the first quarter of 2019 indicates that during the course of the quarter, institutional investors shifted to net sales of foreign currency</w:t>
      </w:r>
      <w:r w:rsidR="00E11590">
        <w:t>,</w:t>
      </w:r>
      <w:r>
        <w:t xml:space="preserve"> totaling $3.4 billion, compared with net purchases of foreign currency of approximately $4.7 billion in the preceding quarter.</w:t>
      </w:r>
    </w:p>
    <w:p w:rsidR="00E11590" w:rsidRDefault="00723DBF" w:rsidP="00E11590">
      <w:pPr>
        <w:bidi w:val="0"/>
        <w:spacing w:line="300" w:lineRule="exact"/>
        <w:jc w:val="both"/>
      </w:pPr>
      <w:r>
        <w:t>Foreign currency sales by nonresidents totaled approximately $2.4 billion</w:t>
      </w:r>
      <w:r w:rsidR="00E11590">
        <w:t xml:space="preserve"> in the first quarter</w:t>
      </w:r>
      <w:r>
        <w:t>, similar to their conduct in the previous quarter.</w:t>
      </w:r>
    </w:p>
    <w:p w:rsidR="009831EE" w:rsidRDefault="001E409B" w:rsidP="000B0A4E">
      <w:pPr>
        <w:bidi w:val="0"/>
        <w:spacing w:line="300" w:lineRule="exact"/>
        <w:jc w:val="both"/>
      </w:pPr>
      <w:r>
        <w:t>In contrast, during the quarter</w:t>
      </w:r>
      <w:r w:rsidRPr="00853414">
        <w:t xml:space="preserve">, the </w:t>
      </w:r>
      <w:r w:rsidR="000B0A4E">
        <w:t>real</w:t>
      </w:r>
      <w:r w:rsidRPr="00853414">
        <w:t xml:space="preserve"> sector</w:t>
      </w:r>
      <w:r>
        <w:t xml:space="preserve"> purchased</w:t>
      </w:r>
      <w:r w:rsidR="00DC2C2B">
        <w:t xml:space="preserve"> foreign currency </w:t>
      </w:r>
      <w:r w:rsidR="00E11590">
        <w:t xml:space="preserve">at </w:t>
      </w:r>
      <w:r w:rsidR="00DC2C2B">
        <w:t>a net $5.6 billion, as opposed to net foreign currency sales of $0.8 billion in the previous quarter.</w:t>
      </w:r>
    </w:p>
    <w:p w:rsidR="00DC2C2B" w:rsidRDefault="00DC2C2B" w:rsidP="00E11590">
      <w:pPr>
        <w:bidi w:val="0"/>
        <w:spacing w:line="300" w:lineRule="atLeast"/>
        <w:jc w:val="both"/>
      </w:pPr>
      <w:r>
        <w:t xml:space="preserve">The Bank of Israel has not intervened in foreign currency trading since </w:t>
      </w:r>
      <w:r w:rsidR="00E11590">
        <w:t xml:space="preserve">January </w:t>
      </w:r>
      <w:r>
        <w:t>2019.</w:t>
      </w:r>
    </w:p>
    <w:p w:rsidR="00DC2C2B" w:rsidRDefault="00DC2C2B" w:rsidP="007D2403">
      <w:pPr>
        <w:bidi w:val="0"/>
        <w:spacing w:line="300" w:lineRule="atLeast"/>
        <w:jc w:val="both"/>
      </w:pPr>
    </w:p>
    <w:p w:rsidR="00DC2C2B" w:rsidRDefault="00DC2C2B" w:rsidP="007D2403">
      <w:pPr>
        <w:bidi w:val="0"/>
        <w:spacing w:line="300" w:lineRule="atLeast"/>
        <w:jc w:val="both"/>
      </w:pPr>
    </w:p>
    <w:p w:rsidR="001E409B" w:rsidRDefault="001E409B" w:rsidP="007D2403">
      <w:pPr>
        <w:bidi w:val="0"/>
        <w:spacing w:line="300" w:lineRule="atLeast"/>
        <w:jc w:val="both"/>
      </w:pPr>
    </w:p>
    <w:p w:rsidR="007D2403" w:rsidRDefault="007D2403" w:rsidP="007D2403">
      <w:pPr>
        <w:bidi w:val="0"/>
        <w:spacing w:line="300" w:lineRule="atLeast"/>
        <w:jc w:val="both"/>
      </w:pPr>
      <w:r w:rsidRPr="007D2403">
        <w:rPr>
          <w:noProof/>
        </w:rPr>
        <w:drawing>
          <wp:inline distT="0" distB="0" distL="0" distR="0">
            <wp:extent cx="5278120" cy="3071922"/>
            <wp:effectExtent l="38100" t="38100" r="93980" b="90805"/>
            <wp:docPr id="13" name="Picture 13" descr="Net purchases (+) of foreign currency, by the main sectors" title="Net purchases (+) of foreign currency, by the main sect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20" cy="3071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7D2403" w:rsidRDefault="007D2403" w:rsidP="007D2403">
      <w:pPr>
        <w:bidi w:val="0"/>
        <w:spacing w:line="300" w:lineRule="atLeast"/>
        <w:jc w:val="both"/>
      </w:pPr>
    </w:p>
    <w:p w:rsidR="007D2403" w:rsidRDefault="007D2403" w:rsidP="007D2403">
      <w:pPr>
        <w:bidi w:val="0"/>
        <w:spacing w:line="300" w:lineRule="atLeast"/>
        <w:jc w:val="both"/>
      </w:pPr>
    </w:p>
    <w:p w:rsidR="00716379" w:rsidRDefault="00466441" w:rsidP="007D2403">
      <w:pPr>
        <w:bidi w:val="0"/>
        <w:spacing w:line="300" w:lineRule="atLeast"/>
        <w:jc w:val="both"/>
        <w:rPr>
          <w:b/>
          <w:bCs/>
        </w:rPr>
      </w:pPr>
      <w:r>
        <w:rPr>
          <w:b/>
          <w:bCs/>
        </w:rPr>
        <w:t>4</w:t>
      </w:r>
      <w:r w:rsidR="00716379">
        <w:rPr>
          <w:b/>
          <w:bCs/>
        </w:rPr>
        <w:t>. The Volume of Trade</w:t>
      </w:r>
      <w:r w:rsidR="00096380">
        <w:rPr>
          <w:rStyle w:val="ad"/>
          <w:b/>
          <w:bCs/>
        </w:rPr>
        <w:footnoteReference w:id="2"/>
      </w:r>
      <w:r w:rsidR="00D934F6">
        <w:rPr>
          <w:b/>
          <w:bCs/>
        </w:rPr>
        <w:t xml:space="preserve"> in the Foreign Currency Market</w:t>
      </w:r>
      <w:r w:rsidR="00D934F6" w:rsidRPr="001439DA">
        <w:rPr>
          <w:b/>
          <w:bCs/>
        </w:rPr>
        <w:t>—tables and figures</w:t>
      </w:r>
    </w:p>
    <w:p w:rsidR="001B4974" w:rsidRDefault="001B4974" w:rsidP="000063E5">
      <w:pPr>
        <w:bidi w:val="0"/>
        <w:spacing w:line="300" w:lineRule="atLeast"/>
        <w:jc w:val="both"/>
      </w:pPr>
      <w:r w:rsidRPr="00256AEA">
        <w:rPr>
          <w:b/>
          <w:bCs/>
        </w:rPr>
        <w:t>Nonresidents' share of total trad</w:t>
      </w:r>
      <w:r>
        <w:rPr>
          <w:b/>
          <w:bCs/>
        </w:rPr>
        <w:t xml:space="preserve">ing </w:t>
      </w:r>
      <w:r w:rsidRPr="00256AEA">
        <w:t>(spot and forward transactions, options and swaps)</w:t>
      </w:r>
      <w:r>
        <w:t xml:space="preserve"> increased by about 2.7 percentage points to about 39.4 </w:t>
      </w:r>
      <w:r w:rsidRPr="00256AEA">
        <w:t>percent</w:t>
      </w:r>
      <w:r>
        <w:t xml:space="preserve"> at the end of the </w:t>
      </w:r>
      <w:r w:rsidRPr="001439DA">
        <w:t>first quarter.</w:t>
      </w:r>
      <w:r>
        <w:t xml:space="preserve"> The increase was a result of </w:t>
      </w:r>
      <w:r w:rsidR="000063E5">
        <w:t xml:space="preserve">higher </w:t>
      </w:r>
      <w:r>
        <w:t>volume of activity by nonresidents in options transactions.</w:t>
      </w:r>
    </w:p>
    <w:p w:rsidR="00C869D7" w:rsidRDefault="00C869D7" w:rsidP="00DE2E73">
      <w:pPr>
        <w:jc w:val="both"/>
        <w:rPr>
          <w:sz w:val="20"/>
          <w:szCs w:val="20"/>
          <w:rtl/>
        </w:rPr>
      </w:pPr>
    </w:p>
    <w:p w:rsidR="00C869D7" w:rsidRDefault="00C869D7" w:rsidP="00DE2E73">
      <w:pPr>
        <w:jc w:val="both"/>
        <w:rPr>
          <w:sz w:val="20"/>
          <w:szCs w:val="20"/>
          <w:rtl/>
        </w:rPr>
      </w:pPr>
    </w:p>
    <w:p w:rsidR="00A62731" w:rsidRDefault="00A62731" w:rsidP="00DE2E73">
      <w:pPr>
        <w:jc w:val="both"/>
        <w:rPr>
          <w:sz w:val="20"/>
          <w:szCs w:val="20"/>
          <w:rtl/>
        </w:rPr>
      </w:pPr>
    </w:p>
    <w:p w:rsidR="00A62731" w:rsidRDefault="00A62731" w:rsidP="00DE2E73">
      <w:pPr>
        <w:jc w:val="both"/>
        <w:rPr>
          <w:sz w:val="20"/>
          <w:szCs w:val="20"/>
          <w:rtl/>
        </w:rPr>
      </w:pPr>
    </w:p>
    <w:p w:rsidR="00C869D7" w:rsidRDefault="00C869D7" w:rsidP="00DE2E73">
      <w:pPr>
        <w:jc w:val="both"/>
        <w:rPr>
          <w:sz w:val="20"/>
          <w:szCs w:val="20"/>
          <w:rtl/>
        </w:rPr>
      </w:pPr>
    </w:p>
    <w:p w:rsidR="00A62731" w:rsidRDefault="00A62731" w:rsidP="00DE2E73">
      <w:pPr>
        <w:jc w:val="both"/>
        <w:rPr>
          <w:noProof/>
          <w:sz w:val="20"/>
          <w:szCs w:val="20"/>
          <w:rtl/>
        </w:rPr>
      </w:pPr>
    </w:p>
    <w:p w:rsidR="00C869D7" w:rsidRDefault="00B75F44" w:rsidP="00DE2E73">
      <w:pPr>
        <w:jc w:val="both"/>
        <w:rPr>
          <w:sz w:val="20"/>
          <w:szCs w:val="20"/>
          <w:rtl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margin">
              <wp:posOffset>442595</wp:posOffset>
            </wp:positionH>
            <wp:positionV relativeFrom="margin">
              <wp:posOffset>5640705</wp:posOffset>
            </wp:positionV>
            <wp:extent cx="4615180" cy="3143250"/>
            <wp:effectExtent l="38100" t="38100" r="90170" b="95250"/>
            <wp:wrapSquare wrapText="bothSides"/>
            <wp:docPr id="9" name="תמונה 9" descr="Nonresidents' share of total trading volume " title="Nonresidents' share of total trading volum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5180" cy="3143250"/>
                    </a:xfrm>
                    <a:prstGeom prst="rect">
                      <a:avLst/>
                    </a:prstGeom>
                    <a:noFill/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62731" w:rsidRDefault="00A62731" w:rsidP="00DE2E73">
      <w:pPr>
        <w:jc w:val="both"/>
        <w:rPr>
          <w:sz w:val="20"/>
          <w:szCs w:val="20"/>
          <w:rtl/>
        </w:rPr>
      </w:pPr>
    </w:p>
    <w:p w:rsidR="00A62731" w:rsidRDefault="00A62731" w:rsidP="00DE2E73">
      <w:pPr>
        <w:jc w:val="both"/>
        <w:rPr>
          <w:sz w:val="20"/>
          <w:szCs w:val="20"/>
          <w:rtl/>
        </w:rPr>
      </w:pPr>
    </w:p>
    <w:p w:rsidR="00C869D7" w:rsidRDefault="00C869D7" w:rsidP="00DE2E73">
      <w:pPr>
        <w:jc w:val="both"/>
        <w:rPr>
          <w:noProof/>
          <w:sz w:val="20"/>
          <w:szCs w:val="20"/>
          <w:rtl/>
        </w:rPr>
      </w:pPr>
    </w:p>
    <w:p w:rsidR="00A62731" w:rsidRDefault="00A62731" w:rsidP="00DE2E73">
      <w:pPr>
        <w:jc w:val="both"/>
        <w:rPr>
          <w:sz w:val="20"/>
          <w:szCs w:val="20"/>
          <w:rtl/>
        </w:rPr>
      </w:pPr>
    </w:p>
    <w:p w:rsidR="00A62731" w:rsidRDefault="00A62731" w:rsidP="00DE2E73">
      <w:pPr>
        <w:jc w:val="both"/>
        <w:rPr>
          <w:sz w:val="20"/>
          <w:szCs w:val="20"/>
          <w:rtl/>
        </w:rPr>
      </w:pPr>
    </w:p>
    <w:p w:rsidR="00C869D7" w:rsidRDefault="00C869D7" w:rsidP="004247DA">
      <w:pPr>
        <w:jc w:val="both"/>
        <w:rPr>
          <w:noProof/>
          <w:rtl/>
        </w:rPr>
      </w:pPr>
    </w:p>
    <w:p w:rsidR="00C869D7" w:rsidRDefault="00C869D7" w:rsidP="004247DA">
      <w:pPr>
        <w:jc w:val="both"/>
        <w:rPr>
          <w:sz w:val="20"/>
          <w:szCs w:val="20"/>
          <w:rtl/>
        </w:rPr>
      </w:pPr>
    </w:p>
    <w:p w:rsidR="00C869D7" w:rsidRDefault="00C869D7" w:rsidP="004247DA">
      <w:pPr>
        <w:jc w:val="both"/>
        <w:rPr>
          <w:sz w:val="20"/>
          <w:szCs w:val="20"/>
          <w:rtl/>
        </w:rPr>
      </w:pPr>
    </w:p>
    <w:p w:rsidR="00C869D7" w:rsidRDefault="00C869D7" w:rsidP="004247DA">
      <w:pPr>
        <w:jc w:val="both"/>
        <w:rPr>
          <w:sz w:val="20"/>
          <w:szCs w:val="20"/>
          <w:rtl/>
        </w:rPr>
      </w:pPr>
    </w:p>
    <w:p w:rsidR="00C869D7" w:rsidRDefault="00C869D7" w:rsidP="004247DA">
      <w:pPr>
        <w:jc w:val="both"/>
        <w:rPr>
          <w:sz w:val="20"/>
          <w:szCs w:val="20"/>
          <w:rtl/>
        </w:rPr>
      </w:pPr>
    </w:p>
    <w:p w:rsidR="00C869D7" w:rsidRDefault="00C869D7" w:rsidP="004247DA">
      <w:pPr>
        <w:jc w:val="both"/>
        <w:rPr>
          <w:sz w:val="20"/>
          <w:szCs w:val="20"/>
          <w:rtl/>
        </w:rPr>
      </w:pPr>
    </w:p>
    <w:p w:rsidR="00C869D7" w:rsidRDefault="00C869D7" w:rsidP="00F94E2E">
      <w:pPr>
        <w:bidi w:val="0"/>
        <w:jc w:val="both"/>
        <w:rPr>
          <w:sz w:val="20"/>
          <w:szCs w:val="20"/>
          <w:rtl/>
        </w:rPr>
      </w:pPr>
    </w:p>
    <w:p w:rsidR="00C869D7" w:rsidRPr="00B04FB0" w:rsidRDefault="00C869D7" w:rsidP="004247DA">
      <w:pPr>
        <w:jc w:val="both"/>
        <w:rPr>
          <w:sz w:val="20"/>
          <w:szCs w:val="20"/>
          <w:rtl/>
        </w:rPr>
        <w:sectPr w:rsidR="00C869D7" w:rsidRPr="00B04FB0" w:rsidSect="00965E80">
          <w:headerReference w:type="default" r:id="rId15"/>
          <w:footerReference w:type="default" r:id="rId16"/>
          <w:pgSz w:w="11906" w:h="16838"/>
          <w:pgMar w:top="851" w:right="1797" w:bottom="964" w:left="1797" w:header="709" w:footer="170" w:gutter="0"/>
          <w:cols w:space="708"/>
          <w:docGrid w:linePitch="360"/>
        </w:sectPr>
      </w:pPr>
    </w:p>
    <w:p w:rsidR="0074341E" w:rsidRPr="00A87DC1" w:rsidRDefault="00B75F44" w:rsidP="001439DA">
      <w:r w:rsidRPr="00B75F44">
        <w:rPr>
          <w:rFonts w:hint="cs"/>
          <w:noProof/>
          <w:rtl/>
        </w:rPr>
        <w:lastRenderedPageBreak/>
        <w:drawing>
          <wp:inline distT="0" distB="0" distL="0" distR="0">
            <wp:extent cx="5278120" cy="5824592"/>
            <wp:effectExtent l="0" t="0" r="0" b="0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20" cy="5824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4341E" w:rsidRPr="00A87DC1" w:rsidSect="00FC2A67">
      <w:footerReference w:type="default" r:id="rId18"/>
      <w:pgSz w:w="11906" w:h="16838"/>
      <w:pgMar w:top="510" w:right="1797" w:bottom="624" w:left="1797" w:header="397" w:footer="39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592" w:rsidRDefault="00690592" w:rsidP="00E64B36">
      <w:r>
        <w:separator/>
      </w:r>
    </w:p>
  </w:endnote>
  <w:endnote w:type="continuationSeparator" w:id="0">
    <w:p w:rsidR="00690592" w:rsidRDefault="00690592" w:rsidP="00E64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2798259"/>
      <w:docPartObj>
        <w:docPartGallery w:val="Page Numbers (Bottom of Page)"/>
        <w:docPartUnique/>
      </w:docPartObj>
    </w:sdtPr>
    <w:sdtEndPr>
      <w:rPr>
        <w:cs/>
      </w:rPr>
    </w:sdtEndPr>
    <w:sdtContent>
      <w:sdt>
        <w:sdtPr>
          <w:id w:val="-628547931"/>
          <w:docPartObj>
            <w:docPartGallery w:val="Page Numbers (Top of Page)"/>
            <w:docPartUnique/>
          </w:docPartObj>
        </w:sdtPr>
        <w:sdtEndPr/>
        <w:sdtContent>
          <w:p w:rsidR="00BE7ED4" w:rsidRPr="00540991" w:rsidRDefault="00BE7ED4" w:rsidP="006426A2">
            <w:pPr>
              <w:pStyle w:val="a6"/>
              <w:bidi w:val="0"/>
              <w:rPr>
                <w:rtl/>
                <w:cs/>
              </w:rPr>
            </w:pPr>
            <w:r w:rsidRPr="00540991">
              <w:t>Bank of Israel - Israe</w:t>
            </w:r>
            <w:r w:rsidR="00052DFD">
              <w:t xml:space="preserve">l’s foreign currency market in </w:t>
            </w:r>
            <w:r w:rsidR="006426A2">
              <w:t xml:space="preserve">first </w:t>
            </w:r>
            <w:r w:rsidR="00C14E00">
              <w:t>quarter</w:t>
            </w:r>
            <w:r w:rsidR="006426A2">
              <w:t xml:space="preserve"> 2019</w:t>
            </w:r>
            <w:r w:rsidRPr="00540991">
              <w:tab/>
              <w:t>Page</w:t>
            </w:r>
            <w:r w:rsidRPr="00540991">
              <w:rPr>
                <w:rtl/>
                <w:cs/>
                <w:lang w:val="he-IL"/>
              </w:rPr>
              <w:t xml:space="preserve"> </w:t>
            </w:r>
            <w:r w:rsidRPr="00540991">
              <w:rPr>
                <w:b/>
                <w:bCs/>
              </w:rPr>
              <w:fldChar w:fldCharType="begin"/>
            </w:r>
            <w:r w:rsidRPr="00540991">
              <w:rPr>
                <w:b/>
                <w:bCs/>
                <w:rtl/>
                <w:cs/>
              </w:rPr>
              <w:instrText>PAGE</w:instrText>
            </w:r>
            <w:r w:rsidRPr="00540991">
              <w:rPr>
                <w:b/>
                <w:bCs/>
              </w:rPr>
              <w:fldChar w:fldCharType="separate"/>
            </w:r>
            <w:r w:rsidR="009F2B6A">
              <w:rPr>
                <w:b/>
                <w:bCs/>
                <w:noProof/>
              </w:rPr>
              <w:t>4</w:t>
            </w:r>
            <w:r w:rsidRPr="00540991">
              <w:rPr>
                <w:b/>
                <w:bCs/>
              </w:rPr>
              <w:fldChar w:fldCharType="end"/>
            </w:r>
            <w:r w:rsidRPr="00540991">
              <w:rPr>
                <w:rtl/>
                <w:cs/>
                <w:lang w:val="he-IL"/>
              </w:rPr>
              <w:t xml:space="preserve"> </w:t>
            </w:r>
            <w:r w:rsidRPr="00540991">
              <w:t>Of</w:t>
            </w:r>
            <w:r w:rsidRPr="00540991">
              <w:rPr>
                <w:rtl/>
                <w:cs/>
                <w:lang w:val="he-IL"/>
              </w:rPr>
              <w:t xml:space="preserve"> </w:t>
            </w:r>
            <w:r w:rsidRPr="00540991">
              <w:rPr>
                <w:b/>
                <w:bCs/>
              </w:rPr>
              <w:fldChar w:fldCharType="begin"/>
            </w:r>
            <w:r w:rsidRPr="00540991">
              <w:rPr>
                <w:b/>
                <w:bCs/>
                <w:rtl/>
                <w:cs/>
              </w:rPr>
              <w:instrText>NUMPAGES</w:instrText>
            </w:r>
            <w:r w:rsidRPr="00540991">
              <w:rPr>
                <w:b/>
                <w:bCs/>
              </w:rPr>
              <w:fldChar w:fldCharType="separate"/>
            </w:r>
            <w:r w:rsidR="009F2B6A">
              <w:rPr>
                <w:b/>
                <w:bCs/>
                <w:noProof/>
              </w:rPr>
              <w:t>5</w:t>
            </w:r>
            <w:r w:rsidRPr="00540991">
              <w:rPr>
                <w:b/>
                <w:bCs/>
              </w:rPr>
              <w:fldChar w:fldCharType="end"/>
            </w:r>
          </w:p>
        </w:sdtContent>
      </w:sdt>
    </w:sdtContent>
  </w:sdt>
  <w:p w:rsidR="00BE7ED4" w:rsidRDefault="00BE7ED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022" w:rsidRPr="00596FB4" w:rsidRDefault="004E4AEC" w:rsidP="00621BB5">
    <w:pPr>
      <w:pStyle w:val="regpar"/>
      <w:spacing w:line="280" w:lineRule="exact"/>
      <w:ind w:left="-709" w:right="-902" w:firstLine="0"/>
      <w:jc w:val="left"/>
      <w:rPr>
        <w:b/>
        <w:bCs/>
        <w:rtl/>
        <w:cs/>
      </w:rPr>
    </w:pPr>
    <w:r>
      <w:rPr>
        <w:sz w:val="20"/>
        <w:szCs w:val="20"/>
      </w:rPr>
      <w:t xml:space="preserve">Bank of </w:t>
    </w:r>
    <w:r w:rsidRPr="00596FB4">
      <w:rPr>
        <w:sz w:val="20"/>
        <w:szCs w:val="20"/>
      </w:rPr>
      <w:t>Israel -</w:t>
    </w:r>
    <w:r w:rsidR="00596FB4">
      <w:rPr>
        <w:sz w:val="20"/>
        <w:szCs w:val="20"/>
      </w:rPr>
      <w:tab/>
    </w:r>
    <w:r w:rsidR="00596FB4">
      <w:rPr>
        <w:sz w:val="20"/>
        <w:szCs w:val="20"/>
      </w:rPr>
      <w:tab/>
    </w:r>
    <w:r w:rsidR="00B96022" w:rsidRPr="00B96022">
      <w:rPr>
        <w:sz w:val="20"/>
        <w:szCs w:val="20"/>
      </w:rPr>
      <w:t>Page</w:t>
    </w:r>
    <w:r w:rsidR="00B96022" w:rsidRPr="00B96022">
      <w:rPr>
        <w:sz w:val="20"/>
        <w:szCs w:val="20"/>
        <w:rtl/>
        <w:cs/>
        <w:lang w:val="he-IL"/>
      </w:rPr>
      <w:t xml:space="preserve"> </w:t>
    </w:r>
    <w:r w:rsidR="00B96022" w:rsidRPr="00B96022">
      <w:rPr>
        <w:b/>
        <w:bCs/>
        <w:sz w:val="20"/>
        <w:szCs w:val="20"/>
      </w:rPr>
      <w:fldChar w:fldCharType="begin"/>
    </w:r>
    <w:r w:rsidR="00B96022" w:rsidRPr="00B96022">
      <w:rPr>
        <w:b/>
        <w:bCs/>
        <w:sz w:val="20"/>
        <w:szCs w:val="20"/>
        <w:rtl/>
        <w:cs/>
      </w:rPr>
      <w:instrText>PAGE</w:instrText>
    </w:r>
    <w:r w:rsidR="00B96022" w:rsidRPr="00B96022">
      <w:rPr>
        <w:b/>
        <w:bCs/>
        <w:sz w:val="20"/>
        <w:szCs w:val="20"/>
      </w:rPr>
      <w:fldChar w:fldCharType="separate"/>
    </w:r>
    <w:r w:rsidR="009F2B6A">
      <w:rPr>
        <w:b/>
        <w:bCs/>
        <w:noProof/>
        <w:sz w:val="20"/>
        <w:szCs w:val="20"/>
      </w:rPr>
      <w:t>5</w:t>
    </w:r>
    <w:r w:rsidR="00B96022" w:rsidRPr="00B96022">
      <w:rPr>
        <w:b/>
        <w:bCs/>
        <w:sz w:val="20"/>
        <w:szCs w:val="20"/>
      </w:rPr>
      <w:fldChar w:fldCharType="end"/>
    </w:r>
    <w:r w:rsidR="00B96022" w:rsidRPr="00B96022">
      <w:rPr>
        <w:sz w:val="20"/>
        <w:szCs w:val="20"/>
      </w:rPr>
      <w:t xml:space="preserve"> Of</w:t>
    </w:r>
    <w:r w:rsidR="00B96022" w:rsidRPr="00B96022">
      <w:rPr>
        <w:sz w:val="20"/>
        <w:szCs w:val="20"/>
        <w:rtl/>
        <w:cs/>
        <w:lang w:val="he-IL"/>
      </w:rPr>
      <w:t xml:space="preserve"> </w:t>
    </w:r>
    <w:r w:rsidR="00B96022" w:rsidRPr="00B96022">
      <w:rPr>
        <w:b/>
        <w:bCs/>
        <w:sz w:val="20"/>
        <w:szCs w:val="20"/>
      </w:rPr>
      <w:fldChar w:fldCharType="begin"/>
    </w:r>
    <w:r w:rsidR="00B96022" w:rsidRPr="00B96022">
      <w:rPr>
        <w:b/>
        <w:bCs/>
        <w:sz w:val="20"/>
        <w:szCs w:val="20"/>
        <w:rtl/>
        <w:cs/>
      </w:rPr>
      <w:instrText>NUMPAGES</w:instrText>
    </w:r>
    <w:r w:rsidR="00B96022" w:rsidRPr="00B96022">
      <w:rPr>
        <w:b/>
        <w:bCs/>
        <w:sz w:val="20"/>
        <w:szCs w:val="20"/>
      </w:rPr>
      <w:fldChar w:fldCharType="separate"/>
    </w:r>
    <w:r w:rsidR="009F2B6A">
      <w:rPr>
        <w:b/>
        <w:bCs/>
        <w:noProof/>
        <w:sz w:val="20"/>
        <w:szCs w:val="20"/>
      </w:rPr>
      <w:t>5</w:t>
    </w:r>
    <w:r w:rsidR="00B96022" w:rsidRPr="00B96022">
      <w:rPr>
        <w:b/>
        <w:bCs/>
        <w:sz w:val="20"/>
        <w:szCs w:val="20"/>
      </w:rPr>
      <w:fldChar w:fldCharType="end"/>
    </w:r>
  </w:p>
  <w:p w:rsidR="00A749E1" w:rsidRPr="00B96022" w:rsidRDefault="00A749E1" w:rsidP="00B96022">
    <w:pPr>
      <w:pStyle w:val="a6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592" w:rsidRDefault="00690592" w:rsidP="00E64B36">
      <w:r>
        <w:separator/>
      </w:r>
    </w:p>
  </w:footnote>
  <w:footnote w:type="continuationSeparator" w:id="0">
    <w:p w:rsidR="00690592" w:rsidRDefault="00690592" w:rsidP="00E64B36">
      <w:r>
        <w:continuationSeparator/>
      </w:r>
    </w:p>
  </w:footnote>
  <w:footnote w:id="1">
    <w:p w:rsidR="00EC46DA" w:rsidRDefault="00221362" w:rsidP="00EC46DA">
      <w:pPr>
        <w:pStyle w:val="ab"/>
      </w:pPr>
      <w:r>
        <w:rPr>
          <w:rStyle w:val="ad"/>
        </w:rPr>
        <w:footnoteRef/>
      </w:r>
      <w:r>
        <w:t xml:space="preserve"> The main sectors presented do not make up the entire market—for additional information, see the section on “</w:t>
      </w:r>
      <w:r w:rsidR="000D26BE">
        <w:t>The d</w:t>
      </w:r>
      <w:r>
        <w:t>ata system</w:t>
      </w:r>
      <w:r w:rsidR="000D26BE">
        <w:t xml:space="preserve"> on activity of the shekel/foreign currency market” in Statistical Bulletin, </w:t>
      </w:r>
      <w:r w:rsidR="000D26BE" w:rsidRPr="00853414">
        <w:t>2018 (in Hebrew)</w:t>
      </w:r>
      <w:r w:rsidR="00EC46DA" w:rsidRPr="00853414">
        <w:t>:</w:t>
      </w:r>
    </w:p>
    <w:p w:rsidR="00EC46DA" w:rsidRDefault="00690592" w:rsidP="00EC46DA">
      <w:pPr>
        <w:pStyle w:val="ab"/>
        <w:rPr>
          <w:rFonts w:ascii="David" w:hAnsi="David" w:cs="David"/>
          <w:rtl/>
        </w:rPr>
      </w:pPr>
      <w:hyperlink r:id="rId1" w:history="1">
        <w:r w:rsidR="00EC46DA" w:rsidRPr="003741BE">
          <w:rPr>
            <w:rStyle w:val="Hyperlink"/>
            <w:rFonts w:ascii="David" w:hAnsi="David" w:cs="David"/>
          </w:rPr>
          <w:t>https://www.boi.org.il/he/NewsAndPublications/RegularPublications/Documents/MabatStat2018/full.pdf</w:t>
        </w:r>
      </w:hyperlink>
    </w:p>
    <w:p w:rsidR="00221362" w:rsidRDefault="00221362" w:rsidP="000D26BE">
      <w:pPr>
        <w:pStyle w:val="ab"/>
      </w:pPr>
    </w:p>
  </w:footnote>
  <w:footnote w:id="2">
    <w:p w:rsidR="00096380" w:rsidRDefault="00096380" w:rsidP="008E635D">
      <w:pPr>
        <w:pStyle w:val="ab"/>
      </w:pPr>
      <w:r>
        <w:rPr>
          <w:rStyle w:val="ad"/>
        </w:rPr>
        <w:footnoteRef/>
      </w:r>
      <w:r>
        <w:t xml:space="preserve"> Volumes of trade </w:t>
      </w:r>
      <w:r w:rsidR="008E635D">
        <w:t xml:space="preserve">only </w:t>
      </w:r>
      <w:r>
        <w:t>vis-à-vis the domestic banking system.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ED4" w:rsidRDefault="00BE7ED4" w:rsidP="00A15B69">
    <w:pPr>
      <w:pStyle w:val="a3"/>
      <w:tabs>
        <w:tab w:val="clear" w:pos="4153"/>
        <w:tab w:val="clear" w:pos="8306"/>
        <w:tab w:val="left" w:pos="4843"/>
      </w:tabs>
    </w:pPr>
    <w:r>
      <w:rPr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E95DB1"/>
    <w:multiLevelType w:val="hybridMultilevel"/>
    <w:tmpl w:val="1AB63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efaultTableStyle w:val="a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2D0"/>
    <w:rsid w:val="00000A06"/>
    <w:rsid w:val="000063E5"/>
    <w:rsid w:val="000133C4"/>
    <w:rsid w:val="0001385E"/>
    <w:rsid w:val="0001413F"/>
    <w:rsid w:val="0002528B"/>
    <w:rsid w:val="00031541"/>
    <w:rsid w:val="00034686"/>
    <w:rsid w:val="000526A0"/>
    <w:rsid w:val="00052DFD"/>
    <w:rsid w:val="0005726E"/>
    <w:rsid w:val="00064641"/>
    <w:rsid w:val="00065F2F"/>
    <w:rsid w:val="00074802"/>
    <w:rsid w:val="0008141D"/>
    <w:rsid w:val="00096380"/>
    <w:rsid w:val="000A2172"/>
    <w:rsid w:val="000A2D52"/>
    <w:rsid w:val="000A520E"/>
    <w:rsid w:val="000B0A4E"/>
    <w:rsid w:val="000B66D6"/>
    <w:rsid w:val="000C0E73"/>
    <w:rsid w:val="000C5557"/>
    <w:rsid w:val="000C5EF4"/>
    <w:rsid w:val="000D22EB"/>
    <w:rsid w:val="000D26BE"/>
    <w:rsid w:val="000D4B4A"/>
    <w:rsid w:val="000E1A34"/>
    <w:rsid w:val="000E2845"/>
    <w:rsid w:val="000E5335"/>
    <w:rsid w:val="000E6E53"/>
    <w:rsid w:val="000F5EA6"/>
    <w:rsid w:val="001001A2"/>
    <w:rsid w:val="00101B55"/>
    <w:rsid w:val="001204D4"/>
    <w:rsid w:val="00130245"/>
    <w:rsid w:val="001428C4"/>
    <w:rsid w:val="001439DA"/>
    <w:rsid w:val="00143F3A"/>
    <w:rsid w:val="00151140"/>
    <w:rsid w:val="0015175D"/>
    <w:rsid w:val="00153DE6"/>
    <w:rsid w:val="00154D08"/>
    <w:rsid w:val="00160B25"/>
    <w:rsid w:val="00165EE7"/>
    <w:rsid w:val="00170192"/>
    <w:rsid w:val="001707E0"/>
    <w:rsid w:val="00171B30"/>
    <w:rsid w:val="001721C7"/>
    <w:rsid w:val="0017665B"/>
    <w:rsid w:val="0017718E"/>
    <w:rsid w:val="00194595"/>
    <w:rsid w:val="0019782B"/>
    <w:rsid w:val="001B1084"/>
    <w:rsid w:val="001B2122"/>
    <w:rsid w:val="001B4974"/>
    <w:rsid w:val="001B4D8F"/>
    <w:rsid w:val="001B4E73"/>
    <w:rsid w:val="001C1BC1"/>
    <w:rsid w:val="001C1FA3"/>
    <w:rsid w:val="001C2790"/>
    <w:rsid w:val="001C388F"/>
    <w:rsid w:val="001C64AE"/>
    <w:rsid w:val="001C71E8"/>
    <w:rsid w:val="001D0AB4"/>
    <w:rsid w:val="001D2EB5"/>
    <w:rsid w:val="001D6426"/>
    <w:rsid w:val="001D7072"/>
    <w:rsid w:val="001E409B"/>
    <w:rsid w:val="001F527C"/>
    <w:rsid w:val="001F6A4A"/>
    <w:rsid w:val="001F7971"/>
    <w:rsid w:val="0021327F"/>
    <w:rsid w:val="0021416E"/>
    <w:rsid w:val="0021704D"/>
    <w:rsid w:val="00221362"/>
    <w:rsid w:val="00237CE5"/>
    <w:rsid w:val="0024066C"/>
    <w:rsid w:val="0024170D"/>
    <w:rsid w:val="00242823"/>
    <w:rsid w:val="00264C17"/>
    <w:rsid w:val="00280A66"/>
    <w:rsid w:val="00280E43"/>
    <w:rsid w:val="00281C70"/>
    <w:rsid w:val="00282F65"/>
    <w:rsid w:val="00294ABA"/>
    <w:rsid w:val="00295F5E"/>
    <w:rsid w:val="00297AC8"/>
    <w:rsid w:val="002A00BC"/>
    <w:rsid w:val="002A0D2A"/>
    <w:rsid w:val="002B48CC"/>
    <w:rsid w:val="002B763A"/>
    <w:rsid w:val="002C248A"/>
    <w:rsid w:val="002D7BBC"/>
    <w:rsid w:val="002E4AB3"/>
    <w:rsid w:val="002F0525"/>
    <w:rsid w:val="003004FD"/>
    <w:rsid w:val="0030279B"/>
    <w:rsid w:val="00303015"/>
    <w:rsid w:val="00305D1D"/>
    <w:rsid w:val="003129D6"/>
    <w:rsid w:val="003136EE"/>
    <w:rsid w:val="00316664"/>
    <w:rsid w:val="00316A5F"/>
    <w:rsid w:val="00340E06"/>
    <w:rsid w:val="0034638A"/>
    <w:rsid w:val="003549F0"/>
    <w:rsid w:val="003617D2"/>
    <w:rsid w:val="00361C9E"/>
    <w:rsid w:val="00362D57"/>
    <w:rsid w:val="003663BD"/>
    <w:rsid w:val="00372416"/>
    <w:rsid w:val="003727EE"/>
    <w:rsid w:val="003772AF"/>
    <w:rsid w:val="00383088"/>
    <w:rsid w:val="00385CB3"/>
    <w:rsid w:val="00387840"/>
    <w:rsid w:val="00387DD7"/>
    <w:rsid w:val="00390345"/>
    <w:rsid w:val="0039059D"/>
    <w:rsid w:val="00390CA5"/>
    <w:rsid w:val="00392CE6"/>
    <w:rsid w:val="003937E7"/>
    <w:rsid w:val="003A103D"/>
    <w:rsid w:val="003A335C"/>
    <w:rsid w:val="003A3813"/>
    <w:rsid w:val="003B0F1E"/>
    <w:rsid w:val="003B715F"/>
    <w:rsid w:val="003B7DC3"/>
    <w:rsid w:val="003C063B"/>
    <w:rsid w:val="003C44AE"/>
    <w:rsid w:val="003C45F4"/>
    <w:rsid w:val="003C7815"/>
    <w:rsid w:val="003D23B5"/>
    <w:rsid w:val="003D6F31"/>
    <w:rsid w:val="003D7088"/>
    <w:rsid w:val="003D7860"/>
    <w:rsid w:val="003D7C2F"/>
    <w:rsid w:val="003E0D23"/>
    <w:rsid w:val="00411BA4"/>
    <w:rsid w:val="00412846"/>
    <w:rsid w:val="004137E7"/>
    <w:rsid w:val="004147FC"/>
    <w:rsid w:val="00416E0A"/>
    <w:rsid w:val="0041749E"/>
    <w:rsid w:val="00424296"/>
    <w:rsid w:val="004247DA"/>
    <w:rsid w:val="004357B2"/>
    <w:rsid w:val="00445B15"/>
    <w:rsid w:val="004506C0"/>
    <w:rsid w:val="004574F7"/>
    <w:rsid w:val="00466441"/>
    <w:rsid w:val="00467FFB"/>
    <w:rsid w:val="004710A5"/>
    <w:rsid w:val="0047295E"/>
    <w:rsid w:val="00492391"/>
    <w:rsid w:val="00497B95"/>
    <w:rsid w:val="004A0425"/>
    <w:rsid w:val="004A20A5"/>
    <w:rsid w:val="004A548C"/>
    <w:rsid w:val="004B0CEA"/>
    <w:rsid w:val="004B3F3D"/>
    <w:rsid w:val="004C61F9"/>
    <w:rsid w:val="004C6A99"/>
    <w:rsid w:val="004C72D6"/>
    <w:rsid w:val="004D32A7"/>
    <w:rsid w:val="004D5D6F"/>
    <w:rsid w:val="004E4AEC"/>
    <w:rsid w:val="004E66D9"/>
    <w:rsid w:val="005007E2"/>
    <w:rsid w:val="0050183E"/>
    <w:rsid w:val="005122EB"/>
    <w:rsid w:val="00512DA3"/>
    <w:rsid w:val="005135B6"/>
    <w:rsid w:val="0051643E"/>
    <w:rsid w:val="00520ADA"/>
    <w:rsid w:val="00525B10"/>
    <w:rsid w:val="00530A25"/>
    <w:rsid w:val="005316D2"/>
    <w:rsid w:val="005331E3"/>
    <w:rsid w:val="005406F8"/>
    <w:rsid w:val="00540991"/>
    <w:rsid w:val="00540A8E"/>
    <w:rsid w:val="00540B03"/>
    <w:rsid w:val="00541838"/>
    <w:rsid w:val="005439FF"/>
    <w:rsid w:val="00544758"/>
    <w:rsid w:val="005462D0"/>
    <w:rsid w:val="00546392"/>
    <w:rsid w:val="00556116"/>
    <w:rsid w:val="005613C1"/>
    <w:rsid w:val="00565786"/>
    <w:rsid w:val="005713A8"/>
    <w:rsid w:val="00587598"/>
    <w:rsid w:val="0059277F"/>
    <w:rsid w:val="0059583A"/>
    <w:rsid w:val="005965B3"/>
    <w:rsid w:val="00596FB4"/>
    <w:rsid w:val="00597398"/>
    <w:rsid w:val="00597EED"/>
    <w:rsid w:val="005B1BA1"/>
    <w:rsid w:val="005B3DCE"/>
    <w:rsid w:val="005B3EEA"/>
    <w:rsid w:val="005D7130"/>
    <w:rsid w:val="005E26D2"/>
    <w:rsid w:val="005E27F9"/>
    <w:rsid w:val="005F3E47"/>
    <w:rsid w:val="0060215A"/>
    <w:rsid w:val="00602CBA"/>
    <w:rsid w:val="006050B1"/>
    <w:rsid w:val="00606124"/>
    <w:rsid w:val="0061530A"/>
    <w:rsid w:val="0061692C"/>
    <w:rsid w:val="006216F9"/>
    <w:rsid w:val="00621BB5"/>
    <w:rsid w:val="00623A3E"/>
    <w:rsid w:val="0062658F"/>
    <w:rsid w:val="006349E3"/>
    <w:rsid w:val="00642252"/>
    <w:rsid w:val="006425AC"/>
    <w:rsid w:val="006426A2"/>
    <w:rsid w:val="0064703F"/>
    <w:rsid w:val="00652D53"/>
    <w:rsid w:val="0065569A"/>
    <w:rsid w:val="006558DE"/>
    <w:rsid w:val="0066534F"/>
    <w:rsid w:val="00672104"/>
    <w:rsid w:val="006730BD"/>
    <w:rsid w:val="006777B7"/>
    <w:rsid w:val="006778D4"/>
    <w:rsid w:val="006811E6"/>
    <w:rsid w:val="006855BF"/>
    <w:rsid w:val="006902CB"/>
    <w:rsid w:val="00690592"/>
    <w:rsid w:val="00692468"/>
    <w:rsid w:val="006A301B"/>
    <w:rsid w:val="006A3FC4"/>
    <w:rsid w:val="006B37A4"/>
    <w:rsid w:val="006B679C"/>
    <w:rsid w:val="006C070A"/>
    <w:rsid w:val="006C1C18"/>
    <w:rsid w:val="006C3672"/>
    <w:rsid w:val="006C6B43"/>
    <w:rsid w:val="006D3582"/>
    <w:rsid w:val="006D3D86"/>
    <w:rsid w:val="006F20E9"/>
    <w:rsid w:val="0070039B"/>
    <w:rsid w:val="00707976"/>
    <w:rsid w:val="00707AC7"/>
    <w:rsid w:val="00716379"/>
    <w:rsid w:val="0072067C"/>
    <w:rsid w:val="00721560"/>
    <w:rsid w:val="007218B0"/>
    <w:rsid w:val="00723DBF"/>
    <w:rsid w:val="00724066"/>
    <w:rsid w:val="007326B5"/>
    <w:rsid w:val="0073283D"/>
    <w:rsid w:val="00736B67"/>
    <w:rsid w:val="0073750A"/>
    <w:rsid w:val="0074341E"/>
    <w:rsid w:val="00750EC7"/>
    <w:rsid w:val="00751F08"/>
    <w:rsid w:val="00756100"/>
    <w:rsid w:val="00757A52"/>
    <w:rsid w:val="00757B9D"/>
    <w:rsid w:val="007604B4"/>
    <w:rsid w:val="007621F1"/>
    <w:rsid w:val="00766664"/>
    <w:rsid w:val="007666A8"/>
    <w:rsid w:val="007764CA"/>
    <w:rsid w:val="00785BD2"/>
    <w:rsid w:val="007876B0"/>
    <w:rsid w:val="00793399"/>
    <w:rsid w:val="00794D46"/>
    <w:rsid w:val="007A2DE7"/>
    <w:rsid w:val="007B2448"/>
    <w:rsid w:val="007B6386"/>
    <w:rsid w:val="007B74E7"/>
    <w:rsid w:val="007C6400"/>
    <w:rsid w:val="007D1025"/>
    <w:rsid w:val="007D2403"/>
    <w:rsid w:val="007D57EE"/>
    <w:rsid w:val="007E38F9"/>
    <w:rsid w:val="007F0CCC"/>
    <w:rsid w:val="007F6F44"/>
    <w:rsid w:val="007F7993"/>
    <w:rsid w:val="00805221"/>
    <w:rsid w:val="008059F1"/>
    <w:rsid w:val="0081026B"/>
    <w:rsid w:val="00834456"/>
    <w:rsid w:val="008403F1"/>
    <w:rsid w:val="008412E8"/>
    <w:rsid w:val="00842BAF"/>
    <w:rsid w:val="008507C5"/>
    <w:rsid w:val="00853414"/>
    <w:rsid w:val="00853938"/>
    <w:rsid w:val="008639EC"/>
    <w:rsid w:val="00864C55"/>
    <w:rsid w:val="008659EE"/>
    <w:rsid w:val="00872640"/>
    <w:rsid w:val="00875999"/>
    <w:rsid w:val="008829AB"/>
    <w:rsid w:val="00886CC2"/>
    <w:rsid w:val="008872F8"/>
    <w:rsid w:val="00892E93"/>
    <w:rsid w:val="00894249"/>
    <w:rsid w:val="008960F7"/>
    <w:rsid w:val="008A4204"/>
    <w:rsid w:val="008A7212"/>
    <w:rsid w:val="008B0D77"/>
    <w:rsid w:val="008B4273"/>
    <w:rsid w:val="008B7464"/>
    <w:rsid w:val="008C0C91"/>
    <w:rsid w:val="008D1A2C"/>
    <w:rsid w:val="008D58D4"/>
    <w:rsid w:val="008D6FB6"/>
    <w:rsid w:val="008E635D"/>
    <w:rsid w:val="008E7D15"/>
    <w:rsid w:val="008F1D45"/>
    <w:rsid w:val="008F2476"/>
    <w:rsid w:val="0091307F"/>
    <w:rsid w:val="00915D25"/>
    <w:rsid w:val="0091626D"/>
    <w:rsid w:val="00923347"/>
    <w:rsid w:val="00924942"/>
    <w:rsid w:val="00926495"/>
    <w:rsid w:val="009338FA"/>
    <w:rsid w:val="00933EF4"/>
    <w:rsid w:val="0093574D"/>
    <w:rsid w:val="009400D8"/>
    <w:rsid w:val="009438E2"/>
    <w:rsid w:val="009609FA"/>
    <w:rsid w:val="00961BD6"/>
    <w:rsid w:val="009651F0"/>
    <w:rsid w:val="00966025"/>
    <w:rsid w:val="00967248"/>
    <w:rsid w:val="0097278E"/>
    <w:rsid w:val="00973016"/>
    <w:rsid w:val="009744A0"/>
    <w:rsid w:val="009745A6"/>
    <w:rsid w:val="00976781"/>
    <w:rsid w:val="009831EE"/>
    <w:rsid w:val="009844A2"/>
    <w:rsid w:val="009846A7"/>
    <w:rsid w:val="00984FBD"/>
    <w:rsid w:val="00985B16"/>
    <w:rsid w:val="00997FAC"/>
    <w:rsid w:val="009A0D29"/>
    <w:rsid w:val="009B15DB"/>
    <w:rsid w:val="009B1778"/>
    <w:rsid w:val="009B3F8D"/>
    <w:rsid w:val="009B51A5"/>
    <w:rsid w:val="009B5DE0"/>
    <w:rsid w:val="009C1E74"/>
    <w:rsid w:val="009C21B3"/>
    <w:rsid w:val="009C2C42"/>
    <w:rsid w:val="009C3529"/>
    <w:rsid w:val="009C7BCD"/>
    <w:rsid w:val="009D7CDF"/>
    <w:rsid w:val="009E3D4E"/>
    <w:rsid w:val="009E6150"/>
    <w:rsid w:val="009F2B6A"/>
    <w:rsid w:val="00A0590C"/>
    <w:rsid w:val="00A06ACF"/>
    <w:rsid w:val="00A117D2"/>
    <w:rsid w:val="00A235FC"/>
    <w:rsid w:val="00A23DBE"/>
    <w:rsid w:val="00A32D0E"/>
    <w:rsid w:val="00A33F21"/>
    <w:rsid w:val="00A367C5"/>
    <w:rsid w:val="00A37869"/>
    <w:rsid w:val="00A406BA"/>
    <w:rsid w:val="00A41B9A"/>
    <w:rsid w:val="00A44A88"/>
    <w:rsid w:val="00A46934"/>
    <w:rsid w:val="00A47F4E"/>
    <w:rsid w:val="00A501F6"/>
    <w:rsid w:val="00A5201A"/>
    <w:rsid w:val="00A5307A"/>
    <w:rsid w:val="00A56F78"/>
    <w:rsid w:val="00A60725"/>
    <w:rsid w:val="00A62731"/>
    <w:rsid w:val="00A71713"/>
    <w:rsid w:val="00A72122"/>
    <w:rsid w:val="00A73A47"/>
    <w:rsid w:val="00A74752"/>
    <w:rsid w:val="00A749E1"/>
    <w:rsid w:val="00A74B6D"/>
    <w:rsid w:val="00A811CE"/>
    <w:rsid w:val="00A81355"/>
    <w:rsid w:val="00A81B6C"/>
    <w:rsid w:val="00A82B0D"/>
    <w:rsid w:val="00A87DC1"/>
    <w:rsid w:val="00A9162A"/>
    <w:rsid w:val="00A94775"/>
    <w:rsid w:val="00A97D03"/>
    <w:rsid w:val="00AA4329"/>
    <w:rsid w:val="00AB52DC"/>
    <w:rsid w:val="00AB75B4"/>
    <w:rsid w:val="00AC0B5C"/>
    <w:rsid w:val="00AC1143"/>
    <w:rsid w:val="00AC5D3F"/>
    <w:rsid w:val="00AD0339"/>
    <w:rsid w:val="00AD57E4"/>
    <w:rsid w:val="00AD7CC8"/>
    <w:rsid w:val="00AE645F"/>
    <w:rsid w:val="00AF32A3"/>
    <w:rsid w:val="00AF471B"/>
    <w:rsid w:val="00AF6B3A"/>
    <w:rsid w:val="00AF7F92"/>
    <w:rsid w:val="00B04FB0"/>
    <w:rsid w:val="00B05353"/>
    <w:rsid w:val="00B108AE"/>
    <w:rsid w:val="00B13C9D"/>
    <w:rsid w:val="00B21C28"/>
    <w:rsid w:val="00B21CC0"/>
    <w:rsid w:val="00B2783E"/>
    <w:rsid w:val="00B3066D"/>
    <w:rsid w:val="00B37116"/>
    <w:rsid w:val="00B37430"/>
    <w:rsid w:val="00B40E49"/>
    <w:rsid w:val="00B46E33"/>
    <w:rsid w:val="00B47112"/>
    <w:rsid w:val="00B47729"/>
    <w:rsid w:val="00B5463B"/>
    <w:rsid w:val="00B66537"/>
    <w:rsid w:val="00B75E66"/>
    <w:rsid w:val="00B75F44"/>
    <w:rsid w:val="00B76B5D"/>
    <w:rsid w:val="00B84789"/>
    <w:rsid w:val="00B85769"/>
    <w:rsid w:val="00B87F00"/>
    <w:rsid w:val="00B903FA"/>
    <w:rsid w:val="00B96022"/>
    <w:rsid w:val="00B9767B"/>
    <w:rsid w:val="00BA26B5"/>
    <w:rsid w:val="00BA69BE"/>
    <w:rsid w:val="00BB0B79"/>
    <w:rsid w:val="00BB77A2"/>
    <w:rsid w:val="00BC43BA"/>
    <w:rsid w:val="00BC71FF"/>
    <w:rsid w:val="00BC7D84"/>
    <w:rsid w:val="00BD443F"/>
    <w:rsid w:val="00BE27B4"/>
    <w:rsid w:val="00BE480B"/>
    <w:rsid w:val="00BE4B58"/>
    <w:rsid w:val="00BE52BF"/>
    <w:rsid w:val="00BE7ED4"/>
    <w:rsid w:val="00BF2D7E"/>
    <w:rsid w:val="00BF428E"/>
    <w:rsid w:val="00BF4848"/>
    <w:rsid w:val="00C01B10"/>
    <w:rsid w:val="00C13F51"/>
    <w:rsid w:val="00C14E00"/>
    <w:rsid w:val="00C15121"/>
    <w:rsid w:val="00C162A8"/>
    <w:rsid w:val="00C171FF"/>
    <w:rsid w:val="00C21009"/>
    <w:rsid w:val="00C210E7"/>
    <w:rsid w:val="00C21C2F"/>
    <w:rsid w:val="00C25F53"/>
    <w:rsid w:val="00C26558"/>
    <w:rsid w:val="00C270C6"/>
    <w:rsid w:val="00C3350A"/>
    <w:rsid w:val="00C37129"/>
    <w:rsid w:val="00C443BC"/>
    <w:rsid w:val="00C47F00"/>
    <w:rsid w:val="00C52FC2"/>
    <w:rsid w:val="00C54DA8"/>
    <w:rsid w:val="00C6128E"/>
    <w:rsid w:val="00C61C43"/>
    <w:rsid w:val="00C62D37"/>
    <w:rsid w:val="00C74190"/>
    <w:rsid w:val="00C76E10"/>
    <w:rsid w:val="00C777AD"/>
    <w:rsid w:val="00C81A02"/>
    <w:rsid w:val="00C869D7"/>
    <w:rsid w:val="00CA01A1"/>
    <w:rsid w:val="00CA2CA0"/>
    <w:rsid w:val="00CC2ABA"/>
    <w:rsid w:val="00CC58F8"/>
    <w:rsid w:val="00CC6D30"/>
    <w:rsid w:val="00CD01C3"/>
    <w:rsid w:val="00CD70B6"/>
    <w:rsid w:val="00CE0B40"/>
    <w:rsid w:val="00CE1103"/>
    <w:rsid w:val="00CE529E"/>
    <w:rsid w:val="00CF0D7A"/>
    <w:rsid w:val="00CF5CEA"/>
    <w:rsid w:val="00D005EC"/>
    <w:rsid w:val="00D10AE3"/>
    <w:rsid w:val="00D110EB"/>
    <w:rsid w:val="00D12941"/>
    <w:rsid w:val="00D17014"/>
    <w:rsid w:val="00D1753D"/>
    <w:rsid w:val="00D211FE"/>
    <w:rsid w:val="00D313DC"/>
    <w:rsid w:val="00D31E5D"/>
    <w:rsid w:val="00D32D46"/>
    <w:rsid w:val="00D32DDD"/>
    <w:rsid w:val="00D37632"/>
    <w:rsid w:val="00D43C5B"/>
    <w:rsid w:val="00D43E2E"/>
    <w:rsid w:val="00D46A6F"/>
    <w:rsid w:val="00D554DA"/>
    <w:rsid w:val="00D60BFC"/>
    <w:rsid w:val="00D60FF3"/>
    <w:rsid w:val="00D67C46"/>
    <w:rsid w:val="00D67FD3"/>
    <w:rsid w:val="00D906D3"/>
    <w:rsid w:val="00D907A2"/>
    <w:rsid w:val="00D914B7"/>
    <w:rsid w:val="00D934F6"/>
    <w:rsid w:val="00DB291D"/>
    <w:rsid w:val="00DB3BD6"/>
    <w:rsid w:val="00DB402E"/>
    <w:rsid w:val="00DC2C2B"/>
    <w:rsid w:val="00DE01A0"/>
    <w:rsid w:val="00DE0699"/>
    <w:rsid w:val="00DE2E73"/>
    <w:rsid w:val="00DF4CC2"/>
    <w:rsid w:val="00DF5143"/>
    <w:rsid w:val="00DF6966"/>
    <w:rsid w:val="00E00873"/>
    <w:rsid w:val="00E020E5"/>
    <w:rsid w:val="00E04222"/>
    <w:rsid w:val="00E04770"/>
    <w:rsid w:val="00E04D4F"/>
    <w:rsid w:val="00E11590"/>
    <w:rsid w:val="00E13283"/>
    <w:rsid w:val="00E2493A"/>
    <w:rsid w:val="00E25475"/>
    <w:rsid w:val="00E3503F"/>
    <w:rsid w:val="00E3560C"/>
    <w:rsid w:val="00E37851"/>
    <w:rsid w:val="00E40ED5"/>
    <w:rsid w:val="00E42C0F"/>
    <w:rsid w:val="00E503AA"/>
    <w:rsid w:val="00E5462E"/>
    <w:rsid w:val="00E6114C"/>
    <w:rsid w:val="00E64B36"/>
    <w:rsid w:val="00E660F1"/>
    <w:rsid w:val="00E673F0"/>
    <w:rsid w:val="00E71475"/>
    <w:rsid w:val="00E8005F"/>
    <w:rsid w:val="00E8008F"/>
    <w:rsid w:val="00E809A4"/>
    <w:rsid w:val="00E85DB1"/>
    <w:rsid w:val="00E87603"/>
    <w:rsid w:val="00EA035A"/>
    <w:rsid w:val="00EB0DEC"/>
    <w:rsid w:val="00EB44F5"/>
    <w:rsid w:val="00EB64E3"/>
    <w:rsid w:val="00EB669A"/>
    <w:rsid w:val="00EC13FB"/>
    <w:rsid w:val="00EC1C00"/>
    <w:rsid w:val="00EC46DA"/>
    <w:rsid w:val="00EC48D4"/>
    <w:rsid w:val="00ED477C"/>
    <w:rsid w:val="00ED5226"/>
    <w:rsid w:val="00ED5B65"/>
    <w:rsid w:val="00EE1511"/>
    <w:rsid w:val="00EE17C2"/>
    <w:rsid w:val="00EE2AA0"/>
    <w:rsid w:val="00EF0372"/>
    <w:rsid w:val="00EF1AC2"/>
    <w:rsid w:val="00EF312C"/>
    <w:rsid w:val="00EF71C5"/>
    <w:rsid w:val="00EF7FCA"/>
    <w:rsid w:val="00F00D13"/>
    <w:rsid w:val="00F031B0"/>
    <w:rsid w:val="00F04C09"/>
    <w:rsid w:val="00F0508D"/>
    <w:rsid w:val="00F06E4F"/>
    <w:rsid w:val="00F101FA"/>
    <w:rsid w:val="00F15E93"/>
    <w:rsid w:val="00F24C4E"/>
    <w:rsid w:val="00F307FA"/>
    <w:rsid w:val="00F43537"/>
    <w:rsid w:val="00F53236"/>
    <w:rsid w:val="00F56917"/>
    <w:rsid w:val="00F576F6"/>
    <w:rsid w:val="00F6263E"/>
    <w:rsid w:val="00F806F6"/>
    <w:rsid w:val="00F81D9F"/>
    <w:rsid w:val="00F82AC5"/>
    <w:rsid w:val="00F87F2D"/>
    <w:rsid w:val="00F94E2E"/>
    <w:rsid w:val="00FA13BA"/>
    <w:rsid w:val="00FA28D4"/>
    <w:rsid w:val="00FA4531"/>
    <w:rsid w:val="00FA4548"/>
    <w:rsid w:val="00FB0D59"/>
    <w:rsid w:val="00FB7F0A"/>
    <w:rsid w:val="00FC2A67"/>
    <w:rsid w:val="00FD18A0"/>
    <w:rsid w:val="00FE5D3B"/>
    <w:rsid w:val="00FF017C"/>
    <w:rsid w:val="00FF1C5A"/>
    <w:rsid w:val="00FF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F80F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2AF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81026B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1026B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1026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qFormat/>
    <w:rsid w:val="008102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81026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81026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462D0"/>
    <w:pPr>
      <w:tabs>
        <w:tab w:val="center" w:pos="4153"/>
        <w:tab w:val="right" w:pos="8306"/>
      </w:tabs>
    </w:pPr>
  </w:style>
  <w:style w:type="paragraph" w:customStyle="1" w:styleId="regpar">
    <w:name w:val="regpar"/>
    <w:basedOn w:val="a"/>
    <w:rsid w:val="005462D0"/>
    <w:pPr>
      <w:bidi w:val="0"/>
      <w:spacing w:line="300" w:lineRule="exact"/>
      <w:ind w:firstLine="240"/>
      <w:jc w:val="both"/>
    </w:pPr>
    <w:rPr>
      <w:rFonts w:ascii="Times" w:hAnsi="Times" w:cs="Times"/>
    </w:rPr>
  </w:style>
  <w:style w:type="table" w:styleId="a5">
    <w:name w:val="Table Theme"/>
    <w:basedOn w:val="a1"/>
    <w:rsid w:val="0081026B"/>
    <w:pPr>
      <w:bidi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Hyperlink">
    <w:name w:val="Hyperlink"/>
    <w:rsid w:val="0081026B"/>
    <w:rPr>
      <w:color w:val="0000FF"/>
      <w:u w:val="single"/>
    </w:rPr>
  </w:style>
  <w:style w:type="character" w:styleId="FollowedHyperlink">
    <w:name w:val="FollowedHyperlink"/>
    <w:rsid w:val="0081026B"/>
    <w:rPr>
      <w:color w:val="606420"/>
      <w:u w:val="single"/>
    </w:rPr>
  </w:style>
  <w:style w:type="paragraph" w:styleId="a6">
    <w:name w:val="footer"/>
    <w:basedOn w:val="a"/>
    <w:link w:val="a7"/>
    <w:uiPriority w:val="99"/>
    <w:rsid w:val="00E64B36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uiPriority w:val="99"/>
    <w:rsid w:val="00E64B36"/>
    <w:rPr>
      <w:sz w:val="24"/>
      <w:szCs w:val="24"/>
    </w:rPr>
  </w:style>
  <w:style w:type="character" w:customStyle="1" w:styleId="a4">
    <w:name w:val="כותרת עליונה תו"/>
    <w:link w:val="a3"/>
    <w:uiPriority w:val="99"/>
    <w:rsid w:val="00E64B36"/>
    <w:rPr>
      <w:sz w:val="24"/>
      <w:szCs w:val="24"/>
    </w:rPr>
  </w:style>
  <w:style w:type="paragraph" w:styleId="a8">
    <w:name w:val="Balloon Text"/>
    <w:basedOn w:val="a"/>
    <w:link w:val="a9"/>
    <w:rsid w:val="00E64B36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E64B3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961BD6"/>
    <w:pPr>
      <w:bidi w:val="0"/>
      <w:ind w:left="720"/>
      <w:contextualSpacing/>
    </w:pPr>
    <w:rPr>
      <w:rFonts w:eastAsia="Calibri" w:cs="Arial"/>
      <w:szCs w:val="22"/>
    </w:rPr>
  </w:style>
  <w:style w:type="paragraph" w:styleId="ab">
    <w:name w:val="footnote text"/>
    <w:basedOn w:val="a"/>
    <w:link w:val="ac"/>
    <w:uiPriority w:val="99"/>
    <w:unhideWhenUsed/>
    <w:rsid w:val="00596FB4"/>
    <w:pPr>
      <w:bidi w:val="0"/>
      <w:spacing w:line="300" w:lineRule="exact"/>
      <w:jc w:val="both"/>
    </w:pPr>
    <w:rPr>
      <w:rFonts w:ascii="Times" w:hAnsi="Times" w:cs="Times"/>
      <w:sz w:val="20"/>
      <w:szCs w:val="20"/>
    </w:rPr>
  </w:style>
  <w:style w:type="character" w:customStyle="1" w:styleId="ac">
    <w:name w:val="טקסט הערת שוליים תו"/>
    <w:link w:val="ab"/>
    <w:uiPriority w:val="99"/>
    <w:rsid w:val="00596FB4"/>
    <w:rPr>
      <w:rFonts w:ascii="Times" w:hAnsi="Times" w:cs="Times"/>
    </w:rPr>
  </w:style>
  <w:style w:type="character" w:styleId="ad">
    <w:name w:val="footnote reference"/>
    <w:unhideWhenUsed/>
    <w:rsid w:val="00596FB4"/>
    <w:rPr>
      <w:vertAlign w:val="superscript"/>
    </w:rPr>
  </w:style>
  <w:style w:type="paragraph" w:customStyle="1" w:styleId="PressReleaseTitle">
    <w:name w:val="Press Release Title"/>
    <w:basedOn w:val="a"/>
    <w:link w:val="PressReleaseTitleChar"/>
    <w:qFormat/>
    <w:rsid w:val="00DE2E73"/>
    <w:pPr>
      <w:tabs>
        <w:tab w:val="center" w:pos="4156"/>
        <w:tab w:val="right" w:pos="8312"/>
      </w:tabs>
      <w:bidi w:val="0"/>
      <w:jc w:val="center"/>
    </w:pPr>
    <w:rPr>
      <w:rFonts w:cs="David"/>
      <w:b/>
      <w:bCs/>
      <w:sz w:val="26"/>
      <w:szCs w:val="26"/>
    </w:rPr>
  </w:style>
  <w:style w:type="character" w:customStyle="1" w:styleId="PressReleaseTitleChar">
    <w:name w:val="Press Release Title Char"/>
    <w:basedOn w:val="a0"/>
    <w:link w:val="PressReleaseTitle"/>
    <w:rsid w:val="00DE2E73"/>
    <w:rPr>
      <w:rFonts w:cs="David"/>
      <w:b/>
      <w:bCs/>
      <w:sz w:val="26"/>
      <w:szCs w:val="26"/>
    </w:rPr>
  </w:style>
  <w:style w:type="paragraph" w:styleId="ae">
    <w:name w:val="Title"/>
    <w:basedOn w:val="a"/>
    <w:next w:val="a"/>
    <w:link w:val="af"/>
    <w:qFormat/>
    <w:rsid w:val="00FA28D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כותרת טקסט תו"/>
    <w:basedOn w:val="a0"/>
    <w:link w:val="ae"/>
    <w:rsid w:val="00FA28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f0">
    <w:name w:val="annotation reference"/>
    <w:basedOn w:val="a0"/>
    <w:rsid w:val="00F031B0"/>
    <w:rPr>
      <w:sz w:val="16"/>
      <w:szCs w:val="16"/>
    </w:rPr>
  </w:style>
  <w:style w:type="paragraph" w:styleId="af1">
    <w:name w:val="annotation text"/>
    <w:basedOn w:val="a"/>
    <w:link w:val="af2"/>
    <w:rsid w:val="00F031B0"/>
    <w:rPr>
      <w:sz w:val="20"/>
      <w:szCs w:val="20"/>
    </w:rPr>
  </w:style>
  <w:style w:type="character" w:customStyle="1" w:styleId="af2">
    <w:name w:val="טקסט הערה תו"/>
    <w:basedOn w:val="a0"/>
    <w:link w:val="af1"/>
    <w:rsid w:val="00F031B0"/>
  </w:style>
  <w:style w:type="paragraph" w:styleId="af3">
    <w:name w:val="annotation subject"/>
    <w:basedOn w:val="af1"/>
    <w:next w:val="af1"/>
    <w:link w:val="af4"/>
    <w:rsid w:val="00F031B0"/>
    <w:rPr>
      <w:b/>
      <w:bCs/>
    </w:rPr>
  </w:style>
  <w:style w:type="character" w:customStyle="1" w:styleId="af4">
    <w:name w:val="נושא הערה תו"/>
    <w:basedOn w:val="af2"/>
    <w:link w:val="af3"/>
    <w:rsid w:val="00F031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6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emf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8.emf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customXml" Target="../customXml/item4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customXml" Target="../customXml/item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oi.org.il/he/NewsAndPublications/RegularPublications/Documents/MabatStat2018/full.pdf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WaveListOrderValu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9343D4987C6478DC1BE6EDC107D2A" ma:contentTypeVersion="2" ma:contentTypeDescription="Create a new document." ma:contentTypeScope="" ma:versionID="dc66967819e61477bbb22baefbd4665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a2d015b092b9b034dac7bb82bea7ad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eWaveListOrderValu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  <xsd:element name="eWaveListOrderValue" ma:index="10" nillable="true" ma:displayName="סידור" ma:decimals="2" ma:internalName="eWaveListOrderValue" ma:readOnly="false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FE5E1D-2ADB-4A02-BF48-1406330CFB5D}"/>
</file>

<file path=customXml/itemProps2.xml><?xml version="1.0" encoding="utf-8"?>
<ds:datastoreItem xmlns:ds="http://schemas.openxmlformats.org/officeDocument/2006/customXml" ds:itemID="{61705128-2F0D-4B07-8C81-64E1BED27FE9}"/>
</file>

<file path=customXml/itemProps3.xml><?xml version="1.0" encoding="utf-8"?>
<ds:datastoreItem xmlns:ds="http://schemas.openxmlformats.org/officeDocument/2006/customXml" ds:itemID="{6530F9AB-908A-494B-A74F-C29DF5B117C0}"/>
</file>

<file path=customXml/itemProps4.xml><?xml version="1.0" encoding="utf-8"?>
<ds:datastoreItem xmlns:ds="http://schemas.openxmlformats.org/officeDocument/2006/customXml" ds:itemID="{8DD470B8-9BC0-4010-95B6-8A6A5A2BE9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566</Words>
  <Characters>2831</Characters>
  <Application>Microsoft Office Word</Application>
  <DocSecurity>0</DocSecurity>
  <Lines>23</Lines>
  <Paragraphs>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3391</CharactersWithSpaces>
  <SharedDoc>false</SharedDoc>
  <HLinks>
    <vt:vector size="6" baseType="variant">
      <vt:variant>
        <vt:i4>4980745</vt:i4>
      </vt:variant>
      <vt:variant>
        <vt:i4>0</vt:i4>
      </vt:variant>
      <vt:variant>
        <vt:i4>0</vt:i4>
      </vt:variant>
      <vt:variant>
        <vt:i4>5</vt:i4>
      </vt:variant>
      <vt:variant>
        <vt:lpwstr>http://www.boi.org.il/en/Research/Pages/ind.aspx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2019-05-12T09:27:00Z</dcterms:created>
  <dcterms:modified xsi:type="dcterms:W3CDTF">2019-05-13T06:31:00Z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0x010100BEE9343D4987C6478DC1BE6EDC107D2A</vt:lpwstr>
  </property>
</Properties>
</file>