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48056007" w:rsidR="007617BD" w:rsidRPr="0012431B" w:rsidRDefault="0050193B" w:rsidP="0050193B">
      <w:pPr>
        <w:pStyle w:val="regpar"/>
        <w:jc w:val="right"/>
        <w:rPr>
          <w:rFonts w:ascii="Segoe UI" w:hAnsi="Segoe UI" w:cs="Segoe UI"/>
          <w:sz w:val="22"/>
          <w:szCs w:val="22"/>
        </w:rPr>
      </w:pPr>
      <w:r>
        <w:rPr>
          <w:rFonts w:ascii="Segoe UI" w:hAnsi="Segoe UI" w:cs="Segoe UI" w:hint="cs"/>
          <w:sz w:val="22"/>
          <w:szCs w:val="22"/>
        </w:rPr>
        <w:t>D</w:t>
      </w:r>
      <w:r>
        <w:rPr>
          <w:rFonts w:ascii="Segoe UI" w:hAnsi="Segoe UI" w:cs="Segoe UI"/>
          <w:sz w:val="22"/>
          <w:szCs w:val="22"/>
        </w:rPr>
        <w:t>ec</w:t>
      </w:r>
      <w:r w:rsidR="003F4CF0">
        <w:rPr>
          <w:rFonts w:ascii="Segoe UI" w:hAnsi="Segoe UI" w:cs="Segoe UI"/>
          <w:sz w:val="22"/>
          <w:szCs w:val="22"/>
        </w:rPr>
        <w:t>emb</w:t>
      </w:r>
      <w:r w:rsidR="00952A64">
        <w:rPr>
          <w:rFonts w:ascii="Segoe UI" w:hAnsi="Segoe UI" w:cs="Segoe UI"/>
          <w:sz w:val="22"/>
          <w:szCs w:val="22"/>
        </w:rPr>
        <w:t xml:space="preserve">er </w:t>
      </w:r>
      <w:r w:rsidR="003F4CF0">
        <w:rPr>
          <w:rFonts w:ascii="Segoe UI" w:hAnsi="Segoe UI" w:cs="Segoe UI"/>
          <w:sz w:val="22"/>
          <w:szCs w:val="22"/>
        </w:rPr>
        <w:t>1</w:t>
      </w:r>
      <w:r>
        <w:rPr>
          <w:rFonts w:ascii="Segoe UI" w:hAnsi="Segoe UI" w:cs="Segoe UI"/>
          <w:sz w:val="22"/>
          <w:szCs w:val="22"/>
        </w:rPr>
        <w:t>7</w:t>
      </w:r>
      <w:r w:rsidR="008D25AA">
        <w:rPr>
          <w:rFonts w:ascii="Segoe UI" w:hAnsi="Segoe UI" w:cs="Segoe UI"/>
          <w:sz w:val="22"/>
          <w:szCs w:val="22"/>
        </w:rPr>
        <w:t>,</w:t>
      </w:r>
      <w:r w:rsidR="00443EB3">
        <w:rPr>
          <w:rFonts w:ascii="Segoe UI" w:hAnsi="Segoe UI" w:cs="Segoe UI"/>
          <w:sz w:val="22"/>
          <w:szCs w:val="22"/>
        </w:rPr>
        <w:t xml:space="preserve">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5D2849AB" w:rsidR="00D00CF7" w:rsidRPr="007064D7" w:rsidRDefault="00B227DE" w:rsidP="00E36A9B">
      <w:pPr>
        <w:pStyle w:val="regpar"/>
        <w:ind w:firstLine="0"/>
        <w:jc w:val="center"/>
        <w:rPr>
          <w:rFonts w:ascii="Segoe UI" w:hAnsi="Segoe UI" w:cs="Segoe UI"/>
          <w:b/>
          <w:bCs/>
        </w:rPr>
      </w:pPr>
      <w:r>
        <w:rPr>
          <w:rFonts w:ascii="Segoe UI" w:hAnsi="Segoe UI" w:cs="Segoe UI"/>
          <w:b/>
          <w:bCs/>
          <w:sz w:val="22"/>
          <w:szCs w:val="22"/>
        </w:rPr>
        <w:t xml:space="preserve">The monthly Index of Economic Activity </w:t>
      </w:r>
      <w:r w:rsidR="0050193B">
        <w:rPr>
          <w:rFonts w:ascii="Segoe UI" w:hAnsi="Segoe UI" w:cs="Segoe UI"/>
          <w:b/>
          <w:bCs/>
          <w:sz w:val="22"/>
          <w:szCs w:val="22"/>
        </w:rPr>
        <w:t>increased by 0.5 percent</w:t>
      </w:r>
      <w:r>
        <w:rPr>
          <w:rFonts w:ascii="Segoe UI" w:hAnsi="Segoe UI" w:cs="Segoe UI"/>
          <w:b/>
          <w:bCs/>
          <w:sz w:val="22"/>
          <w:szCs w:val="22"/>
        </w:rPr>
        <w:t xml:space="preserve"> in </w:t>
      </w:r>
      <w:r w:rsidR="0050193B">
        <w:rPr>
          <w:rFonts w:ascii="Segoe UI" w:hAnsi="Segoe UI" w:cs="Segoe UI"/>
          <w:b/>
          <w:bCs/>
          <w:sz w:val="22"/>
          <w:szCs w:val="22"/>
        </w:rPr>
        <w:t>Novem</w:t>
      </w:r>
      <w:r w:rsidR="00952A64">
        <w:rPr>
          <w:rFonts w:ascii="Segoe UI" w:hAnsi="Segoe UI" w:cs="Segoe UI"/>
          <w:b/>
          <w:bCs/>
          <w:sz w:val="22"/>
          <w:szCs w:val="22"/>
        </w:rPr>
        <w:t>ber</w:t>
      </w:r>
    </w:p>
    <w:p w14:paraId="56CB040C" w14:textId="77777777" w:rsidR="00443EB3" w:rsidRPr="007064D7" w:rsidRDefault="00443EB3" w:rsidP="00477DE2">
      <w:pPr>
        <w:pStyle w:val="regpar"/>
        <w:ind w:firstLine="0"/>
        <w:jc w:val="center"/>
        <w:rPr>
          <w:rFonts w:ascii="Segoe UI" w:hAnsi="Segoe UI" w:cs="Segoe UI"/>
        </w:rPr>
      </w:pPr>
    </w:p>
    <w:p w14:paraId="4F281567" w14:textId="16DE23FA" w:rsidR="0050193B" w:rsidRDefault="00B227DE" w:rsidP="00352502">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a6"/>
          <w:rFonts w:ascii="Segoe UI" w:hAnsi="Segoe UI" w:cs="Segoe UI"/>
        </w:rPr>
        <w:footnoteReference w:id="1"/>
      </w:r>
      <w:r>
        <w:rPr>
          <w:rFonts w:ascii="Segoe UI" w:hAnsi="Segoe UI" w:cs="Segoe UI"/>
          <w:sz w:val="22"/>
          <w:szCs w:val="22"/>
        </w:rPr>
        <w:t xml:space="preserve"> </w:t>
      </w:r>
      <w:proofErr w:type="gramStart"/>
      <w:r w:rsidR="003F4CF0">
        <w:rPr>
          <w:rFonts w:ascii="Segoe UI" w:hAnsi="Segoe UI" w:cs="Segoe UI"/>
          <w:sz w:val="22"/>
          <w:szCs w:val="22"/>
        </w:rPr>
        <w:t xml:space="preserve">was </w:t>
      </w:r>
      <w:r w:rsidR="0050193B">
        <w:rPr>
          <w:rFonts w:ascii="Segoe UI" w:hAnsi="Segoe UI" w:cs="Segoe UI"/>
          <w:sz w:val="22"/>
          <w:szCs w:val="22"/>
        </w:rPr>
        <w:t>increased</w:t>
      </w:r>
      <w:proofErr w:type="gramEnd"/>
      <w:r w:rsidR="0050193B">
        <w:rPr>
          <w:rFonts w:ascii="Segoe UI" w:hAnsi="Segoe UI" w:cs="Segoe UI"/>
          <w:sz w:val="22"/>
          <w:szCs w:val="22"/>
        </w:rPr>
        <w:t xml:space="preserve"> by 0.5 percent</w:t>
      </w:r>
      <w:r w:rsidR="003F4CF0">
        <w:rPr>
          <w:rFonts w:ascii="Segoe UI" w:hAnsi="Segoe UI" w:cs="Segoe UI"/>
          <w:sz w:val="22"/>
          <w:szCs w:val="22"/>
        </w:rPr>
        <w:t xml:space="preserve"> in </w:t>
      </w:r>
      <w:r w:rsidR="0050193B">
        <w:rPr>
          <w:rFonts w:ascii="Segoe UI" w:hAnsi="Segoe UI" w:cs="Segoe UI"/>
          <w:sz w:val="22"/>
          <w:szCs w:val="22"/>
        </w:rPr>
        <w:t>Novem</w:t>
      </w:r>
      <w:r w:rsidR="003F4CF0">
        <w:rPr>
          <w:rFonts w:ascii="Segoe UI" w:hAnsi="Segoe UI" w:cs="Segoe UI"/>
          <w:sz w:val="22"/>
          <w:szCs w:val="22"/>
        </w:rPr>
        <w:t xml:space="preserve">ber, following </w:t>
      </w:r>
      <w:r w:rsidR="0050193B">
        <w:rPr>
          <w:rFonts w:ascii="Segoe UI" w:hAnsi="Segoe UI" w:cs="Segoe UI"/>
          <w:sz w:val="22"/>
          <w:szCs w:val="22"/>
        </w:rPr>
        <w:t>a slight decline in Octo</w:t>
      </w:r>
      <w:r w:rsidR="003F4CF0">
        <w:rPr>
          <w:rFonts w:ascii="Segoe UI" w:hAnsi="Segoe UI" w:cs="Segoe UI"/>
          <w:sz w:val="22"/>
          <w:szCs w:val="22"/>
        </w:rPr>
        <w:t>ber</w:t>
      </w:r>
      <w:r w:rsidR="0050193B">
        <w:rPr>
          <w:rFonts w:ascii="Segoe UI" w:hAnsi="Segoe UI" w:cs="Segoe UI"/>
          <w:sz w:val="22"/>
          <w:szCs w:val="22"/>
        </w:rPr>
        <w:t>.</w:t>
      </w:r>
      <w:r>
        <w:rPr>
          <w:rFonts w:ascii="Segoe UI" w:hAnsi="Segoe UI" w:cs="Segoe UI"/>
          <w:sz w:val="22"/>
          <w:szCs w:val="22"/>
        </w:rPr>
        <w:t xml:space="preserve"> The index</w:t>
      </w:r>
      <w:r w:rsidR="003F4CF0">
        <w:rPr>
          <w:rFonts w:ascii="Segoe UI" w:hAnsi="Segoe UI" w:cs="Segoe UI"/>
          <w:sz w:val="22"/>
          <w:szCs w:val="22"/>
        </w:rPr>
        <w:t xml:space="preserve"> this month</w:t>
      </w:r>
      <w:r w:rsidR="008D25AA">
        <w:rPr>
          <w:rFonts w:ascii="Segoe UI" w:hAnsi="Segoe UI" w:cs="Segoe UI"/>
          <w:sz w:val="22"/>
          <w:szCs w:val="22"/>
        </w:rPr>
        <w:t xml:space="preserve"> reflects the </w:t>
      </w:r>
      <w:r w:rsidR="00952A64">
        <w:rPr>
          <w:rFonts w:ascii="Segoe UI" w:hAnsi="Segoe UI" w:cs="Segoe UI"/>
          <w:sz w:val="22"/>
          <w:szCs w:val="22"/>
        </w:rPr>
        <w:t>average m</w:t>
      </w:r>
      <w:r w:rsidR="008D25AA">
        <w:rPr>
          <w:rFonts w:ascii="Segoe UI" w:hAnsi="Segoe UI" w:cs="Segoe UI"/>
          <w:sz w:val="22"/>
          <w:szCs w:val="22"/>
        </w:rPr>
        <w:t xml:space="preserve">onthly growth estimate from </w:t>
      </w:r>
      <w:r w:rsidR="0050193B">
        <w:rPr>
          <w:rFonts w:ascii="Segoe UI" w:hAnsi="Segoe UI" w:cs="Segoe UI"/>
          <w:sz w:val="22"/>
          <w:szCs w:val="22"/>
        </w:rPr>
        <w:t>September</w:t>
      </w:r>
      <w:r w:rsidR="008D25AA">
        <w:rPr>
          <w:rFonts w:ascii="Segoe UI" w:hAnsi="Segoe UI" w:cs="Segoe UI"/>
          <w:sz w:val="22"/>
          <w:szCs w:val="22"/>
        </w:rPr>
        <w:t xml:space="preserve"> to </w:t>
      </w:r>
      <w:r w:rsidR="0050193B">
        <w:rPr>
          <w:rFonts w:ascii="Segoe UI" w:hAnsi="Segoe UI" w:cs="Segoe UI"/>
          <w:sz w:val="22"/>
          <w:szCs w:val="22"/>
        </w:rPr>
        <w:t>Novem</w:t>
      </w:r>
      <w:r w:rsidR="00952A64">
        <w:rPr>
          <w:rFonts w:ascii="Segoe UI" w:hAnsi="Segoe UI" w:cs="Segoe UI"/>
          <w:sz w:val="22"/>
          <w:szCs w:val="22"/>
        </w:rPr>
        <w:t>ber</w:t>
      </w:r>
      <w:r w:rsidR="003F4CF0">
        <w:rPr>
          <w:rFonts w:ascii="Segoe UI" w:hAnsi="Segoe UI" w:cs="Segoe UI"/>
          <w:sz w:val="22"/>
          <w:szCs w:val="22"/>
        </w:rPr>
        <w:t>.</w:t>
      </w:r>
      <w:r w:rsidR="00952A64">
        <w:rPr>
          <w:rFonts w:ascii="Segoe UI" w:hAnsi="Segoe UI" w:cs="Segoe UI"/>
          <w:sz w:val="22"/>
          <w:szCs w:val="22"/>
        </w:rPr>
        <w:t xml:space="preserve">  </w:t>
      </w:r>
      <w:proofErr w:type="gramStart"/>
      <w:r w:rsidR="008D25AA">
        <w:rPr>
          <w:rFonts w:ascii="Segoe UI" w:hAnsi="Segoe UI" w:cs="Segoe UI"/>
          <w:sz w:val="22"/>
          <w:szCs w:val="22"/>
        </w:rPr>
        <w:t>The Index</w:t>
      </w:r>
      <w:r>
        <w:rPr>
          <w:rFonts w:ascii="Segoe UI" w:hAnsi="Segoe UI" w:cs="Segoe UI"/>
          <w:sz w:val="22"/>
          <w:szCs w:val="22"/>
        </w:rPr>
        <w:t xml:space="preserve"> was </w:t>
      </w:r>
      <w:r w:rsidR="0050193B">
        <w:rPr>
          <w:rFonts w:ascii="Segoe UI" w:hAnsi="Segoe UI" w:cs="Segoe UI"/>
          <w:sz w:val="22"/>
          <w:szCs w:val="22"/>
        </w:rPr>
        <w:t>positi</w:t>
      </w:r>
      <w:r w:rsidR="003F4CF0">
        <w:rPr>
          <w:rFonts w:ascii="Segoe UI" w:hAnsi="Segoe UI" w:cs="Segoe UI"/>
          <w:sz w:val="22"/>
          <w:szCs w:val="22"/>
        </w:rPr>
        <w:t>vely influenced by</w:t>
      </w:r>
      <w:r w:rsidR="0050193B">
        <w:rPr>
          <w:rFonts w:ascii="Segoe UI" w:hAnsi="Segoe UI" w:cs="Segoe UI"/>
          <w:sz w:val="22"/>
          <w:szCs w:val="22"/>
        </w:rPr>
        <w:t xml:space="preserve"> data on goods exports in September</w:t>
      </w:r>
      <w:r w:rsidR="00352502">
        <w:rPr>
          <w:rFonts w:ascii="Segoe UI" w:hAnsi="Segoe UI" w:cs="Segoe UI"/>
          <w:sz w:val="22"/>
          <w:szCs w:val="22"/>
        </w:rPr>
        <w:t xml:space="preserve"> to </w:t>
      </w:r>
      <w:r w:rsidR="0050193B">
        <w:rPr>
          <w:rFonts w:ascii="Segoe UI" w:hAnsi="Segoe UI" w:cs="Segoe UI"/>
          <w:sz w:val="22"/>
          <w:szCs w:val="22"/>
        </w:rPr>
        <w:t xml:space="preserve">November, imports of consumption goods and production inputs in November, labor market data regarding the number of workers, wages, and job vacancies in September and October, indirect taxes in October and November, and the Tel Aviv Stock Exchange stock index and the Nasdaq index in September </w:t>
      </w:r>
      <w:r w:rsidR="00352502">
        <w:rPr>
          <w:rFonts w:ascii="Segoe UI" w:hAnsi="Segoe UI" w:cs="Segoe UI"/>
          <w:sz w:val="22"/>
          <w:szCs w:val="22"/>
        </w:rPr>
        <w:t>to</w:t>
      </w:r>
      <w:r w:rsidR="0050193B">
        <w:rPr>
          <w:rFonts w:ascii="Segoe UI" w:hAnsi="Segoe UI" w:cs="Segoe UI"/>
          <w:sz w:val="22"/>
          <w:szCs w:val="22"/>
        </w:rPr>
        <w:t xml:space="preserve"> November.</w:t>
      </w:r>
      <w:proofErr w:type="gramEnd"/>
      <w:r w:rsidR="0050193B">
        <w:rPr>
          <w:rFonts w:ascii="Segoe UI" w:hAnsi="Segoe UI" w:cs="Segoe UI"/>
          <w:sz w:val="22"/>
          <w:szCs w:val="22"/>
        </w:rPr>
        <w:t xml:space="preserve">  The second estimate of actual GDP in the third quarter, which </w:t>
      </w:r>
      <w:proofErr w:type="gramStart"/>
      <w:r w:rsidR="0050193B">
        <w:rPr>
          <w:rFonts w:ascii="Segoe UI" w:hAnsi="Segoe UI" w:cs="Segoe UI"/>
          <w:sz w:val="22"/>
          <w:szCs w:val="22"/>
        </w:rPr>
        <w:t>was published</w:t>
      </w:r>
      <w:proofErr w:type="gramEnd"/>
      <w:r w:rsidR="0050193B">
        <w:rPr>
          <w:rFonts w:ascii="Segoe UI" w:hAnsi="Segoe UI" w:cs="Segoe UI"/>
          <w:sz w:val="22"/>
          <w:szCs w:val="22"/>
        </w:rPr>
        <w:t xml:space="preserve"> this week, also contributed to the increase in the index.  In contrast, revenue data in the trade and services industries, industrial production data in mixed-high technology and in construction inputs, and gasoline consumption data in September moderated the increase in the index (Tables 1 and 2). </w:t>
      </w:r>
    </w:p>
    <w:p w14:paraId="14D427BC" w14:textId="3E6C4A5F" w:rsidR="00B227DE" w:rsidRDefault="0050193B" w:rsidP="0050193B">
      <w:pPr>
        <w:spacing w:before="100" w:beforeAutospacing="1" w:after="100" w:afterAutospacing="1"/>
        <w:jc w:val="both"/>
        <w:rPr>
          <w:rFonts w:ascii="Segoe UI" w:hAnsi="Segoe UI" w:cs="Segoe UI"/>
          <w:sz w:val="22"/>
          <w:szCs w:val="22"/>
        </w:rPr>
      </w:pPr>
      <w:r>
        <w:rPr>
          <w:rFonts w:ascii="Segoe UI" w:hAnsi="Segoe UI" w:cs="Segoe UI"/>
          <w:sz w:val="22"/>
          <w:szCs w:val="22"/>
        </w:rPr>
        <w:t>The pace of increase of the index is higher than the long-term growth trend (about 0.3 percent).</w:t>
      </w:r>
    </w:p>
    <w:p w14:paraId="42564807" w14:textId="7CEEF274" w:rsidR="00952A64" w:rsidRDefault="00952A64" w:rsidP="0050193B">
      <w:pPr>
        <w:spacing w:before="100" w:beforeAutospacing="1" w:after="100" w:afterAutospacing="1"/>
        <w:jc w:val="both"/>
        <w:rPr>
          <w:rFonts w:ascii="Segoe UI" w:hAnsi="Segoe UI" w:cs="Segoe UI"/>
          <w:sz w:val="22"/>
          <w:szCs w:val="22"/>
          <w:rtl/>
        </w:rPr>
      </w:pPr>
      <w:r>
        <w:rPr>
          <w:rFonts w:ascii="Segoe UI" w:hAnsi="Segoe UI" w:cs="Segoe UI"/>
          <w:sz w:val="22"/>
          <w:szCs w:val="22"/>
        </w:rPr>
        <w:t xml:space="preserve">The Index for </w:t>
      </w:r>
      <w:r w:rsidR="003F4CF0">
        <w:rPr>
          <w:rFonts w:ascii="Segoe UI" w:hAnsi="Segoe UI" w:cs="Segoe UI"/>
          <w:sz w:val="22"/>
          <w:szCs w:val="22"/>
        </w:rPr>
        <w:t>the past two months</w:t>
      </w:r>
      <w:r>
        <w:rPr>
          <w:rFonts w:ascii="Segoe UI" w:hAnsi="Segoe UI" w:cs="Segoe UI"/>
          <w:sz w:val="22"/>
          <w:szCs w:val="22"/>
        </w:rPr>
        <w:t xml:space="preserve"> was revised </w:t>
      </w:r>
      <w:r w:rsidR="0050193B">
        <w:rPr>
          <w:rFonts w:ascii="Segoe UI" w:hAnsi="Segoe UI" w:cs="Segoe UI"/>
          <w:sz w:val="22"/>
          <w:szCs w:val="22"/>
        </w:rPr>
        <w:t>down</w:t>
      </w:r>
      <w:r>
        <w:rPr>
          <w:rFonts w:ascii="Segoe UI" w:hAnsi="Segoe UI" w:cs="Segoe UI"/>
          <w:sz w:val="22"/>
          <w:szCs w:val="22"/>
        </w:rPr>
        <w:t>ward</w:t>
      </w:r>
      <w:r w:rsidR="00E71F14">
        <w:rPr>
          <w:rFonts w:ascii="Segoe UI" w:hAnsi="Segoe UI" w:cs="Segoe UI"/>
          <w:sz w:val="22"/>
          <w:szCs w:val="22"/>
        </w:rPr>
        <w:t xml:space="preserve"> </w:t>
      </w:r>
      <w:r w:rsidR="003F4CF0">
        <w:rPr>
          <w:rFonts w:ascii="Segoe UI" w:hAnsi="Segoe UI" w:cs="Segoe UI"/>
          <w:sz w:val="22"/>
          <w:szCs w:val="22"/>
        </w:rPr>
        <w:t>with</w:t>
      </w:r>
      <w:r w:rsidR="00E71F14">
        <w:rPr>
          <w:rFonts w:ascii="Segoe UI" w:hAnsi="Segoe UI" w:cs="Segoe UI"/>
          <w:sz w:val="22"/>
          <w:szCs w:val="22"/>
        </w:rPr>
        <w:t xml:space="preserve"> the completion of data that were previously missing</w:t>
      </w:r>
      <w:r w:rsidR="003F4CF0">
        <w:rPr>
          <w:rFonts w:ascii="Segoe UI" w:hAnsi="Segoe UI" w:cs="Segoe UI"/>
          <w:sz w:val="22"/>
          <w:szCs w:val="22"/>
        </w:rPr>
        <w:t xml:space="preserve">, </w:t>
      </w:r>
      <w:proofErr w:type="gramStart"/>
      <w:r w:rsidR="0050193B">
        <w:rPr>
          <w:rFonts w:ascii="Segoe UI" w:hAnsi="Segoe UI" w:cs="Segoe UI"/>
          <w:sz w:val="22"/>
          <w:szCs w:val="22"/>
        </w:rPr>
        <w:t>and also</w:t>
      </w:r>
      <w:proofErr w:type="gramEnd"/>
      <w:r w:rsidR="0050193B">
        <w:rPr>
          <w:rFonts w:ascii="Segoe UI" w:hAnsi="Segoe UI" w:cs="Segoe UI"/>
          <w:sz w:val="22"/>
          <w:szCs w:val="22"/>
        </w:rPr>
        <w:t xml:space="preserve"> due to the second estimate of actual GDP</w:t>
      </w:r>
      <w:r w:rsidR="003F4CF0">
        <w:rPr>
          <w:rFonts w:ascii="Segoe UI" w:hAnsi="Segoe UI" w:cs="Segoe UI"/>
          <w:sz w:val="22"/>
          <w:szCs w:val="22"/>
        </w:rPr>
        <w:t xml:space="preserve"> data for the third quarter</w:t>
      </w:r>
      <w:r w:rsidR="0050193B">
        <w:rPr>
          <w:rFonts w:ascii="Segoe UI" w:hAnsi="Segoe UI" w:cs="Segoe UI"/>
          <w:sz w:val="22"/>
          <w:szCs w:val="22"/>
        </w:rPr>
        <w:t>, which was revised downward</w:t>
      </w:r>
      <w:r w:rsidR="00E71F14">
        <w:rPr>
          <w:rFonts w:ascii="Segoe UI" w:hAnsi="Segoe UI" w:cs="Segoe UI"/>
          <w:sz w:val="22"/>
          <w:szCs w:val="22"/>
        </w:rPr>
        <w:t>.</w:t>
      </w:r>
    </w:p>
    <w:p w14:paraId="16EE5324" w14:textId="489AF218" w:rsidR="00B227DE" w:rsidRDefault="00B227DE" w:rsidP="000A560F">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w:t>
      </w:r>
      <w:r w:rsidR="003F4CF0">
        <w:rPr>
          <w:rFonts w:ascii="Segoe UI" w:hAnsi="Segoe UI" w:cs="Segoe UI"/>
          <w:sz w:val="22"/>
          <w:szCs w:val="22"/>
        </w:rPr>
        <w:t xml:space="preserve"> and revisions to the Index</w:t>
      </w:r>
      <w:r>
        <w:rPr>
          <w:rFonts w:ascii="Segoe UI" w:hAnsi="Segoe UI" w:cs="Segoe UI"/>
          <w:sz w:val="22"/>
          <w:szCs w:val="22"/>
        </w:rPr>
        <w:t>, and Table 2 presents the monthly rate of change in the Index’s components.</w:t>
      </w:r>
    </w:p>
    <w:p w14:paraId="7B466BD7" w14:textId="57A4113D" w:rsidR="00D25960" w:rsidRDefault="00D25960" w:rsidP="00D25960">
      <w:pPr>
        <w:pStyle w:val="regpar"/>
      </w:pPr>
    </w:p>
    <w:p w14:paraId="4C362DFF" w14:textId="558F6B7F" w:rsidR="00D25960" w:rsidRDefault="00D25960" w:rsidP="00D25960">
      <w:pPr>
        <w:pStyle w:val="regpar"/>
      </w:pPr>
    </w:p>
    <w:p w14:paraId="7A1BDB7F" w14:textId="19C09AB7" w:rsidR="00D25960" w:rsidRDefault="00D25960" w:rsidP="00D25960">
      <w:pPr>
        <w:pStyle w:val="regpar"/>
      </w:pPr>
    </w:p>
    <w:p w14:paraId="0CFC1076" w14:textId="3D103843" w:rsidR="00D25960" w:rsidRDefault="00D25960" w:rsidP="00D25960">
      <w:pPr>
        <w:pStyle w:val="regpar"/>
      </w:pPr>
    </w:p>
    <w:p w14:paraId="324B416D" w14:textId="0C19B955" w:rsidR="00D25960" w:rsidRDefault="00D25960" w:rsidP="00D25960">
      <w:pPr>
        <w:pStyle w:val="regpar"/>
      </w:pPr>
    </w:p>
    <w:p w14:paraId="51E7B756" w14:textId="417146B1" w:rsidR="00D25960" w:rsidRDefault="00D25960" w:rsidP="00D25960">
      <w:pPr>
        <w:pStyle w:val="regpar"/>
      </w:pPr>
    </w:p>
    <w:p w14:paraId="31B1D615" w14:textId="0E6EBF0B" w:rsidR="00D25960" w:rsidRDefault="00D25960" w:rsidP="00D25960">
      <w:pPr>
        <w:pStyle w:val="regpar"/>
      </w:pPr>
    </w:p>
    <w:p w14:paraId="49A3D38D" w14:textId="2CF797CC" w:rsidR="00D25960" w:rsidRDefault="00D25960" w:rsidP="00D25960">
      <w:pPr>
        <w:pStyle w:val="regpar"/>
      </w:pPr>
    </w:p>
    <w:p w14:paraId="31874334" w14:textId="77777777" w:rsidR="00D25960" w:rsidRPr="00D25960" w:rsidRDefault="00D25960" w:rsidP="00D25960">
      <w:pPr>
        <w:pStyle w:val="regpar"/>
      </w:pPr>
    </w:p>
    <w:p w14:paraId="049EFA40" w14:textId="0F7708E3"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lastRenderedPageBreak/>
        <w:t>FIGURE 1</w:t>
      </w:r>
      <w:r w:rsidR="000A560F">
        <w:rPr>
          <w:rFonts w:ascii="Segoe UI" w:hAnsi="Segoe UI" w:cs="Segoe UI"/>
          <w:b/>
          <w:bCs/>
          <w:sz w:val="22"/>
          <w:szCs w:val="22"/>
        </w:rPr>
        <w:t>: The Monthly Index of Economic Activity</w:t>
      </w:r>
    </w:p>
    <w:p w14:paraId="649C93E0" w14:textId="1C31C650" w:rsidR="00D25960" w:rsidRPr="00D25960" w:rsidRDefault="00D25960" w:rsidP="00D25960">
      <w:pPr>
        <w:pStyle w:val="regpar"/>
      </w:pPr>
      <w:r w:rsidRPr="00D25960">
        <w:rPr>
          <w:noProof/>
        </w:rPr>
        <w:drawing>
          <wp:inline distT="0" distB="0" distL="0" distR="0" wp14:anchorId="71C6816D" wp14:editId="352E08C2">
            <wp:extent cx="5760720" cy="3438497"/>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38497"/>
                    </a:xfrm>
                    <a:prstGeom prst="rect">
                      <a:avLst/>
                    </a:prstGeom>
                    <a:noFill/>
                    <a:ln>
                      <a:noFill/>
                    </a:ln>
                  </pic:spPr>
                </pic:pic>
              </a:graphicData>
            </a:graphic>
          </wp:inline>
        </w:drawing>
      </w:r>
    </w:p>
    <w:p w14:paraId="549CE8C4" w14:textId="77777777" w:rsidR="00D25960" w:rsidRDefault="00D25960">
      <w:pPr>
        <w:rPr>
          <w:noProof/>
        </w:rPr>
      </w:pPr>
    </w:p>
    <w:p w14:paraId="79DE6B4C" w14:textId="77777777" w:rsidR="00D25960" w:rsidRDefault="00D25960"/>
    <w:p w14:paraId="496C8D8E" w14:textId="77777777" w:rsidR="00D25960" w:rsidRDefault="00D25960"/>
    <w:p w14:paraId="02B490AE" w14:textId="77777777" w:rsidR="00D25960" w:rsidRDefault="00D25960">
      <w:r w:rsidRPr="00215DC4">
        <w:rPr>
          <w:rFonts w:ascii="Segoe UI" w:hAnsi="Segoe UI" w:cs="Segoe UI"/>
          <w:noProof/>
        </w:rPr>
        <w:drawing>
          <wp:inline distT="0" distB="0" distL="0" distR="0" wp14:anchorId="137A2C89" wp14:editId="741E04EB">
            <wp:extent cx="5595582" cy="3466640"/>
            <wp:effectExtent l="0" t="0" r="5715" b="63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056" cy="3474368"/>
                    </a:xfrm>
                    <a:prstGeom prst="rect">
                      <a:avLst/>
                    </a:prstGeom>
                    <a:noFill/>
                    <a:ln>
                      <a:noFill/>
                    </a:ln>
                  </pic:spPr>
                </pic:pic>
              </a:graphicData>
            </a:graphic>
          </wp:inline>
        </w:drawing>
      </w:r>
    </w:p>
    <w:p w14:paraId="7D6673E7" w14:textId="77777777" w:rsidR="00CC3F41" w:rsidRPr="00CB19D6" w:rsidRDefault="00CC3F41" w:rsidP="00CC3F41">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Default="00D25960"/>
    <w:p w14:paraId="63E5E225" w14:textId="77777777" w:rsidR="00D25960" w:rsidRDefault="00D25960"/>
    <w:p w14:paraId="70857AE3" w14:textId="77777777" w:rsidR="00CC3F41" w:rsidRDefault="00215DC4" w:rsidP="003A1D71">
      <w:bookmarkStart w:id="0" w:name="_GoBack"/>
      <w:r w:rsidRPr="00215DC4">
        <w:rPr>
          <w:rFonts w:ascii="Segoe UI" w:hAnsi="Segoe UI" w:cs="Segoe UI"/>
          <w:noProof/>
        </w:rPr>
        <w:lastRenderedPageBreak/>
        <w:drawing>
          <wp:inline distT="0" distB="0" distL="0" distR="0" wp14:anchorId="13E27CD1" wp14:editId="536EF933">
            <wp:extent cx="5760059" cy="5738884"/>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6253" cy="5755018"/>
                    </a:xfrm>
                    <a:prstGeom prst="rect">
                      <a:avLst/>
                    </a:prstGeom>
                    <a:noFill/>
                    <a:ln>
                      <a:noFill/>
                    </a:ln>
                  </pic:spPr>
                </pic:pic>
              </a:graphicData>
            </a:graphic>
          </wp:inline>
        </w:drawing>
      </w:r>
      <w:bookmarkEnd w:id="0"/>
    </w:p>
    <w:sectPr w:rsidR="00CC3F41"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07C77B73" w14:textId="5FC9A265" w:rsidR="00B227DE" w:rsidRPr="00215DC4" w:rsidRDefault="00B227DE" w:rsidP="00215DC4">
      <w:pPr>
        <w:pStyle w:val="a7"/>
        <w:jc w:val="both"/>
        <w:rPr>
          <w:rFonts w:ascii="Segoe UI" w:hAnsi="Segoe UI" w:cs="Segoe UI"/>
          <w:rtl/>
        </w:rPr>
      </w:pPr>
      <w:r w:rsidRPr="00215DC4">
        <w:rPr>
          <w:rStyle w:val="a6"/>
          <w:rFonts w:ascii="Segoe UI" w:hAnsi="Segoe UI" w:cs="Segoe UI"/>
          <w:sz w:val="20"/>
          <w:szCs w:val="20"/>
        </w:rPr>
        <w:footnoteRef/>
      </w:r>
      <w:r w:rsidRPr="00215DC4">
        <w:rPr>
          <w:rFonts w:ascii="Segoe UI" w:hAnsi="Segoe UI" w:cs="Segoe UI"/>
        </w:rPr>
        <w:t xml:space="preserve"> The monthly Index of Economic Activity reflects the three-month average of the estimated monthly growth of GDP.  The estimate </w:t>
      </w:r>
      <w:proofErr w:type="gramStart"/>
      <w:r w:rsidRPr="00215DC4">
        <w:rPr>
          <w:rFonts w:ascii="Segoe UI" w:hAnsi="Segoe UI" w:cs="Segoe UI"/>
        </w:rPr>
        <w:t>is based</w:t>
      </w:r>
      <w:proofErr w:type="gramEnd"/>
      <w:r w:rsidRPr="00215DC4">
        <w:rPr>
          <w:rFonts w:ascii="Segoe UI" w:hAnsi="Segoe UI" w:cs="Segoe UI"/>
        </w:rPr>
        <w:t xml:space="preserve"> on a model developed at the Bank of Israel (</w:t>
      </w:r>
      <w:proofErr w:type="spellStart"/>
      <w:r w:rsidRPr="00215DC4">
        <w:rPr>
          <w:rFonts w:ascii="Segoe UI" w:hAnsi="Segoe UI" w:cs="Segoe UI"/>
        </w:rPr>
        <w:t>Ginker</w:t>
      </w:r>
      <w:proofErr w:type="spellEnd"/>
      <w:r w:rsidRPr="00215DC4">
        <w:rPr>
          <w:rFonts w:ascii="Segoe UI" w:hAnsi="Segoe UI" w:cs="Segoe UI"/>
        </w:rPr>
        <w:t xml:space="preserve"> and </w:t>
      </w:r>
      <w:proofErr w:type="spellStart"/>
      <w:r w:rsidRPr="00215DC4">
        <w:rPr>
          <w:rFonts w:ascii="Segoe UI" w:hAnsi="Segoe UI" w:cs="Segoe UI"/>
        </w:rPr>
        <w:t>Suhoy</w:t>
      </w:r>
      <w:proofErr w:type="spellEnd"/>
      <w:r w:rsidRPr="00215DC4">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B39"/>
    <w:rsid w:val="003A6723"/>
    <w:rsid w:val="003B0942"/>
    <w:rsid w:val="003B2C70"/>
    <w:rsid w:val="003B4074"/>
    <w:rsid w:val="003B4DF1"/>
    <w:rsid w:val="003C3B6F"/>
    <w:rsid w:val="003C522E"/>
    <w:rsid w:val="003C6E15"/>
    <w:rsid w:val="003D0E36"/>
    <w:rsid w:val="003D71F7"/>
    <w:rsid w:val="003E0432"/>
    <w:rsid w:val="003E107B"/>
    <w:rsid w:val="003F360E"/>
    <w:rsid w:val="003F4CF0"/>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193B"/>
    <w:rsid w:val="00503622"/>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960"/>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5B5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6A9B"/>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F1A4D-4942-4533-BB03-56FE07B6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1773</Characters>
  <Application>Microsoft Office Word</Application>
  <DocSecurity>4</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