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76912" w14:textId="7F6F7258" w:rsidR="00DA6FE9" w:rsidRDefault="00DA6FE9" w:rsidP="00DA6FE9">
      <w:pPr>
        <w:pStyle w:val="regpar"/>
        <w:spacing w:line="300" w:lineRule="atLeast"/>
        <w:ind w:firstLine="0"/>
        <w:jc w:val="center"/>
        <w:rPr>
          <w:b/>
          <w:sz w:val="28"/>
          <w:szCs w:val="28"/>
        </w:rPr>
      </w:pPr>
      <w:r>
        <w:rPr>
          <w:noProof/>
        </w:rPr>
        <w:drawing>
          <wp:inline distT="0" distB="0" distL="0" distR="0" wp14:anchorId="718292D3" wp14:editId="3947A868">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5A81003F" w14:textId="12073F63" w:rsidR="00DA6FE9" w:rsidRPr="00657F32" w:rsidRDefault="00DA6FE9" w:rsidP="00DA6FE9">
      <w:pPr>
        <w:pStyle w:val="regpar"/>
        <w:spacing w:line="300" w:lineRule="atLeast"/>
        <w:ind w:firstLine="0"/>
        <w:jc w:val="center"/>
        <w:rPr>
          <w:b/>
          <w:sz w:val="28"/>
          <w:szCs w:val="28"/>
        </w:rPr>
      </w:pPr>
      <w:r w:rsidRPr="00657F32">
        <w:rPr>
          <w:b/>
          <w:sz w:val="28"/>
          <w:szCs w:val="28"/>
        </w:rPr>
        <w:t>BANK OF ISRAEL</w:t>
      </w:r>
    </w:p>
    <w:p w14:paraId="21F368C6" w14:textId="77777777" w:rsidR="00DA6FE9" w:rsidRDefault="00DA6FE9" w:rsidP="00DA6FE9">
      <w:pPr>
        <w:pStyle w:val="regpar"/>
        <w:spacing w:line="300" w:lineRule="atLeast"/>
        <w:ind w:firstLine="0"/>
        <w:jc w:val="center"/>
        <w:rPr>
          <w:b/>
        </w:rPr>
      </w:pPr>
      <w:r>
        <w:t>Office of the Spokesperson and Economic Information</w:t>
      </w:r>
    </w:p>
    <w:p w14:paraId="3153532E" w14:textId="77777777" w:rsidR="006A415B" w:rsidRPr="006F18D3" w:rsidRDefault="006A415B" w:rsidP="00C2592B">
      <w:pPr>
        <w:pStyle w:val="1"/>
        <w:numPr>
          <w:ilvl w:val="0"/>
          <w:numId w:val="0"/>
        </w:numPr>
        <w:tabs>
          <w:tab w:val="left" w:pos="180"/>
        </w:tabs>
        <w:bidi w:val="0"/>
        <w:spacing w:line="240" w:lineRule="auto"/>
        <w:ind w:right="32"/>
        <w:rPr>
          <w:rtl/>
          <w:lang w:eastAsia="en-US"/>
        </w:rPr>
      </w:pPr>
    </w:p>
    <w:p w14:paraId="064685A0" w14:textId="77777777" w:rsidR="00DA6FE9" w:rsidRDefault="00DA6FE9" w:rsidP="00C2592B">
      <w:pPr>
        <w:pStyle w:val="1"/>
        <w:numPr>
          <w:ilvl w:val="0"/>
          <w:numId w:val="0"/>
        </w:numPr>
        <w:tabs>
          <w:tab w:val="left" w:pos="180"/>
        </w:tabs>
        <w:bidi w:val="0"/>
        <w:spacing w:line="240" w:lineRule="auto"/>
        <w:ind w:right="32"/>
        <w:jc w:val="right"/>
        <w:rPr>
          <w:lang w:eastAsia="en-US"/>
        </w:rPr>
      </w:pPr>
    </w:p>
    <w:p w14:paraId="0B7FE089" w14:textId="11E4892E" w:rsidR="006A415B" w:rsidRPr="006F18D3" w:rsidRDefault="00DA6FE9" w:rsidP="00DA6FE9">
      <w:pPr>
        <w:pStyle w:val="aa"/>
        <w:bidi w:val="0"/>
        <w:spacing w:line="240" w:lineRule="auto"/>
        <w:jc w:val="right"/>
      </w:pPr>
      <w:r w:rsidRPr="00DA6FE9">
        <w:rPr>
          <w:kern w:val="28"/>
          <w:lang w:eastAsia="en-US"/>
        </w:rPr>
        <w:t>January 1, 2024</w:t>
      </w:r>
    </w:p>
    <w:p w14:paraId="43D5A2BD" w14:textId="076F6AAD" w:rsidR="006A415B" w:rsidRPr="006F18D3" w:rsidRDefault="006A415B" w:rsidP="00DA6FE9">
      <w:pPr>
        <w:pStyle w:val="aa"/>
        <w:bidi w:val="0"/>
        <w:spacing w:line="240" w:lineRule="auto"/>
        <w:jc w:val="left"/>
        <w:rPr>
          <w:rFonts w:hint="cs"/>
          <w:b/>
          <w:bCs/>
          <w:sz w:val="26"/>
          <w:szCs w:val="26"/>
          <w:rtl/>
        </w:rPr>
      </w:pPr>
      <w:r w:rsidRPr="006F18D3">
        <w:rPr>
          <w:b/>
          <w:bCs/>
          <w:sz w:val="26"/>
          <w:szCs w:val="26"/>
        </w:rPr>
        <w:t>Press Release</w:t>
      </w:r>
      <w:r w:rsidR="00DA6FE9">
        <w:rPr>
          <w:b/>
          <w:bCs/>
          <w:sz w:val="26"/>
          <w:szCs w:val="26"/>
        </w:rPr>
        <w:t>:</w:t>
      </w:r>
    </w:p>
    <w:p w14:paraId="75D1049F" w14:textId="77777777" w:rsidR="006A415B" w:rsidRPr="006F18D3" w:rsidRDefault="006A415B" w:rsidP="00C2592B">
      <w:pPr>
        <w:jc w:val="center"/>
        <w:rPr>
          <w:b/>
          <w:bCs/>
          <w:rtl/>
        </w:rPr>
      </w:pPr>
    </w:p>
    <w:p w14:paraId="6EAB5167" w14:textId="34868B34" w:rsidR="006A415B" w:rsidRPr="00FE52C4" w:rsidRDefault="006A415B" w:rsidP="00A14AFB">
      <w:pPr>
        <w:jc w:val="center"/>
        <w:rPr>
          <w:b/>
          <w:bCs/>
          <w:sz w:val="32"/>
          <w:szCs w:val="32"/>
        </w:rPr>
      </w:pPr>
      <w:r w:rsidRPr="00FE52C4">
        <w:rPr>
          <w:b/>
          <w:bCs/>
          <w:sz w:val="32"/>
          <w:szCs w:val="32"/>
        </w:rPr>
        <w:t xml:space="preserve">The Monetary Committee decides on </w:t>
      </w:r>
      <w:r w:rsidR="00A14AFB">
        <w:rPr>
          <w:b/>
          <w:bCs/>
          <w:sz w:val="32"/>
          <w:szCs w:val="32"/>
        </w:rPr>
        <w:t>January 1, 2024</w:t>
      </w:r>
      <w:r w:rsidRPr="00FE52C4">
        <w:rPr>
          <w:b/>
          <w:bCs/>
          <w:sz w:val="32"/>
          <w:szCs w:val="32"/>
        </w:rPr>
        <w:t xml:space="preserve"> </w:t>
      </w:r>
    </w:p>
    <w:p w14:paraId="3D5ED02F" w14:textId="2C1EB184" w:rsidR="006A415B" w:rsidRPr="006F18D3" w:rsidRDefault="006A415B" w:rsidP="00DA6FE9">
      <w:pPr>
        <w:jc w:val="center"/>
        <w:rPr>
          <w:b/>
          <w:bCs/>
          <w:sz w:val="32"/>
          <w:szCs w:val="32"/>
        </w:rPr>
      </w:pPr>
      <w:proofErr w:type="gramStart"/>
      <w:r w:rsidRPr="000A7BAF">
        <w:rPr>
          <w:b/>
          <w:bCs/>
          <w:sz w:val="32"/>
          <w:szCs w:val="32"/>
        </w:rPr>
        <w:t>to</w:t>
      </w:r>
      <w:proofErr w:type="gramEnd"/>
      <w:r w:rsidRPr="000A7BAF">
        <w:rPr>
          <w:b/>
          <w:bCs/>
          <w:sz w:val="32"/>
          <w:szCs w:val="32"/>
        </w:rPr>
        <w:t xml:space="preserve"> </w:t>
      </w:r>
      <w:r w:rsidR="00DA6FE9">
        <w:rPr>
          <w:b/>
          <w:bCs/>
          <w:sz w:val="32"/>
          <w:szCs w:val="32"/>
        </w:rPr>
        <w:t>reduce</w:t>
      </w:r>
      <w:r w:rsidR="00CB5669" w:rsidRPr="000A7BAF">
        <w:rPr>
          <w:b/>
          <w:bCs/>
          <w:sz w:val="32"/>
          <w:szCs w:val="32"/>
        </w:rPr>
        <w:t xml:space="preserve"> </w:t>
      </w:r>
      <w:r w:rsidR="00773125" w:rsidRPr="000A7BAF">
        <w:rPr>
          <w:b/>
          <w:bCs/>
          <w:sz w:val="32"/>
          <w:szCs w:val="32"/>
        </w:rPr>
        <w:t>the interest rate</w:t>
      </w:r>
      <w:r w:rsidR="00B14C6C" w:rsidRPr="000A7BAF">
        <w:rPr>
          <w:b/>
          <w:bCs/>
          <w:sz w:val="32"/>
          <w:szCs w:val="32"/>
        </w:rPr>
        <w:t xml:space="preserve"> </w:t>
      </w:r>
      <w:r w:rsidR="00DA6FE9">
        <w:rPr>
          <w:b/>
          <w:bCs/>
          <w:sz w:val="32"/>
          <w:szCs w:val="32"/>
        </w:rPr>
        <w:t>by 0.25% to 4.5%</w:t>
      </w:r>
    </w:p>
    <w:p w14:paraId="796566F9" w14:textId="77777777" w:rsidR="003768D8" w:rsidRPr="006F18D3" w:rsidRDefault="003768D8" w:rsidP="00C2592B">
      <w:pPr>
        <w:rPr>
          <w:b/>
          <w:bCs/>
          <w:sz w:val="32"/>
          <w:szCs w:val="32"/>
        </w:rPr>
      </w:pPr>
    </w:p>
    <w:p w14:paraId="422C5EBC" w14:textId="77777777" w:rsidR="000512B0" w:rsidRPr="006F18D3" w:rsidRDefault="000512B0" w:rsidP="00C2592B">
      <w:pPr>
        <w:jc w:val="both"/>
      </w:pPr>
    </w:p>
    <w:p w14:paraId="07FA404A" w14:textId="71C3C039" w:rsidR="008D5EB4" w:rsidRDefault="008D5EB4" w:rsidP="004A3665">
      <w:pPr>
        <w:pStyle w:val="ac"/>
        <w:numPr>
          <w:ilvl w:val="0"/>
          <w:numId w:val="8"/>
        </w:numPr>
        <w:bidi w:val="0"/>
        <w:spacing w:line="240" w:lineRule="auto"/>
      </w:pPr>
      <w:bookmarkStart w:id="0" w:name="_GoBack"/>
      <w:r>
        <w:t>The war is having significant economic consequences, both on real economic activity and on the financial markets.  The</w:t>
      </w:r>
      <w:r w:rsidR="00651B09">
        <w:t>re</w:t>
      </w:r>
      <w:r>
        <w:t xml:space="preserve"> is </w:t>
      </w:r>
      <w:r w:rsidR="009A1B5F">
        <w:t xml:space="preserve">a </w:t>
      </w:r>
      <w:r w:rsidR="004A3665">
        <w:t>great</w:t>
      </w:r>
      <w:r>
        <w:t xml:space="preserve"> amount of uncertainty with regard to the expected </w:t>
      </w:r>
      <w:r w:rsidR="004A3665">
        <w:t xml:space="preserve">severity </w:t>
      </w:r>
      <w:r>
        <w:t xml:space="preserve">and duration of the war, which is in turn affecting the extent of the impact </w:t>
      </w:r>
      <w:r w:rsidR="00651B09">
        <w:t>on</w:t>
      </w:r>
      <w:r>
        <w:t xml:space="preserve"> activity.</w:t>
      </w:r>
    </w:p>
    <w:p w14:paraId="3B3B2AF0" w14:textId="45877965" w:rsidR="001E34CC" w:rsidRDefault="009A1B5F" w:rsidP="00797A81">
      <w:pPr>
        <w:pStyle w:val="ac"/>
        <w:numPr>
          <w:ilvl w:val="0"/>
          <w:numId w:val="8"/>
        </w:numPr>
        <w:bidi w:val="0"/>
        <w:spacing w:line="240" w:lineRule="auto"/>
      </w:pPr>
      <w:r>
        <w:t>The pace of i</w:t>
      </w:r>
      <w:r w:rsidR="001E34CC" w:rsidRPr="007F290D">
        <w:t>nflation</w:t>
      </w:r>
      <w:r w:rsidR="008D5EB4">
        <w:t xml:space="preserve"> </w:t>
      </w:r>
      <w:r>
        <w:t>continues to</w:t>
      </w:r>
      <w:r w:rsidR="007F290D">
        <w:t xml:space="preserve"> </w:t>
      </w:r>
      <w:r>
        <w:t>decline</w:t>
      </w:r>
      <w:r w:rsidR="007F290D">
        <w:t>,</w:t>
      </w:r>
      <w:r w:rsidR="00560CDB">
        <w:t xml:space="preserve"> and an analysis of the inflation dynamic, measured both quarterly and semiannually, also shows that the pace of inflation is </w:t>
      </w:r>
      <w:proofErr w:type="gramStart"/>
      <w:r w:rsidR="00560CDB">
        <w:t>moderating</w:t>
      </w:r>
      <w:proofErr w:type="gramEnd"/>
      <w:r w:rsidR="00560CDB">
        <w:t>.</w:t>
      </w:r>
      <w:r w:rsidR="008D5EB4">
        <w:t xml:space="preserve"> </w:t>
      </w:r>
      <w:r w:rsidR="00560CDB">
        <w:t>I</w:t>
      </w:r>
      <w:r>
        <w:t xml:space="preserve">nflation </w:t>
      </w:r>
      <w:r w:rsidR="008D5EB4">
        <w:t>expectations</w:t>
      </w:r>
      <w:r w:rsidR="00560CDB">
        <w:t xml:space="preserve"> from </w:t>
      </w:r>
      <w:r w:rsidR="00797A81">
        <w:t>various</w:t>
      </w:r>
      <w:r w:rsidR="00560CDB">
        <w:t xml:space="preserve"> sources </w:t>
      </w:r>
      <w:r w:rsidR="008D78E5" w:rsidRPr="007F290D">
        <w:t>are</w:t>
      </w:r>
      <w:r>
        <w:t xml:space="preserve"> </w:t>
      </w:r>
      <w:r w:rsidR="00560CDB">
        <w:t>that inflation will enter the target range in the first quarter of the year</w:t>
      </w:r>
      <w:r w:rsidR="008D78E5" w:rsidRPr="007F290D">
        <w:t>.</w:t>
      </w:r>
      <w:r w:rsidR="00441BDC" w:rsidRPr="007F290D">
        <w:t xml:space="preserve"> </w:t>
      </w:r>
    </w:p>
    <w:p w14:paraId="4ADDA157" w14:textId="0AB17CE1" w:rsidR="008D5EB4" w:rsidRDefault="00560CDB" w:rsidP="003D0C09">
      <w:pPr>
        <w:pStyle w:val="ac"/>
        <w:numPr>
          <w:ilvl w:val="0"/>
          <w:numId w:val="8"/>
        </w:numPr>
        <w:bidi w:val="0"/>
        <w:spacing w:line="240" w:lineRule="auto"/>
      </w:pPr>
      <w:r>
        <w:t xml:space="preserve">In the financial markets, there is </w:t>
      </w:r>
      <w:r w:rsidR="003D0C09">
        <w:t>has been a sharp</w:t>
      </w:r>
      <w:r>
        <w:t xml:space="preserve"> recovery following the declines at the beginning of the war. </w:t>
      </w:r>
      <w:r w:rsidR="009A1B5F">
        <w:t xml:space="preserve">Since the previous interest rate decision, the </w:t>
      </w:r>
      <w:r w:rsidR="008D5EB4" w:rsidRPr="00851499">
        <w:t xml:space="preserve">shekel </w:t>
      </w:r>
      <w:r w:rsidR="00851499" w:rsidRPr="00851499">
        <w:t>strengthened</w:t>
      </w:r>
      <w:r w:rsidR="00851499">
        <w:t xml:space="preserve"> </w:t>
      </w:r>
      <w:r w:rsidR="009A1B5F">
        <w:t>by 2.7 percent against the US dollar, by 1.7 percent against the euro, and by 2 percent in terms of the nominal effective exchange rate</w:t>
      </w:r>
      <w:r w:rsidR="008D5EB4">
        <w:t>.</w:t>
      </w:r>
    </w:p>
    <w:p w14:paraId="3C5B55F0" w14:textId="149982D4" w:rsidR="00145BF6" w:rsidRDefault="00145BF6" w:rsidP="00265177">
      <w:pPr>
        <w:pStyle w:val="ac"/>
        <w:numPr>
          <w:ilvl w:val="0"/>
          <w:numId w:val="8"/>
        </w:numPr>
        <w:bidi w:val="0"/>
        <w:spacing w:line="240" w:lineRule="auto"/>
      </w:pPr>
      <w:r>
        <w:t xml:space="preserve">The Bank of Israel Research Department </w:t>
      </w:r>
      <w:r w:rsidR="009A1B5F">
        <w:t>published i</w:t>
      </w:r>
      <w:r w:rsidR="008D5EB4">
        <w:t xml:space="preserve">ts </w:t>
      </w:r>
      <w:r w:rsidR="009A1B5F">
        <w:t>staff</w:t>
      </w:r>
      <w:r w:rsidR="008D5EB4">
        <w:t xml:space="preserve"> forecast, and in its estimation, GDP will grow by 2 percent in each of 2023 and 2024</w:t>
      </w:r>
      <w:r w:rsidR="009A1B5F">
        <w:t>, and by 5 percent in 2025</w:t>
      </w:r>
      <w:r w:rsidR="008D5EB4">
        <w:t>.</w:t>
      </w:r>
      <w:r w:rsidR="009A1B5F">
        <w:t xml:space="preserve">  In view of the war, the forecast features an especially high level of uncertainty, including with regard to decisions that the gov</w:t>
      </w:r>
      <w:r w:rsidR="00560CDB">
        <w:t>ernment will</w:t>
      </w:r>
      <w:r w:rsidR="003D0C09">
        <w:t xml:space="preserve"> need to</w:t>
      </w:r>
      <w:r w:rsidR="00560CDB">
        <w:t xml:space="preserve"> make regarding how the budget will</w:t>
      </w:r>
      <w:r w:rsidR="009A1B5F">
        <w:t xml:space="preserve"> deal with the defense and civilian needs </w:t>
      </w:r>
      <w:r w:rsidR="00265177">
        <w:t>arising</w:t>
      </w:r>
      <w:r w:rsidR="009A1B5F">
        <w:t xml:space="preserve"> from the war.</w:t>
      </w:r>
    </w:p>
    <w:p w14:paraId="269F2BEE" w14:textId="25338917" w:rsidR="009A1B5F" w:rsidRDefault="009A1B5F" w:rsidP="009A1B5F">
      <w:pPr>
        <w:pStyle w:val="ac"/>
        <w:numPr>
          <w:ilvl w:val="0"/>
          <w:numId w:val="8"/>
        </w:numPr>
        <w:bidi w:val="0"/>
        <w:spacing w:line="240" w:lineRule="auto"/>
      </w:pPr>
      <w:r>
        <w:t>Indicators of economic activity and the state of employment point to a gradual recovery following the sharp decline that took place with the outbreak of the war, but there is a lot of variance between industries.</w:t>
      </w:r>
    </w:p>
    <w:p w14:paraId="048AF6AF" w14:textId="4417290A" w:rsidR="00145BF6" w:rsidRDefault="00560CDB" w:rsidP="00560CDB">
      <w:pPr>
        <w:pStyle w:val="ac"/>
        <w:numPr>
          <w:ilvl w:val="0"/>
          <w:numId w:val="8"/>
        </w:numPr>
        <w:bidi w:val="0"/>
        <w:spacing w:line="240" w:lineRule="auto"/>
      </w:pPr>
      <w:r>
        <w:t xml:space="preserve">In the past 12 months, home prices have declined by 1.3 percent.  </w:t>
      </w:r>
      <w:r w:rsidR="008D5EB4">
        <w:t xml:space="preserve">The volume of activity in the housing market continues to moderate, and the industry </w:t>
      </w:r>
      <w:r w:rsidR="00851499">
        <w:t>is experiencing difficulties as a result</w:t>
      </w:r>
      <w:r w:rsidR="008D5EB4">
        <w:t xml:space="preserve"> of the war.  </w:t>
      </w:r>
    </w:p>
    <w:p w14:paraId="7EACB6FB" w14:textId="704DCE0F" w:rsidR="00145BF6" w:rsidRDefault="00680DD3" w:rsidP="009A1B5F">
      <w:pPr>
        <w:pStyle w:val="ac"/>
        <w:numPr>
          <w:ilvl w:val="0"/>
          <w:numId w:val="8"/>
        </w:numPr>
        <w:bidi w:val="0"/>
        <w:spacing w:line="240" w:lineRule="auto"/>
      </w:pPr>
      <w:r>
        <w:t>In the credit market, the</w:t>
      </w:r>
      <w:r w:rsidR="00E63DBF">
        <w:t xml:space="preserve"> slowing</w:t>
      </w:r>
      <w:r>
        <w:t xml:space="preserve"> trend of bank credit</w:t>
      </w:r>
      <w:r w:rsidR="00E63DBF">
        <w:t xml:space="preserve"> to businesses</w:t>
      </w:r>
      <w:r w:rsidR="009A1B5F">
        <w:t xml:space="preserve"> and households continues, in parallel with the general slowdown in economic activity</w:t>
      </w:r>
      <w:r w:rsidR="00E63DBF">
        <w:t>.</w:t>
      </w:r>
    </w:p>
    <w:p w14:paraId="73E71187" w14:textId="71B51208" w:rsidR="009A1B5F" w:rsidRDefault="009A1B5F" w:rsidP="00560CDB">
      <w:pPr>
        <w:pStyle w:val="ac"/>
        <w:numPr>
          <w:ilvl w:val="0"/>
          <w:numId w:val="8"/>
        </w:numPr>
        <w:bidi w:val="0"/>
        <w:spacing w:line="240" w:lineRule="auto"/>
      </w:pPr>
      <w:r>
        <w:t>Globally, economic activity</w:t>
      </w:r>
      <w:r w:rsidR="00560CDB">
        <w:t xml:space="preserve"> and inflation</w:t>
      </w:r>
      <w:r>
        <w:t xml:space="preserve"> in the major countries </w:t>
      </w:r>
      <w:r w:rsidR="00560CDB">
        <w:t>are</w:t>
      </w:r>
      <w:r>
        <w:t xml:space="preserve"> moderating, as world trade continue</w:t>
      </w:r>
      <w:r w:rsidR="00560CDB">
        <w:t>s</w:t>
      </w:r>
      <w:r>
        <w:t xml:space="preserve"> to indicate weakness</w:t>
      </w:r>
      <w:r w:rsidR="00560CDB">
        <w:t xml:space="preserve"> and there are assessments that central banks will begin a process of monetary accommodation during 2024</w:t>
      </w:r>
      <w:r>
        <w:t>.</w:t>
      </w:r>
    </w:p>
    <w:p w14:paraId="2959C532" w14:textId="77777777" w:rsidR="00BA018E" w:rsidRPr="007F290D" w:rsidRDefault="00BA018E" w:rsidP="00C2592B"/>
    <w:p w14:paraId="73F8BC61" w14:textId="48DD3BFA" w:rsidR="002919ED" w:rsidRPr="00004259" w:rsidRDefault="003E2FB9" w:rsidP="00560CDB">
      <w:pPr>
        <w:jc w:val="both"/>
        <w:rPr>
          <w:b/>
          <w:bCs/>
        </w:rPr>
      </w:pPr>
      <w:r>
        <w:rPr>
          <w:b/>
          <w:bCs/>
        </w:rPr>
        <w:t xml:space="preserve">In view of the war, the Monetary Committee’s policy is focusing on </w:t>
      </w:r>
      <w:r w:rsidRPr="00560CDB">
        <w:rPr>
          <w:b/>
          <w:bCs/>
        </w:rPr>
        <w:t xml:space="preserve">stabilizing the markets and reducing uncertainty, </w:t>
      </w:r>
      <w:r w:rsidR="008D5EB4" w:rsidRPr="00560CDB">
        <w:rPr>
          <w:b/>
          <w:bCs/>
        </w:rPr>
        <w:t>alongside price stability and supporting economic activity.  The interest rate path</w:t>
      </w:r>
      <w:r w:rsidRPr="00560CDB">
        <w:rPr>
          <w:b/>
          <w:bCs/>
        </w:rPr>
        <w:t xml:space="preserve"> will be determined in accordance with</w:t>
      </w:r>
      <w:r w:rsidR="00560CDB" w:rsidRPr="00560CDB">
        <w:rPr>
          <w:b/>
          <w:bCs/>
        </w:rPr>
        <w:t xml:space="preserve"> the continued convergence of </w:t>
      </w:r>
      <w:r w:rsidR="00560CDB" w:rsidRPr="00560CDB">
        <w:rPr>
          <w:b/>
          <w:bCs/>
        </w:rPr>
        <w:lastRenderedPageBreak/>
        <w:t>inflation to its target, continued stability in the</w:t>
      </w:r>
      <w:r w:rsidR="00851499" w:rsidRPr="00560CDB">
        <w:rPr>
          <w:b/>
          <w:bCs/>
        </w:rPr>
        <w:t xml:space="preserve"> </w:t>
      </w:r>
      <w:r w:rsidR="008D5EB4" w:rsidRPr="00560CDB">
        <w:rPr>
          <w:b/>
          <w:bCs/>
        </w:rPr>
        <w:t>financial markets</w:t>
      </w:r>
      <w:r w:rsidR="00560CDB" w:rsidRPr="00560CDB">
        <w:rPr>
          <w:b/>
          <w:bCs/>
        </w:rPr>
        <w:t xml:space="preserve">, </w:t>
      </w:r>
      <w:r w:rsidR="008D5EB4" w:rsidRPr="00560CDB">
        <w:rPr>
          <w:b/>
          <w:bCs/>
        </w:rPr>
        <w:t>economic activity</w:t>
      </w:r>
      <w:r w:rsidR="00560CDB" w:rsidRPr="00560CDB">
        <w:rPr>
          <w:b/>
          <w:bCs/>
        </w:rPr>
        <w:t>, and fiscal policy</w:t>
      </w:r>
      <w:r w:rsidR="008D5EB4" w:rsidRPr="00560CDB">
        <w:rPr>
          <w:b/>
          <w:bCs/>
        </w:rPr>
        <w:t>.</w:t>
      </w:r>
    </w:p>
    <w:p w14:paraId="58249C36" w14:textId="0F89AB65" w:rsidR="000B7A80" w:rsidRPr="00004259" w:rsidRDefault="000B7A80" w:rsidP="00C2592B">
      <w:pPr>
        <w:jc w:val="both"/>
        <w:rPr>
          <w:b/>
          <w:bCs/>
        </w:rPr>
      </w:pPr>
    </w:p>
    <w:p w14:paraId="2ADBB1AC" w14:textId="77777777" w:rsidR="00514240" w:rsidRPr="00004259" w:rsidRDefault="00514240" w:rsidP="00C2592B">
      <w:pPr>
        <w:jc w:val="both"/>
        <w:rPr>
          <w:b/>
          <w:bCs/>
        </w:rPr>
      </w:pPr>
    </w:p>
    <w:p w14:paraId="493BE23C" w14:textId="77777777" w:rsidR="007B5771" w:rsidRPr="006F18D3" w:rsidRDefault="007B5771" w:rsidP="00C2592B">
      <w:pPr>
        <w:rPr>
          <w:b/>
          <w:bCs/>
        </w:rPr>
      </w:pPr>
      <w:r w:rsidRPr="00004259">
        <w:rPr>
          <w:b/>
          <w:bCs/>
        </w:rPr>
        <w:t>For the file of figures accompanying this notice, click here.</w:t>
      </w:r>
    </w:p>
    <w:p w14:paraId="1962EDF8" w14:textId="77777777" w:rsidR="002E392D" w:rsidRPr="006F18D3" w:rsidRDefault="002E392D" w:rsidP="00C2592B">
      <w:pPr>
        <w:jc w:val="both"/>
      </w:pPr>
    </w:p>
    <w:p w14:paraId="7D939A49" w14:textId="0513A0C4" w:rsidR="009D5198" w:rsidRDefault="009D5198" w:rsidP="00797A81">
      <w:pPr>
        <w:jc w:val="both"/>
      </w:pPr>
      <w:r>
        <w:t xml:space="preserve">The State of Israel </w:t>
      </w:r>
      <w:r w:rsidR="0099673E">
        <w:t>has been at war for three months.  Beyond the security effects of the war, it</w:t>
      </w:r>
      <w:r>
        <w:t xml:space="preserve"> </w:t>
      </w:r>
      <w:r w:rsidR="008D5EB4">
        <w:t xml:space="preserve">is </w:t>
      </w:r>
      <w:r>
        <w:t>ha</w:t>
      </w:r>
      <w:r w:rsidR="008D5EB4">
        <w:t>ving</w:t>
      </w:r>
      <w:r>
        <w:t xml:space="preserve"> </w:t>
      </w:r>
      <w:r w:rsidR="008D5EB4">
        <w:t>significant</w:t>
      </w:r>
      <w:r>
        <w:t xml:space="preserve"> economic </w:t>
      </w:r>
      <w:r w:rsidR="008D5EB4">
        <w:t>consequences</w:t>
      </w:r>
      <w:r>
        <w:t xml:space="preserve">, both on real activity and on the financial markets.  </w:t>
      </w:r>
      <w:r w:rsidR="00651B09">
        <w:t>Indicators of economic activity point to</w:t>
      </w:r>
      <w:r w:rsidR="00851499">
        <w:t xml:space="preserve"> </w:t>
      </w:r>
      <w:r w:rsidR="0099673E">
        <w:t xml:space="preserve">a </w:t>
      </w:r>
      <w:r w:rsidR="00651B09">
        <w:t>gradual recovery</w:t>
      </w:r>
      <w:r w:rsidR="0099673E">
        <w:t xml:space="preserve"> of activity, following a significant contraction in business activity with the outbreak of the war</w:t>
      </w:r>
      <w:r w:rsidR="00651B09">
        <w:t xml:space="preserve">.  </w:t>
      </w:r>
      <w:r w:rsidR="00797A81">
        <w:t xml:space="preserve">Volatility in the markets has moderated, and the financial markets are functioning properly. </w:t>
      </w:r>
      <w:r w:rsidR="00651B09">
        <w:t xml:space="preserve">There is </w:t>
      </w:r>
      <w:r w:rsidR="00851499">
        <w:t>great</w:t>
      </w:r>
      <w:r w:rsidR="00651B09">
        <w:t xml:space="preserve"> uncertainty with regard to the expected </w:t>
      </w:r>
      <w:r w:rsidR="00851499">
        <w:t>severity</w:t>
      </w:r>
      <w:r w:rsidR="00651B09">
        <w:t xml:space="preserve"> and duration of the war, which is in turn affecting the extent of the impact on activity.  The </w:t>
      </w:r>
      <w:r w:rsidR="00797A81">
        <w:t xml:space="preserve">foundations of the </w:t>
      </w:r>
      <w:r w:rsidR="00651B09">
        <w:t xml:space="preserve">Israeli economy </w:t>
      </w:r>
      <w:r w:rsidR="00797A81">
        <w:t>are</w:t>
      </w:r>
      <w:r w:rsidR="00651B09">
        <w:t xml:space="preserve"> strong, and in the past </w:t>
      </w:r>
      <w:r w:rsidR="00797A81">
        <w:t>the economy</w:t>
      </w:r>
      <w:r w:rsidR="00651B09">
        <w:t xml:space="preserve"> has demonstrated its ability to recover from difficult periods.  Since the outbreak of the war, the Bank of Israel has adopted a variety of policy measures to assist the public and the economy in dealing with the consequences of the war.  </w:t>
      </w:r>
    </w:p>
    <w:p w14:paraId="05F290F9" w14:textId="4C6CC588" w:rsidR="009D5198" w:rsidRDefault="009D5198" w:rsidP="009D5198">
      <w:pPr>
        <w:jc w:val="both"/>
      </w:pPr>
    </w:p>
    <w:p w14:paraId="2929E55E" w14:textId="0F894A96" w:rsidR="000C1D36" w:rsidRDefault="00AD34AB" w:rsidP="004A1D7D">
      <w:pPr>
        <w:jc w:val="both"/>
      </w:pPr>
      <w:r>
        <w:t xml:space="preserve">The pace of inflation continues to decline, while inflation expectations are stable within the target range.  </w:t>
      </w:r>
      <w:r w:rsidR="00651B09">
        <w:t>T</w:t>
      </w:r>
      <w:r w:rsidR="00822F9B" w:rsidRPr="006F18D3">
        <w:t xml:space="preserve">he CPI </w:t>
      </w:r>
      <w:r>
        <w:t>declin</w:t>
      </w:r>
      <w:r w:rsidR="00651B09">
        <w:t>ed b</w:t>
      </w:r>
      <w:r w:rsidR="00822F9B" w:rsidRPr="006F18D3">
        <w:t>y 0.</w:t>
      </w:r>
      <w:r>
        <w:t>3</w:t>
      </w:r>
      <w:r w:rsidR="00822F9B" w:rsidRPr="006F18D3">
        <w:t xml:space="preserve"> percent in</w:t>
      </w:r>
      <w:r w:rsidR="004941E7">
        <w:t xml:space="preserve"> </w:t>
      </w:r>
      <w:r>
        <w:t>Novem</w:t>
      </w:r>
      <w:r w:rsidR="009D5198">
        <w:t>ber</w:t>
      </w:r>
      <w:r w:rsidR="00651B09">
        <w:t>.</w:t>
      </w:r>
      <w:r w:rsidR="0041770E">
        <w:t xml:space="preserve"> </w:t>
      </w:r>
      <w:r w:rsidR="00194663">
        <w:t xml:space="preserve">Inflation in the past 12 months </w:t>
      </w:r>
      <w:r w:rsidR="00651B09">
        <w:t xml:space="preserve">moderated, but </w:t>
      </w:r>
      <w:r w:rsidR="00194663">
        <w:t xml:space="preserve">remained above the upper bound of the target range, at </w:t>
      </w:r>
      <w:r w:rsidR="00220741">
        <w:t>3.</w:t>
      </w:r>
      <w:r>
        <w:t>3</w:t>
      </w:r>
      <w:r w:rsidR="00194663">
        <w:t xml:space="preserve"> percent</w:t>
      </w:r>
      <w:r w:rsidR="006900D5">
        <w:t xml:space="preserve"> </w:t>
      </w:r>
      <w:r w:rsidR="00822F9B" w:rsidRPr="006F18D3">
        <w:t>(</w:t>
      </w:r>
      <w:r w:rsidR="00822F9B" w:rsidRPr="006F18D3">
        <w:rPr>
          <w:b/>
          <w:bCs/>
        </w:rPr>
        <w:t>Figure 1</w:t>
      </w:r>
      <w:r w:rsidR="00822F9B" w:rsidRPr="006F18D3">
        <w:t>).</w:t>
      </w:r>
      <w:r w:rsidR="00441BDC">
        <w:t xml:space="preserve"> </w:t>
      </w:r>
      <w:r w:rsidR="001D1BFB" w:rsidRPr="00165FAB">
        <w:rPr>
          <w:rFonts w:cstheme="majorBidi"/>
        </w:rPr>
        <w:t>N</w:t>
      </w:r>
      <w:r w:rsidR="00822F9B" w:rsidRPr="00165FAB">
        <w:rPr>
          <w:rFonts w:cstheme="majorBidi"/>
        </w:rPr>
        <w:t>et of energy and fruits and vegetables, inflation</w:t>
      </w:r>
      <w:r w:rsidR="00194663">
        <w:rPr>
          <w:rFonts w:cstheme="majorBidi"/>
        </w:rPr>
        <w:t xml:space="preserve"> in the past year</w:t>
      </w:r>
      <w:r w:rsidR="00822F9B" w:rsidRPr="00165FAB">
        <w:rPr>
          <w:rFonts w:cstheme="majorBidi"/>
        </w:rPr>
        <w:t xml:space="preserve"> is </w:t>
      </w:r>
      <w:r w:rsidR="000C1D36">
        <w:rPr>
          <w:rFonts w:cstheme="majorBidi" w:hint="cs"/>
          <w:rtl/>
        </w:rPr>
        <w:t>2.9</w:t>
      </w:r>
      <w:r w:rsidR="00822F9B" w:rsidRPr="00165FAB">
        <w:rPr>
          <w:rFonts w:cstheme="majorBidi"/>
        </w:rPr>
        <w:t xml:space="preserve"> percent</w:t>
      </w:r>
      <w:r w:rsidR="008F265F" w:rsidRPr="00165FAB">
        <w:rPr>
          <w:rFonts w:cstheme="majorBidi"/>
        </w:rPr>
        <w:t xml:space="preserve"> </w:t>
      </w:r>
      <w:r w:rsidR="00822F9B" w:rsidRPr="00165FAB">
        <w:rPr>
          <w:rFonts w:cstheme="majorBidi"/>
        </w:rPr>
        <w:t>(</w:t>
      </w:r>
      <w:r w:rsidR="00822F9B" w:rsidRPr="00165FAB">
        <w:rPr>
          <w:rFonts w:cstheme="majorBidi"/>
          <w:b/>
          <w:bCs/>
        </w:rPr>
        <w:t xml:space="preserve">Figure </w:t>
      </w:r>
      <w:r w:rsidR="00AF7DC8">
        <w:rPr>
          <w:rFonts w:cstheme="majorBidi"/>
          <w:b/>
          <w:bCs/>
        </w:rPr>
        <w:t>2</w:t>
      </w:r>
      <w:r w:rsidR="00822F9B" w:rsidRPr="00165FAB">
        <w:rPr>
          <w:rFonts w:cstheme="majorBidi"/>
        </w:rPr>
        <w:t>).</w:t>
      </w:r>
      <w:r w:rsidR="00441BDC" w:rsidRPr="00165FAB">
        <w:rPr>
          <w:rFonts w:cstheme="majorBidi"/>
        </w:rPr>
        <w:t xml:space="preserve"> </w:t>
      </w:r>
      <w:r w:rsidR="00797A81">
        <w:rPr>
          <w:rFonts w:cstheme="majorBidi"/>
        </w:rPr>
        <w:t>An analysis of the inflation dynamic, measured both quarterly and semiannually, also shows that the pace of inflation is moderating (</w:t>
      </w:r>
      <w:r w:rsidR="00797A81">
        <w:rPr>
          <w:rFonts w:cstheme="majorBidi"/>
          <w:b/>
          <w:bCs/>
        </w:rPr>
        <w:t xml:space="preserve">Figure </w:t>
      </w:r>
      <w:r w:rsidR="004A1D7D">
        <w:rPr>
          <w:rFonts w:cstheme="majorBidi"/>
          <w:b/>
          <w:bCs/>
        </w:rPr>
        <w:t>3</w:t>
      </w:r>
      <w:r w:rsidR="00797A81">
        <w:rPr>
          <w:rFonts w:cstheme="majorBidi"/>
        </w:rPr>
        <w:t>).</w:t>
      </w:r>
      <w:r w:rsidR="00797A81" w:rsidRPr="00165FAB">
        <w:rPr>
          <w:rFonts w:cstheme="majorBidi"/>
        </w:rPr>
        <w:t xml:space="preserve"> </w:t>
      </w:r>
      <w:r w:rsidR="00797A81">
        <w:rPr>
          <w:rFonts w:cstheme="majorBidi"/>
        </w:rPr>
        <w:t xml:space="preserve"> </w:t>
      </w:r>
      <w:r w:rsidR="00225374" w:rsidRPr="00165FAB">
        <w:rPr>
          <w:rFonts w:cstheme="majorBidi"/>
        </w:rPr>
        <w:t xml:space="preserve">The pace of </w:t>
      </w:r>
      <w:r w:rsidR="008F265F" w:rsidRPr="00165FAB">
        <w:rPr>
          <w:rFonts w:cstheme="majorBidi"/>
        </w:rPr>
        <w:t xml:space="preserve">annual </w:t>
      </w:r>
      <w:r w:rsidR="00225374" w:rsidRPr="00165FAB">
        <w:rPr>
          <w:rFonts w:cstheme="majorBidi"/>
        </w:rPr>
        <w:t>inflation of the nontradable components</w:t>
      </w:r>
      <w:r w:rsidR="00C736C1" w:rsidRPr="00165FAB">
        <w:rPr>
          <w:rFonts w:cstheme="majorBidi"/>
        </w:rPr>
        <w:t xml:space="preserve"> of the CPI</w:t>
      </w:r>
      <w:r w:rsidR="002919ED" w:rsidRPr="00165FAB">
        <w:rPr>
          <w:rFonts w:cstheme="majorBidi"/>
        </w:rPr>
        <w:t xml:space="preserve">, which mainly reflects the housing </w:t>
      </w:r>
      <w:r w:rsidR="004941E7" w:rsidRPr="00165FAB">
        <w:rPr>
          <w:rFonts w:cstheme="majorBidi"/>
        </w:rPr>
        <w:t xml:space="preserve">services </w:t>
      </w:r>
      <w:r w:rsidR="002919ED" w:rsidRPr="00165FAB">
        <w:rPr>
          <w:rFonts w:cstheme="majorBidi"/>
        </w:rPr>
        <w:t xml:space="preserve">component and </w:t>
      </w:r>
      <w:r w:rsidR="00220741">
        <w:rPr>
          <w:rFonts w:cstheme="majorBidi"/>
        </w:rPr>
        <w:t xml:space="preserve">the </w:t>
      </w:r>
      <w:r w:rsidR="002919ED" w:rsidRPr="00165FAB">
        <w:rPr>
          <w:rFonts w:cstheme="majorBidi"/>
        </w:rPr>
        <w:t>services industries,</w:t>
      </w:r>
      <w:r w:rsidR="00225374" w:rsidRPr="00165FAB">
        <w:rPr>
          <w:rFonts w:cstheme="majorBidi"/>
        </w:rPr>
        <w:t xml:space="preserve"> </w:t>
      </w:r>
      <w:r w:rsidR="00946D2C">
        <w:rPr>
          <w:rFonts w:cstheme="majorBidi"/>
        </w:rPr>
        <w:t xml:space="preserve">declined but </w:t>
      </w:r>
      <w:r w:rsidR="00194663">
        <w:rPr>
          <w:rFonts w:cstheme="majorBidi"/>
        </w:rPr>
        <w:t>remained</w:t>
      </w:r>
      <w:r w:rsidR="000C1D36">
        <w:rPr>
          <w:rFonts w:cstheme="majorBidi"/>
        </w:rPr>
        <w:t xml:space="preserve"> relatively</w:t>
      </w:r>
      <w:r w:rsidR="00194663">
        <w:rPr>
          <w:rFonts w:cstheme="majorBidi"/>
        </w:rPr>
        <w:t xml:space="preserve"> high, at</w:t>
      </w:r>
      <w:r w:rsidR="00AD1B36" w:rsidRPr="00165FAB">
        <w:rPr>
          <w:rFonts w:cstheme="majorBidi"/>
        </w:rPr>
        <w:t xml:space="preserve"> </w:t>
      </w:r>
      <w:r w:rsidR="000C1D36">
        <w:rPr>
          <w:rFonts w:cstheme="majorBidi"/>
        </w:rPr>
        <w:t>3.8</w:t>
      </w:r>
      <w:r w:rsidR="00B13CF3" w:rsidRPr="00165FAB">
        <w:rPr>
          <w:rFonts w:cstheme="majorBidi"/>
        </w:rPr>
        <w:t xml:space="preserve"> percent</w:t>
      </w:r>
      <w:r w:rsidR="00225374" w:rsidRPr="00165FAB">
        <w:rPr>
          <w:rFonts w:cstheme="majorBidi"/>
        </w:rPr>
        <w:t xml:space="preserve">. </w:t>
      </w:r>
      <w:r w:rsidR="00C736C1" w:rsidRPr="00165FAB">
        <w:rPr>
          <w:rFonts w:cstheme="majorBidi"/>
        </w:rPr>
        <w:t>T</w:t>
      </w:r>
      <w:r w:rsidR="000B288C" w:rsidRPr="00165FAB">
        <w:rPr>
          <w:rFonts w:cstheme="majorBidi"/>
        </w:rPr>
        <w:t xml:space="preserve">he annual pace of inflation </w:t>
      </w:r>
      <w:r w:rsidR="00FF3644" w:rsidRPr="00165FAB">
        <w:rPr>
          <w:rFonts w:cstheme="majorBidi"/>
        </w:rPr>
        <w:t>of</w:t>
      </w:r>
      <w:r w:rsidR="00E15CDB" w:rsidRPr="00165FAB">
        <w:rPr>
          <w:rFonts w:cstheme="majorBidi"/>
        </w:rPr>
        <w:t xml:space="preserve"> the tradable components</w:t>
      </w:r>
      <w:r w:rsidR="00946D2C">
        <w:rPr>
          <w:rFonts w:cstheme="majorBidi"/>
        </w:rPr>
        <w:t xml:space="preserve"> </w:t>
      </w:r>
      <w:r w:rsidR="000C1D36">
        <w:rPr>
          <w:rFonts w:cstheme="majorBidi"/>
        </w:rPr>
        <w:t>declined to 2.4</w:t>
      </w:r>
      <w:r w:rsidR="002919ED" w:rsidRPr="00165FAB">
        <w:rPr>
          <w:rFonts w:cstheme="majorBidi"/>
        </w:rPr>
        <w:t xml:space="preserve"> percent</w:t>
      </w:r>
      <w:r w:rsidR="00B13CF3" w:rsidRPr="00165FAB">
        <w:rPr>
          <w:rFonts w:cstheme="majorBidi"/>
        </w:rPr>
        <w:t xml:space="preserve"> </w:t>
      </w:r>
      <w:r w:rsidR="00225374" w:rsidRPr="00165FAB">
        <w:rPr>
          <w:rFonts w:cstheme="majorBidi"/>
        </w:rPr>
        <w:t>(</w:t>
      </w:r>
      <w:r w:rsidR="00225374" w:rsidRPr="00165FAB">
        <w:rPr>
          <w:rFonts w:cstheme="majorBidi"/>
          <w:b/>
          <w:bCs/>
        </w:rPr>
        <w:t xml:space="preserve">Figure </w:t>
      </w:r>
      <w:r w:rsidR="004A1D7D">
        <w:rPr>
          <w:rFonts w:cstheme="majorBidi"/>
          <w:b/>
          <w:bCs/>
        </w:rPr>
        <w:t>4</w:t>
      </w:r>
      <w:r w:rsidR="00225374" w:rsidRPr="00165FAB">
        <w:rPr>
          <w:rFonts w:cstheme="majorBidi"/>
        </w:rPr>
        <w:t>)</w:t>
      </w:r>
      <w:r w:rsidR="006900D5" w:rsidRPr="00165FAB">
        <w:rPr>
          <w:rFonts w:cstheme="majorBidi"/>
        </w:rPr>
        <w:t>.</w:t>
      </w:r>
      <w:r w:rsidR="000C1D36">
        <w:rPr>
          <w:rFonts w:cstheme="majorBidi"/>
        </w:rPr>
        <w:t xml:space="preserve">  </w:t>
      </w:r>
      <w:r w:rsidR="00797A81">
        <w:t xml:space="preserve">Inflation expectations from various sources </w:t>
      </w:r>
      <w:r w:rsidR="00797A81" w:rsidRPr="007F290D">
        <w:t>are</w:t>
      </w:r>
      <w:r w:rsidR="00797A81">
        <w:t xml:space="preserve"> that inflation will enter the target range in the first quarter of the year (</w:t>
      </w:r>
      <w:r w:rsidR="00797A81">
        <w:rPr>
          <w:b/>
          <w:bCs/>
        </w:rPr>
        <w:t xml:space="preserve">Figure </w:t>
      </w:r>
      <w:r w:rsidR="004A1D7D">
        <w:rPr>
          <w:b/>
          <w:bCs/>
        </w:rPr>
        <w:t>5</w:t>
      </w:r>
      <w:r w:rsidR="00797A81">
        <w:t>)</w:t>
      </w:r>
      <w:r w:rsidR="00797A81" w:rsidRPr="007F290D">
        <w:t xml:space="preserve">. </w:t>
      </w:r>
      <w:r w:rsidR="00220741">
        <w:t xml:space="preserve">One-year inflation expectations </w:t>
      </w:r>
      <w:r w:rsidR="00ED3EA8">
        <w:t xml:space="preserve">derived from the capital market </w:t>
      </w:r>
      <w:r w:rsidR="00220741">
        <w:t>and forecasts</w:t>
      </w:r>
      <w:r w:rsidR="00946D2C">
        <w:t xml:space="preserve"> </w:t>
      </w:r>
      <w:r w:rsidR="00220741">
        <w:t xml:space="preserve">are </w:t>
      </w:r>
      <w:r w:rsidR="00797A81">
        <w:t xml:space="preserve">also </w:t>
      </w:r>
      <w:r w:rsidR="00220741">
        <w:t xml:space="preserve">within the target range </w:t>
      </w:r>
      <w:r w:rsidR="002919ED">
        <w:t>(</w:t>
      </w:r>
      <w:r w:rsidR="002919ED">
        <w:rPr>
          <w:b/>
          <w:bCs/>
        </w:rPr>
        <w:t>Figure 6</w:t>
      </w:r>
      <w:r w:rsidR="00797A81">
        <w:t>), as are</w:t>
      </w:r>
      <w:r w:rsidR="0041770E">
        <w:t xml:space="preserve"> </w:t>
      </w:r>
      <w:r w:rsidR="00797A81">
        <w:t>e</w:t>
      </w:r>
      <w:r w:rsidR="00BF4973">
        <w:t>xpectations for the second year and onward (</w:t>
      </w:r>
      <w:r w:rsidR="00BF4973">
        <w:rPr>
          <w:b/>
          <w:bCs/>
        </w:rPr>
        <w:t>Figure 7</w:t>
      </w:r>
      <w:r w:rsidR="00BF4973">
        <w:t>).</w:t>
      </w:r>
      <w:r w:rsidR="000C1D36">
        <w:t xml:space="preserve">  However, </w:t>
      </w:r>
      <w:r w:rsidR="00946D2C">
        <w:t xml:space="preserve">there </w:t>
      </w:r>
      <w:r w:rsidR="000C1D36">
        <w:t>are still a number of risks of a potential acceleration in inflation: the effects of the war and its progress on economic activity, a depreciation of the shekel, and fiscal behavior.</w:t>
      </w:r>
    </w:p>
    <w:p w14:paraId="6A4A866E" w14:textId="48140A18" w:rsidR="00ED3EA8" w:rsidRDefault="00ED3EA8" w:rsidP="00ED3EA8">
      <w:pPr>
        <w:jc w:val="both"/>
      </w:pPr>
    </w:p>
    <w:p w14:paraId="43D41648" w14:textId="09772601" w:rsidR="00ED3EA8" w:rsidRDefault="00ED3EA8" w:rsidP="004A1D7D">
      <w:pPr>
        <w:jc w:val="both"/>
      </w:pPr>
      <w:r>
        <w:t xml:space="preserve">Since the previous interest rate decision, the shekel strengthened by </w:t>
      </w:r>
      <w:r w:rsidR="000C1D36">
        <w:t>2.7</w:t>
      </w:r>
      <w:r>
        <w:t xml:space="preserve"> percent against the US dollar, by </w:t>
      </w:r>
      <w:r w:rsidR="000C1D36">
        <w:t>1.7</w:t>
      </w:r>
      <w:r>
        <w:t xml:space="preserve"> percent against the euro, and by </w:t>
      </w:r>
      <w:r w:rsidR="000C1D36">
        <w:t>2</w:t>
      </w:r>
      <w:r>
        <w:t xml:space="preserve"> percent in terms of the nominal effective exchange rate (</w:t>
      </w:r>
      <w:r>
        <w:rPr>
          <w:b/>
          <w:bCs/>
        </w:rPr>
        <w:t>Figure 8</w:t>
      </w:r>
      <w:r>
        <w:t>).  Since the beginning of the year, the shekel has weakened against most of the world’s major currencies</w:t>
      </w:r>
      <w:r w:rsidR="00E63DBF">
        <w:t>,</w:t>
      </w:r>
      <w:r>
        <w:t xml:space="preserve"> with high volatility.</w:t>
      </w:r>
    </w:p>
    <w:p w14:paraId="4B198F0E" w14:textId="77777777" w:rsidR="00ED3EA8" w:rsidRDefault="00ED3EA8" w:rsidP="00ED3EA8">
      <w:pPr>
        <w:jc w:val="both"/>
        <w:rPr>
          <w:rtl/>
        </w:rPr>
      </w:pPr>
    </w:p>
    <w:p w14:paraId="38CABF1A" w14:textId="550EFE12" w:rsidR="00946D2C" w:rsidRPr="007F290D" w:rsidRDefault="00946D2C" w:rsidP="00F7647A">
      <w:pPr>
        <w:jc w:val="both"/>
      </w:pPr>
      <w:r>
        <w:t xml:space="preserve">The Bank of Israel Research Department revised its macroeconomic forecast in accordance with </w:t>
      </w:r>
      <w:r w:rsidR="00230452">
        <w:t>i</w:t>
      </w:r>
      <w:r>
        <w:t>nformation accumulated since the start of the war.</w:t>
      </w:r>
      <w:r>
        <w:rPr>
          <w:rStyle w:val="af2"/>
        </w:rPr>
        <w:footnoteReference w:id="1"/>
      </w:r>
      <w:r>
        <w:t xml:space="preserve">  The </w:t>
      </w:r>
      <w:r w:rsidR="00F35D09">
        <w:t xml:space="preserve">revised </w:t>
      </w:r>
      <w:r>
        <w:t xml:space="preserve">forecast </w:t>
      </w:r>
      <w:r w:rsidR="00230452">
        <w:t xml:space="preserve">was built under the assumption </w:t>
      </w:r>
      <w:r>
        <w:t>that the war</w:t>
      </w:r>
      <w:r w:rsidR="00230452">
        <w:t>’s direct impact on the economy</w:t>
      </w:r>
      <w:r w:rsidR="000C1D36">
        <w:t xml:space="preserve"> reached its peak in the fourth quarter of 2023, and that the war will continue with </w:t>
      </w:r>
      <w:r w:rsidR="00230452">
        <w:t>declining intensity</w:t>
      </w:r>
      <w:r w:rsidR="000C1D36">
        <w:t xml:space="preserve"> until the end of 2024</w:t>
      </w:r>
      <w:r>
        <w:t>.</w:t>
      </w:r>
      <w:r w:rsidR="00230452">
        <w:t xml:space="preserve">  Similar to the </w:t>
      </w:r>
      <w:r w:rsidR="00797A81">
        <w:t>previous</w:t>
      </w:r>
      <w:r w:rsidR="00230452">
        <w:t xml:space="preserve"> forecast</w:t>
      </w:r>
      <w:r w:rsidR="000C1D36">
        <w:t>s</w:t>
      </w:r>
      <w:r w:rsidR="00230452">
        <w:t xml:space="preserve">, the assumption is that the war will be mostly concentrated on </w:t>
      </w:r>
      <w:r w:rsidR="000C1D36">
        <w:t>the southern</w:t>
      </w:r>
      <w:r w:rsidR="00230452">
        <w:t xml:space="preserve"> front.  </w:t>
      </w:r>
      <w:r w:rsidR="00E63DBF">
        <w:t xml:space="preserve">According to </w:t>
      </w:r>
      <w:r w:rsidR="000C1D36">
        <w:t>the forecast</w:t>
      </w:r>
      <w:r w:rsidR="00E63DBF">
        <w:t xml:space="preserve">, </w:t>
      </w:r>
      <w:r>
        <w:t>GDP will grow by</w:t>
      </w:r>
      <w:r w:rsidR="00E16439">
        <w:t xml:space="preserve"> 2</w:t>
      </w:r>
      <w:r>
        <w:t xml:space="preserve"> percent in</w:t>
      </w:r>
      <w:r w:rsidR="00230452">
        <w:t xml:space="preserve"> each of</w:t>
      </w:r>
      <w:r>
        <w:t xml:space="preserve"> 2023 and 2024</w:t>
      </w:r>
      <w:r w:rsidR="000C1D36">
        <w:t xml:space="preserve"> (as in the November forecast), and by 5 percent in 2025</w:t>
      </w:r>
      <w:r>
        <w:t xml:space="preserve"> (</w:t>
      </w:r>
      <w:r w:rsidRPr="00E5457F">
        <w:rPr>
          <w:b/>
          <w:bCs/>
        </w:rPr>
        <w:t>Figure 1</w:t>
      </w:r>
      <w:r w:rsidR="008A0B91">
        <w:rPr>
          <w:b/>
          <w:bCs/>
        </w:rPr>
        <w:t>6</w:t>
      </w:r>
      <w:r>
        <w:t>)</w:t>
      </w:r>
      <w:r w:rsidR="0059624C">
        <w:t>, such that the GDP gap is expected to close in 2025</w:t>
      </w:r>
      <w:r>
        <w:t>.</w:t>
      </w:r>
      <w:r w:rsidR="0059624C">
        <w:t xml:space="preserve">  T</w:t>
      </w:r>
      <w:r>
        <w:t>he</w:t>
      </w:r>
      <w:r w:rsidR="00230452">
        <w:t xml:space="preserve"> broad</w:t>
      </w:r>
      <w:r>
        <w:t xml:space="preserve"> unemployment rate among the prime working ages (25–64) is expected to </w:t>
      </w:r>
      <w:r w:rsidR="00230452">
        <w:t>be</w:t>
      </w:r>
      <w:r w:rsidR="00E16439">
        <w:t xml:space="preserve"> </w:t>
      </w:r>
      <w:r w:rsidR="0059624C">
        <w:t>5</w:t>
      </w:r>
      <w:r w:rsidR="00230452">
        <w:t>.3</w:t>
      </w:r>
      <w:r>
        <w:t xml:space="preserve"> percent in 202</w:t>
      </w:r>
      <w:r w:rsidR="0059624C">
        <w:t>4</w:t>
      </w:r>
      <w:r>
        <w:t xml:space="preserve"> and </w:t>
      </w:r>
      <w:r w:rsidR="00F7647A">
        <w:t>3.2</w:t>
      </w:r>
      <w:r>
        <w:t xml:space="preserve"> percent 202</w:t>
      </w:r>
      <w:r w:rsidR="0059624C">
        <w:t>5</w:t>
      </w:r>
      <w:r>
        <w:t xml:space="preserve">.  </w:t>
      </w:r>
      <w:r w:rsidR="00230452">
        <w:t>Annual i</w:t>
      </w:r>
      <w:r>
        <w:t xml:space="preserve">nflation in </w:t>
      </w:r>
      <w:r w:rsidRPr="00D47F18">
        <w:t>202</w:t>
      </w:r>
      <w:r w:rsidR="00E16439">
        <w:t>4</w:t>
      </w:r>
      <w:r>
        <w:t xml:space="preserve"> is expected to be </w:t>
      </w:r>
      <w:r w:rsidR="00E16439">
        <w:t>2.</w:t>
      </w:r>
      <w:r w:rsidR="00230452">
        <w:t>4</w:t>
      </w:r>
      <w:r>
        <w:t xml:space="preserve"> percent</w:t>
      </w:r>
      <w:r w:rsidR="0059624C">
        <w:t>, and in 2025 it is expected to be 2 percent.</w:t>
      </w:r>
      <w:r w:rsidR="00230452">
        <w:t xml:space="preserve">  </w:t>
      </w:r>
      <w:r w:rsidR="0059624C">
        <w:t xml:space="preserve">The forecast features a particularly high level of uncertainty, partly in view of uncertainty with regard to the </w:t>
      </w:r>
      <w:r w:rsidR="00603B2B">
        <w:t>severity</w:t>
      </w:r>
      <w:r w:rsidR="0059624C">
        <w:t xml:space="preserve"> and duration of the war.  </w:t>
      </w:r>
      <w:r w:rsidR="0059624C">
        <w:lastRenderedPageBreak/>
        <w:t xml:space="preserve">The assessment regarding the state budget for 2024 is currently still exposed to uncertainty with regard to decisions that the government will make regarding </w:t>
      </w:r>
      <w:r w:rsidR="00797A81">
        <w:t>how the budget will</w:t>
      </w:r>
      <w:r w:rsidR="0059624C">
        <w:t xml:space="preserve"> deal with the defense a</w:t>
      </w:r>
      <w:r w:rsidR="003D0C09">
        <w:t>n</w:t>
      </w:r>
      <w:r w:rsidR="0059624C">
        <w:t>d civilian needs derived from the war.</w:t>
      </w:r>
      <w:r w:rsidR="00D57BF2">
        <w:t xml:space="preserve">  In view of the effects of the war, the impact to economic activity is expected to lead to a decline in tax revenues, while government expenditures on defense and civilian assistance programs will increase.  </w:t>
      </w:r>
      <w:r w:rsidR="00230452">
        <w:t>In the Research Department’s assessment, a</w:t>
      </w:r>
      <w:r w:rsidR="00E16439">
        <w:t>ll these ar</w:t>
      </w:r>
      <w:r w:rsidR="00D57BF2">
        <w:t>e expected to be reflected in a marked</w:t>
      </w:r>
      <w:r w:rsidR="00E16439">
        <w:t xml:space="preserve"> increase in the government’s budget deficit, which </w:t>
      </w:r>
      <w:r w:rsidR="00D57BF2">
        <w:t xml:space="preserve">is expected to </w:t>
      </w:r>
      <w:r w:rsidR="00E16439">
        <w:t xml:space="preserve">total </w:t>
      </w:r>
      <w:r w:rsidR="00D57BF2">
        <w:t>4</w:t>
      </w:r>
      <w:r w:rsidR="00170743">
        <w:t xml:space="preserve"> </w:t>
      </w:r>
      <w:r w:rsidR="00E16439">
        <w:t xml:space="preserve">percent of GDP in 2023, </w:t>
      </w:r>
      <w:r w:rsidR="00170743">
        <w:t>5</w:t>
      </w:r>
      <w:r w:rsidR="00D57BF2">
        <w:t>.7</w:t>
      </w:r>
      <w:r w:rsidR="00E16439">
        <w:t xml:space="preserve"> percent of GDP in 2024</w:t>
      </w:r>
      <w:r w:rsidR="00D57BF2">
        <w:t>, and 3.8 percent of GDP in 2025.</w:t>
      </w:r>
      <w:r w:rsidR="00E16439">
        <w:t xml:space="preserve">  In view of this, </w:t>
      </w:r>
      <w:r w:rsidR="00D57BF2">
        <w:t>and assuming that the government makes adjustments</w:t>
      </w:r>
      <w:r w:rsidR="00797A81">
        <w:t xml:space="preserve"> of a persistent nature</w:t>
      </w:r>
      <w:r w:rsidR="00D57BF2">
        <w:t xml:space="preserve"> in 2024 and 2025 totaling about NIS 30 billion, </w:t>
      </w:r>
      <w:r w:rsidR="00E16439">
        <w:t>the debt-to-GDP ratio is expected to be about 6</w:t>
      </w:r>
      <w:r w:rsidR="00230452">
        <w:t>6</w:t>
      </w:r>
      <w:r w:rsidR="00E16439">
        <w:t xml:space="preserve"> percent </w:t>
      </w:r>
      <w:r w:rsidR="00D57BF2">
        <w:t>at the end of</w:t>
      </w:r>
      <w:r w:rsidR="00E16439">
        <w:t xml:space="preserve"> 2024</w:t>
      </w:r>
      <w:r w:rsidR="00D57BF2">
        <w:t xml:space="preserve"> and at the end of 2025, and to decline in the following years toward a ratio of about 63 percent in 2030</w:t>
      </w:r>
      <w:r w:rsidR="00E16439">
        <w:t>.</w:t>
      </w:r>
      <w:r w:rsidRPr="007F290D">
        <w:t xml:space="preserve"> </w:t>
      </w:r>
    </w:p>
    <w:p w14:paraId="19E99C8D" w14:textId="77777777" w:rsidR="00946D2C" w:rsidRDefault="00946D2C" w:rsidP="00C2592B">
      <w:pPr>
        <w:jc w:val="both"/>
        <w:rPr>
          <w:rtl/>
        </w:rPr>
      </w:pPr>
    </w:p>
    <w:p w14:paraId="328130AE" w14:textId="7F559AB1" w:rsidR="004F3A38" w:rsidRDefault="00D57BF2" w:rsidP="004A1D7D">
      <w:pPr>
        <w:jc w:val="both"/>
      </w:pPr>
      <w:r>
        <w:t xml:space="preserve">Indicators of economic activity and the state of employment point to a gradual recovery following the sharp decline that took place with the outbreak of the war, but there is a lot of variance between industries.  </w:t>
      </w:r>
      <w:r w:rsidR="00E16439">
        <w:t xml:space="preserve">The aggregate </w:t>
      </w:r>
      <w:r w:rsidR="008278C6">
        <w:t xml:space="preserve">balance of the Central Bureau of Statistics Business Tendency Survey </w:t>
      </w:r>
      <w:r w:rsidR="0052048D">
        <w:t xml:space="preserve">for </w:t>
      </w:r>
      <w:r w:rsidR="00D843F1">
        <w:t>Novem</w:t>
      </w:r>
      <w:r w:rsidR="0052048D">
        <w:t xml:space="preserve">ber </w:t>
      </w:r>
      <w:r w:rsidR="00D843F1">
        <w:t>remained low</w:t>
      </w:r>
      <w:r w:rsidR="0052048D">
        <w:t xml:space="preserve">, and reflects </w:t>
      </w:r>
      <w:r w:rsidR="008278C6">
        <w:t xml:space="preserve">businesses’ </w:t>
      </w:r>
      <w:r w:rsidR="0052048D">
        <w:t>nega</w:t>
      </w:r>
      <w:r w:rsidR="008278C6">
        <w:t xml:space="preserve">tive assessments of their </w:t>
      </w:r>
      <w:r w:rsidR="003D0C09">
        <w:t>situation</w:t>
      </w:r>
      <w:r w:rsidR="008278C6" w:rsidRPr="0052048D">
        <w:t xml:space="preserve">. </w:t>
      </w:r>
      <w:r w:rsidR="0052048D" w:rsidRPr="0052048D">
        <w:t>In November</w:t>
      </w:r>
      <w:r w:rsidR="00D843F1">
        <w:t xml:space="preserve"> and December</w:t>
      </w:r>
      <w:r w:rsidR="0052048D" w:rsidRPr="0052048D">
        <w:t>,</w:t>
      </w:r>
      <w:r w:rsidR="00D843F1">
        <w:t xml:space="preserve"> there was a recovery in the volume of credit card transactions, with total purchases returning to a level resembling the </w:t>
      </w:r>
      <w:r w:rsidR="003D0C09">
        <w:t>prewar levels</w:t>
      </w:r>
      <w:r w:rsidR="00D843F1">
        <w:t xml:space="preserve">, but there is variance between industries.  The level of </w:t>
      </w:r>
      <w:r w:rsidR="003D0C09">
        <w:t>usage of public transit</w:t>
      </w:r>
      <w:r w:rsidR="00D843F1">
        <w:t xml:space="preserve"> improved gradually, but the gap compared to the level prior to the war has not been closed (</w:t>
      </w:r>
      <w:r w:rsidR="00D843F1">
        <w:rPr>
          <w:b/>
          <w:bCs/>
        </w:rPr>
        <w:t xml:space="preserve">Figure </w:t>
      </w:r>
      <w:r w:rsidR="004A1D7D">
        <w:rPr>
          <w:b/>
          <w:bCs/>
        </w:rPr>
        <w:t>19</w:t>
      </w:r>
      <w:r w:rsidR="00D843F1">
        <w:t xml:space="preserve">).  Goods and services exports stabilized, following a downward trend </w:t>
      </w:r>
      <w:r w:rsidR="008F265F">
        <w:t>(</w:t>
      </w:r>
      <w:r w:rsidR="008F265F">
        <w:rPr>
          <w:b/>
          <w:bCs/>
        </w:rPr>
        <w:t xml:space="preserve">Figure </w:t>
      </w:r>
      <w:r w:rsidR="004937CC">
        <w:rPr>
          <w:b/>
          <w:bCs/>
        </w:rPr>
        <w:t>2</w:t>
      </w:r>
      <w:r w:rsidR="004A1D7D">
        <w:rPr>
          <w:b/>
          <w:bCs/>
        </w:rPr>
        <w:t>3</w:t>
      </w:r>
      <w:r w:rsidR="008F265F">
        <w:t>)</w:t>
      </w:r>
      <w:r w:rsidR="00D843F1">
        <w:t>, and the decline in goods imports deepened in recent months</w:t>
      </w:r>
      <w:r w:rsidR="004F3A38">
        <w:t xml:space="preserve"> (</w:t>
      </w:r>
      <w:r w:rsidR="004F3A38">
        <w:rPr>
          <w:b/>
          <w:bCs/>
        </w:rPr>
        <w:t>Figure 2</w:t>
      </w:r>
      <w:r w:rsidR="004A1D7D">
        <w:rPr>
          <w:b/>
          <w:bCs/>
        </w:rPr>
        <w:t>4</w:t>
      </w:r>
      <w:r w:rsidR="004F3A38">
        <w:t>).</w:t>
      </w:r>
      <w:r w:rsidR="0041770E">
        <w:t xml:space="preserve"> </w:t>
      </w:r>
      <w:r w:rsidR="00D843F1">
        <w:t>Alongside these, tax revenue in November was about 18 percent lower in real terms than in the same period last year.</w:t>
      </w:r>
    </w:p>
    <w:p w14:paraId="326B07B2" w14:textId="2135648C" w:rsidR="00633738" w:rsidRDefault="004F3A38" w:rsidP="004F3A38">
      <w:pPr>
        <w:jc w:val="both"/>
      </w:pPr>
      <w:r>
        <w:t xml:space="preserve"> </w:t>
      </w:r>
    </w:p>
    <w:p w14:paraId="38210D10" w14:textId="642B1306" w:rsidR="009665AD" w:rsidRDefault="00822A08" w:rsidP="000A57F1">
      <w:pPr>
        <w:jc w:val="both"/>
      </w:pPr>
      <w:r w:rsidRPr="000F069A">
        <w:t xml:space="preserve">The labor market </w:t>
      </w:r>
      <w:r w:rsidR="0052048D">
        <w:t>was</w:t>
      </w:r>
      <w:r w:rsidR="00F903CC">
        <w:t xml:space="preserve"> in a full employment environment</w:t>
      </w:r>
      <w:r w:rsidR="0052048D">
        <w:t xml:space="preserve"> prior to the war.</w:t>
      </w:r>
      <w:r w:rsidR="00303B1E">
        <w:t xml:space="preserve"> T</w:t>
      </w:r>
      <w:r w:rsidR="00303B1E" w:rsidRPr="006F18D3">
        <w:t>he employment rate</w:t>
      </w:r>
      <w:r w:rsidR="00303B1E">
        <w:t xml:space="preserve"> among those aged 15 and over</w:t>
      </w:r>
      <w:r w:rsidR="00303B1E" w:rsidRPr="006F18D3">
        <w:t xml:space="preserve"> </w:t>
      </w:r>
      <w:r w:rsidR="0052048D">
        <w:t xml:space="preserve">declined slightly in </w:t>
      </w:r>
      <w:r w:rsidR="00D843F1">
        <w:t>November</w:t>
      </w:r>
      <w:r w:rsidR="0052048D">
        <w:t xml:space="preserve"> </w:t>
      </w:r>
      <w:r w:rsidR="00303B1E" w:rsidRPr="006F18D3">
        <w:t>(6</w:t>
      </w:r>
      <w:r w:rsidR="00D843F1">
        <w:t>0.5</w:t>
      </w:r>
      <w:r w:rsidR="00303B1E" w:rsidRPr="006F18D3">
        <w:t xml:space="preserve"> percent</w:t>
      </w:r>
      <w:r w:rsidR="00F903CC">
        <w:t>, seasonally adjusted</w:t>
      </w:r>
      <w:r w:rsidR="00303B1E" w:rsidRPr="006F18D3">
        <w:t>).</w:t>
      </w:r>
      <w:r w:rsidR="0041770E">
        <w:t xml:space="preserve"> </w:t>
      </w:r>
      <w:r w:rsidR="00D843F1">
        <w:t>With the outbreak of</w:t>
      </w:r>
      <w:r w:rsidR="0052048D">
        <w:t xml:space="preserve"> the war, the broad </w:t>
      </w:r>
      <w:r w:rsidR="00514240" w:rsidRPr="006F18D3">
        <w:t>unemployment rate</w:t>
      </w:r>
      <w:r w:rsidR="00D843F1">
        <w:rPr>
          <w:rStyle w:val="af2"/>
        </w:rPr>
        <w:footnoteReference w:id="2"/>
      </w:r>
      <w:r w:rsidR="0052048D">
        <w:t xml:space="preserve"> jumped</w:t>
      </w:r>
      <w:r w:rsidR="00D843F1">
        <w:t xml:space="preserve"> sharply, and it remains high. The total number of work hours in the economy remained lower than before the war, and the job vacancy rate continued to decline</w:t>
      </w:r>
      <w:r w:rsidR="004A1D7D">
        <w:t xml:space="preserve"> (</w:t>
      </w:r>
      <w:r w:rsidR="004A1D7D">
        <w:rPr>
          <w:b/>
          <w:bCs/>
        </w:rPr>
        <w:t>Figure 25</w:t>
      </w:r>
      <w:r w:rsidR="004A1D7D">
        <w:t>)</w:t>
      </w:r>
      <w:r w:rsidR="00D843F1">
        <w:t>.</w:t>
      </w:r>
      <w:r w:rsidR="009665AD">
        <w:t xml:space="preserve"> </w:t>
      </w:r>
      <w:r w:rsidR="00D843F1">
        <w:t xml:space="preserve"> However, in recent months, there has been a significant improvement in the state of employment.  In November, the broad unemployment rate declined from 9.7 pe</w:t>
      </w:r>
      <w:r w:rsidR="000A57F1">
        <w:t xml:space="preserve">rcent in October to 8.5 percent, and the volume of those absent from work for other noneconomic reasons (which may be linked to the war but not due to reserve </w:t>
      </w:r>
      <w:r w:rsidR="003D0C09">
        <w:t xml:space="preserve">army </w:t>
      </w:r>
      <w:r w:rsidR="000A57F1">
        <w:t xml:space="preserve">duty) declined from 7.8 percent in October t0 0.4 percent in November.  Moreover, the daily number of job-seekers registered with the Employment Service declined from about 100,000 when the war broke out to about 2,000 in recent days, alongside a return to work of at least 85,000 employees. </w:t>
      </w:r>
      <w:r w:rsidR="009665AD">
        <w:t xml:space="preserve"> A flash survey taken by the </w:t>
      </w:r>
      <w:r w:rsidR="000A57F1">
        <w:t>Central Bureau of Statistics</w:t>
      </w:r>
      <w:r w:rsidR="009665AD">
        <w:t xml:space="preserve"> </w:t>
      </w:r>
      <w:r w:rsidR="000A57F1">
        <w:t>shows the improvement in the state of the labor market according to businesses’ reports as well.</w:t>
      </w:r>
    </w:p>
    <w:p w14:paraId="278277F1" w14:textId="53402222" w:rsidR="000E6DF7" w:rsidRDefault="000E6DF7" w:rsidP="000E6DF7">
      <w:pPr>
        <w:jc w:val="both"/>
      </w:pPr>
    </w:p>
    <w:p w14:paraId="68EB8E1F" w14:textId="690CCB32" w:rsidR="002E5026" w:rsidRDefault="000A57F1" w:rsidP="004A1D7D">
      <w:pPr>
        <w:jc w:val="both"/>
      </w:pPr>
      <w:r>
        <w:t>A</w:t>
      </w:r>
      <w:r w:rsidR="000E6DF7">
        <w:t xml:space="preserve">ctivity in the housing market continues to moderate.  In the past 12 months, home prices declined by </w:t>
      </w:r>
      <w:r>
        <w:t>1.3</w:t>
      </w:r>
      <w:r w:rsidR="000E6DF7">
        <w:t xml:space="preserve"> percent (</w:t>
      </w:r>
      <w:r w:rsidR="000E6DF7">
        <w:rPr>
          <w:b/>
          <w:bCs/>
        </w:rPr>
        <w:t>Figure 1</w:t>
      </w:r>
      <w:r w:rsidR="004A1D7D">
        <w:rPr>
          <w:b/>
          <w:bCs/>
        </w:rPr>
        <w:t>1</w:t>
      </w:r>
      <w:r w:rsidR="000E6DF7">
        <w:rPr>
          <w:b/>
          <w:bCs/>
        </w:rPr>
        <w:t>)</w:t>
      </w:r>
      <w:r w:rsidR="000E6DF7">
        <w:t xml:space="preserve">.  </w:t>
      </w:r>
      <w:r w:rsidR="00BA1241">
        <w:t xml:space="preserve">In </w:t>
      </w:r>
      <w:r w:rsidR="000E6DF7">
        <w:t>September</w:t>
      </w:r>
      <w:r>
        <w:t>–October</w:t>
      </w:r>
      <w:r w:rsidR="00183F6B">
        <w:t xml:space="preserve"> </w:t>
      </w:r>
      <w:r w:rsidR="00BA1241">
        <w:t xml:space="preserve">2023, the Index of Home Prices </w:t>
      </w:r>
      <w:r w:rsidR="000E6DF7">
        <w:t>remained unchanged</w:t>
      </w:r>
      <w:r>
        <w:t xml:space="preserve"> and new home prices declined by 0.4 percent</w:t>
      </w:r>
      <w:r w:rsidR="004D12F9">
        <w:t>.</w:t>
      </w:r>
      <w:r w:rsidR="0092358F">
        <w:t xml:space="preserve"> </w:t>
      </w:r>
      <w:r w:rsidR="00D872F0">
        <w:t>T</w:t>
      </w:r>
      <w:r w:rsidR="003B66C0" w:rsidRPr="006F18D3">
        <w:t>he</w:t>
      </w:r>
      <w:r w:rsidR="0092358F">
        <w:t xml:space="preserve"> </w:t>
      </w:r>
      <w:r w:rsidR="00945227">
        <w:t>number of housing transactions</w:t>
      </w:r>
      <w:r w:rsidR="0092358F">
        <w:t xml:space="preserve"> and new mortgage</w:t>
      </w:r>
      <w:r w:rsidR="00E91AB9">
        <w:t xml:space="preserve"> volume</w:t>
      </w:r>
      <w:r w:rsidR="00945227">
        <w:t xml:space="preserve"> </w:t>
      </w:r>
      <w:r>
        <w:t>remained at levels lower than in recent years.</w:t>
      </w:r>
      <w:r w:rsidR="0092358F">
        <w:t xml:space="preserve"> In </w:t>
      </w:r>
      <w:r>
        <w:t>Novem</w:t>
      </w:r>
      <w:r w:rsidR="00183F6B">
        <w:t>ber</w:t>
      </w:r>
      <w:r w:rsidR="0092358F">
        <w:t>, new</w:t>
      </w:r>
      <w:r w:rsidR="005D3750">
        <w:t xml:space="preserve"> mortgage borrowing totaled NIS </w:t>
      </w:r>
      <w:r>
        <w:t>5</w:t>
      </w:r>
      <w:r w:rsidR="000E6DF7">
        <w:t>.</w:t>
      </w:r>
      <w:r w:rsidR="00183F6B">
        <w:t>5</w:t>
      </w:r>
      <w:r w:rsidR="0092358F">
        <w:t xml:space="preserve"> billion</w:t>
      </w:r>
      <w:r w:rsidR="0017762C" w:rsidRPr="006F18D3">
        <w:t xml:space="preserve"> </w:t>
      </w:r>
      <w:r w:rsidR="007521B2" w:rsidRPr="006F18D3">
        <w:t>(</w:t>
      </w:r>
      <w:r w:rsidR="007521B2" w:rsidRPr="006F18D3">
        <w:rPr>
          <w:b/>
          <w:bCs/>
        </w:rPr>
        <w:t xml:space="preserve">Figure </w:t>
      </w:r>
      <w:r w:rsidR="00D358CE" w:rsidRPr="006F18D3">
        <w:rPr>
          <w:b/>
          <w:bCs/>
        </w:rPr>
        <w:t>1</w:t>
      </w:r>
      <w:r w:rsidR="004A1D7D">
        <w:rPr>
          <w:b/>
          <w:bCs/>
        </w:rPr>
        <w:t>2</w:t>
      </w:r>
      <w:r w:rsidR="007521B2" w:rsidRPr="006F18D3">
        <w:t xml:space="preserve">). </w:t>
      </w:r>
      <w:r w:rsidR="00BA1241">
        <w:t>The</w:t>
      </w:r>
      <w:r w:rsidR="00183F6B">
        <w:t xml:space="preserve"> </w:t>
      </w:r>
      <w:r w:rsidR="00BA1241">
        <w:t xml:space="preserve">owner-occupied housing services component </w:t>
      </w:r>
      <w:r w:rsidR="000E6DF7">
        <w:t>of</w:t>
      </w:r>
      <w:r w:rsidR="00BA1241">
        <w:t xml:space="preserve"> the CPI </w:t>
      </w:r>
      <w:r w:rsidR="000E6DF7">
        <w:t>declined by 0.</w:t>
      </w:r>
      <w:r>
        <w:t>4</w:t>
      </w:r>
      <w:r w:rsidR="000E6DF7">
        <w:t xml:space="preserve"> percent, and its annual rate of increase continued to moderate, to </w:t>
      </w:r>
      <w:r>
        <w:t>3</w:t>
      </w:r>
      <w:r w:rsidR="000E6DF7">
        <w:t>.9 percent.</w:t>
      </w:r>
      <w:r w:rsidR="007521B2" w:rsidRPr="006F18D3">
        <w:t xml:space="preserve"> </w:t>
      </w:r>
      <w:r>
        <w:t xml:space="preserve">Central Bureau of Statistics construction data for the third quarter show that prior to the </w:t>
      </w:r>
      <w:r>
        <w:lastRenderedPageBreak/>
        <w:t xml:space="preserve">war, the number of building permits, building starts, and building completions were relatively high, despite the slowdown in activity in the industry in the past year.  However, the lack of Palestinian laborers since the outbreak of the war has led to a sharp decline in activity, which is expected to be reflected in fourth quarter data.  Maintaining a high construction supply over time, </w:t>
      </w:r>
      <w:r w:rsidR="003D0C09">
        <w:t xml:space="preserve">and not just </w:t>
      </w:r>
      <w:r>
        <w:t xml:space="preserve">the need to maintain activity in the </w:t>
      </w:r>
      <w:r w:rsidR="003D0C09">
        <w:t>short term</w:t>
      </w:r>
      <w:r>
        <w:t>, will support the stability of housing prices.</w:t>
      </w:r>
    </w:p>
    <w:p w14:paraId="5E0A5086" w14:textId="4CC01705" w:rsidR="000E6DF7" w:rsidRDefault="000E6DF7" w:rsidP="000E6DF7">
      <w:pPr>
        <w:jc w:val="both"/>
      </w:pPr>
    </w:p>
    <w:p w14:paraId="003FFBB4" w14:textId="590C4BCB" w:rsidR="000E6DF7" w:rsidRPr="00680DD3" w:rsidRDefault="000E6DF7" w:rsidP="004A1D7D">
      <w:pPr>
        <w:jc w:val="both"/>
      </w:pPr>
      <w:r>
        <w:t>In the capital market, local equity indices r</w:t>
      </w:r>
      <w:r w:rsidR="000A57F1">
        <w:t>ose</w:t>
      </w:r>
      <w:r>
        <w:t>, similar to the global trend</w:t>
      </w:r>
      <w:r w:rsidR="000A57F1">
        <w:t xml:space="preserve"> during the period</w:t>
      </w:r>
      <w:r w:rsidR="007C0782">
        <w:t>.</w:t>
      </w:r>
      <w:r>
        <w:t xml:space="preserve"> </w:t>
      </w:r>
      <w:r w:rsidR="007C0782">
        <w:t xml:space="preserve">However, </w:t>
      </w:r>
      <w:r>
        <w:t xml:space="preserve">the underperformance </w:t>
      </w:r>
      <w:r w:rsidR="000A57F1">
        <w:t xml:space="preserve">of the domestic market </w:t>
      </w:r>
      <w:r>
        <w:t>relative to the</w:t>
      </w:r>
      <w:r w:rsidR="000A57F1">
        <w:t xml:space="preserve"> global market since</w:t>
      </w:r>
      <w:r>
        <w:t xml:space="preserve"> start of </w:t>
      </w:r>
      <w:r w:rsidR="00797A81">
        <w:t>2023</w:t>
      </w:r>
      <w:r>
        <w:t xml:space="preserve"> remains significant (</w:t>
      </w:r>
      <w:r>
        <w:rPr>
          <w:b/>
          <w:bCs/>
        </w:rPr>
        <w:t>Figure 3</w:t>
      </w:r>
      <w:r w:rsidR="004A1D7D">
        <w:rPr>
          <w:b/>
          <w:bCs/>
        </w:rPr>
        <w:t>5</w:t>
      </w:r>
      <w:r>
        <w:t>).  Long-term government bond yields declined</w:t>
      </w:r>
      <w:r w:rsidR="000A57F1">
        <w:t>, similar to</w:t>
      </w:r>
      <w:r>
        <w:t xml:space="preserve"> the global trend,</w:t>
      </w:r>
      <w:r w:rsidR="000A57F1">
        <w:t xml:space="preserve"> with the increase in expectations</w:t>
      </w:r>
      <w:r w:rsidR="00797A81">
        <w:t xml:space="preserve"> </w:t>
      </w:r>
      <w:r w:rsidR="000A57F1">
        <w:t>that interest rates will be lowered.</w:t>
      </w:r>
      <w:r>
        <w:t xml:space="preserve"> </w:t>
      </w:r>
      <w:r w:rsidR="000A57F1">
        <w:t>C</w:t>
      </w:r>
      <w:r>
        <w:t>orporate bond spreads, which widened at the start of the war, returned to</w:t>
      </w:r>
      <w:r w:rsidR="003C14D6">
        <w:t xml:space="preserve"> close to</w:t>
      </w:r>
      <w:r>
        <w:t xml:space="preserve"> their prewar levels.  The risk premium as measured by the CDS, and the spread between dollar-denominated government bonds and US Treasury bills</w:t>
      </w:r>
      <w:r w:rsidR="00680DD3">
        <w:t>,</w:t>
      </w:r>
      <w:r>
        <w:t xml:space="preserve"> </w:t>
      </w:r>
      <w:r w:rsidR="003C14D6">
        <w:t>declined</w:t>
      </w:r>
      <w:r>
        <w:t xml:space="preserve"> but remain high.</w:t>
      </w:r>
    </w:p>
    <w:p w14:paraId="343811AE" w14:textId="3C6BB94B" w:rsidR="00C2592B" w:rsidRDefault="00C2592B" w:rsidP="00C2592B">
      <w:pPr>
        <w:jc w:val="both"/>
      </w:pPr>
    </w:p>
    <w:p w14:paraId="3D88774D" w14:textId="5D05AC47" w:rsidR="003C14D6" w:rsidRDefault="007C0782" w:rsidP="00797A81">
      <w:pPr>
        <w:jc w:val="both"/>
      </w:pPr>
      <w:r>
        <w:t>In the credit market, the slowing trend of bank credit to businesses</w:t>
      </w:r>
      <w:r w:rsidR="003C14D6">
        <w:t xml:space="preserve"> and households continues, in parallel with the general slowdown of economic activity</w:t>
      </w:r>
      <w:r>
        <w:t xml:space="preserve"> (</w:t>
      </w:r>
      <w:r>
        <w:rPr>
          <w:b/>
          <w:bCs/>
        </w:rPr>
        <w:t xml:space="preserve">Figure </w:t>
      </w:r>
      <w:r w:rsidR="008A0B91">
        <w:rPr>
          <w:b/>
          <w:bCs/>
        </w:rPr>
        <w:t>1</w:t>
      </w:r>
      <w:r w:rsidR="003C14D6">
        <w:rPr>
          <w:b/>
          <w:bCs/>
        </w:rPr>
        <w:t>5</w:t>
      </w:r>
      <w:r>
        <w:t xml:space="preserve">). The </w:t>
      </w:r>
      <w:r w:rsidR="000F069A">
        <w:t>bank</w:t>
      </w:r>
      <w:r w:rsidR="00987520">
        <w:t xml:space="preserve">s and credit card companies </w:t>
      </w:r>
      <w:r w:rsidR="003C14D6">
        <w:t>expanded and extended the</w:t>
      </w:r>
      <w:r w:rsidR="000F069A">
        <w:t xml:space="preserve"> loan repayment deferral </w:t>
      </w:r>
      <w:r w:rsidR="008C3D5D">
        <w:t>program</w:t>
      </w:r>
      <w:r w:rsidR="000F069A">
        <w:t xml:space="preserve"> that was formulated by the Banking Supervision Department</w:t>
      </w:r>
      <w:r w:rsidR="00797A81">
        <w:t xml:space="preserve"> to</w:t>
      </w:r>
      <w:r w:rsidR="000F069A">
        <w:t xml:space="preserve"> ease the cash flow </w:t>
      </w:r>
      <w:r w:rsidR="00797A81">
        <w:t xml:space="preserve">of households and businesses </w:t>
      </w:r>
      <w:r w:rsidR="000F069A">
        <w:t xml:space="preserve">during the upcoming period. </w:t>
      </w:r>
      <w:r w:rsidR="00680DD3">
        <w:t>The credit risk indices for medium, small, and micro businesses increased</w:t>
      </w:r>
      <w:r w:rsidR="003C14D6">
        <w:t xml:space="preserve"> slightly.</w:t>
      </w:r>
    </w:p>
    <w:p w14:paraId="6CD9AACA" w14:textId="77777777" w:rsidR="003C14D6" w:rsidRDefault="003C14D6" w:rsidP="003C14D6">
      <w:pPr>
        <w:jc w:val="both"/>
      </w:pPr>
    </w:p>
    <w:p w14:paraId="060764E5" w14:textId="17139A2E" w:rsidR="003C14D6" w:rsidRDefault="003C14D6" w:rsidP="004A1D7D">
      <w:pPr>
        <w:jc w:val="both"/>
      </w:pPr>
      <w:r>
        <w:t>Economic activity in the major economies is moderating, with the global manufacturing sector and world trade continuing to weaken.  The defense situation in Israel, which has led to an increase in geopolitical tension in the Middle East, has had a moderate impact on the global financial markets.  The growth forecasts by investment houses remained unchanged, and their assessment is that global growth will be 2.7 percent in 2024 (</w:t>
      </w:r>
      <w:r>
        <w:rPr>
          <w:b/>
          <w:bCs/>
        </w:rPr>
        <w:t xml:space="preserve">Figure </w:t>
      </w:r>
      <w:r w:rsidR="004A1D7D">
        <w:rPr>
          <w:b/>
          <w:bCs/>
        </w:rPr>
        <w:t>28</w:t>
      </w:r>
      <w:r>
        <w:t xml:space="preserve">).  The purchasing </w:t>
      </w:r>
      <w:proofErr w:type="gramStart"/>
      <w:r>
        <w:t>managers</w:t>
      </w:r>
      <w:proofErr w:type="gramEnd"/>
      <w:r>
        <w:t xml:space="preserve"> index for the advanced economies increased slightly in November, but remains at a level indicating economic contraction.  In contrast, the purchasing </w:t>
      </w:r>
      <w:proofErr w:type="gramStart"/>
      <w:r>
        <w:t>managers</w:t>
      </w:r>
      <w:proofErr w:type="gramEnd"/>
      <w:r>
        <w:t xml:space="preserve"> index for emerging economies, which also increased slightly, is at a level indicating an expansion of activity (</w:t>
      </w:r>
      <w:r>
        <w:rPr>
          <w:b/>
          <w:bCs/>
        </w:rPr>
        <w:t>Figure 32</w:t>
      </w:r>
      <w:r>
        <w:t>).</w:t>
      </w:r>
    </w:p>
    <w:p w14:paraId="55DAEDBA" w14:textId="21A65B40" w:rsidR="00680DD3" w:rsidRDefault="003C14D6" w:rsidP="003C14D6">
      <w:pPr>
        <w:jc w:val="both"/>
      </w:pPr>
      <w:r>
        <w:t xml:space="preserve"> </w:t>
      </w:r>
    </w:p>
    <w:p w14:paraId="77C24353" w14:textId="5A111FFE" w:rsidR="00466DE7" w:rsidRDefault="00680DD3" w:rsidP="004A1D7D">
      <w:pPr>
        <w:jc w:val="both"/>
      </w:pPr>
      <w:r>
        <w:t xml:space="preserve">In the US, </w:t>
      </w:r>
      <w:r w:rsidR="003C14D6">
        <w:t>the general and core PCE indices declined more than expected, to 2.6 and 3.2 percent respectively.  Inflation continues to draw closer to the</w:t>
      </w:r>
      <w:r w:rsidR="004A1D7D">
        <w:t xml:space="preserve"> Federal Reserve’s</w:t>
      </w:r>
      <w:r w:rsidR="003C14D6">
        <w:t xml:space="preserve"> target.  In the eurozone, there was also a sharper-than-expected decline in inflation, with the general index at 2.4 percent and the core index at 3.6 percent.</w:t>
      </w:r>
      <w:r w:rsidR="006D0AB3">
        <w:t xml:space="preserve">  Oil prices</w:t>
      </w:r>
      <w:r w:rsidR="003C14D6">
        <w:t xml:space="preserve"> continued to</w:t>
      </w:r>
      <w:r w:rsidR="006D0AB3">
        <w:t xml:space="preserve"> </w:t>
      </w:r>
      <w:proofErr w:type="gramStart"/>
      <w:r w:rsidR="006D0AB3">
        <w:t>declined</w:t>
      </w:r>
      <w:proofErr w:type="gramEnd"/>
      <w:r w:rsidR="006D0AB3">
        <w:t xml:space="preserve"> s</w:t>
      </w:r>
      <w:r w:rsidR="003C14D6">
        <w:t>light</w:t>
      </w:r>
      <w:r w:rsidR="006D0AB3">
        <w:t xml:space="preserve">ly, </w:t>
      </w:r>
      <w:r w:rsidR="00B16D92">
        <w:t>with high volatility, and prices are below their prewar levels</w:t>
      </w:r>
      <w:r w:rsidR="006D0AB3">
        <w:t>.</w:t>
      </w:r>
      <w:r w:rsidR="00B16D92">
        <w:t xml:space="preserve">  Accordingly, t</w:t>
      </w:r>
      <w:r w:rsidR="00246670" w:rsidRPr="006F18D3">
        <w:t xml:space="preserve">he inflation environment </w:t>
      </w:r>
      <w:r w:rsidR="00EC43CA">
        <w:t>moderated</w:t>
      </w:r>
      <w:r w:rsidR="00996925">
        <w:t xml:space="preserve"> in many countries,</w:t>
      </w:r>
      <w:r w:rsidR="00A256FF">
        <w:t xml:space="preserve"> but</w:t>
      </w:r>
      <w:r w:rsidR="00996925">
        <w:t xml:space="preserve"> remains above the</w:t>
      </w:r>
      <w:r w:rsidR="00AF7DC8">
        <w:t>ir</w:t>
      </w:r>
      <w:r w:rsidR="00996925">
        <w:t xml:space="preserve"> central bank targets</w:t>
      </w:r>
      <w:r w:rsidR="00C470B8">
        <w:t xml:space="preserve"> (</w:t>
      </w:r>
      <w:r w:rsidR="00C470B8">
        <w:rPr>
          <w:b/>
          <w:bCs/>
        </w:rPr>
        <w:t xml:space="preserve">Figure </w:t>
      </w:r>
      <w:r w:rsidR="007A4A3C">
        <w:rPr>
          <w:b/>
          <w:bCs/>
        </w:rPr>
        <w:t>3</w:t>
      </w:r>
      <w:r w:rsidR="004A1D7D">
        <w:rPr>
          <w:b/>
          <w:bCs/>
        </w:rPr>
        <w:t>3</w:t>
      </w:r>
      <w:r w:rsidR="00C470B8">
        <w:t>)</w:t>
      </w:r>
      <w:r w:rsidR="00EC43CA">
        <w:t>.</w:t>
      </w:r>
      <w:r w:rsidR="00930D4A">
        <w:t xml:space="preserve"> </w:t>
      </w:r>
      <w:r w:rsidR="00EC43CA">
        <w:t>C</w:t>
      </w:r>
      <w:r w:rsidR="00930D4A">
        <w:t>ore inflation</w:t>
      </w:r>
      <w:r w:rsidR="00EC43CA">
        <w:t xml:space="preserve">, which </w:t>
      </w:r>
      <w:r w:rsidR="000368DE">
        <w:t xml:space="preserve">has been </w:t>
      </w:r>
      <w:r w:rsidR="00EC43CA">
        <w:t>more</w:t>
      </w:r>
      <w:r w:rsidR="00930D4A">
        <w:t xml:space="preserve"> </w:t>
      </w:r>
      <w:r w:rsidR="00EC43CA">
        <w:t>“</w:t>
      </w:r>
      <w:r w:rsidR="008B4202">
        <w:t>sticky</w:t>
      </w:r>
      <w:r w:rsidR="00EC43CA">
        <w:t>”, is also moderating</w:t>
      </w:r>
      <w:r w:rsidR="00996925">
        <w:t>.</w:t>
      </w:r>
      <w:r w:rsidR="00A256FF">
        <w:t xml:space="preserve"> </w:t>
      </w:r>
      <w:r w:rsidR="006D0AB3">
        <w:t xml:space="preserve">The Federal Reserve and the European Central Bank left their interest rates unchanged, </w:t>
      </w:r>
      <w:r w:rsidR="00B16D92">
        <w:t xml:space="preserve">but the interest rate path expected by the markets declined significantly, and accordingly, a number of interest rate declines are expected during 2024. </w:t>
      </w:r>
    </w:p>
    <w:p w14:paraId="729DC7CD" w14:textId="77777777" w:rsidR="00AD12BC" w:rsidRPr="006F18D3" w:rsidRDefault="00AD12BC" w:rsidP="00C2592B">
      <w:pPr>
        <w:jc w:val="both"/>
      </w:pPr>
    </w:p>
    <w:p w14:paraId="2A06FF08" w14:textId="77777777" w:rsidR="00AD12BC" w:rsidRPr="006F18D3" w:rsidRDefault="00AD12BC" w:rsidP="00C2592B">
      <w:pPr>
        <w:jc w:val="both"/>
      </w:pPr>
    </w:p>
    <w:p w14:paraId="69729D9C" w14:textId="77777777" w:rsidR="00AD12BC" w:rsidRPr="006F18D3" w:rsidRDefault="00AD12BC" w:rsidP="00C2592B">
      <w:pPr>
        <w:jc w:val="both"/>
      </w:pPr>
    </w:p>
    <w:p w14:paraId="6D15635A" w14:textId="59524BC7" w:rsidR="00D26730" w:rsidRPr="006F18D3" w:rsidRDefault="00D26730" w:rsidP="00B16D92">
      <w:pPr>
        <w:jc w:val="both"/>
        <w:rPr>
          <w:rtl/>
        </w:rPr>
      </w:pPr>
      <w:r w:rsidRPr="006F18D3">
        <w:t xml:space="preserve">The minutes of the monetary discussions prior to this interest rate decision will be published on </w:t>
      </w:r>
      <w:r w:rsidR="00B16D92">
        <w:t>January 15, 2024</w:t>
      </w:r>
      <w:r w:rsidRPr="006F18D3">
        <w:t xml:space="preserve">. The next decision regarding the interest rate will be published at 16:00 on </w:t>
      </w:r>
      <w:r w:rsidR="005923FA" w:rsidRPr="006F18D3">
        <w:t xml:space="preserve">Monday, </w:t>
      </w:r>
      <w:r w:rsidR="00B16D92">
        <w:t>February 26</w:t>
      </w:r>
      <w:r w:rsidR="006D0AB3">
        <w:t>, 2024</w:t>
      </w:r>
      <w:r w:rsidR="00EE2D33" w:rsidRPr="006F18D3">
        <w:t>.</w:t>
      </w:r>
      <w:bookmarkEnd w:id="0"/>
    </w:p>
    <w:sectPr w:rsidR="00D26730" w:rsidRPr="006F18D3" w:rsidSect="008A464C">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701" w:right="1134" w:bottom="1304" w:left="1418"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3035" w14:textId="77777777" w:rsidR="007B61AE" w:rsidRDefault="007B61AE" w:rsidP="006A415B">
      <w:r>
        <w:separator/>
      </w:r>
    </w:p>
  </w:endnote>
  <w:endnote w:type="continuationSeparator" w:id="0">
    <w:p w14:paraId="31BD59E9" w14:textId="77777777" w:rsidR="007B61AE" w:rsidRDefault="007B61AE"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EA50" w14:textId="77777777" w:rsidR="00CF30BC" w:rsidRDefault="00CF30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0175" w14:textId="77777777" w:rsidR="00CF30BC" w:rsidRDefault="00CF30B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4790" w14:textId="77777777" w:rsidR="00CF30BC" w:rsidRDefault="00CF30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F816" w14:textId="77777777" w:rsidR="007B61AE" w:rsidRDefault="007B61AE" w:rsidP="006A415B">
      <w:r>
        <w:separator/>
      </w:r>
    </w:p>
  </w:footnote>
  <w:footnote w:type="continuationSeparator" w:id="0">
    <w:p w14:paraId="048FFFEB" w14:textId="77777777" w:rsidR="007B61AE" w:rsidRDefault="007B61AE" w:rsidP="006A415B">
      <w:r>
        <w:continuationSeparator/>
      </w:r>
    </w:p>
  </w:footnote>
  <w:footnote w:id="1">
    <w:p w14:paraId="55121146" w14:textId="77777777" w:rsidR="00946D2C" w:rsidRDefault="00946D2C" w:rsidP="00946D2C">
      <w:pPr>
        <w:pStyle w:val="af0"/>
      </w:pPr>
      <w:r>
        <w:rPr>
          <w:rStyle w:val="af2"/>
        </w:rPr>
        <w:footnoteRef/>
      </w:r>
      <w:r>
        <w:t xml:space="preserve"> The full forecast is being published separately, and can be found at </w:t>
      </w:r>
      <w:r w:rsidRPr="008C3D5D">
        <w:rPr>
          <w:highlight w:val="yellow"/>
        </w:rPr>
        <w:t>{link}</w:t>
      </w:r>
      <w:r>
        <w:t>.</w:t>
      </w:r>
    </w:p>
  </w:footnote>
  <w:footnote w:id="2">
    <w:p w14:paraId="243634B1" w14:textId="59398918" w:rsidR="00D843F1" w:rsidRDefault="00D843F1" w:rsidP="00D843F1">
      <w:pPr>
        <w:pStyle w:val="af0"/>
      </w:pPr>
      <w:r>
        <w:rPr>
          <w:rStyle w:val="af2"/>
        </w:rPr>
        <w:footnoteRef/>
      </w:r>
      <w:r>
        <w:t xml:space="preserve"> In addition to unemployed persons under the normal definition, the broad unemployment rate includes employees who are temporarily absent for economic reasons (including those put on furlough). The definition of broad unemployment does not include employees who were absent from their jobs for other reasons, such as reserve duty, caring for children in the absence of day care or educational frameworks, and others.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4DD2C" w14:textId="77777777" w:rsidR="00CF30BC" w:rsidRDefault="00CF30B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8C28" w14:textId="77777777" w:rsidR="00CF30BC" w:rsidRDefault="00CF30B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619" w14:textId="10697507" w:rsidR="006A415B" w:rsidRDefault="006A415B" w:rsidP="00DA6FE9">
    <w:pPr>
      <w:pStyle w:val="regpar"/>
      <w:spacing w:line="300" w:lineRule="atLeast"/>
      <w:ind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9"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
  </w:num>
  <w:num w:numId="6">
    <w:abstractNumId w:val="9"/>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20F9E"/>
    <w:rsid w:val="000247BE"/>
    <w:rsid w:val="0002574D"/>
    <w:rsid w:val="00026557"/>
    <w:rsid w:val="00026692"/>
    <w:rsid w:val="0002762F"/>
    <w:rsid w:val="0003080D"/>
    <w:rsid w:val="00032BD5"/>
    <w:rsid w:val="00032EAA"/>
    <w:rsid w:val="00033062"/>
    <w:rsid w:val="00033326"/>
    <w:rsid w:val="000359AC"/>
    <w:rsid w:val="0003624A"/>
    <w:rsid w:val="0003644D"/>
    <w:rsid w:val="000368DE"/>
    <w:rsid w:val="0004163E"/>
    <w:rsid w:val="000416AB"/>
    <w:rsid w:val="00041B69"/>
    <w:rsid w:val="00042865"/>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61166"/>
    <w:rsid w:val="00065057"/>
    <w:rsid w:val="000651F8"/>
    <w:rsid w:val="0006540D"/>
    <w:rsid w:val="000674E1"/>
    <w:rsid w:val="000677A6"/>
    <w:rsid w:val="00070DB3"/>
    <w:rsid w:val="00070EC2"/>
    <w:rsid w:val="000717B4"/>
    <w:rsid w:val="000743A2"/>
    <w:rsid w:val="00074B82"/>
    <w:rsid w:val="000769A8"/>
    <w:rsid w:val="000819C4"/>
    <w:rsid w:val="00081DD4"/>
    <w:rsid w:val="00084BF8"/>
    <w:rsid w:val="000851CE"/>
    <w:rsid w:val="000860E5"/>
    <w:rsid w:val="00086DD2"/>
    <w:rsid w:val="00087055"/>
    <w:rsid w:val="00087A89"/>
    <w:rsid w:val="0009033A"/>
    <w:rsid w:val="00091D07"/>
    <w:rsid w:val="00093CBA"/>
    <w:rsid w:val="00093E16"/>
    <w:rsid w:val="00094DC7"/>
    <w:rsid w:val="0009726C"/>
    <w:rsid w:val="000975E0"/>
    <w:rsid w:val="000A02E0"/>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F86"/>
    <w:rsid w:val="000D370E"/>
    <w:rsid w:val="000D3FD7"/>
    <w:rsid w:val="000D41A9"/>
    <w:rsid w:val="000D53EB"/>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74B"/>
    <w:rsid w:val="000E690F"/>
    <w:rsid w:val="000E6DF7"/>
    <w:rsid w:val="000E77BF"/>
    <w:rsid w:val="000E7C33"/>
    <w:rsid w:val="000E7F9B"/>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30AB"/>
    <w:rsid w:val="0012343B"/>
    <w:rsid w:val="00123AAE"/>
    <w:rsid w:val="001246CD"/>
    <w:rsid w:val="00124898"/>
    <w:rsid w:val="00124C58"/>
    <w:rsid w:val="0012539C"/>
    <w:rsid w:val="00127542"/>
    <w:rsid w:val="0013000B"/>
    <w:rsid w:val="0013004C"/>
    <w:rsid w:val="00130AEA"/>
    <w:rsid w:val="00130B18"/>
    <w:rsid w:val="00130FDA"/>
    <w:rsid w:val="00131DB9"/>
    <w:rsid w:val="00132757"/>
    <w:rsid w:val="00133702"/>
    <w:rsid w:val="00134E52"/>
    <w:rsid w:val="00135719"/>
    <w:rsid w:val="001361C4"/>
    <w:rsid w:val="00136EA2"/>
    <w:rsid w:val="00140663"/>
    <w:rsid w:val="001406C1"/>
    <w:rsid w:val="00145881"/>
    <w:rsid w:val="00145BF6"/>
    <w:rsid w:val="00146F92"/>
    <w:rsid w:val="00151E99"/>
    <w:rsid w:val="00152120"/>
    <w:rsid w:val="001530AA"/>
    <w:rsid w:val="0015502C"/>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4769"/>
    <w:rsid w:val="001758BE"/>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541B"/>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71B"/>
    <w:rsid w:val="001D1BFB"/>
    <w:rsid w:val="001D3676"/>
    <w:rsid w:val="001D398C"/>
    <w:rsid w:val="001D4181"/>
    <w:rsid w:val="001D42FB"/>
    <w:rsid w:val="001D4FF1"/>
    <w:rsid w:val="001D6C29"/>
    <w:rsid w:val="001D6F20"/>
    <w:rsid w:val="001E0025"/>
    <w:rsid w:val="001E02C6"/>
    <w:rsid w:val="001E2111"/>
    <w:rsid w:val="001E2404"/>
    <w:rsid w:val="001E29C0"/>
    <w:rsid w:val="001E2CC0"/>
    <w:rsid w:val="001E34CC"/>
    <w:rsid w:val="001E389F"/>
    <w:rsid w:val="001E3D28"/>
    <w:rsid w:val="001E59FB"/>
    <w:rsid w:val="001F0639"/>
    <w:rsid w:val="001F07C0"/>
    <w:rsid w:val="001F0BF6"/>
    <w:rsid w:val="001F1315"/>
    <w:rsid w:val="001F1511"/>
    <w:rsid w:val="001F2101"/>
    <w:rsid w:val="001F2855"/>
    <w:rsid w:val="001F2882"/>
    <w:rsid w:val="001F4879"/>
    <w:rsid w:val="001F5492"/>
    <w:rsid w:val="001F579B"/>
    <w:rsid w:val="001F688C"/>
    <w:rsid w:val="00201608"/>
    <w:rsid w:val="002016D1"/>
    <w:rsid w:val="002019AB"/>
    <w:rsid w:val="0020271C"/>
    <w:rsid w:val="00203AB5"/>
    <w:rsid w:val="00204ACD"/>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452"/>
    <w:rsid w:val="00230BCF"/>
    <w:rsid w:val="00232305"/>
    <w:rsid w:val="00233242"/>
    <w:rsid w:val="00234E8D"/>
    <w:rsid w:val="00235C2C"/>
    <w:rsid w:val="00235C9A"/>
    <w:rsid w:val="002372E6"/>
    <w:rsid w:val="0024000B"/>
    <w:rsid w:val="00240CBE"/>
    <w:rsid w:val="0024158D"/>
    <w:rsid w:val="00242029"/>
    <w:rsid w:val="002427B4"/>
    <w:rsid w:val="00242EA5"/>
    <w:rsid w:val="002439C2"/>
    <w:rsid w:val="002454BD"/>
    <w:rsid w:val="00246670"/>
    <w:rsid w:val="00246A77"/>
    <w:rsid w:val="00246AB4"/>
    <w:rsid w:val="00246D60"/>
    <w:rsid w:val="00250448"/>
    <w:rsid w:val="0025090B"/>
    <w:rsid w:val="0025241A"/>
    <w:rsid w:val="002530C3"/>
    <w:rsid w:val="002547EA"/>
    <w:rsid w:val="00255F78"/>
    <w:rsid w:val="00257C4F"/>
    <w:rsid w:val="002626D3"/>
    <w:rsid w:val="00262B90"/>
    <w:rsid w:val="002636AB"/>
    <w:rsid w:val="00263FA4"/>
    <w:rsid w:val="00264450"/>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42CA"/>
    <w:rsid w:val="00286644"/>
    <w:rsid w:val="0028776B"/>
    <w:rsid w:val="0029067D"/>
    <w:rsid w:val="002910D0"/>
    <w:rsid w:val="002916FD"/>
    <w:rsid w:val="002919ED"/>
    <w:rsid w:val="00291D49"/>
    <w:rsid w:val="00292AE0"/>
    <w:rsid w:val="00293151"/>
    <w:rsid w:val="002934E4"/>
    <w:rsid w:val="00295C50"/>
    <w:rsid w:val="00295D2E"/>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3DBC"/>
    <w:rsid w:val="002B3E40"/>
    <w:rsid w:val="002B4F55"/>
    <w:rsid w:val="002C15F3"/>
    <w:rsid w:val="002C1A7A"/>
    <w:rsid w:val="002C22A9"/>
    <w:rsid w:val="002C2763"/>
    <w:rsid w:val="002C38FD"/>
    <w:rsid w:val="002C445A"/>
    <w:rsid w:val="002C487B"/>
    <w:rsid w:val="002C4A6D"/>
    <w:rsid w:val="002C5A95"/>
    <w:rsid w:val="002C7D1A"/>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71EB"/>
    <w:rsid w:val="002E7729"/>
    <w:rsid w:val="002E7AD8"/>
    <w:rsid w:val="002E7B00"/>
    <w:rsid w:val="002E7D48"/>
    <w:rsid w:val="002F016B"/>
    <w:rsid w:val="002F096E"/>
    <w:rsid w:val="002F0E94"/>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243C"/>
    <w:rsid w:val="0031276F"/>
    <w:rsid w:val="003131CF"/>
    <w:rsid w:val="0031384F"/>
    <w:rsid w:val="00315ECF"/>
    <w:rsid w:val="00316005"/>
    <w:rsid w:val="00316084"/>
    <w:rsid w:val="00316F56"/>
    <w:rsid w:val="0032005A"/>
    <w:rsid w:val="0032040A"/>
    <w:rsid w:val="0033191B"/>
    <w:rsid w:val="00332296"/>
    <w:rsid w:val="00333AE6"/>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2E3F"/>
    <w:rsid w:val="00353570"/>
    <w:rsid w:val="003536F8"/>
    <w:rsid w:val="003550D6"/>
    <w:rsid w:val="00357F0C"/>
    <w:rsid w:val="00357F6D"/>
    <w:rsid w:val="003631F8"/>
    <w:rsid w:val="003633EB"/>
    <w:rsid w:val="00364B44"/>
    <w:rsid w:val="00364BF6"/>
    <w:rsid w:val="00365600"/>
    <w:rsid w:val="00366EB5"/>
    <w:rsid w:val="003700BC"/>
    <w:rsid w:val="00371435"/>
    <w:rsid w:val="00373127"/>
    <w:rsid w:val="00373778"/>
    <w:rsid w:val="00375488"/>
    <w:rsid w:val="003768AB"/>
    <w:rsid w:val="003768CB"/>
    <w:rsid w:val="003768D8"/>
    <w:rsid w:val="00376B9A"/>
    <w:rsid w:val="0037798D"/>
    <w:rsid w:val="00380EDD"/>
    <w:rsid w:val="00381848"/>
    <w:rsid w:val="003826AF"/>
    <w:rsid w:val="00384D6F"/>
    <w:rsid w:val="00384FC9"/>
    <w:rsid w:val="00385FA7"/>
    <w:rsid w:val="003862E1"/>
    <w:rsid w:val="0038792F"/>
    <w:rsid w:val="00390733"/>
    <w:rsid w:val="00390BF8"/>
    <w:rsid w:val="00391453"/>
    <w:rsid w:val="00392CF9"/>
    <w:rsid w:val="003934A4"/>
    <w:rsid w:val="00394043"/>
    <w:rsid w:val="0039492F"/>
    <w:rsid w:val="0039501C"/>
    <w:rsid w:val="0039541D"/>
    <w:rsid w:val="003A0BC8"/>
    <w:rsid w:val="003A0C4B"/>
    <w:rsid w:val="003A0D02"/>
    <w:rsid w:val="003A111B"/>
    <w:rsid w:val="003A1F21"/>
    <w:rsid w:val="003A24A5"/>
    <w:rsid w:val="003A2DEE"/>
    <w:rsid w:val="003A31E7"/>
    <w:rsid w:val="003A329C"/>
    <w:rsid w:val="003A5885"/>
    <w:rsid w:val="003A6413"/>
    <w:rsid w:val="003A67E8"/>
    <w:rsid w:val="003A79DF"/>
    <w:rsid w:val="003B124D"/>
    <w:rsid w:val="003B13C5"/>
    <w:rsid w:val="003B230E"/>
    <w:rsid w:val="003B4D81"/>
    <w:rsid w:val="003B66C0"/>
    <w:rsid w:val="003C11FB"/>
    <w:rsid w:val="003C14D6"/>
    <w:rsid w:val="003C2445"/>
    <w:rsid w:val="003C30FD"/>
    <w:rsid w:val="003C3233"/>
    <w:rsid w:val="003C3925"/>
    <w:rsid w:val="003C44C1"/>
    <w:rsid w:val="003C4778"/>
    <w:rsid w:val="003C58CD"/>
    <w:rsid w:val="003C5B37"/>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9C7"/>
    <w:rsid w:val="00403F5E"/>
    <w:rsid w:val="00404947"/>
    <w:rsid w:val="00405263"/>
    <w:rsid w:val="004071C8"/>
    <w:rsid w:val="00407BA2"/>
    <w:rsid w:val="00411275"/>
    <w:rsid w:val="00411CA3"/>
    <w:rsid w:val="0041296A"/>
    <w:rsid w:val="00412F81"/>
    <w:rsid w:val="00412FED"/>
    <w:rsid w:val="00413311"/>
    <w:rsid w:val="00414BFB"/>
    <w:rsid w:val="00416B45"/>
    <w:rsid w:val="00416FEB"/>
    <w:rsid w:val="0041770E"/>
    <w:rsid w:val="0041799D"/>
    <w:rsid w:val="004211B9"/>
    <w:rsid w:val="0042192F"/>
    <w:rsid w:val="004237A9"/>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FBD"/>
    <w:rsid w:val="00447D98"/>
    <w:rsid w:val="004509EB"/>
    <w:rsid w:val="00451259"/>
    <w:rsid w:val="0045242F"/>
    <w:rsid w:val="00452FC5"/>
    <w:rsid w:val="00453F91"/>
    <w:rsid w:val="004545D6"/>
    <w:rsid w:val="00454621"/>
    <w:rsid w:val="004554B0"/>
    <w:rsid w:val="00456CD0"/>
    <w:rsid w:val="0046248B"/>
    <w:rsid w:val="00466706"/>
    <w:rsid w:val="00466DE7"/>
    <w:rsid w:val="00467791"/>
    <w:rsid w:val="00471C49"/>
    <w:rsid w:val="004720BD"/>
    <w:rsid w:val="00473DE2"/>
    <w:rsid w:val="00477B53"/>
    <w:rsid w:val="00477FA3"/>
    <w:rsid w:val="00480DE5"/>
    <w:rsid w:val="004823D2"/>
    <w:rsid w:val="004845A4"/>
    <w:rsid w:val="00485AFA"/>
    <w:rsid w:val="0048603E"/>
    <w:rsid w:val="00492335"/>
    <w:rsid w:val="00493428"/>
    <w:rsid w:val="004937CC"/>
    <w:rsid w:val="004941E7"/>
    <w:rsid w:val="004954F3"/>
    <w:rsid w:val="00495650"/>
    <w:rsid w:val="0049621A"/>
    <w:rsid w:val="00496256"/>
    <w:rsid w:val="00496E15"/>
    <w:rsid w:val="00497FEB"/>
    <w:rsid w:val="004A075E"/>
    <w:rsid w:val="004A1061"/>
    <w:rsid w:val="004A1246"/>
    <w:rsid w:val="004A1D7D"/>
    <w:rsid w:val="004A3665"/>
    <w:rsid w:val="004A3D86"/>
    <w:rsid w:val="004A438B"/>
    <w:rsid w:val="004A44BB"/>
    <w:rsid w:val="004A45B0"/>
    <w:rsid w:val="004A4F50"/>
    <w:rsid w:val="004A5CA3"/>
    <w:rsid w:val="004A6965"/>
    <w:rsid w:val="004A7BC6"/>
    <w:rsid w:val="004B3AB0"/>
    <w:rsid w:val="004B3DEE"/>
    <w:rsid w:val="004B4906"/>
    <w:rsid w:val="004B4DF5"/>
    <w:rsid w:val="004B5BEA"/>
    <w:rsid w:val="004B64E5"/>
    <w:rsid w:val="004B738F"/>
    <w:rsid w:val="004C06DE"/>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3A38"/>
    <w:rsid w:val="004F4C8C"/>
    <w:rsid w:val="004F5E20"/>
    <w:rsid w:val="004F6212"/>
    <w:rsid w:val="004F73DF"/>
    <w:rsid w:val="00500737"/>
    <w:rsid w:val="005010B3"/>
    <w:rsid w:val="00501441"/>
    <w:rsid w:val="00502AD0"/>
    <w:rsid w:val="00503C89"/>
    <w:rsid w:val="00503D3C"/>
    <w:rsid w:val="005051A4"/>
    <w:rsid w:val="0050586D"/>
    <w:rsid w:val="0050630F"/>
    <w:rsid w:val="005102FC"/>
    <w:rsid w:val="00510833"/>
    <w:rsid w:val="005110A6"/>
    <w:rsid w:val="005138B6"/>
    <w:rsid w:val="00514240"/>
    <w:rsid w:val="0051464A"/>
    <w:rsid w:val="005150D5"/>
    <w:rsid w:val="0051551F"/>
    <w:rsid w:val="0051645D"/>
    <w:rsid w:val="00517C6A"/>
    <w:rsid w:val="00520147"/>
    <w:rsid w:val="0052048D"/>
    <w:rsid w:val="00521336"/>
    <w:rsid w:val="00521E60"/>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7ED"/>
    <w:rsid w:val="00540C23"/>
    <w:rsid w:val="00542B79"/>
    <w:rsid w:val="00542C3E"/>
    <w:rsid w:val="00546183"/>
    <w:rsid w:val="00546A27"/>
    <w:rsid w:val="005471C8"/>
    <w:rsid w:val="00550BAA"/>
    <w:rsid w:val="00551BCE"/>
    <w:rsid w:val="00552983"/>
    <w:rsid w:val="0055298E"/>
    <w:rsid w:val="005529B6"/>
    <w:rsid w:val="00553766"/>
    <w:rsid w:val="0055401F"/>
    <w:rsid w:val="005544D4"/>
    <w:rsid w:val="0055453F"/>
    <w:rsid w:val="005551BD"/>
    <w:rsid w:val="00555366"/>
    <w:rsid w:val="00557817"/>
    <w:rsid w:val="00560CDB"/>
    <w:rsid w:val="00562685"/>
    <w:rsid w:val="0056369C"/>
    <w:rsid w:val="005663FF"/>
    <w:rsid w:val="0056707E"/>
    <w:rsid w:val="00567536"/>
    <w:rsid w:val="0057034B"/>
    <w:rsid w:val="00571488"/>
    <w:rsid w:val="005720F3"/>
    <w:rsid w:val="00573E1B"/>
    <w:rsid w:val="00573F41"/>
    <w:rsid w:val="00575563"/>
    <w:rsid w:val="00576274"/>
    <w:rsid w:val="00576794"/>
    <w:rsid w:val="00576C94"/>
    <w:rsid w:val="00576D35"/>
    <w:rsid w:val="00577A92"/>
    <w:rsid w:val="005804FF"/>
    <w:rsid w:val="0058128B"/>
    <w:rsid w:val="00581855"/>
    <w:rsid w:val="00581EC6"/>
    <w:rsid w:val="00582771"/>
    <w:rsid w:val="00583F50"/>
    <w:rsid w:val="00584883"/>
    <w:rsid w:val="0058494B"/>
    <w:rsid w:val="00584D01"/>
    <w:rsid w:val="0058524B"/>
    <w:rsid w:val="005855AF"/>
    <w:rsid w:val="00585AFD"/>
    <w:rsid w:val="00586B18"/>
    <w:rsid w:val="00586C4D"/>
    <w:rsid w:val="0058713A"/>
    <w:rsid w:val="005900CF"/>
    <w:rsid w:val="005901DA"/>
    <w:rsid w:val="005905BC"/>
    <w:rsid w:val="00591020"/>
    <w:rsid w:val="005923FA"/>
    <w:rsid w:val="00593356"/>
    <w:rsid w:val="00593803"/>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1A5D"/>
    <w:rsid w:val="005B48AC"/>
    <w:rsid w:val="005B4F92"/>
    <w:rsid w:val="005B6E03"/>
    <w:rsid w:val="005C245E"/>
    <w:rsid w:val="005C36E7"/>
    <w:rsid w:val="005C426F"/>
    <w:rsid w:val="005C4360"/>
    <w:rsid w:val="005D07A1"/>
    <w:rsid w:val="005D0B28"/>
    <w:rsid w:val="005D1C73"/>
    <w:rsid w:val="005D1D68"/>
    <w:rsid w:val="005D257C"/>
    <w:rsid w:val="005D2B90"/>
    <w:rsid w:val="005D331D"/>
    <w:rsid w:val="005D3750"/>
    <w:rsid w:val="005D3898"/>
    <w:rsid w:val="005D50D4"/>
    <w:rsid w:val="005D57A4"/>
    <w:rsid w:val="005D6524"/>
    <w:rsid w:val="005D74FD"/>
    <w:rsid w:val="005D7745"/>
    <w:rsid w:val="005E0C50"/>
    <w:rsid w:val="005E1316"/>
    <w:rsid w:val="005E1622"/>
    <w:rsid w:val="005E1B97"/>
    <w:rsid w:val="005E40A9"/>
    <w:rsid w:val="005E5173"/>
    <w:rsid w:val="005E63F4"/>
    <w:rsid w:val="005E721B"/>
    <w:rsid w:val="005E7284"/>
    <w:rsid w:val="005F051E"/>
    <w:rsid w:val="005F0EF0"/>
    <w:rsid w:val="005F187B"/>
    <w:rsid w:val="005F3B09"/>
    <w:rsid w:val="005F5132"/>
    <w:rsid w:val="005F54EF"/>
    <w:rsid w:val="005F5E21"/>
    <w:rsid w:val="005F743B"/>
    <w:rsid w:val="00601375"/>
    <w:rsid w:val="00603B2B"/>
    <w:rsid w:val="00603C96"/>
    <w:rsid w:val="00604869"/>
    <w:rsid w:val="00605AC3"/>
    <w:rsid w:val="00607D9E"/>
    <w:rsid w:val="00611613"/>
    <w:rsid w:val="006125F0"/>
    <w:rsid w:val="00612AEA"/>
    <w:rsid w:val="00614AFC"/>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3254"/>
    <w:rsid w:val="00633683"/>
    <w:rsid w:val="00633738"/>
    <w:rsid w:val="006342C1"/>
    <w:rsid w:val="00634FD4"/>
    <w:rsid w:val="00636349"/>
    <w:rsid w:val="006374A9"/>
    <w:rsid w:val="0064051A"/>
    <w:rsid w:val="00642392"/>
    <w:rsid w:val="00642917"/>
    <w:rsid w:val="006435A0"/>
    <w:rsid w:val="00643F05"/>
    <w:rsid w:val="006453DC"/>
    <w:rsid w:val="00645835"/>
    <w:rsid w:val="00645A0E"/>
    <w:rsid w:val="00646176"/>
    <w:rsid w:val="0064690A"/>
    <w:rsid w:val="00647A20"/>
    <w:rsid w:val="00647DEE"/>
    <w:rsid w:val="0065018E"/>
    <w:rsid w:val="00650BE8"/>
    <w:rsid w:val="00650C10"/>
    <w:rsid w:val="00650CFB"/>
    <w:rsid w:val="00651B09"/>
    <w:rsid w:val="00653985"/>
    <w:rsid w:val="006564B8"/>
    <w:rsid w:val="0066010C"/>
    <w:rsid w:val="0066125E"/>
    <w:rsid w:val="00661521"/>
    <w:rsid w:val="006616A7"/>
    <w:rsid w:val="006620D9"/>
    <w:rsid w:val="00663F68"/>
    <w:rsid w:val="006661A7"/>
    <w:rsid w:val="00666482"/>
    <w:rsid w:val="006700ED"/>
    <w:rsid w:val="006704D5"/>
    <w:rsid w:val="0067190B"/>
    <w:rsid w:val="00671EDC"/>
    <w:rsid w:val="00680DD3"/>
    <w:rsid w:val="0068113A"/>
    <w:rsid w:val="00685749"/>
    <w:rsid w:val="0068610F"/>
    <w:rsid w:val="006870F5"/>
    <w:rsid w:val="00687473"/>
    <w:rsid w:val="0068764D"/>
    <w:rsid w:val="00690045"/>
    <w:rsid w:val="006900D5"/>
    <w:rsid w:val="00691041"/>
    <w:rsid w:val="0069226D"/>
    <w:rsid w:val="006922D6"/>
    <w:rsid w:val="00692C44"/>
    <w:rsid w:val="00693629"/>
    <w:rsid w:val="00694282"/>
    <w:rsid w:val="00694650"/>
    <w:rsid w:val="00694F7F"/>
    <w:rsid w:val="00695938"/>
    <w:rsid w:val="006972A6"/>
    <w:rsid w:val="00697A72"/>
    <w:rsid w:val="006A2746"/>
    <w:rsid w:val="006A3B72"/>
    <w:rsid w:val="006A415B"/>
    <w:rsid w:val="006A591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4F0"/>
    <w:rsid w:val="006D0AB3"/>
    <w:rsid w:val="006D0F2C"/>
    <w:rsid w:val="006D1284"/>
    <w:rsid w:val="006D18B5"/>
    <w:rsid w:val="006D4892"/>
    <w:rsid w:val="006D7FC2"/>
    <w:rsid w:val="006E1084"/>
    <w:rsid w:val="006E3D57"/>
    <w:rsid w:val="006E5D42"/>
    <w:rsid w:val="006E7625"/>
    <w:rsid w:val="006F0D0B"/>
    <w:rsid w:val="006F18D3"/>
    <w:rsid w:val="006F1B26"/>
    <w:rsid w:val="006F399B"/>
    <w:rsid w:val="006F45DE"/>
    <w:rsid w:val="006F57C6"/>
    <w:rsid w:val="00700528"/>
    <w:rsid w:val="0070142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6AA8"/>
    <w:rsid w:val="0072011B"/>
    <w:rsid w:val="007205E2"/>
    <w:rsid w:val="00720C78"/>
    <w:rsid w:val="0072226A"/>
    <w:rsid w:val="00722EB7"/>
    <w:rsid w:val="0072302E"/>
    <w:rsid w:val="00724025"/>
    <w:rsid w:val="00724351"/>
    <w:rsid w:val="00725D4F"/>
    <w:rsid w:val="0073084D"/>
    <w:rsid w:val="00730D72"/>
    <w:rsid w:val="00731365"/>
    <w:rsid w:val="007328B8"/>
    <w:rsid w:val="0073301E"/>
    <w:rsid w:val="007336D4"/>
    <w:rsid w:val="007420E7"/>
    <w:rsid w:val="00742C56"/>
    <w:rsid w:val="0074329C"/>
    <w:rsid w:val="00743BA3"/>
    <w:rsid w:val="007441D8"/>
    <w:rsid w:val="007445FC"/>
    <w:rsid w:val="00746F29"/>
    <w:rsid w:val="00747277"/>
    <w:rsid w:val="00750F77"/>
    <w:rsid w:val="00751646"/>
    <w:rsid w:val="007521B2"/>
    <w:rsid w:val="007535D6"/>
    <w:rsid w:val="0075413E"/>
    <w:rsid w:val="0075475A"/>
    <w:rsid w:val="00755CA9"/>
    <w:rsid w:val="00756D44"/>
    <w:rsid w:val="00760246"/>
    <w:rsid w:val="007610BA"/>
    <w:rsid w:val="00761407"/>
    <w:rsid w:val="007632DF"/>
    <w:rsid w:val="007649FF"/>
    <w:rsid w:val="00764D24"/>
    <w:rsid w:val="00765998"/>
    <w:rsid w:val="00766B23"/>
    <w:rsid w:val="00770194"/>
    <w:rsid w:val="00771C15"/>
    <w:rsid w:val="007724F6"/>
    <w:rsid w:val="00772CCD"/>
    <w:rsid w:val="00773125"/>
    <w:rsid w:val="00773B22"/>
    <w:rsid w:val="00773CE1"/>
    <w:rsid w:val="0077477E"/>
    <w:rsid w:val="00781B74"/>
    <w:rsid w:val="00783A4D"/>
    <w:rsid w:val="00784DC8"/>
    <w:rsid w:val="00785CA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7B73"/>
    <w:rsid w:val="007B18C3"/>
    <w:rsid w:val="007B1987"/>
    <w:rsid w:val="007B4C78"/>
    <w:rsid w:val="007B5771"/>
    <w:rsid w:val="007B61AE"/>
    <w:rsid w:val="007B6F7A"/>
    <w:rsid w:val="007C0782"/>
    <w:rsid w:val="007C129F"/>
    <w:rsid w:val="007C3793"/>
    <w:rsid w:val="007C4697"/>
    <w:rsid w:val="007C4E6F"/>
    <w:rsid w:val="007C72C8"/>
    <w:rsid w:val="007D0D11"/>
    <w:rsid w:val="007D164E"/>
    <w:rsid w:val="007D3943"/>
    <w:rsid w:val="007D44E2"/>
    <w:rsid w:val="007D5000"/>
    <w:rsid w:val="007D5D5F"/>
    <w:rsid w:val="007D6A82"/>
    <w:rsid w:val="007E11A9"/>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4507"/>
    <w:rsid w:val="00815186"/>
    <w:rsid w:val="008155A5"/>
    <w:rsid w:val="00815B72"/>
    <w:rsid w:val="0082043A"/>
    <w:rsid w:val="0082220F"/>
    <w:rsid w:val="00822A08"/>
    <w:rsid w:val="00822A13"/>
    <w:rsid w:val="00822F9B"/>
    <w:rsid w:val="00823339"/>
    <w:rsid w:val="00825194"/>
    <w:rsid w:val="00825C42"/>
    <w:rsid w:val="00825DEC"/>
    <w:rsid w:val="00826972"/>
    <w:rsid w:val="008278C6"/>
    <w:rsid w:val="00827C7C"/>
    <w:rsid w:val="008312B2"/>
    <w:rsid w:val="00831D23"/>
    <w:rsid w:val="00833D7E"/>
    <w:rsid w:val="00833E7F"/>
    <w:rsid w:val="0083406F"/>
    <w:rsid w:val="00834534"/>
    <w:rsid w:val="00835BB5"/>
    <w:rsid w:val="008376EE"/>
    <w:rsid w:val="00841953"/>
    <w:rsid w:val="0084232C"/>
    <w:rsid w:val="0084269A"/>
    <w:rsid w:val="00842759"/>
    <w:rsid w:val="008430BB"/>
    <w:rsid w:val="0084359E"/>
    <w:rsid w:val="00843EF5"/>
    <w:rsid w:val="00843FE9"/>
    <w:rsid w:val="0084580D"/>
    <w:rsid w:val="00846AE2"/>
    <w:rsid w:val="00851499"/>
    <w:rsid w:val="00851F97"/>
    <w:rsid w:val="00853451"/>
    <w:rsid w:val="00854A5A"/>
    <w:rsid w:val="008569A1"/>
    <w:rsid w:val="00861E00"/>
    <w:rsid w:val="00862C10"/>
    <w:rsid w:val="00862E1F"/>
    <w:rsid w:val="00863182"/>
    <w:rsid w:val="008650C7"/>
    <w:rsid w:val="00866706"/>
    <w:rsid w:val="00867E0E"/>
    <w:rsid w:val="008707FF"/>
    <w:rsid w:val="00871152"/>
    <w:rsid w:val="0087128E"/>
    <w:rsid w:val="008723B2"/>
    <w:rsid w:val="00873E01"/>
    <w:rsid w:val="00873E69"/>
    <w:rsid w:val="00874916"/>
    <w:rsid w:val="008751C7"/>
    <w:rsid w:val="00877E61"/>
    <w:rsid w:val="008806BD"/>
    <w:rsid w:val="00880874"/>
    <w:rsid w:val="0088111D"/>
    <w:rsid w:val="0088184E"/>
    <w:rsid w:val="0088309B"/>
    <w:rsid w:val="00884FFA"/>
    <w:rsid w:val="0088510D"/>
    <w:rsid w:val="008871B5"/>
    <w:rsid w:val="008900D0"/>
    <w:rsid w:val="008916D5"/>
    <w:rsid w:val="008935C8"/>
    <w:rsid w:val="00893696"/>
    <w:rsid w:val="00893E32"/>
    <w:rsid w:val="0089407F"/>
    <w:rsid w:val="008A0B91"/>
    <w:rsid w:val="008A0D4B"/>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10241"/>
    <w:rsid w:val="00910993"/>
    <w:rsid w:val="00910A2C"/>
    <w:rsid w:val="00910D4E"/>
    <w:rsid w:val="00911F87"/>
    <w:rsid w:val="00912442"/>
    <w:rsid w:val="00913678"/>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D43"/>
    <w:rsid w:val="009412E7"/>
    <w:rsid w:val="00941D4D"/>
    <w:rsid w:val="00943AF1"/>
    <w:rsid w:val="00945227"/>
    <w:rsid w:val="00946D2C"/>
    <w:rsid w:val="00946DE0"/>
    <w:rsid w:val="00950DA4"/>
    <w:rsid w:val="00951119"/>
    <w:rsid w:val="00954D97"/>
    <w:rsid w:val="0095501E"/>
    <w:rsid w:val="009564F1"/>
    <w:rsid w:val="00956641"/>
    <w:rsid w:val="00963346"/>
    <w:rsid w:val="0096366A"/>
    <w:rsid w:val="0096380C"/>
    <w:rsid w:val="00965E25"/>
    <w:rsid w:val="00966233"/>
    <w:rsid w:val="00966369"/>
    <w:rsid w:val="009665AD"/>
    <w:rsid w:val="00967437"/>
    <w:rsid w:val="00967B33"/>
    <w:rsid w:val="009716C7"/>
    <w:rsid w:val="00971E10"/>
    <w:rsid w:val="00971E31"/>
    <w:rsid w:val="0097232D"/>
    <w:rsid w:val="00973E49"/>
    <w:rsid w:val="00975303"/>
    <w:rsid w:val="00975391"/>
    <w:rsid w:val="00975AC8"/>
    <w:rsid w:val="00976E9F"/>
    <w:rsid w:val="00976F6F"/>
    <w:rsid w:val="00981AE0"/>
    <w:rsid w:val="009826E2"/>
    <w:rsid w:val="00984545"/>
    <w:rsid w:val="00986174"/>
    <w:rsid w:val="009869F7"/>
    <w:rsid w:val="00987139"/>
    <w:rsid w:val="00987520"/>
    <w:rsid w:val="0099296F"/>
    <w:rsid w:val="0099673E"/>
    <w:rsid w:val="00996925"/>
    <w:rsid w:val="00997E06"/>
    <w:rsid w:val="00997E53"/>
    <w:rsid w:val="009A1677"/>
    <w:rsid w:val="009A1B5F"/>
    <w:rsid w:val="009A1E2F"/>
    <w:rsid w:val="009A1E70"/>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5198"/>
    <w:rsid w:val="009D7291"/>
    <w:rsid w:val="009D73AC"/>
    <w:rsid w:val="009E0C06"/>
    <w:rsid w:val="009E0D57"/>
    <w:rsid w:val="009E30C6"/>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56FF"/>
    <w:rsid w:val="00A25F53"/>
    <w:rsid w:val="00A2604E"/>
    <w:rsid w:val="00A275D5"/>
    <w:rsid w:val="00A30B19"/>
    <w:rsid w:val="00A30B37"/>
    <w:rsid w:val="00A30BAD"/>
    <w:rsid w:val="00A321A4"/>
    <w:rsid w:val="00A32278"/>
    <w:rsid w:val="00A3304A"/>
    <w:rsid w:val="00A40936"/>
    <w:rsid w:val="00A41536"/>
    <w:rsid w:val="00A41E8C"/>
    <w:rsid w:val="00A420A7"/>
    <w:rsid w:val="00A44016"/>
    <w:rsid w:val="00A454D7"/>
    <w:rsid w:val="00A4586D"/>
    <w:rsid w:val="00A464CA"/>
    <w:rsid w:val="00A50DC3"/>
    <w:rsid w:val="00A50E20"/>
    <w:rsid w:val="00A51ADB"/>
    <w:rsid w:val="00A5220B"/>
    <w:rsid w:val="00A52A71"/>
    <w:rsid w:val="00A53C1A"/>
    <w:rsid w:val="00A53D07"/>
    <w:rsid w:val="00A54646"/>
    <w:rsid w:val="00A56C52"/>
    <w:rsid w:val="00A57341"/>
    <w:rsid w:val="00A57563"/>
    <w:rsid w:val="00A57B74"/>
    <w:rsid w:val="00A60E11"/>
    <w:rsid w:val="00A60F36"/>
    <w:rsid w:val="00A61118"/>
    <w:rsid w:val="00A6208A"/>
    <w:rsid w:val="00A625B1"/>
    <w:rsid w:val="00A63260"/>
    <w:rsid w:val="00A634C5"/>
    <w:rsid w:val="00A70443"/>
    <w:rsid w:val="00A713DF"/>
    <w:rsid w:val="00A71F2F"/>
    <w:rsid w:val="00A72AFB"/>
    <w:rsid w:val="00A7319A"/>
    <w:rsid w:val="00A732BF"/>
    <w:rsid w:val="00A743DC"/>
    <w:rsid w:val="00A74559"/>
    <w:rsid w:val="00A7460B"/>
    <w:rsid w:val="00A75BCC"/>
    <w:rsid w:val="00A76781"/>
    <w:rsid w:val="00A77E2B"/>
    <w:rsid w:val="00A80B4F"/>
    <w:rsid w:val="00A814B5"/>
    <w:rsid w:val="00A825B6"/>
    <w:rsid w:val="00A83D9F"/>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B0CC5"/>
    <w:rsid w:val="00AB1AB5"/>
    <w:rsid w:val="00AB23BD"/>
    <w:rsid w:val="00AB38AB"/>
    <w:rsid w:val="00AB495B"/>
    <w:rsid w:val="00AB6337"/>
    <w:rsid w:val="00AC21BC"/>
    <w:rsid w:val="00AC221E"/>
    <w:rsid w:val="00AC6C6F"/>
    <w:rsid w:val="00AC77FE"/>
    <w:rsid w:val="00AD12BC"/>
    <w:rsid w:val="00AD1880"/>
    <w:rsid w:val="00AD1B36"/>
    <w:rsid w:val="00AD223F"/>
    <w:rsid w:val="00AD2B18"/>
    <w:rsid w:val="00AD3409"/>
    <w:rsid w:val="00AD34AB"/>
    <w:rsid w:val="00AD3ED5"/>
    <w:rsid w:val="00AD431C"/>
    <w:rsid w:val="00AD5390"/>
    <w:rsid w:val="00AD692D"/>
    <w:rsid w:val="00AE0889"/>
    <w:rsid w:val="00AE08EC"/>
    <w:rsid w:val="00AE0F90"/>
    <w:rsid w:val="00AE25B5"/>
    <w:rsid w:val="00AE3BBE"/>
    <w:rsid w:val="00AE7482"/>
    <w:rsid w:val="00AE7A3F"/>
    <w:rsid w:val="00AF040C"/>
    <w:rsid w:val="00AF176C"/>
    <w:rsid w:val="00AF1AC4"/>
    <w:rsid w:val="00AF215A"/>
    <w:rsid w:val="00AF26A2"/>
    <w:rsid w:val="00AF2AC8"/>
    <w:rsid w:val="00AF6FB3"/>
    <w:rsid w:val="00AF7343"/>
    <w:rsid w:val="00AF7BDE"/>
    <w:rsid w:val="00AF7DC8"/>
    <w:rsid w:val="00AF7F04"/>
    <w:rsid w:val="00B001AB"/>
    <w:rsid w:val="00B0046F"/>
    <w:rsid w:val="00B008CC"/>
    <w:rsid w:val="00B00D0F"/>
    <w:rsid w:val="00B012AC"/>
    <w:rsid w:val="00B013D5"/>
    <w:rsid w:val="00B0166C"/>
    <w:rsid w:val="00B02C2E"/>
    <w:rsid w:val="00B0583E"/>
    <w:rsid w:val="00B06A1D"/>
    <w:rsid w:val="00B06F91"/>
    <w:rsid w:val="00B101B6"/>
    <w:rsid w:val="00B1253F"/>
    <w:rsid w:val="00B126F0"/>
    <w:rsid w:val="00B12B12"/>
    <w:rsid w:val="00B12C37"/>
    <w:rsid w:val="00B13CF3"/>
    <w:rsid w:val="00B13ED2"/>
    <w:rsid w:val="00B1477C"/>
    <w:rsid w:val="00B14B7A"/>
    <w:rsid w:val="00B14C6C"/>
    <w:rsid w:val="00B15DE6"/>
    <w:rsid w:val="00B16D92"/>
    <w:rsid w:val="00B170A1"/>
    <w:rsid w:val="00B1748B"/>
    <w:rsid w:val="00B20D7B"/>
    <w:rsid w:val="00B218DD"/>
    <w:rsid w:val="00B23900"/>
    <w:rsid w:val="00B268A6"/>
    <w:rsid w:val="00B26F56"/>
    <w:rsid w:val="00B26FE8"/>
    <w:rsid w:val="00B27B1A"/>
    <w:rsid w:val="00B32A27"/>
    <w:rsid w:val="00B33102"/>
    <w:rsid w:val="00B34AF7"/>
    <w:rsid w:val="00B3572B"/>
    <w:rsid w:val="00B36007"/>
    <w:rsid w:val="00B375CE"/>
    <w:rsid w:val="00B4001D"/>
    <w:rsid w:val="00B41882"/>
    <w:rsid w:val="00B423C0"/>
    <w:rsid w:val="00B446F9"/>
    <w:rsid w:val="00B44C22"/>
    <w:rsid w:val="00B46F04"/>
    <w:rsid w:val="00B524A5"/>
    <w:rsid w:val="00B5256F"/>
    <w:rsid w:val="00B535E9"/>
    <w:rsid w:val="00B54222"/>
    <w:rsid w:val="00B54CF1"/>
    <w:rsid w:val="00B55414"/>
    <w:rsid w:val="00B6025D"/>
    <w:rsid w:val="00B60C62"/>
    <w:rsid w:val="00B612B3"/>
    <w:rsid w:val="00B62748"/>
    <w:rsid w:val="00B636D0"/>
    <w:rsid w:val="00B660F7"/>
    <w:rsid w:val="00B70BA0"/>
    <w:rsid w:val="00B71946"/>
    <w:rsid w:val="00B7367F"/>
    <w:rsid w:val="00B74095"/>
    <w:rsid w:val="00B74B41"/>
    <w:rsid w:val="00B74C0F"/>
    <w:rsid w:val="00B755D8"/>
    <w:rsid w:val="00B80A54"/>
    <w:rsid w:val="00B843DA"/>
    <w:rsid w:val="00B856EC"/>
    <w:rsid w:val="00B90B74"/>
    <w:rsid w:val="00B91C2A"/>
    <w:rsid w:val="00B93994"/>
    <w:rsid w:val="00B93E56"/>
    <w:rsid w:val="00B96836"/>
    <w:rsid w:val="00BA018E"/>
    <w:rsid w:val="00BA0B90"/>
    <w:rsid w:val="00BA1241"/>
    <w:rsid w:val="00BA1FB9"/>
    <w:rsid w:val="00BA24BD"/>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F25"/>
    <w:rsid w:val="00BC67CC"/>
    <w:rsid w:val="00BD008B"/>
    <w:rsid w:val="00BD0C39"/>
    <w:rsid w:val="00BD3656"/>
    <w:rsid w:val="00BD41D1"/>
    <w:rsid w:val="00BD71DA"/>
    <w:rsid w:val="00BD7799"/>
    <w:rsid w:val="00BD7EFB"/>
    <w:rsid w:val="00BE0D4A"/>
    <w:rsid w:val="00BE1021"/>
    <w:rsid w:val="00BE1941"/>
    <w:rsid w:val="00BE233F"/>
    <w:rsid w:val="00BE243F"/>
    <w:rsid w:val="00BE26C8"/>
    <w:rsid w:val="00BE37D7"/>
    <w:rsid w:val="00BE37EF"/>
    <w:rsid w:val="00BE4458"/>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2C89"/>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571"/>
    <w:rsid w:val="00C225C1"/>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40AB6"/>
    <w:rsid w:val="00C40C43"/>
    <w:rsid w:val="00C40C58"/>
    <w:rsid w:val="00C42FD3"/>
    <w:rsid w:val="00C460F1"/>
    <w:rsid w:val="00C46823"/>
    <w:rsid w:val="00C470B8"/>
    <w:rsid w:val="00C47B3A"/>
    <w:rsid w:val="00C506AD"/>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BF8"/>
    <w:rsid w:val="00C627B2"/>
    <w:rsid w:val="00C63086"/>
    <w:rsid w:val="00C632A3"/>
    <w:rsid w:val="00C63E3E"/>
    <w:rsid w:val="00C64083"/>
    <w:rsid w:val="00C64458"/>
    <w:rsid w:val="00C65B6D"/>
    <w:rsid w:val="00C65D79"/>
    <w:rsid w:val="00C67056"/>
    <w:rsid w:val="00C67208"/>
    <w:rsid w:val="00C67DB0"/>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B58"/>
    <w:rsid w:val="00C96E60"/>
    <w:rsid w:val="00CA1380"/>
    <w:rsid w:val="00CA1A90"/>
    <w:rsid w:val="00CA3997"/>
    <w:rsid w:val="00CA3EA8"/>
    <w:rsid w:val="00CA3ED1"/>
    <w:rsid w:val="00CA597B"/>
    <w:rsid w:val="00CA6DAA"/>
    <w:rsid w:val="00CA7BAE"/>
    <w:rsid w:val="00CB01C0"/>
    <w:rsid w:val="00CB04ED"/>
    <w:rsid w:val="00CB0688"/>
    <w:rsid w:val="00CB0786"/>
    <w:rsid w:val="00CB0A1F"/>
    <w:rsid w:val="00CB10FE"/>
    <w:rsid w:val="00CB168D"/>
    <w:rsid w:val="00CB325A"/>
    <w:rsid w:val="00CB38D1"/>
    <w:rsid w:val="00CB5669"/>
    <w:rsid w:val="00CB5CEE"/>
    <w:rsid w:val="00CB7AAA"/>
    <w:rsid w:val="00CC0780"/>
    <w:rsid w:val="00CC0B66"/>
    <w:rsid w:val="00CC1B10"/>
    <w:rsid w:val="00CC3A8B"/>
    <w:rsid w:val="00CC4100"/>
    <w:rsid w:val="00CC5E28"/>
    <w:rsid w:val="00CC6B2B"/>
    <w:rsid w:val="00CC7B21"/>
    <w:rsid w:val="00CC7DDF"/>
    <w:rsid w:val="00CD0A13"/>
    <w:rsid w:val="00CD0E63"/>
    <w:rsid w:val="00CD11AD"/>
    <w:rsid w:val="00CD315E"/>
    <w:rsid w:val="00CD41F4"/>
    <w:rsid w:val="00CD47FB"/>
    <w:rsid w:val="00CD4A8B"/>
    <w:rsid w:val="00CD54E1"/>
    <w:rsid w:val="00CD579F"/>
    <w:rsid w:val="00CD76C2"/>
    <w:rsid w:val="00CD7DBF"/>
    <w:rsid w:val="00CE2C39"/>
    <w:rsid w:val="00CE348F"/>
    <w:rsid w:val="00CE3F6C"/>
    <w:rsid w:val="00CE42CD"/>
    <w:rsid w:val="00CE4477"/>
    <w:rsid w:val="00CE4490"/>
    <w:rsid w:val="00CE53FE"/>
    <w:rsid w:val="00CE67A8"/>
    <w:rsid w:val="00CE7103"/>
    <w:rsid w:val="00CF1487"/>
    <w:rsid w:val="00CF30BC"/>
    <w:rsid w:val="00CF3288"/>
    <w:rsid w:val="00CF35CB"/>
    <w:rsid w:val="00CF629A"/>
    <w:rsid w:val="00CF688C"/>
    <w:rsid w:val="00D00A87"/>
    <w:rsid w:val="00D010B8"/>
    <w:rsid w:val="00D01982"/>
    <w:rsid w:val="00D04EBE"/>
    <w:rsid w:val="00D063D7"/>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DB4"/>
    <w:rsid w:val="00D631B0"/>
    <w:rsid w:val="00D632DC"/>
    <w:rsid w:val="00D634C1"/>
    <w:rsid w:val="00D65B5A"/>
    <w:rsid w:val="00D70379"/>
    <w:rsid w:val="00D7159F"/>
    <w:rsid w:val="00D71FD7"/>
    <w:rsid w:val="00D73BA7"/>
    <w:rsid w:val="00D74198"/>
    <w:rsid w:val="00D7490A"/>
    <w:rsid w:val="00D74C8D"/>
    <w:rsid w:val="00D75979"/>
    <w:rsid w:val="00D7600E"/>
    <w:rsid w:val="00D76919"/>
    <w:rsid w:val="00D77B85"/>
    <w:rsid w:val="00D817D9"/>
    <w:rsid w:val="00D81CBD"/>
    <w:rsid w:val="00D838EC"/>
    <w:rsid w:val="00D83BBC"/>
    <w:rsid w:val="00D83FCE"/>
    <w:rsid w:val="00D843F1"/>
    <w:rsid w:val="00D84EE9"/>
    <w:rsid w:val="00D86422"/>
    <w:rsid w:val="00D86A07"/>
    <w:rsid w:val="00D86D7C"/>
    <w:rsid w:val="00D872F0"/>
    <w:rsid w:val="00D91A4B"/>
    <w:rsid w:val="00D91BFA"/>
    <w:rsid w:val="00D92106"/>
    <w:rsid w:val="00D92ED4"/>
    <w:rsid w:val="00D93D35"/>
    <w:rsid w:val="00D94096"/>
    <w:rsid w:val="00D96FBA"/>
    <w:rsid w:val="00D97DD2"/>
    <w:rsid w:val="00DA1A36"/>
    <w:rsid w:val="00DA1CE9"/>
    <w:rsid w:val="00DA30D0"/>
    <w:rsid w:val="00DA4482"/>
    <w:rsid w:val="00DA6FE9"/>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A7E"/>
    <w:rsid w:val="00DC1E42"/>
    <w:rsid w:val="00DC429A"/>
    <w:rsid w:val="00DC504E"/>
    <w:rsid w:val="00DC51DA"/>
    <w:rsid w:val="00DC59DD"/>
    <w:rsid w:val="00DC6722"/>
    <w:rsid w:val="00DC7CC8"/>
    <w:rsid w:val="00DC7EEA"/>
    <w:rsid w:val="00DC7F8C"/>
    <w:rsid w:val="00DD0401"/>
    <w:rsid w:val="00DD0C09"/>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12FB"/>
    <w:rsid w:val="00DF1564"/>
    <w:rsid w:val="00DF2CCB"/>
    <w:rsid w:val="00DF3816"/>
    <w:rsid w:val="00DF3986"/>
    <w:rsid w:val="00DF3AD2"/>
    <w:rsid w:val="00DF42B7"/>
    <w:rsid w:val="00DF56EA"/>
    <w:rsid w:val="00DF61F5"/>
    <w:rsid w:val="00DF7497"/>
    <w:rsid w:val="00E002A5"/>
    <w:rsid w:val="00E0312A"/>
    <w:rsid w:val="00E04BC5"/>
    <w:rsid w:val="00E04C2A"/>
    <w:rsid w:val="00E069CE"/>
    <w:rsid w:val="00E079DC"/>
    <w:rsid w:val="00E07FB6"/>
    <w:rsid w:val="00E10420"/>
    <w:rsid w:val="00E136FD"/>
    <w:rsid w:val="00E15BC5"/>
    <w:rsid w:val="00E15CDB"/>
    <w:rsid w:val="00E16439"/>
    <w:rsid w:val="00E16589"/>
    <w:rsid w:val="00E201E3"/>
    <w:rsid w:val="00E20E0F"/>
    <w:rsid w:val="00E23622"/>
    <w:rsid w:val="00E238AC"/>
    <w:rsid w:val="00E23F0D"/>
    <w:rsid w:val="00E25CA4"/>
    <w:rsid w:val="00E2713F"/>
    <w:rsid w:val="00E276D5"/>
    <w:rsid w:val="00E278C2"/>
    <w:rsid w:val="00E31B33"/>
    <w:rsid w:val="00E32EEE"/>
    <w:rsid w:val="00E333AF"/>
    <w:rsid w:val="00E33B5B"/>
    <w:rsid w:val="00E3434F"/>
    <w:rsid w:val="00E35244"/>
    <w:rsid w:val="00E35314"/>
    <w:rsid w:val="00E35E0E"/>
    <w:rsid w:val="00E3603B"/>
    <w:rsid w:val="00E37C4C"/>
    <w:rsid w:val="00E37FEF"/>
    <w:rsid w:val="00E434E4"/>
    <w:rsid w:val="00E45BED"/>
    <w:rsid w:val="00E46037"/>
    <w:rsid w:val="00E463F9"/>
    <w:rsid w:val="00E46748"/>
    <w:rsid w:val="00E47F27"/>
    <w:rsid w:val="00E51039"/>
    <w:rsid w:val="00E53C13"/>
    <w:rsid w:val="00E5457F"/>
    <w:rsid w:val="00E55A69"/>
    <w:rsid w:val="00E5731A"/>
    <w:rsid w:val="00E57A8A"/>
    <w:rsid w:val="00E57A9E"/>
    <w:rsid w:val="00E60287"/>
    <w:rsid w:val="00E629C8"/>
    <w:rsid w:val="00E63DBF"/>
    <w:rsid w:val="00E66BD7"/>
    <w:rsid w:val="00E66DD5"/>
    <w:rsid w:val="00E679A3"/>
    <w:rsid w:val="00E710EB"/>
    <w:rsid w:val="00E719EB"/>
    <w:rsid w:val="00E72481"/>
    <w:rsid w:val="00E72923"/>
    <w:rsid w:val="00E73E6C"/>
    <w:rsid w:val="00E74B34"/>
    <w:rsid w:val="00E762F8"/>
    <w:rsid w:val="00E76692"/>
    <w:rsid w:val="00E81C62"/>
    <w:rsid w:val="00E83EC0"/>
    <w:rsid w:val="00E84B02"/>
    <w:rsid w:val="00E901FE"/>
    <w:rsid w:val="00E9188F"/>
    <w:rsid w:val="00E91AB9"/>
    <w:rsid w:val="00E936DC"/>
    <w:rsid w:val="00EA0BAE"/>
    <w:rsid w:val="00EA2B1E"/>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2606"/>
    <w:rsid w:val="00EC2AD6"/>
    <w:rsid w:val="00EC31C8"/>
    <w:rsid w:val="00EC43CA"/>
    <w:rsid w:val="00EC4B58"/>
    <w:rsid w:val="00EC5556"/>
    <w:rsid w:val="00ED1877"/>
    <w:rsid w:val="00ED3261"/>
    <w:rsid w:val="00ED3EA8"/>
    <w:rsid w:val="00ED4C18"/>
    <w:rsid w:val="00ED52E2"/>
    <w:rsid w:val="00ED5DB5"/>
    <w:rsid w:val="00ED67C8"/>
    <w:rsid w:val="00ED6CB5"/>
    <w:rsid w:val="00ED7FC6"/>
    <w:rsid w:val="00EE09FB"/>
    <w:rsid w:val="00EE12B3"/>
    <w:rsid w:val="00EE15CD"/>
    <w:rsid w:val="00EE1EC1"/>
    <w:rsid w:val="00EE2344"/>
    <w:rsid w:val="00EE2D33"/>
    <w:rsid w:val="00EE3919"/>
    <w:rsid w:val="00EE3D55"/>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9A9"/>
    <w:rsid w:val="00F22008"/>
    <w:rsid w:val="00F221E8"/>
    <w:rsid w:val="00F23297"/>
    <w:rsid w:val="00F2678C"/>
    <w:rsid w:val="00F271F0"/>
    <w:rsid w:val="00F3026C"/>
    <w:rsid w:val="00F3028E"/>
    <w:rsid w:val="00F303E9"/>
    <w:rsid w:val="00F3046D"/>
    <w:rsid w:val="00F30946"/>
    <w:rsid w:val="00F35150"/>
    <w:rsid w:val="00F35D09"/>
    <w:rsid w:val="00F365E8"/>
    <w:rsid w:val="00F36A3E"/>
    <w:rsid w:val="00F40974"/>
    <w:rsid w:val="00F4129B"/>
    <w:rsid w:val="00F42DD6"/>
    <w:rsid w:val="00F4333E"/>
    <w:rsid w:val="00F445BB"/>
    <w:rsid w:val="00F4641A"/>
    <w:rsid w:val="00F53197"/>
    <w:rsid w:val="00F53528"/>
    <w:rsid w:val="00F53F4F"/>
    <w:rsid w:val="00F542B2"/>
    <w:rsid w:val="00F54A0F"/>
    <w:rsid w:val="00F61D9C"/>
    <w:rsid w:val="00F623FB"/>
    <w:rsid w:val="00F638B4"/>
    <w:rsid w:val="00F6429B"/>
    <w:rsid w:val="00F6454B"/>
    <w:rsid w:val="00F65803"/>
    <w:rsid w:val="00F65A44"/>
    <w:rsid w:val="00F65C5C"/>
    <w:rsid w:val="00F6659F"/>
    <w:rsid w:val="00F679AA"/>
    <w:rsid w:val="00F71C42"/>
    <w:rsid w:val="00F727F3"/>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14CE"/>
    <w:rsid w:val="00FB33EE"/>
    <w:rsid w:val="00FB48A8"/>
    <w:rsid w:val="00FB55F8"/>
    <w:rsid w:val="00FB5739"/>
    <w:rsid w:val="00FC0A6D"/>
    <w:rsid w:val="00FC0D24"/>
    <w:rsid w:val="00FC15BB"/>
    <w:rsid w:val="00FC1ADF"/>
    <w:rsid w:val="00FC2CA0"/>
    <w:rsid w:val="00FC33E5"/>
    <w:rsid w:val="00FC3A86"/>
    <w:rsid w:val="00FC558B"/>
    <w:rsid w:val="00FC64AD"/>
    <w:rsid w:val="00FC6682"/>
    <w:rsid w:val="00FC6ECD"/>
    <w:rsid w:val="00FC6FFC"/>
    <w:rsid w:val="00FC7165"/>
    <w:rsid w:val="00FC7A06"/>
    <w:rsid w:val="00FD0F1B"/>
    <w:rsid w:val="00FD0FDC"/>
    <w:rsid w:val="00FD1CEB"/>
    <w:rsid w:val="00FD1E13"/>
    <w:rsid w:val="00FD27E9"/>
    <w:rsid w:val="00FD36DA"/>
    <w:rsid w:val="00FD374F"/>
    <w:rsid w:val="00FD40CE"/>
    <w:rsid w:val="00FD41AF"/>
    <w:rsid w:val="00FD53E7"/>
    <w:rsid w:val="00FD58F7"/>
    <w:rsid w:val="00FD5FF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3B0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17419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943C9D-D20D-424D-B548-093296D1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2301</Words>
  <Characters>11509</Characters>
  <Application>Microsoft Office Word</Application>
  <DocSecurity>0</DocSecurity>
  <Lines>95</Lines>
  <Paragraphs>27</Paragraphs>
  <ScaleCrop>false</ScaleCrop>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2024-01-01T13:24:00Z</dcterms:created>
  <dcterms:modified xsi:type="dcterms:W3CDTF">2024-01-01T13:24:00Z</dcterms:modified>
</cp:coreProperties>
</file>