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60C9A0F8" w:rsidR="007617BD" w:rsidRDefault="00BC4C9F" w:rsidP="00814968">
      <w:pPr>
        <w:pStyle w:val="regpar"/>
        <w:jc w:val="right"/>
      </w:pPr>
      <w:r>
        <w:t>January 25, 2024</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4E5D8373" w:rsidR="00D00CF7" w:rsidRDefault="00BC4C9F" w:rsidP="00477DE2">
      <w:pPr>
        <w:pStyle w:val="regpar"/>
        <w:ind w:firstLine="0"/>
        <w:jc w:val="center"/>
        <w:rPr>
          <w:b/>
          <w:bCs/>
          <w:sz w:val="26"/>
          <w:szCs w:val="26"/>
        </w:rPr>
      </w:pPr>
      <w:bookmarkStart w:id="0" w:name="_GoBack"/>
      <w:r>
        <w:rPr>
          <w:b/>
          <w:bCs/>
          <w:sz w:val="26"/>
          <w:szCs w:val="26"/>
        </w:rPr>
        <w:t>The Pass-Through from the Exchange Rate to Prices: Excerpt from the forthcoming Selected Research and Policy Analysis Notes</w:t>
      </w:r>
    </w:p>
    <w:p w14:paraId="57364676" w14:textId="583A0F82" w:rsidR="00477DE2" w:rsidRDefault="00477DE2" w:rsidP="00477DE2">
      <w:pPr>
        <w:pStyle w:val="regpar"/>
        <w:ind w:firstLine="0"/>
        <w:jc w:val="center"/>
        <w:rPr>
          <w:b/>
          <w:bCs/>
          <w:sz w:val="26"/>
          <w:szCs w:val="26"/>
        </w:rPr>
      </w:pPr>
    </w:p>
    <w:bookmarkEnd w:id="0"/>
    <w:p w14:paraId="755B0E04" w14:textId="028FDE20" w:rsidR="0067374A" w:rsidRDefault="00BC4C9F" w:rsidP="007622B0">
      <w:pPr>
        <w:pStyle w:val="regpar"/>
        <w:numPr>
          <w:ilvl w:val="0"/>
          <w:numId w:val="17"/>
        </w:numPr>
      </w:pPr>
      <w:r>
        <w:t xml:space="preserve">Since the second half of 2022, it appears that the pass-through from the shekel/dollar exchange rate to </w:t>
      </w:r>
      <w:r w:rsidR="0020481B">
        <w:t xml:space="preserve">overall </w:t>
      </w:r>
      <w:r>
        <w:t xml:space="preserve">inflation in Israel has strengthened. </w:t>
      </w:r>
      <w:r w:rsidR="007622B0">
        <w:rPr>
          <w:rStyle w:val="ui-provider"/>
        </w:rPr>
        <w:t>While</w:t>
      </w:r>
      <w:r w:rsidR="00E57024">
        <w:rPr>
          <w:rStyle w:val="ui-provider"/>
        </w:rPr>
        <w:t xml:space="preserve"> </w:t>
      </w:r>
      <w:r>
        <w:t>the average pass-through in samples ending between June 2017 and Jun 2022 was slightly less than 20 percent, the pass-through in samples ending between the end of 2022 and mid-2023 was slightly above 25 percent.</w:t>
      </w:r>
    </w:p>
    <w:p w14:paraId="3764CE15" w14:textId="267619E8" w:rsidR="00BC4C9F" w:rsidRDefault="00BC4C9F" w:rsidP="007F35D5">
      <w:pPr>
        <w:pStyle w:val="regpar"/>
        <w:numPr>
          <w:ilvl w:val="0"/>
          <w:numId w:val="17"/>
        </w:numPr>
      </w:pPr>
      <w:r>
        <w:t xml:space="preserve">The pass-through in Israel </w:t>
      </w:r>
      <w:proofErr w:type="gramStart"/>
      <w:r>
        <w:t>was found</w:t>
      </w:r>
      <w:proofErr w:type="gramEnd"/>
      <w:r>
        <w:t xml:space="preserve"> to strengthen significantly when inflation exceeds the upper bound o</w:t>
      </w:r>
      <w:r w:rsidR="00CE694B">
        <w:t>f the target range (3 percent).</w:t>
      </w:r>
      <w:r>
        <w:t xml:space="preserve"> This finding is </w:t>
      </w:r>
      <w:r w:rsidR="007F35D5">
        <w:t xml:space="preserve">consistent </w:t>
      </w:r>
      <w:r>
        <w:t>with the literature</w:t>
      </w:r>
      <w:r w:rsidR="007F35D5">
        <w:t>,</w:t>
      </w:r>
      <w:r w:rsidR="007622B0">
        <w:t xml:space="preserve"> </w:t>
      </w:r>
      <w:r w:rsidR="007F35D5">
        <w:t>which</w:t>
      </w:r>
      <w:r w:rsidR="007622B0">
        <w:t xml:space="preserve"> finds a positive </w:t>
      </w:r>
      <w:r w:rsidR="007622B0">
        <w:rPr>
          <w:rStyle w:val="ui-provider"/>
        </w:rPr>
        <w:t xml:space="preserve">relationship </w:t>
      </w:r>
      <w:r>
        <w:t>between the level of inflation and the extent of the pass-through from the exchange rate.</w:t>
      </w:r>
    </w:p>
    <w:p w14:paraId="523622BE" w14:textId="51D8AE15" w:rsidR="00BC4C9F" w:rsidRDefault="00BC4C9F" w:rsidP="007622B0">
      <w:pPr>
        <w:pStyle w:val="regpar"/>
        <w:numPr>
          <w:ilvl w:val="0"/>
          <w:numId w:val="17"/>
        </w:numPr>
      </w:pPr>
      <w:r>
        <w:t xml:space="preserve">Based on the revised estimate of the pass-through, we can </w:t>
      </w:r>
      <w:r w:rsidR="007622B0">
        <w:t xml:space="preserve">estimate </w:t>
      </w:r>
      <w:r>
        <w:t xml:space="preserve">that the weakening of the shekel contributed to an increase of </w:t>
      </w:r>
      <w:r w:rsidR="007622B0">
        <w:rPr>
          <w:rStyle w:val="ui-provider"/>
        </w:rPr>
        <w:t>approximately</w:t>
      </w:r>
      <w:r w:rsidR="007622B0" w:rsidDel="007622B0">
        <w:t xml:space="preserve"> </w:t>
      </w:r>
      <w:r>
        <w:t>1 percentage point in inflation during the first half of 2023.</w:t>
      </w:r>
    </w:p>
    <w:p w14:paraId="4DAF8096" w14:textId="60E4CEA3" w:rsidR="00BC4C9F" w:rsidRDefault="00BC4C9F" w:rsidP="00BC4C9F">
      <w:pPr>
        <w:pStyle w:val="regpar"/>
      </w:pPr>
    </w:p>
    <w:p w14:paraId="44D81C61" w14:textId="035759B9" w:rsidR="00BC4C9F" w:rsidRDefault="00BC4C9F" w:rsidP="00521E9B">
      <w:pPr>
        <w:pStyle w:val="regpar"/>
        <w:ind w:firstLine="0"/>
      </w:pPr>
      <w:r>
        <w:t xml:space="preserve">In a small and open economy such as Israel’s, the exchange rate plays an important role in determining the prices of tradable goods, and </w:t>
      </w:r>
      <w:r w:rsidR="007622B0">
        <w:t>therefore</w:t>
      </w:r>
      <w:r>
        <w:t xml:space="preserve"> in d</w:t>
      </w:r>
      <w:r w:rsidR="00ED688C">
        <w:t xml:space="preserve">etermining the inflation rate. </w:t>
      </w:r>
      <w:r>
        <w:t>The exchange rate pass-through to prices (hereinafter – “the pass-through”) is the extent to which a change (for instance, of one percent) in the exchange rate influences prices.</w:t>
      </w:r>
      <w:r w:rsidR="002F3C19">
        <w:t xml:space="preserve"> </w:t>
      </w:r>
      <w:r>
        <w:t xml:space="preserve">The pass-through reflects the </w:t>
      </w:r>
      <w:r w:rsidR="00521E9B" w:rsidRPr="00521E9B">
        <w:t>correlation</w:t>
      </w:r>
      <w:r w:rsidR="00521E9B">
        <w:t xml:space="preserve"> </w:t>
      </w:r>
      <w:r>
        <w:t xml:space="preserve">between the exchange rate and prices—a </w:t>
      </w:r>
      <w:r w:rsidR="00521E9B" w:rsidRPr="00521E9B">
        <w:t>correlation</w:t>
      </w:r>
      <w:r w:rsidR="00521E9B">
        <w:t xml:space="preserve"> </w:t>
      </w:r>
      <w:r>
        <w:t>that partly depends on the average composition of shocks</w:t>
      </w:r>
      <w:r w:rsidR="00521E9B">
        <w:t xml:space="preserve"> </w:t>
      </w:r>
      <w:r w:rsidR="00521E9B" w:rsidRPr="00521E9B">
        <w:t>prevalent</w:t>
      </w:r>
      <w:r>
        <w:t xml:space="preserve"> in the economy during the sample period—and does not necessarily reflect a clear causal </w:t>
      </w:r>
      <w:r w:rsidR="00521E9B">
        <w:t xml:space="preserve">relation </w:t>
      </w:r>
      <w:r>
        <w:t>between the two.</w:t>
      </w:r>
    </w:p>
    <w:p w14:paraId="64C9A63B" w14:textId="26FB02D5" w:rsidR="00BC4C9F" w:rsidRDefault="00BC4C9F" w:rsidP="00BC4C9F">
      <w:pPr>
        <w:pStyle w:val="regpar"/>
        <w:ind w:firstLine="0"/>
      </w:pPr>
    </w:p>
    <w:p w14:paraId="06A87C00" w14:textId="7B872F7C" w:rsidR="00BC4C9F" w:rsidRDefault="00A07500" w:rsidP="007F35D5">
      <w:pPr>
        <w:pStyle w:val="regpar"/>
        <w:ind w:firstLine="0"/>
      </w:pPr>
      <w:r>
        <w:t xml:space="preserve">In </w:t>
      </w:r>
      <w:r w:rsidR="007F35D5">
        <w:t xml:space="preserve">an </w:t>
      </w:r>
      <w:r>
        <w:t xml:space="preserve">article included in the Bank of Israel’s </w:t>
      </w:r>
      <w:r w:rsidR="007F35D5">
        <w:t>forthcoming</w:t>
      </w:r>
      <w:r w:rsidR="00E57024">
        <w:t xml:space="preserve"> </w:t>
      </w:r>
      <w:r>
        <w:t xml:space="preserve">Selected Research and Policy Analysis Notes, Ari </w:t>
      </w:r>
      <w:proofErr w:type="spellStart"/>
      <w:r>
        <w:t>Kutai</w:t>
      </w:r>
      <w:proofErr w:type="spellEnd"/>
      <w:r>
        <w:t xml:space="preserve"> of the Bank of Israel Research Department, together </w:t>
      </w:r>
      <w:r w:rsidRPr="00A17BA1">
        <w:t xml:space="preserve">with </w:t>
      </w:r>
      <w:r w:rsidR="00A17BA1" w:rsidRPr="00A17BA1">
        <w:t xml:space="preserve">Uri </w:t>
      </w:r>
      <w:proofErr w:type="spellStart"/>
      <w:r w:rsidR="00A17BA1" w:rsidRPr="00A17BA1">
        <w:t>E</w:t>
      </w:r>
      <w:r w:rsidRPr="00A17BA1">
        <w:t>nzel</w:t>
      </w:r>
      <w:proofErr w:type="spellEnd"/>
      <w:r w:rsidRPr="00A17BA1">
        <w:t xml:space="preserve"> and Eden </w:t>
      </w:r>
      <w:proofErr w:type="spellStart"/>
      <w:r w:rsidRPr="00A17BA1">
        <w:t>Anavim</w:t>
      </w:r>
      <w:proofErr w:type="spellEnd"/>
      <w:r w:rsidRPr="00A17BA1">
        <w:t>, conducted a revised estimate of the short-term pass-through from the exchange rate to inflation in Israel.</w:t>
      </w:r>
      <w:r w:rsidR="002F3C19">
        <w:t xml:space="preserve"> </w:t>
      </w:r>
      <w:r w:rsidRPr="00A17BA1">
        <w:t>The</w:t>
      </w:r>
      <w:r w:rsidR="00FD6E1E">
        <w:t>y</w:t>
      </w:r>
      <w:r w:rsidRPr="00A17BA1">
        <w:t xml:space="preserve"> </w:t>
      </w:r>
      <w:r w:rsidR="00FD6E1E">
        <w:rPr>
          <w:rStyle w:val="ui-provider"/>
        </w:rPr>
        <w:t xml:space="preserve">analyzed the </w:t>
      </w:r>
      <w:r w:rsidRPr="00A17BA1">
        <w:t>pass-through using a rolling linear</w:t>
      </w:r>
      <w:r>
        <w:t xml:space="preserve"> regression in a four-year time window, </w:t>
      </w:r>
      <w:r w:rsidR="00FD6E1E">
        <w:rPr>
          <w:rStyle w:val="ui-provider"/>
        </w:rPr>
        <w:t>utilizing</w:t>
      </w:r>
      <w:r>
        <w:t xml:space="preserve"> monthly data </w:t>
      </w:r>
      <w:r w:rsidR="00FD6E1E">
        <w:rPr>
          <w:rStyle w:val="ui-provider"/>
        </w:rPr>
        <w:t xml:space="preserve">spanning </w:t>
      </w:r>
      <w:r>
        <w:t>from 2000 to the second half of 2023.</w:t>
      </w:r>
    </w:p>
    <w:p w14:paraId="08517E4D" w14:textId="3966F211" w:rsidR="00A07500" w:rsidRDefault="00A07500" w:rsidP="00A07500">
      <w:pPr>
        <w:pStyle w:val="regpar"/>
        <w:ind w:firstLine="0"/>
      </w:pPr>
    </w:p>
    <w:p w14:paraId="3D614274" w14:textId="473E5196" w:rsidR="00A07500" w:rsidRDefault="00A07500" w:rsidP="007F35D5">
      <w:pPr>
        <w:pStyle w:val="regpar"/>
        <w:ind w:firstLine="0"/>
      </w:pPr>
      <w:r>
        <w:t xml:space="preserve">A dynamic analysis of the pass-through from the change in the shekel/dollar exchange rate to the overall CPI (Figure 1) shows that from the end of the first half of 2017, the pass-through was positive and statistically significant, </w:t>
      </w:r>
      <w:r w:rsidR="000233BB" w:rsidRPr="000233BB">
        <w:t>following a period of</w:t>
      </w:r>
      <w:r w:rsidR="00961255">
        <w:t xml:space="preserve"> low </w:t>
      </w:r>
      <w:r>
        <w:t>estimate</w:t>
      </w:r>
      <w:r w:rsidR="00961255">
        <w:t>s</w:t>
      </w:r>
      <w:r>
        <w:t xml:space="preserve"> since 2011.</w:t>
      </w:r>
      <w:r w:rsidR="002F3C19">
        <w:t xml:space="preserve"> </w:t>
      </w:r>
      <w:r>
        <w:t>For samples ending in 2018 and 2019, the estimate was relatively high, at about 20 percent, but in samples ending from the second half of 2020 until the end of the first half of 2022, the pass-through weakened considerably.</w:t>
      </w:r>
      <w:r w:rsidR="002F3C19">
        <w:t xml:space="preserve"> </w:t>
      </w:r>
      <w:r>
        <w:t xml:space="preserve">In samples ending at the beginning of the second half of 2022 </w:t>
      </w:r>
      <w:r>
        <w:lastRenderedPageBreak/>
        <w:t xml:space="preserve">and later, the pass-through again strengthened, and at the end of </w:t>
      </w:r>
      <w:proofErr w:type="gramStart"/>
      <w:r>
        <w:t>2022</w:t>
      </w:r>
      <w:proofErr w:type="gramEnd"/>
      <w:r>
        <w:t xml:space="preserve"> it reached its highest level in </w:t>
      </w:r>
      <w:r w:rsidR="00961255">
        <w:t xml:space="preserve">over </w:t>
      </w:r>
      <w:r>
        <w:t>a decade—more than 25 percent.</w:t>
      </w:r>
      <w:r w:rsidR="002F3C19">
        <w:t xml:space="preserve"> </w:t>
      </w:r>
      <w:r>
        <w:t>Since then it has remained</w:t>
      </w:r>
      <w:r w:rsidR="00961255">
        <w:t xml:space="preserve"> </w:t>
      </w:r>
      <w:r w:rsidR="007F35D5">
        <w:t>at</w:t>
      </w:r>
      <w:r>
        <w:t xml:space="preserve"> similar</w:t>
      </w:r>
      <w:r w:rsidR="00961255">
        <w:t xml:space="preserve"> levels</w:t>
      </w:r>
      <w:r>
        <w:t>.</w:t>
      </w:r>
    </w:p>
    <w:p w14:paraId="53757F15" w14:textId="59B201D0" w:rsidR="00A07500" w:rsidRDefault="009E3BFC" w:rsidP="00A07500">
      <w:pPr>
        <w:pStyle w:val="regpar"/>
        <w:ind w:firstLine="0"/>
      </w:pPr>
      <w:r>
        <w:rPr>
          <w:noProof/>
        </w:rPr>
        <w:drawing>
          <wp:anchor distT="0" distB="0" distL="114300" distR="114300" simplePos="0" relativeHeight="251658240" behindDoc="0" locked="0" layoutInCell="1" allowOverlap="1" wp14:anchorId="2C1BEFE4" wp14:editId="4613AE56">
            <wp:simplePos x="0" y="0"/>
            <wp:positionH relativeFrom="column">
              <wp:posOffset>833120</wp:posOffset>
            </wp:positionH>
            <wp:positionV relativeFrom="paragraph">
              <wp:posOffset>194310</wp:posOffset>
            </wp:positionV>
            <wp:extent cx="4391025" cy="4277360"/>
            <wp:effectExtent l="0" t="0" r="952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1025" cy="4277360"/>
                    </a:xfrm>
                    <a:prstGeom prst="rect">
                      <a:avLst/>
                    </a:prstGeom>
                    <a:noFill/>
                  </pic:spPr>
                </pic:pic>
              </a:graphicData>
            </a:graphic>
            <wp14:sizeRelH relativeFrom="page">
              <wp14:pctWidth>0</wp14:pctWidth>
            </wp14:sizeRelH>
            <wp14:sizeRelV relativeFrom="page">
              <wp14:pctHeight>0</wp14:pctHeight>
            </wp14:sizeRelV>
          </wp:anchor>
        </w:drawing>
      </w:r>
    </w:p>
    <w:p w14:paraId="7B474B07" w14:textId="0A4A2675" w:rsidR="00A07500" w:rsidRDefault="00A07500" w:rsidP="00A07500">
      <w:pPr>
        <w:pStyle w:val="regpar"/>
        <w:ind w:firstLine="0"/>
      </w:pPr>
    </w:p>
    <w:p w14:paraId="24FF5731" w14:textId="77777777" w:rsidR="009E3BFC" w:rsidRDefault="009E3BFC" w:rsidP="00A07500">
      <w:pPr>
        <w:pStyle w:val="regpar"/>
        <w:ind w:firstLine="0"/>
      </w:pPr>
    </w:p>
    <w:p w14:paraId="64307E08" w14:textId="77777777" w:rsidR="009E3BFC" w:rsidRDefault="009E3BFC" w:rsidP="00A07500">
      <w:pPr>
        <w:pStyle w:val="regpar"/>
        <w:ind w:firstLine="0"/>
      </w:pPr>
    </w:p>
    <w:p w14:paraId="00E21B82" w14:textId="77777777" w:rsidR="009E3BFC" w:rsidRDefault="009E3BFC" w:rsidP="00A07500">
      <w:pPr>
        <w:pStyle w:val="regpar"/>
        <w:ind w:firstLine="0"/>
      </w:pPr>
    </w:p>
    <w:p w14:paraId="7FDB02CE" w14:textId="77777777" w:rsidR="009E3BFC" w:rsidRDefault="009E3BFC" w:rsidP="00A07500">
      <w:pPr>
        <w:pStyle w:val="regpar"/>
        <w:ind w:firstLine="0"/>
      </w:pPr>
    </w:p>
    <w:p w14:paraId="0BDAC52A" w14:textId="77777777" w:rsidR="009E3BFC" w:rsidRDefault="009E3BFC" w:rsidP="00A07500">
      <w:pPr>
        <w:pStyle w:val="regpar"/>
        <w:ind w:firstLine="0"/>
      </w:pPr>
    </w:p>
    <w:p w14:paraId="0E74E26E" w14:textId="77777777" w:rsidR="009E3BFC" w:rsidRDefault="009E3BFC" w:rsidP="00A07500">
      <w:pPr>
        <w:pStyle w:val="regpar"/>
        <w:ind w:firstLine="0"/>
      </w:pPr>
    </w:p>
    <w:p w14:paraId="0F229EE7" w14:textId="77777777" w:rsidR="009E3BFC" w:rsidRDefault="009E3BFC" w:rsidP="00A07500">
      <w:pPr>
        <w:pStyle w:val="regpar"/>
        <w:ind w:firstLine="0"/>
      </w:pPr>
    </w:p>
    <w:p w14:paraId="544BCDAE" w14:textId="77777777" w:rsidR="009E3BFC" w:rsidRDefault="009E3BFC" w:rsidP="00A07500">
      <w:pPr>
        <w:pStyle w:val="regpar"/>
        <w:ind w:firstLine="0"/>
      </w:pPr>
    </w:p>
    <w:p w14:paraId="5BA4CB35" w14:textId="77777777" w:rsidR="009E3BFC" w:rsidRDefault="009E3BFC" w:rsidP="00A07500">
      <w:pPr>
        <w:pStyle w:val="regpar"/>
        <w:ind w:firstLine="0"/>
      </w:pPr>
    </w:p>
    <w:p w14:paraId="1D8C2F2A" w14:textId="77777777" w:rsidR="009E3BFC" w:rsidRDefault="009E3BFC" w:rsidP="00A07500">
      <w:pPr>
        <w:pStyle w:val="regpar"/>
        <w:ind w:firstLine="0"/>
      </w:pPr>
    </w:p>
    <w:p w14:paraId="099D7BE6" w14:textId="77777777" w:rsidR="009E3BFC" w:rsidRDefault="009E3BFC" w:rsidP="00A07500">
      <w:pPr>
        <w:pStyle w:val="regpar"/>
        <w:ind w:firstLine="0"/>
      </w:pPr>
    </w:p>
    <w:p w14:paraId="10607E15" w14:textId="77777777" w:rsidR="009E3BFC" w:rsidRDefault="009E3BFC" w:rsidP="00A07500">
      <w:pPr>
        <w:pStyle w:val="regpar"/>
        <w:ind w:firstLine="0"/>
      </w:pPr>
    </w:p>
    <w:p w14:paraId="661391FE" w14:textId="77777777" w:rsidR="009E3BFC" w:rsidRDefault="009E3BFC" w:rsidP="00A07500">
      <w:pPr>
        <w:pStyle w:val="regpar"/>
        <w:ind w:firstLine="0"/>
      </w:pPr>
    </w:p>
    <w:p w14:paraId="573685D6" w14:textId="77777777" w:rsidR="009E3BFC" w:rsidRDefault="009E3BFC" w:rsidP="00A07500">
      <w:pPr>
        <w:pStyle w:val="regpar"/>
        <w:ind w:firstLine="0"/>
      </w:pPr>
    </w:p>
    <w:p w14:paraId="1C5B5A86" w14:textId="77777777" w:rsidR="009E3BFC" w:rsidRDefault="009E3BFC" w:rsidP="00A07500">
      <w:pPr>
        <w:pStyle w:val="regpar"/>
        <w:ind w:firstLine="0"/>
      </w:pPr>
    </w:p>
    <w:p w14:paraId="32973702" w14:textId="77777777" w:rsidR="009E3BFC" w:rsidRDefault="009E3BFC" w:rsidP="00A07500">
      <w:pPr>
        <w:pStyle w:val="regpar"/>
        <w:ind w:firstLine="0"/>
      </w:pPr>
    </w:p>
    <w:p w14:paraId="4883821B" w14:textId="77777777" w:rsidR="009E3BFC" w:rsidRDefault="009E3BFC" w:rsidP="00A07500">
      <w:pPr>
        <w:pStyle w:val="regpar"/>
        <w:ind w:firstLine="0"/>
      </w:pPr>
    </w:p>
    <w:p w14:paraId="765F7687" w14:textId="77777777" w:rsidR="009E3BFC" w:rsidRDefault="009E3BFC" w:rsidP="00A07500">
      <w:pPr>
        <w:pStyle w:val="regpar"/>
        <w:ind w:firstLine="0"/>
      </w:pPr>
    </w:p>
    <w:p w14:paraId="55DA8739" w14:textId="77777777" w:rsidR="009E3BFC" w:rsidRDefault="009E3BFC" w:rsidP="00A07500">
      <w:pPr>
        <w:pStyle w:val="regpar"/>
        <w:ind w:firstLine="0"/>
      </w:pPr>
    </w:p>
    <w:p w14:paraId="1A06111B" w14:textId="77777777" w:rsidR="009E3BFC" w:rsidRDefault="009E3BFC" w:rsidP="00A07500">
      <w:pPr>
        <w:pStyle w:val="regpar"/>
        <w:ind w:firstLine="0"/>
      </w:pPr>
    </w:p>
    <w:p w14:paraId="07474222" w14:textId="77777777" w:rsidR="009E3BFC" w:rsidRDefault="009E3BFC" w:rsidP="00A07500">
      <w:pPr>
        <w:pStyle w:val="regpar"/>
        <w:ind w:firstLine="0"/>
      </w:pPr>
    </w:p>
    <w:p w14:paraId="239ABCE6" w14:textId="77777777" w:rsidR="009E3BFC" w:rsidRDefault="009E3BFC" w:rsidP="00A07500">
      <w:pPr>
        <w:pStyle w:val="regpar"/>
        <w:ind w:firstLine="0"/>
      </w:pPr>
    </w:p>
    <w:p w14:paraId="6830C706" w14:textId="45764B67" w:rsidR="00A07500" w:rsidRDefault="00A07500" w:rsidP="007F35D5">
      <w:pPr>
        <w:pStyle w:val="regpar"/>
        <w:ind w:firstLine="0"/>
      </w:pPr>
      <w:r>
        <w:t xml:space="preserve">The economic literature indicates a positive </w:t>
      </w:r>
      <w:r w:rsidR="00961255">
        <w:t xml:space="preserve">relation </w:t>
      </w:r>
      <w:r>
        <w:t xml:space="preserve">between the inflation rate and the pass-through rate, derived from </w:t>
      </w:r>
      <w:r w:rsidR="00E80929">
        <w:t xml:space="preserve">agents’ </w:t>
      </w:r>
      <w:r>
        <w:t xml:space="preserve">perception that </w:t>
      </w:r>
      <w:r w:rsidRPr="00A5294D">
        <w:t>price</w:t>
      </w:r>
      <w:r>
        <w:t xml:space="preserve"> changes are less persistent in a low</w:t>
      </w:r>
      <w:r w:rsidR="00A5294D">
        <w:t>-</w:t>
      </w:r>
      <w:r>
        <w:t xml:space="preserve">inflation environment, </w:t>
      </w:r>
      <w:r w:rsidR="00A5294D">
        <w:t>making</w:t>
      </w:r>
      <w:r>
        <w:t xml:space="preserve"> the pass-through weaker</w:t>
      </w:r>
      <w:r w:rsidR="007F35D5">
        <w:t>.</w:t>
      </w:r>
      <w:r w:rsidR="00E80929" w:rsidRPr="00E80929">
        <w:t xml:space="preserve"> Given Israel's rising inflation</w:t>
      </w:r>
      <w:r>
        <w:t xml:space="preserve">, the researchers </w:t>
      </w:r>
      <w:r w:rsidR="00E80929" w:rsidRPr="00E80929">
        <w:t>investigated</w:t>
      </w:r>
      <w:r w:rsidR="00E80929">
        <w:t xml:space="preserve"> </w:t>
      </w:r>
      <w:r>
        <w:t>whether the pass-through from the exchange rate to prices</w:t>
      </w:r>
      <w:r w:rsidR="00E80929">
        <w:t xml:space="preserve"> </w:t>
      </w:r>
      <w:r w:rsidR="00E80929">
        <w:rPr>
          <w:rStyle w:val="ui-provider"/>
        </w:rPr>
        <w:t>intensifies</w:t>
      </w:r>
      <w:r w:rsidR="00E80929">
        <w:t xml:space="preserve"> with higher</w:t>
      </w:r>
      <w:r>
        <w:t xml:space="preserve"> inflation</w:t>
      </w:r>
      <w:r w:rsidR="00E80929">
        <w:t xml:space="preserve"> in Israel</w:t>
      </w:r>
      <w:r w:rsidR="007F35D5">
        <w:t xml:space="preserve"> as well</w:t>
      </w:r>
      <w:r>
        <w:t>.</w:t>
      </w:r>
      <w:r w:rsidR="002F3C19">
        <w:t xml:space="preserve"> </w:t>
      </w:r>
      <w:r w:rsidR="00E80929">
        <w:t xml:space="preserve">Similar to </w:t>
      </w:r>
      <w:r>
        <w:t xml:space="preserve">the findings </w:t>
      </w:r>
      <w:r w:rsidR="00E80929">
        <w:t xml:space="preserve">in </w:t>
      </w:r>
      <w:r>
        <w:t xml:space="preserve">the economic literature, </w:t>
      </w:r>
      <w:r w:rsidR="00E80929" w:rsidRPr="00E80929">
        <w:t xml:space="preserve">their findings indicate that Israel's pass-through has indeed increased alongside the notable </w:t>
      </w:r>
      <w:r w:rsidR="007F35D5">
        <w:t xml:space="preserve">rise in </w:t>
      </w:r>
      <w:r w:rsidR="00E80929" w:rsidRPr="00E80929">
        <w:t>inflation since 2022</w:t>
      </w:r>
      <w:r>
        <w:t>.</w:t>
      </w:r>
      <w:r w:rsidR="002F3C19">
        <w:t xml:space="preserve"> </w:t>
      </w:r>
      <w:r>
        <w:t xml:space="preserve">The researchers also directly </w:t>
      </w:r>
      <w:r w:rsidR="00E80929">
        <w:rPr>
          <w:rStyle w:val="ui-provider"/>
        </w:rPr>
        <w:t xml:space="preserve">assessed </w:t>
      </w:r>
      <w:r w:rsidR="00E80929">
        <w:t xml:space="preserve">the relationship between </w:t>
      </w:r>
      <w:r>
        <w:t xml:space="preserve">the pass-through rate </w:t>
      </w:r>
      <w:r w:rsidR="00E80929">
        <w:t>and</w:t>
      </w:r>
      <w:r>
        <w:t xml:space="preserve"> the annual inflation rate (Figure 2).</w:t>
      </w:r>
      <w:r w:rsidR="002F3C19">
        <w:t xml:space="preserve"> </w:t>
      </w:r>
      <w:r>
        <w:t xml:space="preserve">They found evidence </w:t>
      </w:r>
      <w:r w:rsidR="00E80929">
        <w:t>that the</w:t>
      </w:r>
      <w:r>
        <w:t xml:space="preserve"> </w:t>
      </w:r>
      <w:r w:rsidR="00E80929">
        <w:t xml:space="preserve">pass-through increases </w:t>
      </w:r>
      <w:r w:rsidR="007F35D5">
        <w:t>once</w:t>
      </w:r>
      <w:r w:rsidR="00A17BA1">
        <w:t xml:space="preserve"> the inflation rate exceeds the upper bound of the target range in Israel.</w:t>
      </w:r>
      <w:r w:rsidR="002F3C19">
        <w:t xml:space="preserve"> </w:t>
      </w:r>
      <w:r w:rsidR="00A17BA1">
        <w:t>When inflation is below 3 percent, the pass-through is lower (</w:t>
      </w:r>
      <w:r w:rsidR="005A2B16" w:rsidRPr="005A2B16">
        <w:t>approximately</w:t>
      </w:r>
      <w:r w:rsidR="005A2B16" w:rsidRPr="005A2B16" w:rsidDel="005A2B16">
        <w:t xml:space="preserve"> </w:t>
      </w:r>
      <w:r w:rsidR="00A17BA1">
        <w:t xml:space="preserve">8 percent), and the pass-through strengthens </w:t>
      </w:r>
      <w:r w:rsidR="005A2B16" w:rsidRPr="005A2B16">
        <w:t>significantly</w:t>
      </w:r>
      <w:r w:rsidR="005A2B16" w:rsidRPr="005A2B16" w:rsidDel="005A2B16">
        <w:t xml:space="preserve"> </w:t>
      </w:r>
      <w:r w:rsidR="00A17BA1">
        <w:t xml:space="preserve">(to 20 percent) when inflation </w:t>
      </w:r>
      <w:r w:rsidR="005A2B16">
        <w:rPr>
          <w:rStyle w:val="ui-provider"/>
        </w:rPr>
        <w:t xml:space="preserve">exceeds </w:t>
      </w:r>
      <w:r w:rsidR="00A17BA1">
        <w:t>3 percent.</w:t>
      </w:r>
    </w:p>
    <w:p w14:paraId="36348A82" w14:textId="18B26C21" w:rsidR="00A17BA1" w:rsidRDefault="00A17BA1" w:rsidP="00A07500">
      <w:pPr>
        <w:pStyle w:val="regpar"/>
        <w:ind w:firstLine="0"/>
      </w:pPr>
    </w:p>
    <w:p w14:paraId="42205B90" w14:textId="5D39A3FB" w:rsidR="00A17BA1" w:rsidRDefault="00A5294D" w:rsidP="00A5294D">
      <w:pPr>
        <w:pStyle w:val="regpar"/>
        <w:ind w:firstLine="0"/>
      </w:pPr>
      <w:r>
        <w:rPr>
          <w:noProof/>
        </w:rPr>
        <w:lastRenderedPageBreak/>
        <w:drawing>
          <wp:anchor distT="0" distB="0" distL="114300" distR="114300" simplePos="0" relativeHeight="251660288" behindDoc="0" locked="0" layoutInCell="1" allowOverlap="1" wp14:anchorId="4C68E4D7" wp14:editId="46A5A8FF">
            <wp:simplePos x="0" y="0"/>
            <wp:positionH relativeFrom="column">
              <wp:posOffset>742950</wp:posOffset>
            </wp:positionH>
            <wp:positionV relativeFrom="paragraph">
              <wp:posOffset>189865</wp:posOffset>
            </wp:positionV>
            <wp:extent cx="4248150" cy="3209925"/>
            <wp:effectExtent l="0" t="0" r="0" b="9525"/>
            <wp:wrapTopAndBottom/>
            <wp:docPr id="4" name="תרשים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14C0FB63" w14:textId="77777777" w:rsidR="00A5294D" w:rsidRDefault="00A5294D" w:rsidP="00A5294D">
      <w:pPr>
        <w:pStyle w:val="regpar"/>
        <w:ind w:firstLine="0"/>
      </w:pPr>
    </w:p>
    <w:p w14:paraId="44F5448F" w14:textId="1DB1AF93" w:rsidR="00A17BA1" w:rsidRDefault="00A17BA1" w:rsidP="007F35D5">
      <w:pPr>
        <w:pStyle w:val="regpar"/>
        <w:ind w:firstLine="0"/>
      </w:pPr>
      <w:r>
        <w:t>The pass-through to tradable goods and services</w:t>
      </w:r>
      <w:r w:rsidR="00A2659F">
        <w:t xml:space="preserve"> prices</w:t>
      </w:r>
      <w:r>
        <w:t xml:space="preserve"> </w:t>
      </w:r>
      <w:proofErr w:type="gramStart"/>
      <w:r>
        <w:t>is expected</w:t>
      </w:r>
      <w:proofErr w:type="gramEnd"/>
      <w:r>
        <w:t xml:space="preserve"> to be stronger than the pass-through to </w:t>
      </w:r>
      <w:proofErr w:type="spellStart"/>
      <w:r>
        <w:t>nontradable</w:t>
      </w:r>
      <w:proofErr w:type="spellEnd"/>
      <w:r w:rsidR="00A2659F">
        <w:t xml:space="preserve"> goods</w:t>
      </w:r>
      <w:r w:rsidR="007F35D5">
        <w:t xml:space="preserve"> prices</w:t>
      </w:r>
      <w:r>
        <w:t>.</w:t>
      </w:r>
      <w:r w:rsidR="002F3C19">
        <w:t xml:space="preserve"> </w:t>
      </w:r>
      <w:r>
        <w:t>The study’s findings support this hypothesis</w:t>
      </w:r>
      <w:r w:rsidR="00A2659F">
        <w:t xml:space="preserve">, </w:t>
      </w:r>
      <w:r w:rsidR="00A2659F">
        <w:rPr>
          <w:rStyle w:val="ui-provider"/>
        </w:rPr>
        <w:t xml:space="preserve">showing a </w:t>
      </w:r>
      <w:r w:rsidR="00A2659F">
        <w:t>37 percent</w:t>
      </w:r>
      <w:r>
        <w:t xml:space="preserve"> pass-through from the dollar exchange rate to tradable goods and services </w:t>
      </w:r>
      <w:r w:rsidR="00A2659F">
        <w:t>prices</w:t>
      </w:r>
      <w:r>
        <w:t xml:space="preserve"> at the end of 2022, and it has since remained high.</w:t>
      </w:r>
      <w:r w:rsidR="002F3C19">
        <w:t xml:space="preserve"> </w:t>
      </w:r>
      <w:r>
        <w:t xml:space="preserve">The pass-through to </w:t>
      </w:r>
      <w:proofErr w:type="spellStart"/>
      <w:r>
        <w:t>nontradable</w:t>
      </w:r>
      <w:proofErr w:type="spellEnd"/>
      <w:r w:rsidR="007F35D5">
        <w:t xml:space="preserve"> goods</w:t>
      </w:r>
      <w:r w:rsidR="00A2659F">
        <w:t xml:space="preserve"> prices</w:t>
      </w:r>
      <w:r>
        <w:t xml:space="preserve"> was 23 percent at the end of 2022, and has since remained stable.</w:t>
      </w:r>
      <w:r w:rsidR="002F3C19">
        <w:t xml:space="preserve"> </w:t>
      </w:r>
      <w:r>
        <w:t xml:space="preserve">In the study, the researchers also </w:t>
      </w:r>
      <w:r w:rsidR="006F7D78">
        <w:rPr>
          <w:rStyle w:val="ui-provider"/>
        </w:rPr>
        <w:t xml:space="preserve">examined </w:t>
      </w:r>
      <w:r>
        <w:t xml:space="preserve">the pass-through from the euro exchange rate, and found it </w:t>
      </w:r>
      <w:r w:rsidR="00CF0680">
        <w:t xml:space="preserve">to be </w:t>
      </w:r>
      <w:r w:rsidR="00CF0680">
        <w:rPr>
          <w:rStyle w:val="ui-provider"/>
        </w:rPr>
        <w:t xml:space="preserve">negligible </w:t>
      </w:r>
      <w:r>
        <w:t xml:space="preserve">or very low throughout most of the </w:t>
      </w:r>
      <w:r w:rsidR="007F35D5">
        <w:t xml:space="preserve">reviewed </w:t>
      </w:r>
      <w:r>
        <w:t>period.</w:t>
      </w:r>
      <w:r w:rsidR="002F3C19">
        <w:t xml:space="preserve"> </w:t>
      </w:r>
      <w:r>
        <w:t xml:space="preserve">This </w:t>
      </w:r>
      <w:r w:rsidR="00CF0680">
        <w:rPr>
          <w:rStyle w:val="ui-provider"/>
        </w:rPr>
        <w:t>suggests</w:t>
      </w:r>
      <w:r>
        <w:t xml:space="preserve"> that </w:t>
      </w:r>
      <w:r w:rsidR="00CF0680">
        <w:t xml:space="preserve">for the </w:t>
      </w:r>
      <w:r>
        <w:t>short-term inflation</w:t>
      </w:r>
      <w:r w:rsidR="00CF0680">
        <w:t xml:space="preserve"> </w:t>
      </w:r>
      <w:r w:rsidR="00CF0680">
        <w:rPr>
          <w:rStyle w:val="ui-provider"/>
        </w:rPr>
        <w:t>analysis</w:t>
      </w:r>
      <w:r>
        <w:t xml:space="preserve"> in Israel, tracking the dollar exchange rate is more important than tracking the euro.</w:t>
      </w:r>
    </w:p>
    <w:p w14:paraId="43123EF5" w14:textId="2E06248E" w:rsidR="00A17BA1" w:rsidRDefault="00A17BA1" w:rsidP="00A17BA1">
      <w:pPr>
        <w:pStyle w:val="regpar"/>
        <w:ind w:firstLine="0"/>
      </w:pPr>
    </w:p>
    <w:p w14:paraId="3CB53679" w14:textId="78CD99BD" w:rsidR="00A17BA1" w:rsidRDefault="00A17BA1" w:rsidP="00CF0680">
      <w:pPr>
        <w:pStyle w:val="regpar"/>
        <w:ind w:firstLine="0"/>
      </w:pPr>
      <w:r>
        <w:t xml:space="preserve">Based on the revised estimate of the pass-through, the </w:t>
      </w:r>
      <w:r w:rsidR="00CF0680">
        <w:t xml:space="preserve">recent </w:t>
      </w:r>
      <w:r>
        <w:t xml:space="preserve">weakening of the shekel (10 percent in 2022 and 6 percent in the first half of 2023) contributed to an </w:t>
      </w:r>
      <w:r w:rsidR="00CF0680" w:rsidRPr="00CF0680">
        <w:t>approximate</w:t>
      </w:r>
      <w:r>
        <w:t xml:space="preserve">1 percentage point </w:t>
      </w:r>
      <w:r w:rsidR="00CF0680">
        <w:t xml:space="preserve">rise </w:t>
      </w:r>
      <w:r>
        <w:t xml:space="preserve">in inflation </w:t>
      </w:r>
      <w:r w:rsidR="00CF0680">
        <w:t xml:space="preserve">during </w:t>
      </w:r>
      <w:r>
        <w:t>the first half of 2023.</w:t>
      </w:r>
    </w:p>
    <w:p w14:paraId="684535C7" w14:textId="422D0735" w:rsidR="00A07500" w:rsidRDefault="00A07500" w:rsidP="00BC4C9F">
      <w:pPr>
        <w:pStyle w:val="regpar"/>
        <w:ind w:firstLine="0"/>
      </w:pPr>
    </w:p>
    <w:p w14:paraId="547A5604" w14:textId="77777777" w:rsidR="00A07500" w:rsidRPr="0067374A" w:rsidRDefault="00A07500" w:rsidP="00BC4C9F">
      <w:pPr>
        <w:pStyle w:val="regpar"/>
        <w:ind w:firstLine="0"/>
      </w:pPr>
    </w:p>
    <w:sectPr w:rsidR="00A07500" w:rsidRPr="0067374A" w:rsidSect="004F5A85">
      <w:headerReference w:type="default" r:id="rId14"/>
      <w:footerReference w:type="default" r:id="rId15"/>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9B6A7" w14:textId="77777777" w:rsidR="001B14D3" w:rsidRDefault="001B14D3">
      <w:pPr>
        <w:spacing w:line="240" w:lineRule="auto"/>
      </w:pPr>
      <w:r>
        <w:separator/>
      </w:r>
    </w:p>
  </w:endnote>
  <w:endnote w:type="continuationSeparator" w:id="0">
    <w:p w14:paraId="056AEE1E" w14:textId="77777777" w:rsidR="001B14D3" w:rsidRDefault="001B14D3">
      <w:pPr>
        <w:spacing w:line="240" w:lineRule="auto"/>
      </w:pPr>
      <w:r>
        <w:continuationSeparator/>
      </w:r>
    </w:p>
  </w:endnote>
  <w:endnote w:type="continuationNotice" w:id="1">
    <w:p w14:paraId="0F93892F" w14:textId="77777777" w:rsidR="001B14D3" w:rsidRDefault="001B14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09AAB" w14:textId="77777777" w:rsidR="001B14D3" w:rsidRDefault="001B14D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5356F" w14:textId="77777777" w:rsidR="001B14D3" w:rsidRDefault="001B14D3">
      <w:pPr>
        <w:spacing w:line="160" w:lineRule="exact"/>
      </w:pPr>
    </w:p>
  </w:footnote>
  <w:footnote w:type="continuationSeparator" w:id="0">
    <w:p w14:paraId="64BC6464" w14:textId="77777777" w:rsidR="001B14D3" w:rsidRDefault="001B14D3">
      <w:pPr>
        <w:pStyle w:val="rule"/>
      </w:pPr>
      <w:r>
        <w:t>–––––––––––––––––––––––––––</w:t>
      </w:r>
    </w:p>
    <w:p w14:paraId="2A644BBD" w14:textId="77777777" w:rsidR="001B14D3" w:rsidRDefault="001B14D3">
      <w:pPr>
        <w:pStyle w:val="noteseparator"/>
      </w:pPr>
    </w:p>
  </w:footnote>
  <w:footnote w:type="continuationNotice" w:id="1">
    <w:p w14:paraId="5C47008E" w14:textId="77777777" w:rsidR="001B14D3" w:rsidRDefault="001B14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A132269"/>
    <w:multiLevelType w:val="hybridMultilevel"/>
    <w:tmpl w:val="92BCC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13"/>
  </w:num>
  <w:num w:numId="5">
    <w:abstractNumId w:val="1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4"/>
  </w:num>
  <w:num w:numId="10">
    <w:abstractNumId w:val="15"/>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 w:id="1"/>
  </w:footnotePr>
  <w:endnotePr>
    <w:numFmt w:val="hebrew2"/>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233BB"/>
    <w:rsid w:val="000305B1"/>
    <w:rsid w:val="0004575D"/>
    <w:rsid w:val="000466C2"/>
    <w:rsid w:val="000502D1"/>
    <w:rsid w:val="00052610"/>
    <w:rsid w:val="000614E5"/>
    <w:rsid w:val="00061942"/>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B14D3"/>
    <w:rsid w:val="001C1743"/>
    <w:rsid w:val="001C209A"/>
    <w:rsid w:val="001C502E"/>
    <w:rsid w:val="001C5614"/>
    <w:rsid w:val="001D57CD"/>
    <w:rsid w:val="001D5EBA"/>
    <w:rsid w:val="001E2931"/>
    <w:rsid w:val="001E6D0C"/>
    <w:rsid w:val="001F28E6"/>
    <w:rsid w:val="001F51F4"/>
    <w:rsid w:val="00203B3D"/>
    <w:rsid w:val="0020481B"/>
    <w:rsid w:val="00210F11"/>
    <w:rsid w:val="00212EBE"/>
    <w:rsid w:val="00236391"/>
    <w:rsid w:val="00243044"/>
    <w:rsid w:val="00246FA7"/>
    <w:rsid w:val="00250C32"/>
    <w:rsid w:val="0025222B"/>
    <w:rsid w:val="002540C1"/>
    <w:rsid w:val="00263AC9"/>
    <w:rsid w:val="002728FA"/>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3C19"/>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77DE2"/>
    <w:rsid w:val="00482B8E"/>
    <w:rsid w:val="004839AA"/>
    <w:rsid w:val="00484A86"/>
    <w:rsid w:val="00492029"/>
    <w:rsid w:val="004A0A80"/>
    <w:rsid w:val="004A134B"/>
    <w:rsid w:val="004A179B"/>
    <w:rsid w:val="004A2970"/>
    <w:rsid w:val="004C5B3B"/>
    <w:rsid w:val="004C7155"/>
    <w:rsid w:val="004D0449"/>
    <w:rsid w:val="004D55DA"/>
    <w:rsid w:val="004E7032"/>
    <w:rsid w:val="004F5A85"/>
    <w:rsid w:val="005006C3"/>
    <w:rsid w:val="00500F8B"/>
    <w:rsid w:val="00503622"/>
    <w:rsid w:val="00515681"/>
    <w:rsid w:val="00517461"/>
    <w:rsid w:val="00521E9B"/>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2B16"/>
    <w:rsid w:val="005A5253"/>
    <w:rsid w:val="005B0C33"/>
    <w:rsid w:val="005B3C19"/>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A55D7"/>
    <w:rsid w:val="006B03B7"/>
    <w:rsid w:val="006B39E9"/>
    <w:rsid w:val="006C17E0"/>
    <w:rsid w:val="006D10C5"/>
    <w:rsid w:val="006D738F"/>
    <w:rsid w:val="006E30C1"/>
    <w:rsid w:val="006E33B5"/>
    <w:rsid w:val="006E35F9"/>
    <w:rsid w:val="006E4E37"/>
    <w:rsid w:val="006F331D"/>
    <w:rsid w:val="006F7D78"/>
    <w:rsid w:val="007012E2"/>
    <w:rsid w:val="00701620"/>
    <w:rsid w:val="00706A01"/>
    <w:rsid w:val="0071317E"/>
    <w:rsid w:val="00723AD6"/>
    <w:rsid w:val="007263AE"/>
    <w:rsid w:val="00730C23"/>
    <w:rsid w:val="00730F15"/>
    <w:rsid w:val="007342CE"/>
    <w:rsid w:val="007369BA"/>
    <w:rsid w:val="00740582"/>
    <w:rsid w:val="007414E1"/>
    <w:rsid w:val="00741B11"/>
    <w:rsid w:val="0074580C"/>
    <w:rsid w:val="00760F71"/>
    <w:rsid w:val="007617BD"/>
    <w:rsid w:val="007622B0"/>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F0611"/>
    <w:rsid w:val="007F2CA6"/>
    <w:rsid w:val="007F35D5"/>
    <w:rsid w:val="007F423C"/>
    <w:rsid w:val="007F71A7"/>
    <w:rsid w:val="0080149A"/>
    <w:rsid w:val="00801CA2"/>
    <w:rsid w:val="00802BFE"/>
    <w:rsid w:val="008052DA"/>
    <w:rsid w:val="00807431"/>
    <w:rsid w:val="00810763"/>
    <w:rsid w:val="00814968"/>
    <w:rsid w:val="008157BA"/>
    <w:rsid w:val="00817D8A"/>
    <w:rsid w:val="00826845"/>
    <w:rsid w:val="00836D7A"/>
    <w:rsid w:val="00841E41"/>
    <w:rsid w:val="00841EFA"/>
    <w:rsid w:val="0084331E"/>
    <w:rsid w:val="00843E13"/>
    <w:rsid w:val="00843F4B"/>
    <w:rsid w:val="0084597D"/>
    <w:rsid w:val="00850D4E"/>
    <w:rsid w:val="00857394"/>
    <w:rsid w:val="008600E4"/>
    <w:rsid w:val="0086296B"/>
    <w:rsid w:val="008676DF"/>
    <w:rsid w:val="00867ECF"/>
    <w:rsid w:val="0087075D"/>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2701"/>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61255"/>
    <w:rsid w:val="00964FAC"/>
    <w:rsid w:val="00970925"/>
    <w:rsid w:val="00987141"/>
    <w:rsid w:val="00991A2A"/>
    <w:rsid w:val="009937AE"/>
    <w:rsid w:val="009A2328"/>
    <w:rsid w:val="009A374A"/>
    <w:rsid w:val="009B0072"/>
    <w:rsid w:val="009B01E1"/>
    <w:rsid w:val="009B5ABC"/>
    <w:rsid w:val="009C2CE3"/>
    <w:rsid w:val="009D5B6B"/>
    <w:rsid w:val="009D6B3B"/>
    <w:rsid w:val="009D71A3"/>
    <w:rsid w:val="009E3BFC"/>
    <w:rsid w:val="009E5610"/>
    <w:rsid w:val="009F3027"/>
    <w:rsid w:val="009F4C02"/>
    <w:rsid w:val="009F5C01"/>
    <w:rsid w:val="00A06CAC"/>
    <w:rsid w:val="00A07500"/>
    <w:rsid w:val="00A10C60"/>
    <w:rsid w:val="00A176D5"/>
    <w:rsid w:val="00A17BA1"/>
    <w:rsid w:val="00A2357F"/>
    <w:rsid w:val="00A2557F"/>
    <w:rsid w:val="00A2659F"/>
    <w:rsid w:val="00A27711"/>
    <w:rsid w:val="00A30E4A"/>
    <w:rsid w:val="00A339CF"/>
    <w:rsid w:val="00A362B4"/>
    <w:rsid w:val="00A41ECF"/>
    <w:rsid w:val="00A43D36"/>
    <w:rsid w:val="00A5294D"/>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05E1"/>
    <w:rsid w:val="00BC46DE"/>
    <w:rsid w:val="00BC4C9F"/>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1629"/>
    <w:rsid w:val="00CD51D2"/>
    <w:rsid w:val="00CE1CDD"/>
    <w:rsid w:val="00CE65D4"/>
    <w:rsid w:val="00CE694B"/>
    <w:rsid w:val="00CE7A79"/>
    <w:rsid w:val="00CF0680"/>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331C"/>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D50D8"/>
    <w:rsid w:val="00DE121E"/>
    <w:rsid w:val="00DE76BB"/>
    <w:rsid w:val="00E03DAD"/>
    <w:rsid w:val="00E042D4"/>
    <w:rsid w:val="00E1087D"/>
    <w:rsid w:val="00E305A3"/>
    <w:rsid w:val="00E3258A"/>
    <w:rsid w:val="00E33F37"/>
    <w:rsid w:val="00E37EA3"/>
    <w:rsid w:val="00E40792"/>
    <w:rsid w:val="00E448BF"/>
    <w:rsid w:val="00E50A6B"/>
    <w:rsid w:val="00E52DD0"/>
    <w:rsid w:val="00E57024"/>
    <w:rsid w:val="00E6497E"/>
    <w:rsid w:val="00E65CA7"/>
    <w:rsid w:val="00E67A70"/>
    <w:rsid w:val="00E701BC"/>
    <w:rsid w:val="00E74B20"/>
    <w:rsid w:val="00E80929"/>
    <w:rsid w:val="00E878FC"/>
    <w:rsid w:val="00E9221F"/>
    <w:rsid w:val="00E927A6"/>
    <w:rsid w:val="00EA1D70"/>
    <w:rsid w:val="00EA2EEA"/>
    <w:rsid w:val="00EA2FB0"/>
    <w:rsid w:val="00EA3CE9"/>
    <w:rsid w:val="00EB1022"/>
    <w:rsid w:val="00EB2AB7"/>
    <w:rsid w:val="00EC6A3B"/>
    <w:rsid w:val="00ED1987"/>
    <w:rsid w:val="00ED1A90"/>
    <w:rsid w:val="00ED576F"/>
    <w:rsid w:val="00ED688C"/>
    <w:rsid w:val="00ED6F4E"/>
    <w:rsid w:val="00EE4F43"/>
    <w:rsid w:val="00EF5815"/>
    <w:rsid w:val="00F0557B"/>
    <w:rsid w:val="00F110FE"/>
    <w:rsid w:val="00F13C80"/>
    <w:rsid w:val="00F14FC5"/>
    <w:rsid w:val="00F17BE5"/>
    <w:rsid w:val="00F217C5"/>
    <w:rsid w:val="00F2223B"/>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D6E1E"/>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 w:type="paragraph" w:styleId="NormalWeb">
    <w:name w:val="Normal (Web)"/>
    <w:basedOn w:val="a"/>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 w:type="character" w:customStyle="1" w:styleId="ui-provider">
    <w:name w:val="ui-provider"/>
    <w:basedOn w:val="a0"/>
    <w:rsid w:val="00762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392124839">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mvsrvyhmm\Vyhmm\MEHKARJR\&#1495;&#1508;&#1497;&#1508;&#1492;%20&#1505;&#1496;&#1493;&#1491;&#1504;&#1496;%20&#1513;&#1493;&#1511;%20&#1492;&#1492;&#1493;&#1503;%20&#1502;&#1493;&#1504;&#1497;&#1496;&#1512;&#1497;\Tasks%20-%20Eden%20&amp;%20Uri\&#1489;&#1491;&#1497;&#1511;&#1493;&#1514;%20&#1513;&#1506;&#1512;&#1497;%20&#1495;&#1500;&#1497;&#1508;&#1497;&#1503;\pim_pash_benchmark\plots\&#1488;&#1497;&#1493;&#1512;&#1497;&#1501;%20-%20&#1514;&#1502;&#1505;&#1493;&#1512;&#1514;%20&#1489;&#1492;&#1513;&#1493;&#1493;&#1488;&#1492;%20&#1500;&#1514;&#1495;&#1493;&#1501;%20&#1492;&#1497;&#1506;&#149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21442274872591"/>
          <c:y val="0.232342811747938"/>
          <c:w val="0.83095593852104044"/>
          <c:h val="0.58980412314929476"/>
        </c:manualLayout>
      </c:layout>
      <c:barChart>
        <c:barDir val="col"/>
        <c:grouping val="clustered"/>
        <c:varyColors val="0"/>
        <c:ser>
          <c:idx val="0"/>
          <c:order val="0"/>
          <c:spPr>
            <a:solidFill>
              <a:schemeClr val="accent2"/>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D9C0-4A95-A6D7-28AB032D53AF}"/>
              </c:ext>
            </c:extLst>
          </c:dPt>
          <c:cat>
            <c:strRef>
              <c:f>גיליון1!$A$19:$A$20</c:f>
              <c:strCache>
                <c:ptCount val="2"/>
                <c:pt idx="0">
                  <c:v>Inflation Below 3%</c:v>
                </c:pt>
                <c:pt idx="1">
                  <c:v>Inflation Above 3%</c:v>
                </c:pt>
              </c:strCache>
            </c:strRef>
          </c:cat>
          <c:val>
            <c:numRef>
              <c:f>גיליון1!$B$19:$B$20</c:f>
              <c:numCache>
                <c:formatCode>General</c:formatCode>
                <c:ptCount val="2"/>
                <c:pt idx="0">
                  <c:v>8.1000000000000003E-2</c:v>
                </c:pt>
                <c:pt idx="1">
                  <c:v>0.2</c:v>
                </c:pt>
              </c:numCache>
            </c:numRef>
          </c:val>
          <c:extLst>
            <c:ext xmlns:c16="http://schemas.microsoft.com/office/drawing/2014/chart" uri="{C3380CC4-5D6E-409C-BE32-E72D297353CC}">
              <c16:uniqueId val="{00000002-D9C0-4A95-A6D7-28AB032D53AF}"/>
            </c:ext>
          </c:extLst>
        </c:ser>
        <c:dLbls>
          <c:showLegendKey val="0"/>
          <c:showVal val="0"/>
          <c:showCatName val="0"/>
          <c:showSerName val="0"/>
          <c:showPercent val="0"/>
          <c:showBubbleSize val="0"/>
        </c:dLbls>
        <c:gapWidth val="219"/>
        <c:overlap val="-27"/>
        <c:axId val="715023536"/>
        <c:axId val="715019928"/>
      </c:barChart>
      <c:catAx>
        <c:axId val="715023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e-IL"/>
          </a:p>
        </c:txPr>
        <c:crossAx val="715019928"/>
        <c:crosses val="autoZero"/>
        <c:auto val="1"/>
        <c:lblAlgn val="ctr"/>
        <c:lblOffset val="100"/>
        <c:noMultiLvlLbl val="0"/>
      </c:catAx>
      <c:valAx>
        <c:axId val="715019928"/>
        <c:scaling>
          <c:orientation val="minMax"/>
          <c:max val="0.2"/>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e-IL"/>
          </a:p>
        </c:txPr>
        <c:crossAx val="715023536"/>
        <c:crosses val="autoZero"/>
        <c:crossBetween val="between"/>
        <c:majorUnit val="5.000000000000001E-2"/>
      </c:valAx>
      <c:spPr>
        <a:noFill/>
        <a:ln>
          <a:noFill/>
        </a:ln>
        <a:effectLst/>
      </c:spPr>
    </c:plotArea>
    <c:plotVisOnly val="1"/>
    <c:dispBlanksAs val="gap"/>
    <c:showDLblsOverMax val="0"/>
  </c:chart>
  <c:spPr>
    <a:solidFill>
      <a:schemeClr val="bg1"/>
    </a:solidFill>
    <a:ln w="9525" cap="flat" cmpd="sng" algn="ctr">
      <a:solidFill>
        <a:srgbClr val="000000"/>
      </a:solidFill>
      <a:round/>
    </a:ln>
    <a:effectLst/>
  </c:spPr>
  <c:txPr>
    <a:bodyPr/>
    <a:lstStyle/>
    <a:p>
      <a:pPr>
        <a:defRPr sz="1200">
          <a:latin typeface="David" panose="020E0502060401010101" pitchFamily="34" charset="-79"/>
          <a:cs typeface="David" panose="020E0502060401010101" pitchFamily="34" charset="-79"/>
        </a:defRPr>
      </a:pPr>
      <a:endParaRPr lang="he-I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cdr:y>
    </cdr:from>
    <cdr:to>
      <cdr:x>1</cdr:x>
      <cdr:y>0.24629</cdr:y>
    </cdr:to>
    <cdr:sp macro="" textlink="">
      <cdr:nvSpPr>
        <cdr:cNvPr id="2" name="Text Box 2"/>
        <cdr:cNvSpPr txBox="1">
          <a:spLocks xmlns:a="http://schemas.openxmlformats.org/drawingml/2006/main" noChangeArrowheads="1"/>
        </cdr:cNvSpPr>
      </cdr:nvSpPr>
      <cdr:spPr bwMode="auto">
        <a:xfrm xmlns:a="http://schemas.openxmlformats.org/drawingml/2006/main">
          <a:off x="0" y="0"/>
          <a:ext cx="4248150" cy="79057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rtl="0">
            <a:lnSpc>
              <a:spcPct val="100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Figure 2</a:t>
          </a:r>
        </a:p>
        <a:p xmlns:a="http://schemas.openxmlformats.org/drawingml/2006/main">
          <a:pPr algn="ctr" rtl="0">
            <a:lnSpc>
              <a:spcPct val="100000"/>
            </a:lnSpc>
            <a:spcAft>
              <a:spcPts val="0"/>
            </a:spcAft>
          </a:pPr>
          <a:r>
            <a:rPr lang="en-US" sz="1200" b="1">
              <a:effectLst/>
              <a:latin typeface="Times New Roman" panose="02020603050405020304" pitchFamily="18" charset="0"/>
              <a:ea typeface="Calibri" panose="020F0502020204030204" pitchFamily="34" charset="0"/>
              <a:cs typeface="Times New Roman" panose="02020603050405020304" pitchFamily="18" charset="0"/>
            </a:rPr>
            <a:t>Pass-Through</a:t>
          </a:r>
          <a:r>
            <a:rPr lang="en-US" sz="1200" b="1" baseline="0">
              <a:effectLst/>
              <a:latin typeface="Times New Roman" panose="02020603050405020304" pitchFamily="18" charset="0"/>
              <a:ea typeface="Calibri" panose="020F0502020204030204" pitchFamily="34" charset="0"/>
              <a:cs typeface="Times New Roman" panose="02020603050405020304" pitchFamily="18" charset="0"/>
            </a:rPr>
            <a:t> the Annual Inflation Rate</a:t>
          </a:r>
        </a:p>
        <a:p xmlns:a="http://schemas.openxmlformats.org/drawingml/2006/main">
          <a:pPr algn="ctr" rtl="0">
            <a:lnSpc>
              <a:spcPct val="100000"/>
            </a:lnSpc>
            <a:spcAft>
              <a:spcPts val="0"/>
            </a:spcAft>
          </a:pPr>
          <a:r>
            <a:rPr lang="en-US" sz="1200" b="0" baseline="0">
              <a:effectLst/>
              <a:latin typeface="Times New Roman" panose="02020603050405020304" pitchFamily="18" charset="0"/>
              <a:ea typeface="Calibri" panose="020F0502020204030204" pitchFamily="34" charset="0"/>
              <a:cs typeface="Times New Roman" panose="02020603050405020304" pitchFamily="18" charset="0"/>
            </a:rPr>
            <a:t>Based on the sample period January 2010 to June 2023</a:t>
          </a:r>
          <a:endParaRPr lang="en-US" sz="1100" b="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3AD7-C05B-4FB1-A8D2-B75B3DAE7EF1}">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9965E-0B63-45BE-AB06-87EB1F567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789</Words>
  <Characters>4255</Characters>
  <Application>Microsoft Office Word</Application>
  <DocSecurity>4</DocSecurity>
  <Lines>35</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2024-01-29T06:32:00Z</dcterms:created>
  <dcterms:modified xsi:type="dcterms:W3CDTF">2024-01-29T06:32:00Z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