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B4" w:rsidRPr="00A053ED" w:rsidRDefault="003272B4" w:rsidP="00A47635">
      <w:pPr>
        <w:spacing w:before="157" w:after="157" w:line="270" w:lineRule="auto"/>
        <w:jc w:val="both"/>
        <w:rPr>
          <w:rFonts w:asciiTheme="minorBidi" w:eastAsia="Georgia" w:hAnsiTheme="minorBidi" w:hint="cs"/>
          <w:b/>
          <w:bCs/>
          <w:color w:val="000000"/>
          <w:sz w:val="24"/>
          <w:szCs w:val="24"/>
          <w:rtl/>
          <w:lang w:bidi="he-IL"/>
        </w:rPr>
      </w:pPr>
      <w:bookmarkStart w:id="0" w:name="הודעה_לעיתונות_נוסח_מוצע"/>
    </w:p>
    <w:tbl>
      <w:tblPr>
        <w:tblpPr w:leftFromText="180" w:rightFromText="180" w:vertAnchor="page" w:horzAnchor="margin" w:tblpXSpec="center" w:tblpY="961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D87A1C" w:rsidTr="0040151B">
        <w:tc>
          <w:tcPr>
            <w:tcW w:w="2840" w:type="dxa"/>
            <w:vAlign w:val="center"/>
          </w:tcPr>
          <w:p w:rsidR="003272B4" w:rsidRPr="00A053ED" w:rsidRDefault="003D2F20" w:rsidP="0040151B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he-IL"/>
              </w:rPr>
            </w:pPr>
            <w:r w:rsidRPr="00A053E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he-IL"/>
              </w:rPr>
              <w:t>בנק ישראל</w:t>
            </w:r>
          </w:p>
          <w:p w:rsidR="003272B4" w:rsidRPr="00A053ED" w:rsidRDefault="003D2F20" w:rsidP="0040151B">
            <w:pPr>
              <w:spacing w:line="360" w:lineRule="auto"/>
              <w:ind w:right="-101"/>
              <w:jc w:val="both"/>
              <w:rPr>
                <w:rFonts w:asciiTheme="minorBidi" w:hAnsiTheme="minorBidi"/>
                <w:szCs w:val="21"/>
                <w:rtl/>
                <w:lang w:bidi="he-IL"/>
              </w:rPr>
            </w:pPr>
            <w:r w:rsidRPr="00A053ED">
              <w:rPr>
                <w:rFonts w:asciiTheme="minorBidi" w:hAnsiTheme="minorBidi"/>
                <w:rtl/>
                <w:lang w:bidi="he-IL"/>
              </w:rPr>
              <w:t>דוברות והסברה כלכלית</w:t>
            </w:r>
          </w:p>
        </w:tc>
        <w:tc>
          <w:tcPr>
            <w:tcW w:w="2596" w:type="dxa"/>
          </w:tcPr>
          <w:p w:rsidR="003272B4" w:rsidRPr="00A053ED" w:rsidRDefault="003D2F20" w:rsidP="0040151B">
            <w:pPr>
              <w:spacing w:line="360" w:lineRule="auto"/>
              <w:jc w:val="both"/>
              <w:rPr>
                <w:rFonts w:asciiTheme="minorBidi" w:hAnsiTheme="minorBidi"/>
                <w:szCs w:val="21"/>
                <w:rtl/>
                <w:lang w:bidi="he-IL"/>
              </w:rPr>
            </w:pPr>
            <w:r w:rsidRPr="00A053ED">
              <w:rPr>
                <w:rFonts w:asciiTheme="minorBidi" w:hAnsiTheme="minorBidi"/>
                <w:noProof/>
                <w:lang w:val="en-US" w:bidi="he-IL"/>
              </w:rPr>
              <w:drawing>
                <wp:inline distT="0" distB="0" distL="0" distR="0">
                  <wp:extent cx="981710" cy="768350"/>
                  <wp:effectExtent l="0" t="0" r="8890" b="0"/>
                  <wp:docPr id="4" name="תמונה 4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תמונה 2" descr="לוגו בנק 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3272B4" w:rsidRPr="00A053ED" w:rsidRDefault="003D2F20" w:rsidP="003272B4">
            <w:pPr>
              <w:spacing w:line="360" w:lineRule="auto"/>
              <w:jc w:val="right"/>
              <w:rPr>
                <w:rFonts w:asciiTheme="minorBidi" w:hAnsiTheme="minorBidi"/>
                <w:szCs w:val="21"/>
                <w:rtl/>
                <w:lang w:bidi="he-IL"/>
              </w:rPr>
            </w:pPr>
            <w:r w:rsidRPr="00A053ED">
              <w:rPr>
                <w:rFonts w:asciiTheme="minorBidi" w:hAnsiTheme="minorBidi"/>
                <w:rtl/>
              </w:rPr>
              <w:t>‏</w:t>
            </w:r>
            <w:r w:rsidRPr="00A053ED">
              <w:rPr>
                <w:rFonts w:asciiTheme="minorBidi" w:hAnsiTheme="minorBidi"/>
                <w:rtl/>
                <w:lang w:bidi="he-IL"/>
              </w:rPr>
              <w:t>ירושלים</w:t>
            </w:r>
            <w:r w:rsidRPr="00A053ED">
              <w:rPr>
                <w:rFonts w:asciiTheme="minorBidi" w:hAnsiTheme="minorBidi"/>
                <w:rtl/>
              </w:rPr>
              <w:t xml:space="preserve">, </w:t>
            </w:r>
            <w:r w:rsidRPr="00A053ED">
              <w:rPr>
                <w:rFonts w:asciiTheme="minorBidi" w:hAnsiTheme="minorBidi"/>
                <w:rtl/>
                <w:lang w:bidi="he-IL"/>
              </w:rPr>
              <w:t>כ"ה בסיון תשפ</w:t>
            </w:r>
            <w:r w:rsidRPr="00A053ED">
              <w:rPr>
                <w:rFonts w:asciiTheme="minorBidi" w:hAnsiTheme="minorBidi"/>
                <w:rtl/>
              </w:rPr>
              <w:t>"</w:t>
            </w:r>
            <w:r w:rsidRPr="00A053ED">
              <w:rPr>
                <w:rFonts w:asciiTheme="minorBidi" w:hAnsiTheme="minorBidi"/>
                <w:rtl/>
                <w:lang w:bidi="he-IL"/>
              </w:rPr>
              <w:t>ו</w:t>
            </w:r>
          </w:p>
          <w:p w:rsidR="003272B4" w:rsidRPr="00A053ED" w:rsidRDefault="003D2F20" w:rsidP="003272B4">
            <w:pPr>
              <w:spacing w:line="360" w:lineRule="auto"/>
              <w:jc w:val="right"/>
              <w:rPr>
                <w:rFonts w:asciiTheme="minorBidi" w:hAnsiTheme="minorBidi"/>
                <w:szCs w:val="21"/>
                <w:rtl/>
                <w:lang w:bidi="he-IL"/>
              </w:rPr>
            </w:pPr>
            <w:r w:rsidRPr="00A053ED">
              <w:rPr>
                <w:rFonts w:asciiTheme="minorBidi" w:hAnsiTheme="minorBidi"/>
                <w:rtl/>
              </w:rPr>
              <w:t>‏‏</w:t>
            </w:r>
            <w:r w:rsidRPr="00A053ED">
              <w:rPr>
                <w:rFonts w:asciiTheme="minorBidi" w:hAnsiTheme="minorBidi"/>
                <w:rtl/>
                <w:lang w:bidi="he-IL"/>
              </w:rPr>
              <w:t xml:space="preserve">10 יוני </w:t>
            </w:r>
            <w:r w:rsidRPr="00A053ED">
              <w:rPr>
                <w:rFonts w:asciiTheme="minorBidi" w:hAnsiTheme="minorBidi"/>
                <w:rtl/>
              </w:rPr>
              <w:t>2026</w:t>
            </w:r>
          </w:p>
        </w:tc>
      </w:tr>
    </w:tbl>
    <w:p w:rsidR="003272B4" w:rsidRDefault="003D2F20" w:rsidP="003272B4">
      <w:pPr>
        <w:spacing w:line="360" w:lineRule="auto"/>
        <w:ind w:right="-101"/>
        <w:jc w:val="both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 w:hint="cs"/>
          <w:sz w:val="24"/>
          <w:szCs w:val="24"/>
          <w:rtl/>
        </w:rPr>
        <w:t>بيان صحفي:</w:t>
      </w:r>
    </w:p>
    <w:p w:rsidR="00BA1C82" w:rsidRPr="00A053ED" w:rsidRDefault="00BA1C82" w:rsidP="003272B4">
      <w:pPr>
        <w:spacing w:line="360" w:lineRule="auto"/>
        <w:ind w:right="-101"/>
        <w:jc w:val="both"/>
        <w:rPr>
          <w:rFonts w:asciiTheme="minorBidi" w:hAnsiTheme="minorBidi"/>
          <w:sz w:val="24"/>
          <w:szCs w:val="24"/>
          <w:rtl/>
          <w:lang w:bidi="he-IL"/>
        </w:rPr>
      </w:pPr>
    </w:p>
    <w:bookmarkEnd w:id="0"/>
    <w:p w:rsidR="00A053ED" w:rsidRPr="00A053ED" w:rsidRDefault="003D2F20" w:rsidP="00BD6227">
      <w:pPr>
        <w:spacing w:before="157" w:after="157" w:line="270" w:lineRule="auto"/>
        <w:jc w:val="both"/>
        <w:rPr>
          <w:rFonts w:asciiTheme="minorBidi" w:eastAsia="Georgia" w:hAnsiTheme="minorBidi"/>
          <w:b/>
          <w:bCs/>
          <w:color w:val="000000"/>
          <w:sz w:val="28"/>
          <w:szCs w:val="28"/>
          <w:rtl/>
          <w:lang w:val="en-US" w:bidi="he-IL"/>
        </w:rPr>
      </w:pPr>
      <w:r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دراسة جديدة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من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بنك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إسرائيل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: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رفع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يزيد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من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حصة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في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سوق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b/>
          <w:bCs/>
          <w:color w:val="000000"/>
          <w:sz w:val="28"/>
          <w:szCs w:val="28"/>
          <w:rtl/>
          <w:lang w:val="en-US"/>
        </w:rPr>
        <w:t>الاستهلاكي</w:t>
      </w:r>
    </w:p>
    <w:p w:rsidR="00A053ED" w:rsidRPr="00A053ED" w:rsidRDefault="003D2F20" w:rsidP="00A053ED">
      <w:pPr>
        <w:numPr>
          <w:ilvl w:val="0"/>
          <w:numId w:val="1"/>
        </w:numPr>
        <w:spacing w:before="105" w:after="105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bidi="he-IL"/>
        </w:rPr>
      </w:pPr>
      <w:r w:rsidRPr="00A053ED">
        <w:rPr>
          <w:rFonts w:asciiTheme="minorBidi" w:hAnsiTheme="minorBidi" w:cs="Arial" w:hint="cs"/>
          <w:sz w:val="24"/>
          <w:szCs w:val="24"/>
          <w:rtl/>
        </w:rPr>
        <w:t>تُظهر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دراسة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جديدة</w:t>
      </w:r>
      <w:r w:rsidR="00CA6D13">
        <w:rPr>
          <w:rFonts w:asciiTheme="minorBidi" w:hAnsiTheme="minorBidi" w:cs="Arial" w:hint="cs"/>
          <w:sz w:val="24"/>
          <w:szCs w:val="24"/>
          <w:rtl/>
        </w:rPr>
        <w:t xml:space="preserve"> تستند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بيانات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قاعدة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بيانات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الاستهلاكي،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أن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</w:rPr>
        <w:t>رفع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في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الفترة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2022-2023 </w:t>
      </w:r>
      <w:r w:rsidR="00CA6D13">
        <w:rPr>
          <w:rFonts w:asciiTheme="minorBidi" w:hAnsiTheme="minorBidi" w:cs="Arial" w:hint="cs"/>
          <w:sz w:val="24"/>
          <w:szCs w:val="24"/>
          <w:rtl/>
        </w:rPr>
        <w:t>صاحبته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زيادة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في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حصة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في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سوق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الاستهلاكي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في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إسرائيل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حساب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</w:rPr>
        <w:t>.</w:t>
      </w:r>
    </w:p>
    <w:p w:rsidR="00A053ED" w:rsidRPr="00A053ED" w:rsidRDefault="003D2F20" w:rsidP="00A053ED">
      <w:pPr>
        <w:numPr>
          <w:ilvl w:val="0"/>
          <w:numId w:val="1"/>
        </w:numPr>
        <w:spacing w:before="105" w:after="105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bidi="he-IL"/>
        </w:rPr>
      </w:pPr>
      <w:r w:rsidRPr="00A053ED">
        <w:rPr>
          <w:rFonts w:asciiTheme="minorBidi" w:hAnsiTheme="minorBidi" w:cs="Arial" w:hint="cs"/>
          <w:sz w:val="24"/>
          <w:szCs w:val="24"/>
          <w:rtl/>
        </w:rPr>
        <w:t>تشير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الدراسة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أن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زيادة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حصة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لا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تعكس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زيادة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في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المخاطرة،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ولا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يُعزى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ذلك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</w:rPr>
        <w:t>انتقال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المقترضين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ذوي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المخاطر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العالية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إليها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. </w:t>
      </w:r>
      <w:r w:rsidR="00CA6D13">
        <w:rPr>
          <w:rFonts w:asciiTheme="minorBidi" w:hAnsiTheme="minorBidi" w:cs="Arial" w:hint="cs"/>
          <w:sz w:val="24"/>
          <w:szCs w:val="24"/>
          <w:rtl/>
        </w:rPr>
        <w:t>أضف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ذلك،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</w:rPr>
        <w:t xml:space="preserve">فقد </w:t>
      </w:r>
      <w:r w:rsidRPr="00A053ED">
        <w:rPr>
          <w:rFonts w:asciiTheme="minorBidi" w:hAnsiTheme="minorBidi" w:cs="Arial" w:hint="cs"/>
          <w:sz w:val="24"/>
          <w:szCs w:val="24"/>
          <w:rtl/>
        </w:rPr>
        <w:t>قامت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هذه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المؤسسات،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وكذلك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البنوك،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بتقليص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</w:rPr>
        <w:t>تعاملها مع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هؤلاء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المقترضين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عقب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ارتفاع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</w:rPr>
        <w:t>.</w:t>
      </w:r>
    </w:p>
    <w:p w:rsidR="00A053ED" w:rsidRPr="00A053ED" w:rsidRDefault="003D2F20" w:rsidP="00BD6227">
      <w:pPr>
        <w:numPr>
          <w:ilvl w:val="0"/>
          <w:numId w:val="1"/>
        </w:numPr>
        <w:spacing w:before="105" w:after="105" w:line="360" w:lineRule="auto"/>
        <w:ind w:right="426"/>
        <w:jc w:val="both"/>
        <w:rPr>
          <w:rFonts w:asciiTheme="minorBidi" w:eastAsia="Georgia" w:hAnsiTheme="minorBidi"/>
          <w:color w:val="000000"/>
          <w:sz w:val="24"/>
          <w:szCs w:val="24"/>
          <w:rtl/>
          <w:lang w:bidi="he-IL"/>
        </w:rPr>
      </w:pPr>
      <w:r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التفسير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أساسي</w:t>
      </w:r>
      <w:r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 xml:space="preserve"> لهذه النتائج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هو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قيام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بتحويل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جزء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ائتمانها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لتقديم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قروض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تستخدم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الذي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تحصل عليه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لتوسيع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حجم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القروض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الاستهلاكية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التي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تقدمها،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مما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يزيد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حصتها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هذا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>.</w:t>
      </w:r>
    </w:p>
    <w:p w:rsidR="00A053ED" w:rsidRPr="00A053ED" w:rsidRDefault="003D2F20" w:rsidP="00A053ED">
      <w:pPr>
        <w:numPr>
          <w:ilvl w:val="0"/>
          <w:numId w:val="1"/>
        </w:numPr>
        <w:spacing w:before="105" w:after="105" w:line="360" w:lineRule="auto"/>
        <w:ind w:right="426"/>
        <w:jc w:val="both"/>
        <w:rPr>
          <w:rFonts w:asciiTheme="minorBidi" w:eastAsia="Georgia" w:hAnsiTheme="minorBidi"/>
          <w:color w:val="000000"/>
          <w:sz w:val="24"/>
          <w:szCs w:val="24"/>
          <w:rtl/>
          <w:lang w:bidi="he-IL"/>
        </w:rPr>
      </w:pP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تُسهم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نتائج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فهم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تأثير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سعر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الذي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يحدده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البنك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المركزي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نظام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مالي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تعمل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ائتمانية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جانب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البنوك،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وبالتالي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فهم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تطور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السنوات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</w:rPr>
        <w:t>الأخيرة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</w:rPr>
        <w:t>.</w:t>
      </w:r>
    </w:p>
    <w:p w:rsidR="00A053ED" w:rsidRPr="00A053ED" w:rsidRDefault="003D2F20" w:rsidP="005D29F0">
      <w:pPr>
        <w:spacing w:after="210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val="en-US" w:bidi="he-IL"/>
        </w:rPr>
      </w:pP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يُجمع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الباحثون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الأدبيات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الأكاديمية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عندما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يرفع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المركزي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ترفع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بدورها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الممنوح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للمستهلكين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  <w:lang w:val="en-US"/>
        </w:rPr>
        <w:t>وللمصالح التجارية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يؤدي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  <w:lang w:val="en-US"/>
        </w:rPr>
        <w:t>خفض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حجم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وتباطؤ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النشاط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الاقتصادي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دراسة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جديدة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أجرتها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الدكتورة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تانيا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سوخوي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والدكتور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نوعام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ميكلسون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CA6D13">
        <w:rPr>
          <w:rFonts w:asciiTheme="minorBidi" w:hAnsiTheme="minorBidi" w:cs="Arial" w:hint="cs"/>
          <w:sz w:val="24"/>
          <w:szCs w:val="24"/>
          <w:rtl/>
          <w:lang w:val="en-US"/>
        </w:rPr>
        <w:t>من شعبة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الأبحاث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ببنك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إسرائيل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تُظهر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الصورة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أكثر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تعقيد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عندما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تعمل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جنب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جنب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ذلك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شركات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بطاقات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وشركات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>.</w:t>
      </w:r>
    </w:p>
    <w:p w:rsidR="00A053ED" w:rsidRPr="00A053ED" w:rsidRDefault="003D2F20" w:rsidP="008B7861">
      <w:pPr>
        <w:spacing w:after="210" w:line="360" w:lineRule="auto"/>
        <w:ind w:right="426"/>
        <w:jc w:val="both"/>
        <w:rPr>
          <w:rFonts w:asciiTheme="minorBidi" w:eastAsia="Georgia" w:hAnsiTheme="minorBidi"/>
          <w:color w:val="000000"/>
          <w:sz w:val="24"/>
          <w:szCs w:val="24"/>
          <w:rtl/>
          <w:lang w:val="en-US" w:bidi="he-IL"/>
        </w:rPr>
      </w:pPr>
      <w:r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فحصت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أثر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السياسة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النقدية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خلال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الفترة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2021-2023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هيكل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إسرائيل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السنوات،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 xml:space="preserve">وخاصة منذ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نيسان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2022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رفع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بنك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إسرائيل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مرات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إلا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أنه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عكس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فترات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رفع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السابقة،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عملت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خلال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الفترة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نطاق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واسع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ومتنامٍ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تشير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نتائج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أنه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حين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قلصت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حجم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(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باستثناء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قروض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السيارات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>)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استمر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المقدم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التوسع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="00F51E32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إجمالاً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انخفض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إجمالي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F51E32"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الاقتصاد</w:t>
      </w:r>
      <w:r w:rsidR="00F51E32"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نيسان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2022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lastRenderedPageBreak/>
        <w:t>وحتى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نهاية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الفترة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قيد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(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أيلول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2023)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بنسبة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2.3%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لكن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المقدم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توسع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وارتفعت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حصته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إجمالي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14%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نيسان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2022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18.8%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أيلول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2023.</w:t>
      </w:r>
    </w:p>
    <w:p w:rsidR="00A053ED" w:rsidRPr="00F51E32" w:rsidRDefault="003D2F20" w:rsidP="00F51E3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  <w:rtl/>
          <w:lang w:val="en-US" w:bidi="he-IL"/>
        </w:rPr>
      </w:pP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الشكل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1: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حجم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الائتمان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الاستهلاكي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(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باستثناء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قروض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السيارات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)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من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البنوك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والمؤسسات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المالية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غير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المصرفية</w:t>
      </w:r>
    </w:p>
    <w:p w:rsidR="00A053ED" w:rsidRPr="00F51E32" w:rsidRDefault="003D2F20" w:rsidP="00F51E3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  <w:rtl/>
          <w:lang w:val="en-US" w:bidi="he-IL"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ب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مليارات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الشواكل</w:t>
      </w:r>
      <w:r w:rsidRPr="00F51E32"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،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كانون ثاني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2021 - </w:t>
      </w:r>
      <w:r>
        <w:rPr>
          <w:rFonts w:asciiTheme="minorBidi" w:hAnsiTheme="minorBidi" w:cs="Arial" w:hint="cs"/>
          <w:b/>
          <w:bCs/>
          <w:sz w:val="24"/>
          <w:szCs w:val="24"/>
          <w:rtl/>
          <w:lang w:val="en-US"/>
        </w:rPr>
        <w:t>أيلول</w:t>
      </w:r>
      <w:r w:rsidRPr="00F51E32">
        <w:rPr>
          <w:rFonts w:asciiTheme="minorBidi" w:hAnsiTheme="minorBidi" w:cs="Arial"/>
          <w:b/>
          <w:bCs/>
          <w:sz w:val="24"/>
          <w:szCs w:val="24"/>
          <w:rtl/>
          <w:lang w:val="en-US"/>
        </w:rPr>
        <w:t xml:space="preserve"> 2023</w:t>
      </w:r>
    </w:p>
    <w:p w:rsidR="00291436" w:rsidRPr="00A053ED" w:rsidRDefault="003D2F20" w:rsidP="00291436">
      <w:pPr>
        <w:pStyle w:val="NormalWeb"/>
        <w:bidi/>
        <w:spacing w:before="0" w:beforeAutospacing="0" w:after="0" w:afterAutospacing="0"/>
        <w:jc w:val="center"/>
        <w:rPr>
          <w:rFonts w:asciiTheme="minorBidi" w:hAnsiTheme="minorBidi" w:cstheme="minorBidi"/>
          <w:rtl/>
        </w:rPr>
      </w:pPr>
      <w:r w:rsidRPr="00A053E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255905</wp:posOffset>
                </wp:positionV>
                <wp:extent cx="0" cy="1565453"/>
                <wp:effectExtent l="19050" t="19050" r="19050" b="158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56545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מחבר ישר 2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4.15pt,20.15pt" to="234.15pt,143.4pt" strokecolor="black" strokeweight="2.25pt">
                <v:stroke joinstyle="miter"/>
              </v:line>
            </w:pict>
          </mc:Fallback>
        </mc:AlternateContent>
      </w:r>
      <w:r w:rsidRPr="00A053ED">
        <w:rPr>
          <w:rFonts w:asciiTheme="minorBidi" w:hAnsiTheme="minorBidi" w:cstheme="minorBidi"/>
          <w:noProof/>
        </w:rPr>
        <w:drawing>
          <wp:inline distT="0" distB="0" distL="0" distR="0">
            <wp:extent cx="4527937" cy="2560320"/>
            <wp:effectExtent l="0" t="0" r="6350" b="1143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1436" w:rsidRPr="00A053ED" w:rsidRDefault="00291436" w:rsidP="00291436">
      <w:pPr>
        <w:pStyle w:val="NormalWeb"/>
        <w:bidi/>
        <w:spacing w:before="0" w:beforeAutospacing="0" w:after="0" w:afterAutospacing="0"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C96C25" w:rsidRPr="00A053ED" w:rsidRDefault="003D2F20" w:rsidP="00A47635">
      <w:pPr>
        <w:spacing w:after="210" w:line="360" w:lineRule="auto"/>
        <w:jc w:val="both"/>
        <w:rPr>
          <w:rFonts w:asciiTheme="minorBidi" w:hAnsiTheme="minorBidi"/>
          <w:sz w:val="20"/>
          <w:szCs w:val="20"/>
          <w:rtl/>
          <w:lang w:bidi="he-IL"/>
        </w:rPr>
      </w:pP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ملاحظات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: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يشمل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مصطلح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"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"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القروض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الاستهلاكية،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والسحب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="00F51E32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بما يتجاوز الرصيد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والائتمان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بفائدة،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ولا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يشمل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قروض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شراء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المركبات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يشير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الخط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العمودي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إلى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تاريخ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بدء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ارتفاع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أسعار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0"/>
          <w:szCs w:val="20"/>
          <w:rtl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0"/>
          <w:szCs w:val="20"/>
          <w:rtl/>
        </w:rPr>
        <w:t>.</w:t>
      </w:r>
    </w:p>
    <w:p w:rsidR="00A053ED" w:rsidRPr="00A053ED" w:rsidRDefault="003D2F20" w:rsidP="0053602C">
      <w:pPr>
        <w:spacing w:after="210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val="en-US" w:bidi="he-IL"/>
        </w:rPr>
      </w:pP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باستخدام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بيانات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قاعدة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بيانات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وأساليب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تحليل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تجريبية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متقدمة،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تؤكد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الدراسة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العلاقة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بين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ارتفاع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والتغيرات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هيكل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السوق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فاستجابةً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لارتفاع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خفضت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حجم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الاستهلاكي،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جزء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3874CC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3874CC">
        <w:rPr>
          <w:rFonts w:asciiTheme="minorBidi" w:hAnsiTheme="minorBidi" w:cs="Arial" w:hint="cs"/>
          <w:sz w:val="24"/>
          <w:szCs w:val="24"/>
          <w:rtl/>
          <w:lang w:val="en-US"/>
        </w:rPr>
        <w:t>تحول إلى 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قدمته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نتيجةً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لذلك،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استمرت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حصة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هذه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السوق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بالنمو،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مواصلةً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بذلك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الاتجاه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الملحوظ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حتى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قبل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ارتفاع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أسعار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="003874CC">
        <w:rPr>
          <w:rFonts w:asciiTheme="minorBidi" w:hAnsiTheme="minorBidi" w:cs="Arial" w:hint="cs"/>
          <w:sz w:val="24"/>
          <w:szCs w:val="24"/>
          <w:rtl/>
          <w:lang w:val="en-US"/>
        </w:rPr>
        <w:t>يظهر هذا التأثير في الشكل 2 و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الذي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يوضح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3874CC">
        <w:rPr>
          <w:rFonts w:asciiTheme="minorBidi" w:hAnsiTheme="minorBidi" w:cs="Arial" w:hint="cs"/>
          <w:sz w:val="24"/>
          <w:szCs w:val="24"/>
          <w:rtl/>
          <w:lang w:val="en-US"/>
        </w:rPr>
        <w:t>قوة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تأثير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المفاجأة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النقدية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-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ارتفاع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سعر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الذي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يتوقعه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السوق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مسبق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-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حصة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المقدم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(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بعد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شهر،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وشهرين،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وهكذا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).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يُظهر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الشكل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هذا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التأثير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يبلغ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ذروته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بعد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حوالي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عام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ارتفاع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سعر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بشكل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عام،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تُشير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الدراسة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مفاجآت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السياسة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النقدية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لبنك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إسرائيل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خلال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تلك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السنوات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تُفسر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أكثر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58%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الزيادة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حصة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السوق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خلال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هذه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الفترة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>.</w:t>
      </w:r>
    </w:p>
    <w:p w:rsidR="002877B9" w:rsidRPr="00A053ED" w:rsidRDefault="002877B9" w:rsidP="00291436">
      <w:pPr>
        <w:spacing w:after="210" w:line="360" w:lineRule="auto"/>
        <w:jc w:val="center"/>
        <w:rPr>
          <w:rFonts w:asciiTheme="minorBidi" w:eastAsia="Georgia" w:hAnsiTheme="minorBidi"/>
          <w:b/>
          <w:bCs/>
          <w:color w:val="000000"/>
          <w:sz w:val="24"/>
          <w:szCs w:val="24"/>
          <w:rtl/>
          <w:lang w:bidi="he-IL"/>
        </w:rPr>
      </w:pPr>
    </w:p>
    <w:p w:rsidR="002877B9" w:rsidRPr="00A053ED" w:rsidRDefault="002877B9" w:rsidP="00291436">
      <w:pPr>
        <w:spacing w:after="210" w:line="360" w:lineRule="auto"/>
        <w:jc w:val="center"/>
        <w:rPr>
          <w:rFonts w:asciiTheme="minorBidi" w:eastAsia="Georgia" w:hAnsiTheme="minorBidi"/>
          <w:b/>
          <w:bCs/>
          <w:color w:val="000000"/>
          <w:sz w:val="24"/>
          <w:szCs w:val="24"/>
          <w:rtl/>
          <w:lang w:bidi="he-IL"/>
        </w:rPr>
      </w:pPr>
    </w:p>
    <w:p w:rsidR="002877B9" w:rsidRPr="00A053ED" w:rsidRDefault="002877B9" w:rsidP="00291436">
      <w:pPr>
        <w:spacing w:after="210" w:line="360" w:lineRule="auto"/>
        <w:jc w:val="center"/>
        <w:rPr>
          <w:rFonts w:asciiTheme="minorBidi" w:eastAsia="Georgia" w:hAnsiTheme="minorBidi"/>
          <w:b/>
          <w:bCs/>
          <w:color w:val="000000"/>
          <w:sz w:val="24"/>
          <w:szCs w:val="24"/>
          <w:rtl/>
          <w:lang w:bidi="he-IL"/>
        </w:rPr>
      </w:pPr>
    </w:p>
    <w:p w:rsidR="00A053ED" w:rsidRPr="003874CC" w:rsidRDefault="003D2F20" w:rsidP="00291436">
      <w:pPr>
        <w:spacing w:after="210" w:line="360" w:lineRule="auto"/>
        <w:jc w:val="center"/>
        <w:rPr>
          <w:rFonts w:asciiTheme="minorBidi" w:eastAsia="Georgia" w:hAnsiTheme="minorBidi"/>
          <w:b/>
          <w:bCs/>
          <w:color w:val="000000"/>
          <w:sz w:val="24"/>
          <w:szCs w:val="24"/>
          <w:rtl/>
          <w:lang w:val="en-US" w:bidi="he-IL"/>
        </w:rPr>
      </w:pP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lastRenderedPageBreak/>
        <w:t>الشكل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2: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تقدير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تأثير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المفاجأة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النقدية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على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حصة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="003874CC"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المؤسسات</w:t>
      </w:r>
      <w:r w:rsidR="003874CC"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="003874CC"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المالية</w:t>
      </w:r>
      <w:r w:rsidR="003874CC"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="003874CC"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غير</w:t>
      </w:r>
      <w:r w:rsidR="003874CC"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="003874CC"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 xml:space="preserve">المصرفية من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الائتمان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الاستهلاكي،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وفق</w:t>
      </w:r>
      <w:r w:rsidR="00BD6227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اً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لعدد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الأشهر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التي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انقضت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منذ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حدوث</w:t>
      </w:r>
      <w:r w:rsidRPr="003874CC">
        <w:rPr>
          <w:rFonts w:asciiTheme="minorBidi" w:eastAsia="Georgia" w:hAnsiTheme="minorBidi" w:cs="Arial"/>
          <w:b/>
          <w:bCs/>
          <w:color w:val="000000"/>
          <w:sz w:val="24"/>
          <w:szCs w:val="24"/>
          <w:rtl/>
          <w:lang w:val="en-US"/>
        </w:rPr>
        <w:t xml:space="preserve"> </w:t>
      </w:r>
      <w:r w:rsidRPr="003874CC">
        <w:rPr>
          <w:rFonts w:asciiTheme="minorBidi" w:eastAsia="Georgia" w:hAnsiTheme="minorBidi" w:cs="Arial" w:hint="cs"/>
          <w:b/>
          <w:bCs/>
          <w:color w:val="000000"/>
          <w:sz w:val="24"/>
          <w:szCs w:val="24"/>
          <w:rtl/>
          <w:lang w:val="en-US"/>
        </w:rPr>
        <w:t>المفاجأة</w:t>
      </w:r>
    </w:p>
    <w:p w:rsidR="00291436" w:rsidRPr="00A053ED" w:rsidRDefault="003D2F20" w:rsidP="00291436">
      <w:pPr>
        <w:spacing w:after="210" w:line="360" w:lineRule="auto"/>
        <w:jc w:val="center"/>
        <w:rPr>
          <w:rFonts w:asciiTheme="minorBidi" w:hAnsiTheme="minorBidi"/>
          <w:sz w:val="24"/>
          <w:szCs w:val="24"/>
          <w:rtl/>
          <w:lang w:bidi="he-IL"/>
        </w:rPr>
      </w:pPr>
      <w:bookmarkStart w:id="1" w:name="_GoBack"/>
      <w:r w:rsidRPr="00A053ED">
        <w:rPr>
          <w:rFonts w:asciiTheme="minorBidi" w:hAnsiTheme="minorBidi"/>
          <w:noProof/>
          <w:lang w:val="en-US" w:bidi="he-IL"/>
        </w:rPr>
        <w:drawing>
          <wp:inline distT="0" distB="0" distL="0" distR="0">
            <wp:extent cx="4740729" cy="2388870"/>
            <wp:effectExtent l="0" t="0" r="3175" b="11430"/>
            <wp:docPr id="3" name="תרשים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</w:p>
    <w:p w:rsidR="00A053ED" w:rsidRPr="00A053ED" w:rsidRDefault="003D2F20" w:rsidP="00A47635">
      <w:pPr>
        <w:spacing w:after="210" w:line="360" w:lineRule="auto"/>
        <w:jc w:val="both"/>
        <w:rPr>
          <w:rFonts w:asciiTheme="minorBidi" w:hAnsiTheme="minorBidi"/>
          <w:sz w:val="20"/>
          <w:szCs w:val="20"/>
          <w:rtl/>
          <w:lang w:val="en-US" w:bidi="he-IL"/>
        </w:rPr>
      </w:pP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ملاحظات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: </w:t>
      </w:r>
      <w:r w:rsidR="003874CC">
        <w:rPr>
          <w:rFonts w:asciiTheme="minorBidi" w:hAnsiTheme="minorBidi" w:cs="Arial" w:hint="cs"/>
          <w:sz w:val="20"/>
          <w:szCs w:val="20"/>
          <w:rtl/>
          <w:lang w:val="en-US"/>
        </w:rPr>
        <w:t xml:space="preserve">توضح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المنطقة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المظللة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فاصل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ثقة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بنسبة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 xml:space="preserve"> 95 </w:t>
      </w:r>
      <w:r w:rsidRPr="00A053ED">
        <w:rPr>
          <w:rFonts w:asciiTheme="minorBidi" w:hAnsiTheme="minorBidi" w:cs="Arial" w:hint="cs"/>
          <w:sz w:val="20"/>
          <w:szCs w:val="20"/>
          <w:rtl/>
          <w:lang w:val="en-US"/>
        </w:rPr>
        <w:t>بالمائة</w:t>
      </w:r>
      <w:r w:rsidRPr="00A053ED">
        <w:rPr>
          <w:rFonts w:asciiTheme="minorBidi" w:hAnsiTheme="minorBidi" w:cs="Arial"/>
          <w:sz w:val="20"/>
          <w:szCs w:val="20"/>
          <w:rtl/>
          <w:lang w:val="en-US"/>
        </w:rPr>
        <w:t>.</w:t>
      </w:r>
    </w:p>
    <w:p w:rsidR="00A053ED" w:rsidRPr="00A053ED" w:rsidRDefault="003D2F20" w:rsidP="00BD6227">
      <w:pPr>
        <w:spacing w:after="210" w:line="360" w:lineRule="auto"/>
        <w:ind w:right="426"/>
        <w:jc w:val="both"/>
        <w:rPr>
          <w:rFonts w:asciiTheme="minorBidi" w:eastAsia="Georgia" w:hAnsiTheme="minorBidi"/>
          <w:color w:val="000000"/>
          <w:sz w:val="24"/>
          <w:szCs w:val="24"/>
          <w:rtl/>
          <w:lang w:val="en-US"/>
        </w:rPr>
      </w:pPr>
      <w:bookmarkStart w:id="2" w:name="_Hlk228785267"/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يكمن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التفسير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الرئيسي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الظاهرة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الاختلافات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بين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مصادر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والمؤسسات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: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فبخلاف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تعتمد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بشكل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أساسي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الودائع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قصيرة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الجمهور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كمصدر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لنشاطها،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تعتمد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بشكل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أكبر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طويل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GB"/>
        </w:rPr>
        <w:t>وبما أن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طويلة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تتأثر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بشكل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كامل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بتغيرات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سعر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بنك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إسرائيل،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فإن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تعرض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لارتفاع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أقل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تعرض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تُظهر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أنه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بعد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ارتفاع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أسعار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الفائدة،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تقوم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بزيادة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حجم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طويل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ميزانياتها،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بينما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تفعل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البنوك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ذلك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يتيح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توسيع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مصادر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زيادة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نشاطها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مجال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مما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يعزز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مكانتها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>.</w:t>
      </w:r>
    </w:p>
    <w:p w:rsidR="00A053ED" w:rsidRPr="00A053ED" w:rsidRDefault="003D2F20" w:rsidP="00BD6227">
      <w:pPr>
        <w:spacing w:after="210" w:line="360" w:lineRule="auto"/>
        <w:ind w:right="426"/>
        <w:jc w:val="both"/>
        <w:rPr>
          <w:rFonts w:asciiTheme="minorBidi" w:eastAsia="Georgia" w:hAnsiTheme="minorBidi"/>
          <w:color w:val="000000"/>
          <w:sz w:val="24"/>
          <w:szCs w:val="24"/>
          <w:rtl/>
          <w:lang w:val="en-US" w:bidi="he-IL"/>
        </w:rPr>
      </w:pP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تشير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الدراسة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أيض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اً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المصدر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الرئيسي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لنمو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طويل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هو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تحويل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جزء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لصالحها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بعبارة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أخرى،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عندما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يُقلّص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البنك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حجم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المباشر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للمستهلكين،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فإنه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قد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يُحوّل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جزء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اً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مصادر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المتاحة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لتقديم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طويل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الأجل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إلى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المالية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غير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المصرفية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تستخدم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المؤسسات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جزء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اً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من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التمويل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الذي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تحصل عليه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لتوسيع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 xml:space="preserve">حجم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الائتمان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الذي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تُقدّمه،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وبالتالي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زيادة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حصتها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في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هذا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eastAsia="Georgia" w:hAnsiTheme="minorBidi" w:cs="Arial" w:hint="cs"/>
          <w:color w:val="000000"/>
          <w:sz w:val="24"/>
          <w:szCs w:val="24"/>
          <w:rtl/>
          <w:lang w:val="en-US"/>
        </w:rPr>
        <w:t>السوق</w:t>
      </w:r>
      <w:r w:rsidRPr="00A053ED">
        <w:rPr>
          <w:rFonts w:asciiTheme="minorBidi" w:eastAsia="Georgia" w:hAnsiTheme="minorBidi" w:cs="Arial"/>
          <w:color w:val="000000"/>
          <w:sz w:val="24"/>
          <w:szCs w:val="24"/>
          <w:rtl/>
          <w:lang w:val="en-US"/>
        </w:rPr>
        <w:t>.</w:t>
      </w:r>
    </w:p>
    <w:bookmarkEnd w:id="2"/>
    <w:p w:rsidR="00A053ED" w:rsidRPr="00A053ED" w:rsidRDefault="003D2F20" w:rsidP="00BD6227">
      <w:pPr>
        <w:spacing w:after="210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val="en-US" w:bidi="he-IL"/>
        </w:rPr>
      </w:pPr>
      <w:r>
        <w:rPr>
          <w:rFonts w:asciiTheme="minorBidi" w:hAnsiTheme="minorBidi" w:cs="Arial" w:hint="cs"/>
          <w:sz w:val="24"/>
          <w:szCs w:val="24"/>
          <w:rtl/>
          <w:lang w:val="en-US"/>
        </w:rPr>
        <w:t>فحصت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الدراسة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أيض</w:t>
      </w:r>
      <w:r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إذا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كان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ازدياد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الاستهلاكي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ناتج</w:t>
      </w:r>
      <w:r>
        <w:rPr>
          <w:rFonts w:asciiTheme="minorBidi" w:hAnsiTheme="minorBidi" w:cs="Arial" w:hint="cs"/>
          <w:sz w:val="24"/>
          <w:szCs w:val="24"/>
          <w:rtl/>
          <w:lang w:val="en-US"/>
        </w:rPr>
        <w:t>اً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توسيع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val="en-US"/>
        </w:rPr>
        <w:t>حجم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ليشمل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المقترضين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ذوي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المخاطر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العالية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-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سبيل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المثال،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المقترضين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الذين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تميل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منحهم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-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النتائج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تدعم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هذا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التفسير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>.</w:t>
      </w:r>
    </w:p>
    <w:p w:rsidR="00A053ED" w:rsidRPr="00A053ED" w:rsidRDefault="003D2F20" w:rsidP="00BD6227">
      <w:pPr>
        <w:spacing w:after="210" w:line="360" w:lineRule="auto"/>
        <w:ind w:right="426"/>
        <w:jc w:val="both"/>
        <w:rPr>
          <w:rFonts w:asciiTheme="minorBidi" w:hAnsiTheme="minorBidi"/>
          <w:sz w:val="24"/>
          <w:szCs w:val="24"/>
          <w:rtl/>
          <w:lang w:val="en-US" w:bidi="he-IL"/>
        </w:rPr>
      </w:pP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قد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تُسهم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نتائج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الدراسة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فهم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تأثيرات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سعر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الفائدة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الذي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يحدده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المركزي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بيئة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تتواجد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فيها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جهات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فاعلة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أخرى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سوق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الائتمان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جانب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.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علاوة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ذلك،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فإن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اعتماد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بشكل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كبير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التمويل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lastRenderedPageBreak/>
        <w:t>من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النظام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لتوسيع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أنشطتها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يُبرز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الحاجة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إطار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تنظيمي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متكامل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يتعامل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 xml:space="preserve">مع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البنوك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والمؤسسات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غير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المصرفية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ككيان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واحد،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="00BD6227">
        <w:rPr>
          <w:rFonts w:asciiTheme="minorBidi" w:hAnsiTheme="minorBidi" w:cs="Arial" w:hint="cs"/>
          <w:sz w:val="24"/>
          <w:szCs w:val="24"/>
          <w:rtl/>
          <w:lang w:val="en-US"/>
        </w:rPr>
        <w:t>ويتيح الرقابة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على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العلاقات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المالية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 xml:space="preserve"> </w:t>
      </w:r>
      <w:r w:rsidRPr="00A053ED">
        <w:rPr>
          <w:rFonts w:asciiTheme="minorBidi" w:hAnsiTheme="minorBidi" w:cs="Arial" w:hint="cs"/>
          <w:sz w:val="24"/>
          <w:szCs w:val="24"/>
          <w:rtl/>
          <w:lang w:val="en-US"/>
        </w:rPr>
        <w:t>بينهما</w:t>
      </w:r>
      <w:r w:rsidRPr="00A053ED">
        <w:rPr>
          <w:rFonts w:asciiTheme="minorBidi" w:hAnsiTheme="minorBidi" w:cs="Arial"/>
          <w:sz w:val="24"/>
          <w:szCs w:val="24"/>
          <w:rtl/>
          <w:lang w:val="en-US"/>
        </w:rPr>
        <w:t>.</w:t>
      </w:r>
    </w:p>
    <w:sectPr w:rsidR="00A053ED" w:rsidRPr="00A053E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54FB8"/>
    <w:multiLevelType w:val="hybridMultilevel"/>
    <w:tmpl w:val="197AA768"/>
    <w:lvl w:ilvl="0" w:tplc="02FE1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60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07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AF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0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A0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8F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6A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BC8"/>
    <w:multiLevelType w:val="hybridMultilevel"/>
    <w:tmpl w:val="35DA609E"/>
    <w:lvl w:ilvl="0" w:tplc="200E2F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C60D562">
      <w:numFmt w:val="decimal"/>
      <w:lvlText w:val=""/>
      <w:lvlJc w:val="left"/>
    </w:lvl>
    <w:lvl w:ilvl="2" w:tplc="CA6081E6">
      <w:numFmt w:val="decimal"/>
      <w:lvlText w:val=""/>
      <w:lvlJc w:val="left"/>
    </w:lvl>
    <w:lvl w:ilvl="3" w:tplc="E312EA78">
      <w:numFmt w:val="decimal"/>
      <w:lvlText w:val=""/>
      <w:lvlJc w:val="left"/>
    </w:lvl>
    <w:lvl w:ilvl="4" w:tplc="B256F936">
      <w:numFmt w:val="decimal"/>
      <w:lvlText w:val=""/>
      <w:lvlJc w:val="left"/>
    </w:lvl>
    <w:lvl w:ilvl="5" w:tplc="10C2481C">
      <w:numFmt w:val="decimal"/>
      <w:lvlText w:val=""/>
      <w:lvlJc w:val="left"/>
    </w:lvl>
    <w:lvl w:ilvl="6" w:tplc="C61E11F0">
      <w:numFmt w:val="decimal"/>
      <w:lvlText w:val=""/>
      <w:lvlJc w:val="left"/>
    </w:lvl>
    <w:lvl w:ilvl="7" w:tplc="684A5B22">
      <w:numFmt w:val="decimal"/>
      <w:lvlText w:val=""/>
      <w:lvlJc w:val="left"/>
    </w:lvl>
    <w:lvl w:ilvl="8" w:tplc="7E26E0F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25"/>
    <w:rsid w:val="000300EC"/>
    <w:rsid w:val="00056D73"/>
    <w:rsid w:val="000758D0"/>
    <w:rsid w:val="00096505"/>
    <w:rsid w:val="000B0A76"/>
    <w:rsid w:val="000C7A1F"/>
    <w:rsid w:val="000D24BB"/>
    <w:rsid w:val="0012335D"/>
    <w:rsid w:val="001528DC"/>
    <w:rsid w:val="001B70A8"/>
    <w:rsid w:val="00273C6F"/>
    <w:rsid w:val="002877B9"/>
    <w:rsid w:val="00291436"/>
    <w:rsid w:val="003272B4"/>
    <w:rsid w:val="00365C81"/>
    <w:rsid w:val="003874CC"/>
    <w:rsid w:val="003C3E08"/>
    <w:rsid w:val="003D2F20"/>
    <w:rsid w:val="003F20C6"/>
    <w:rsid w:val="0040151B"/>
    <w:rsid w:val="00474B88"/>
    <w:rsid w:val="004D45BE"/>
    <w:rsid w:val="0053602C"/>
    <w:rsid w:val="005A7933"/>
    <w:rsid w:val="005A7E03"/>
    <w:rsid w:val="005D29F0"/>
    <w:rsid w:val="005D5473"/>
    <w:rsid w:val="00693AFC"/>
    <w:rsid w:val="006A6241"/>
    <w:rsid w:val="007306E0"/>
    <w:rsid w:val="0083188F"/>
    <w:rsid w:val="008820CD"/>
    <w:rsid w:val="008B7861"/>
    <w:rsid w:val="00906706"/>
    <w:rsid w:val="00996A85"/>
    <w:rsid w:val="009C12EB"/>
    <w:rsid w:val="009D715E"/>
    <w:rsid w:val="00A053ED"/>
    <w:rsid w:val="00A12631"/>
    <w:rsid w:val="00A26506"/>
    <w:rsid w:val="00A47635"/>
    <w:rsid w:val="00A700BD"/>
    <w:rsid w:val="00B54A25"/>
    <w:rsid w:val="00BA1C82"/>
    <w:rsid w:val="00BD6227"/>
    <w:rsid w:val="00C5418C"/>
    <w:rsid w:val="00C96C25"/>
    <w:rsid w:val="00CA6D13"/>
    <w:rsid w:val="00D129CA"/>
    <w:rsid w:val="00D226AF"/>
    <w:rsid w:val="00D41B13"/>
    <w:rsid w:val="00D76A22"/>
    <w:rsid w:val="00D87A1C"/>
    <w:rsid w:val="00E1763E"/>
    <w:rsid w:val="00E91216"/>
    <w:rsid w:val="00F5051B"/>
    <w:rsid w:val="00F51E32"/>
    <w:rsid w:val="00F64346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7DBE5-E27B-5B46-B9B2-5D3D41F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he-IL" w:eastAsia="en-US" w:bidi="ar-SA"/>
      </w:rPr>
    </w:rPrDefault>
    <w:pPrDefault>
      <w:pPr>
        <w:bidi/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2914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1B7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0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0A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A8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B54A25"/>
    <w:pPr>
      <w:bidi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54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ntfs-jr-01\sys\CCR_USERS\RES\michal_tanya_noam\aggregate%20quantiti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ntfs-jr-01\sys\CCR_USERS\RES\michal_tanya_noam\reg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50334310400981"/>
          <c:y val="9.9124182570399039E-2"/>
          <c:w val="0.78740498084291188"/>
          <c:h val="0.60687921822272217"/>
        </c:manualLayout>
      </c:layout>
      <c:lineChart>
        <c:grouping val="standard"/>
        <c:varyColors val="0"/>
        <c:ser>
          <c:idx val="1"/>
          <c:order val="1"/>
          <c:tx>
            <c:v>מוסדות פיננסיים לא-בנקאיים</c:v>
          </c:tx>
          <c:spPr>
            <a:ln w="25400" cap="rnd">
              <a:solidFill>
                <a:srgbClr val="DA8F32"/>
              </a:solidFill>
              <a:prstDash val="solid"/>
              <a:round/>
            </a:ln>
            <a:effectLst>
              <a:outerShdw sx="0" sy="0" rotWithShape="0">
                <a:scrgbClr r="0" g="0" b="0">
                  <a:alpha val="0"/>
                </a:scrgbClr>
              </a:outerShdw>
            </a:effectLst>
          </c:spPr>
          <c:marker>
            <c:symbol val="none"/>
          </c:marker>
          <c:cat>
            <c:numRef>
              <c:f>גיליון1!$A$22:$A$54</c:f>
              <c:numCache>
                <c:formatCode>m/d/yyyy</c:formatCode>
                <c:ptCount val="33"/>
                <c:pt idx="0">
                  <c:v>44227</c:v>
                </c:pt>
                <c:pt idx="1">
                  <c:v>44255</c:v>
                </c:pt>
                <c:pt idx="2">
                  <c:v>44286</c:v>
                </c:pt>
                <c:pt idx="3">
                  <c:v>44316</c:v>
                </c:pt>
                <c:pt idx="4">
                  <c:v>44347</c:v>
                </c:pt>
                <c:pt idx="5">
                  <c:v>44377</c:v>
                </c:pt>
                <c:pt idx="6">
                  <c:v>44408</c:v>
                </c:pt>
                <c:pt idx="7">
                  <c:v>44439</c:v>
                </c:pt>
                <c:pt idx="8">
                  <c:v>44469</c:v>
                </c:pt>
                <c:pt idx="9">
                  <c:v>44500</c:v>
                </c:pt>
                <c:pt idx="10">
                  <c:v>44530</c:v>
                </c:pt>
                <c:pt idx="11">
                  <c:v>44561</c:v>
                </c:pt>
                <c:pt idx="12">
                  <c:v>44592</c:v>
                </c:pt>
                <c:pt idx="13">
                  <c:v>44620</c:v>
                </c:pt>
                <c:pt idx="14">
                  <c:v>44651</c:v>
                </c:pt>
                <c:pt idx="15">
                  <c:v>44681</c:v>
                </c:pt>
                <c:pt idx="16">
                  <c:v>44712</c:v>
                </c:pt>
                <c:pt idx="17">
                  <c:v>44742</c:v>
                </c:pt>
                <c:pt idx="18">
                  <c:v>44773</c:v>
                </c:pt>
                <c:pt idx="19">
                  <c:v>44804</c:v>
                </c:pt>
                <c:pt idx="20">
                  <c:v>44834</c:v>
                </c:pt>
                <c:pt idx="21">
                  <c:v>44865</c:v>
                </c:pt>
                <c:pt idx="22">
                  <c:v>44895</c:v>
                </c:pt>
                <c:pt idx="23">
                  <c:v>44926</c:v>
                </c:pt>
                <c:pt idx="24">
                  <c:v>44957</c:v>
                </c:pt>
                <c:pt idx="25">
                  <c:v>44985</c:v>
                </c:pt>
                <c:pt idx="26">
                  <c:v>45016</c:v>
                </c:pt>
                <c:pt idx="27">
                  <c:v>45046</c:v>
                </c:pt>
                <c:pt idx="28">
                  <c:v>45077</c:v>
                </c:pt>
                <c:pt idx="29">
                  <c:v>45107</c:v>
                </c:pt>
                <c:pt idx="30">
                  <c:v>45138</c:v>
                </c:pt>
                <c:pt idx="31">
                  <c:v>45169</c:v>
                </c:pt>
                <c:pt idx="32">
                  <c:v>45199</c:v>
                </c:pt>
              </c:numCache>
            </c:numRef>
          </c:cat>
          <c:val>
            <c:numRef>
              <c:f>גיליון1!$N$22:$N$54</c:f>
              <c:numCache>
                <c:formatCode>_(* #,##0.00_);_(* \(#,##0.00\);_(* "-"??_);_(@_)</c:formatCode>
                <c:ptCount val="33"/>
                <c:pt idx="0">
                  <c:v>10.574174125000001</c:v>
                </c:pt>
                <c:pt idx="1">
                  <c:v>10.638931845</c:v>
                </c:pt>
                <c:pt idx="2">
                  <c:v>10.992097515000001</c:v>
                </c:pt>
                <c:pt idx="3">
                  <c:v>11.354831170000001</c:v>
                </c:pt>
                <c:pt idx="4">
                  <c:v>11.458791850000001</c:v>
                </c:pt>
                <c:pt idx="5">
                  <c:v>11.26939877</c:v>
                </c:pt>
                <c:pt idx="6">
                  <c:v>11.426033905000001</c:v>
                </c:pt>
                <c:pt idx="7">
                  <c:v>12.211500600000001</c:v>
                </c:pt>
                <c:pt idx="8">
                  <c:v>12.39631198</c:v>
                </c:pt>
                <c:pt idx="9">
                  <c:v>12.716877139999999</c:v>
                </c:pt>
                <c:pt idx="10">
                  <c:v>13.21679359</c:v>
                </c:pt>
                <c:pt idx="11">
                  <c:v>13.60038583</c:v>
                </c:pt>
                <c:pt idx="12">
                  <c:v>13.41546857</c:v>
                </c:pt>
                <c:pt idx="13">
                  <c:v>13.814987105</c:v>
                </c:pt>
                <c:pt idx="14">
                  <c:v>14.06104489</c:v>
                </c:pt>
                <c:pt idx="15">
                  <c:v>14.518093585000001</c:v>
                </c:pt>
                <c:pt idx="16">
                  <c:v>14.790197965000001</c:v>
                </c:pt>
                <c:pt idx="17">
                  <c:v>14.92539075</c:v>
                </c:pt>
                <c:pt idx="18">
                  <c:v>15.629981990000001</c:v>
                </c:pt>
                <c:pt idx="19">
                  <c:v>15.974916945</c:v>
                </c:pt>
                <c:pt idx="20">
                  <c:v>16.504803715000001</c:v>
                </c:pt>
                <c:pt idx="21">
                  <c:v>16.803294260000001</c:v>
                </c:pt>
                <c:pt idx="22">
                  <c:v>16.550889725000001</c:v>
                </c:pt>
                <c:pt idx="23">
                  <c:v>17.13734144</c:v>
                </c:pt>
                <c:pt idx="24">
                  <c:v>17.441772539999999</c:v>
                </c:pt>
                <c:pt idx="25">
                  <c:v>17.33369588</c:v>
                </c:pt>
                <c:pt idx="26">
                  <c:v>17.410578000000001</c:v>
                </c:pt>
                <c:pt idx="27">
                  <c:v>18.064253004999998</c:v>
                </c:pt>
                <c:pt idx="28">
                  <c:v>18.039818635000003</c:v>
                </c:pt>
                <c:pt idx="29">
                  <c:v>18.086678689999999</c:v>
                </c:pt>
                <c:pt idx="30">
                  <c:v>17.998758124999998</c:v>
                </c:pt>
                <c:pt idx="31">
                  <c:v>18.0439051</c:v>
                </c:pt>
                <c:pt idx="32">
                  <c:v>18.19917796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7C-473C-B70D-D3FE3F185F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89056"/>
        <c:axId val="44990848"/>
      </c:lineChart>
      <c:lineChart>
        <c:grouping val="standard"/>
        <c:varyColors val="0"/>
        <c:ser>
          <c:idx val="0"/>
          <c:order val="0"/>
          <c:tx>
            <c:v>בנקים (ציר ימין)</c:v>
          </c:tx>
          <c:spPr>
            <a:ln w="25400" cap="rnd">
              <a:solidFill>
                <a:srgbClr val="008DA3"/>
              </a:solidFill>
              <a:round/>
            </a:ln>
            <a:effectLst>
              <a:outerShdw sx="0" sy="0" rotWithShape="0">
                <a:scrgbClr r="0" g="0" b="0">
                  <a:alpha val="0"/>
                </a:scrgbClr>
              </a:outerShdw>
            </a:effectLst>
          </c:spPr>
          <c:marker>
            <c:symbol val="none"/>
          </c:marker>
          <c:cat>
            <c:numRef>
              <c:f>גיליון1!$A$22:$A$54</c:f>
              <c:numCache>
                <c:formatCode>m/d/yyyy</c:formatCode>
                <c:ptCount val="33"/>
                <c:pt idx="0">
                  <c:v>44227</c:v>
                </c:pt>
                <c:pt idx="1">
                  <c:v>44255</c:v>
                </c:pt>
                <c:pt idx="2">
                  <c:v>44286</c:v>
                </c:pt>
                <c:pt idx="3">
                  <c:v>44316</c:v>
                </c:pt>
                <c:pt idx="4">
                  <c:v>44347</c:v>
                </c:pt>
                <c:pt idx="5">
                  <c:v>44377</c:v>
                </c:pt>
                <c:pt idx="6">
                  <c:v>44408</c:v>
                </c:pt>
                <c:pt idx="7">
                  <c:v>44439</c:v>
                </c:pt>
                <c:pt idx="8">
                  <c:v>44469</c:v>
                </c:pt>
                <c:pt idx="9">
                  <c:v>44500</c:v>
                </c:pt>
                <c:pt idx="10">
                  <c:v>44530</c:v>
                </c:pt>
                <c:pt idx="11">
                  <c:v>44561</c:v>
                </c:pt>
                <c:pt idx="12">
                  <c:v>44592</c:v>
                </c:pt>
                <c:pt idx="13">
                  <c:v>44620</c:v>
                </c:pt>
                <c:pt idx="14">
                  <c:v>44651</c:v>
                </c:pt>
                <c:pt idx="15">
                  <c:v>44681</c:v>
                </c:pt>
                <c:pt idx="16">
                  <c:v>44712</c:v>
                </c:pt>
                <c:pt idx="17">
                  <c:v>44742</c:v>
                </c:pt>
                <c:pt idx="18">
                  <c:v>44773</c:v>
                </c:pt>
                <c:pt idx="19">
                  <c:v>44804</c:v>
                </c:pt>
                <c:pt idx="20">
                  <c:v>44834</c:v>
                </c:pt>
                <c:pt idx="21">
                  <c:v>44865</c:v>
                </c:pt>
                <c:pt idx="22">
                  <c:v>44895</c:v>
                </c:pt>
                <c:pt idx="23">
                  <c:v>44926</c:v>
                </c:pt>
                <c:pt idx="24">
                  <c:v>44957</c:v>
                </c:pt>
                <c:pt idx="25">
                  <c:v>44985</c:v>
                </c:pt>
                <c:pt idx="26">
                  <c:v>45016</c:v>
                </c:pt>
                <c:pt idx="27">
                  <c:v>45046</c:v>
                </c:pt>
                <c:pt idx="28">
                  <c:v>45077</c:v>
                </c:pt>
                <c:pt idx="29">
                  <c:v>45107</c:v>
                </c:pt>
                <c:pt idx="30">
                  <c:v>45138</c:v>
                </c:pt>
                <c:pt idx="31">
                  <c:v>45169</c:v>
                </c:pt>
                <c:pt idx="32">
                  <c:v>45199</c:v>
                </c:pt>
              </c:numCache>
            </c:numRef>
          </c:cat>
          <c:val>
            <c:numRef>
              <c:f>גיליון1!$M$22:$M$54</c:f>
              <c:numCache>
                <c:formatCode>_(* #,##0.00_);_(* \(#,##0.00\);_(* "-"??_);_(@_)</c:formatCode>
                <c:ptCount val="33"/>
                <c:pt idx="0">
                  <c:v>79.619650649999997</c:v>
                </c:pt>
                <c:pt idx="1">
                  <c:v>79.583000130000002</c:v>
                </c:pt>
                <c:pt idx="2">
                  <c:v>79.703377965000001</c:v>
                </c:pt>
                <c:pt idx="3">
                  <c:v>79.749347750000013</c:v>
                </c:pt>
                <c:pt idx="4">
                  <c:v>80.275975755000005</c:v>
                </c:pt>
                <c:pt idx="5">
                  <c:v>80.938190210000016</c:v>
                </c:pt>
                <c:pt idx="6">
                  <c:v>81.152675459999998</c:v>
                </c:pt>
                <c:pt idx="7">
                  <c:v>81.423507070000014</c:v>
                </c:pt>
                <c:pt idx="8">
                  <c:v>82.127565500000003</c:v>
                </c:pt>
                <c:pt idx="9">
                  <c:v>82.761856439000013</c:v>
                </c:pt>
                <c:pt idx="10">
                  <c:v>83.331369119999991</c:v>
                </c:pt>
                <c:pt idx="11">
                  <c:v>83.463399769999995</c:v>
                </c:pt>
                <c:pt idx="12">
                  <c:v>84.503497003000007</c:v>
                </c:pt>
                <c:pt idx="13">
                  <c:v>84.810038344999995</c:v>
                </c:pt>
                <c:pt idx="14">
                  <c:v>85.293751763000003</c:v>
                </c:pt>
                <c:pt idx="15">
                  <c:v>85.009224305000004</c:v>
                </c:pt>
                <c:pt idx="16">
                  <c:v>85.428965165000008</c:v>
                </c:pt>
                <c:pt idx="17">
                  <c:v>85.529918639000002</c:v>
                </c:pt>
                <c:pt idx="18">
                  <c:v>85.037332868999997</c:v>
                </c:pt>
                <c:pt idx="19">
                  <c:v>84.109728238000002</c:v>
                </c:pt>
                <c:pt idx="20">
                  <c:v>84.054555253000004</c:v>
                </c:pt>
                <c:pt idx="21">
                  <c:v>83.626358542999995</c:v>
                </c:pt>
                <c:pt idx="22">
                  <c:v>83.505698078000009</c:v>
                </c:pt>
                <c:pt idx="23">
                  <c:v>83.138375459000002</c:v>
                </c:pt>
                <c:pt idx="24">
                  <c:v>82.199234977999993</c:v>
                </c:pt>
                <c:pt idx="25">
                  <c:v>81.702338433999998</c:v>
                </c:pt>
                <c:pt idx="26">
                  <c:v>80.74690475300001</c:v>
                </c:pt>
                <c:pt idx="27">
                  <c:v>80.419694974000009</c:v>
                </c:pt>
                <c:pt idx="28">
                  <c:v>80.178561338999998</c:v>
                </c:pt>
                <c:pt idx="29">
                  <c:v>79.566373893999994</c:v>
                </c:pt>
                <c:pt idx="30">
                  <c:v>79.401346223999994</c:v>
                </c:pt>
                <c:pt idx="31">
                  <c:v>79.058934453999996</c:v>
                </c:pt>
                <c:pt idx="32">
                  <c:v>78.964368473999997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7C-473C-B70D-D3FE3F185F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99040"/>
        <c:axId val="44992768"/>
      </c:lineChart>
      <c:dateAx>
        <c:axId val="44989056"/>
        <c:scaling>
          <c:orientation val="minMax"/>
        </c:scaling>
        <c:delete val="0"/>
        <c:axPos val="b"/>
        <c:numFmt formatCode="mm/yyyy" sourceLinked="0"/>
        <c:majorTickMark val="none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44990848"/>
        <c:crosses val="autoZero"/>
        <c:auto val="1"/>
        <c:lblOffset val="100"/>
        <c:baseTimeUnit val="months"/>
      </c:dateAx>
      <c:valAx>
        <c:axId val="44990848"/>
        <c:scaling>
          <c:orientation val="minMax"/>
        </c:scaling>
        <c:delete val="0"/>
        <c:axPos val="l"/>
        <c:majorGridlines>
          <c:spPr>
            <a:ln w="6350">
              <a:solidFill>
                <a:srgbClr val="D9D9D9"/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r>
                  <a:rPr lang="ar-SA"/>
                  <a:t>مليار شيكل</a:t>
                </a:r>
                <a:endParaRPr lang="he-IL"/>
              </a:p>
            </c:rich>
          </c:tx>
          <c:layout>
            <c:manualLayout>
              <c:xMode val="edge"/>
              <c:yMode val="edge"/>
              <c:x val="2.6762457612506473E-2"/>
              <c:y val="2.118644067796610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(* #,##0_);_(* \(#,##0\);_(* &quot;-&quot;_);_(@_)" sourceLinked="0"/>
        <c:majorTickMark val="none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44989056"/>
        <c:crosses val="autoZero"/>
        <c:crossBetween val="between"/>
      </c:valAx>
      <c:valAx>
        <c:axId val="44992768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r>
                  <a:rPr lang="ar-SA"/>
                  <a:t>مليار شيكل</a:t>
                </a:r>
                <a:endParaRPr lang="he-IL"/>
              </a:p>
            </c:rich>
          </c:tx>
          <c:layout>
            <c:manualLayout>
              <c:xMode val="edge"/>
              <c:yMode val="edge"/>
              <c:x val="0.85686131386861308"/>
              <c:y val="2.118644067796610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(* #,##0_);_(* \(#,##0\);_(* &quot;-&quot;_);_(@_)" sourceLinked="0"/>
        <c:majorTickMark val="none"/>
        <c:minorTickMark val="none"/>
        <c:tickLblPos val="high"/>
        <c:spPr>
          <a:noFill/>
          <a:ln w="6350">
            <a:solidFill>
              <a:srgbClr val="000000"/>
            </a:solidFill>
            <a:prstDash val="solid"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44999040"/>
        <c:crosses val="max"/>
        <c:crossBetween val="between"/>
      </c:valAx>
      <c:dateAx>
        <c:axId val="44999040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4992768"/>
        <c:crosses val="autoZero"/>
        <c:auto val="1"/>
        <c:lblOffset val="100"/>
        <c:baseTimeUnit val="months"/>
      </c:date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2.1335517366898479E-2"/>
          <c:y val="0.91540070732683843"/>
          <c:w val="0.95732854406130263"/>
          <c:h val="7.1286786786786793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David" panose="020E0502060401010101" pitchFamily="34" charset="-79"/>
              <a:ea typeface="+mn-ea"/>
              <a:cs typeface="David" panose="020E0502060401010101" pitchFamily="34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rgbClr val="FFFFFF"/>
    </a:solidFill>
    <a:ln w="9525">
      <a:solidFill>
        <a:srgbClr val="000000"/>
      </a:solidFill>
      <a:prstDash val="solid"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David" panose="020E0502060401010101" pitchFamily="34" charset="-79"/>
          <a:cs typeface="David" panose="020E0502060401010101" pitchFamily="34" charset="-79"/>
        </a:defRPr>
      </a:pPr>
      <a:endParaRPr lang="he-I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2"/>
          <c:order val="1"/>
          <c:tx>
            <c:v>1 month lower bound</c:v>
          </c:tx>
          <c:spPr>
            <a:noFill/>
            <a:ln w="25400">
              <a:noFill/>
            </a:ln>
            <a:effectLst/>
          </c:spPr>
          <c:val>
            <c:numRef>
              <c:f>cluster!$AC$3:$AC$25</c:f>
              <c:numCache>
                <c:formatCode>0.000</c:formatCode>
                <c:ptCount val="23"/>
                <c:pt idx="0">
                  <c:v>-5.2999999999999999E-2</c:v>
                </c:pt>
                <c:pt idx="1">
                  <c:v>0.04</c:v>
                </c:pt>
                <c:pt idx="2">
                  <c:v>0.27100000000000002</c:v>
                </c:pt>
                <c:pt idx="3">
                  <c:v>0.312</c:v>
                </c:pt>
                <c:pt idx="4">
                  <c:v>0.20599999999999999</c:v>
                </c:pt>
                <c:pt idx="5">
                  <c:v>0.19</c:v>
                </c:pt>
                <c:pt idx="6">
                  <c:v>0.16400000000000001</c:v>
                </c:pt>
                <c:pt idx="7">
                  <c:v>0.49199999999999999</c:v>
                </c:pt>
                <c:pt idx="8">
                  <c:v>0.28799999999999998</c:v>
                </c:pt>
                <c:pt idx="9">
                  <c:v>0.33900000000000002</c:v>
                </c:pt>
                <c:pt idx="10">
                  <c:v>0.495</c:v>
                </c:pt>
                <c:pt idx="11">
                  <c:v>0.26800000000000002</c:v>
                </c:pt>
                <c:pt idx="12">
                  <c:v>0.161</c:v>
                </c:pt>
                <c:pt idx="13">
                  <c:v>0.35499999999999998</c:v>
                </c:pt>
                <c:pt idx="14">
                  <c:v>8.1000000000000003E-2</c:v>
                </c:pt>
                <c:pt idx="15">
                  <c:v>0.24399999999999999</c:v>
                </c:pt>
                <c:pt idx="16">
                  <c:v>0.14099999999999999</c:v>
                </c:pt>
                <c:pt idx="17">
                  <c:v>-6.0999999999999999E-2</c:v>
                </c:pt>
                <c:pt idx="18">
                  <c:v>-0.29599999999999999</c:v>
                </c:pt>
                <c:pt idx="19">
                  <c:v>-0.34200000000000003</c:v>
                </c:pt>
                <c:pt idx="20">
                  <c:v>-0.27200000000000002</c:v>
                </c:pt>
                <c:pt idx="21">
                  <c:v>-0.18</c:v>
                </c:pt>
                <c:pt idx="22">
                  <c:v>-0.128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F0-4755-BF47-B8249FE9C932}"/>
            </c:ext>
          </c:extLst>
        </c:ser>
        <c:ser>
          <c:idx val="3"/>
          <c:order val="2"/>
          <c:tx>
            <c:strRef>
              <c:f>cluster!$AD$1</c:f>
              <c:strCache>
                <c:ptCount val="1"/>
                <c:pt idx="0">
                  <c:v>1-month 95% CI range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  <a:alpha val="50000"/>
              </a:schemeClr>
            </a:solidFill>
            <a:ln w="25400">
              <a:noFill/>
            </a:ln>
            <a:effectLst/>
          </c:spPr>
          <c:val>
            <c:numRef>
              <c:f>cluster!$AD$3:$AD$25</c:f>
              <c:numCache>
                <c:formatCode>0.000</c:formatCode>
                <c:ptCount val="23"/>
                <c:pt idx="0">
                  <c:v>0.22800000000000001</c:v>
                </c:pt>
                <c:pt idx="1">
                  <c:v>0.21199999999999999</c:v>
                </c:pt>
                <c:pt idx="2">
                  <c:v>0.216</c:v>
                </c:pt>
                <c:pt idx="3">
                  <c:v>0.26800000000000002</c:v>
                </c:pt>
                <c:pt idx="4">
                  <c:v>0.26600000000000001</c:v>
                </c:pt>
                <c:pt idx="5">
                  <c:v>0.31</c:v>
                </c:pt>
                <c:pt idx="6">
                  <c:v>0.31</c:v>
                </c:pt>
                <c:pt idx="7">
                  <c:v>0.26200000000000001</c:v>
                </c:pt>
                <c:pt idx="8">
                  <c:v>0.19600000000000001</c:v>
                </c:pt>
                <c:pt idx="9">
                  <c:v>0.376</c:v>
                </c:pt>
                <c:pt idx="10">
                  <c:v>0.26400000000000001</c:v>
                </c:pt>
                <c:pt idx="11">
                  <c:v>0.374</c:v>
                </c:pt>
                <c:pt idx="12">
                  <c:v>0.48199999999999998</c:v>
                </c:pt>
                <c:pt idx="13">
                  <c:v>0.33400000000000002</c:v>
                </c:pt>
                <c:pt idx="14">
                  <c:v>0.35199999999999998</c:v>
                </c:pt>
                <c:pt idx="15">
                  <c:v>0.184</c:v>
                </c:pt>
                <c:pt idx="16">
                  <c:v>0.128</c:v>
                </c:pt>
                <c:pt idx="17">
                  <c:v>0.152</c:v>
                </c:pt>
                <c:pt idx="18">
                  <c:v>0.26600000000000001</c:v>
                </c:pt>
                <c:pt idx="19">
                  <c:v>0.34399999999999997</c:v>
                </c:pt>
                <c:pt idx="20">
                  <c:v>0.35399999999999998</c:v>
                </c:pt>
                <c:pt idx="21">
                  <c:v>0.39800000000000002</c:v>
                </c:pt>
                <c:pt idx="22">
                  <c:v>0.224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F0-4755-BF47-B8249FE9C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300864"/>
        <c:axId val="77302784"/>
      </c:areaChart>
      <c:areaChart>
        <c:grouping val="stacked"/>
        <c:varyColors val="0"/>
        <c:ser>
          <c:idx val="4"/>
          <c:order val="3"/>
          <c:tx>
            <c:v>3 month lower bound</c:v>
          </c:tx>
          <c:spPr>
            <a:noFill/>
            <a:ln w="25400">
              <a:noFill/>
            </a:ln>
            <a:effectLst/>
          </c:spPr>
          <c:val>
            <c:numRef>
              <c:f>cluster!$AC$29:$AC$51</c:f>
              <c:numCache>
                <c:formatCode>0.000</c:formatCode>
                <c:ptCount val="23"/>
                <c:pt idx="0">
                  <c:v>1.6E-2</c:v>
                </c:pt>
                <c:pt idx="1">
                  <c:v>2.1999999999999999E-2</c:v>
                </c:pt>
                <c:pt idx="2">
                  <c:v>0.20799999999999999</c:v>
                </c:pt>
                <c:pt idx="3">
                  <c:v>0.32700000000000001</c:v>
                </c:pt>
                <c:pt idx="4">
                  <c:v>0.16900000000000001</c:v>
                </c:pt>
                <c:pt idx="5">
                  <c:v>0.23400000000000001</c:v>
                </c:pt>
                <c:pt idx="6">
                  <c:v>0.123</c:v>
                </c:pt>
                <c:pt idx="7">
                  <c:v>0.29299999999999998</c:v>
                </c:pt>
                <c:pt idx="8">
                  <c:v>0.28399999999999997</c:v>
                </c:pt>
                <c:pt idx="9">
                  <c:v>0.34399999999999997</c:v>
                </c:pt>
                <c:pt idx="10">
                  <c:v>0.436</c:v>
                </c:pt>
                <c:pt idx="11">
                  <c:v>0.27400000000000002</c:v>
                </c:pt>
                <c:pt idx="12">
                  <c:v>0.191</c:v>
                </c:pt>
                <c:pt idx="13">
                  <c:v>0.36299999999999999</c:v>
                </c:pt>
                <c:pt idx="14">
                  <c:v>2.8000000000000001E-2</c:v>
                </c:pt>
                <c:pt idx="15">
                  <c:v>6.6000000000000003E-2</c:v>
                </c:pt>
                <c:pt idx="16">
                  <c:v>-2E-3</c:v>
                </c:pt>
                <c:pt idx="17">
                  <c:v>5.8000000000000003E-2</c:v>
                </c:pt>
                <c:pt idx="18">
                  <c:v>-0.152</c:v>
                </c:pt>
                <c:pt idx="19">
                  <c:v>-0.32200000000000001</c:v>
                </c:pt>
                <c:pt idx="20">
                  <c:v>-0.25</c:v>
                </c:pt>
                <c:pt idx="21">
                  <c:v>-0.30399999999999999</c:v>
                </c:pt>
                <c:pt idx="22">
                  <c:v>-0.161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F0-4755-BF47-B8249FE9C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306496"/>
        <c:axId val="77304960"/>
      </c:areaChart>
      <c:lineChart>
        <c:grouping val="standard"/>
        <c:varyColors val="0"/>
        <c:ser>
          <c:idx val="0"/>
          <c:order val="0"/>
          <c:tx>
            <c:strRef>
              <c:f>cluster!$AA$1</c:f>
              <c:strCache>
                <c:ptCount val="1"/>
                <c:pt idx="0">
                  <c:v>1-month surprise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cluster!$Z$3:$Z$25</c:f>
              <c:numCache>
                <c:formatCode>General</c:formatCode>
                <c:ptCount val="2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20</c:v>
                </c:pt>
                <c:pt idx="19">
                  <c:v>21</c:v>
                </c:pt>
                <c:pt idx="20">
                  <c:v>22</c:v>
                </c:pt>
                <c:pt idx="21">
                  <c:v>23</c:v>
                </c:pt>
                <c:pt idx="22">
                  <c:v>24</c:v>
                </c:pt>
              </c:numCache>
            </c:numRef>
          </c:cat>
          <c:val>
            <c:numRef>
              <c:f>cluster!$AA$3:$AA$25</c:f>
              <c:numCache>
                <c:formatCode>General</c:formatCode>
                <c:ptCount val="23"/>
                <c:pt idx="0">
                  <c:v>6.0999999999999999E-2</c:v>
                </c:pt>
                <c:pt idx="1">
                  <c:v>0.14599999999999999</c:v>
                </c:pt>
                <c:pt idx="2">
                  <c:v>0.379</c:v>
                </c:pt>
                <c:pt idx="3">
                  <c:v>0.44600000000000001</c:v>
                </c:pt>
                <c:pt idx="4">
                  <c:v>0.33900000000000002</c:v>
                </c:pt>
                <c:pt idx="5">
                  <c:v>0.34499999999999997</c:v>
                </c:pt>
                <c:pt idx="6">
                  <c:v>0.31900000000000001</c:v>
                </c:pt>
                <c:pt idx="7">
                  <c:v>0.623</c:v>
                </c:pt>
                <c:pt idx="8">
                  <c:v>0.38600000000000001</c:v>
                </c:pt>
                <c:pt idx="9">
                  <c:v>0.52700000000000002</c:v>
                </c:pt>
                <c:pt idx="10">
                  <c:v>0.627</c:v>
                </c:pt>
                <c:pt idx="11">
                  <c:v>0.45500000000000002</c:v>
                </c:pt>
                <c:pt idx="12">
                  <c:v>0.40200000000000002</c:v>
                </c:pt>
                <c:pt idx="13">
                  <c:v>0.52200000000000002</c:v>
                </c:pt>
                <c:pt idx="14">
                  <c:v>0.25700000000000001</c:v>
                </c:pt>
                <c:pt idx="15">
                  <c:v>0.33600000000000002</c:v>
                </c:pt>
                <c:pt idx="16">
                  <c:v>0.20499999999999999</c:v>
                </c:pt>
                <c:pt idx="17">
                  <c:v>1.4999999999999999E-2</c:v>
                </c:pt>
                <c:pt idx="18">
                  <c:v>-0.16300000000000001</c:v>
                </c:pt>
                <c:pt idx="19">
                  <c:v>-0.17</c:v>
                </c:pt>
                <c:pt idx="20">
                  <c:v>-9.5000000000000001E-2</c:v>
                </c:pt>
                <c:pt idx="21">
                  <c:v>1.9E-2</c:v>
                </c:pt>
                <c:pt idx="22">
                  <c:v>-1.6E-2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9F0-4755-BF47-B8249FE9C9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300864"/>
        <c:axId val="77302784"/>
      </c:lineChart>
      <c:catAx>
        <c:axId val="77300864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r>
                  <a:rPr lang="ar-SA"/>
                  <a:t>عدد الأشهر</a:t>
                </a:r>
                <a:endParaRPr lang="he-IL"/>
              </a:p>
            </c:rich>
          </c:tx>
          <c:layout>
            <c:manualLayout>
              <c:xMode val="edge"/>
              <c:yMode val="edge"/>
              <c:x val="0.46301165460505733"/>
              <c:y val="0.9225225427145391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77302784"/>
        <c:crossesAt val="-0.2"/>
        <c:auto val="1"/>
        <c:lblAlgn val="ctr"/>
        <c:lblOffset val="100"/>
        <c:noMultiLvlLbl val="0"/>
      </c:catAx>
      <c:valAx>
        <c:axId val="77302784"/>
        <c:scaling>
          <c:orientation val="minMax"/>
          <c:max val="1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r>
                  <a:rPr lang="ar-SA"/>
                  <a:t>تقدير التأثير</a:t>
                </a:r>
                <a:endParaRPr lang="he-IL"/>
              </a:p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David" panose="020E0502060401010101" pitchFamily="34" charset="-79"/>
                    <a:ea typeface="+mn-ea"/>
                    <a:cs typeface="David" panose="020E0502060401010101" pitchFamily="34" charset="-79"/>
                  </a:defRPr>
                </a:pPr>
                <a:r>
                  <a:rPr lang="he-IL" baseline="0"/>
                  <a:t>(</a:t>
                </a:r>
                <a:r>
                  <a:rPr lang="ar-SA" baseline="0"/>
                  <a:t>النسبة من سوق الائتمان الاستهلاكي</a:t>
                </a:r>
                <a:r>
                  <a:rPr lang="he-IL" baseline="0"/>
                  <a:t>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,##0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David" panose="020E0502060401010101" pitchFamily="34" charset="-79"/>
                <a:ea typeface="+mn-ea"/>
                <a:cs typeface="David" panose="020E0502060401010101" pitchFamily="34" charset="-79"/>
              </a:defRPr>
            </a:pPr>
            <a:endParaRPr lang="he-IL"/>
          </a:p>
        </c:txPr>
        <c:crossAx val="77300864"/>
        <c:crosses val="autoZero"/>
        <c:crossBetween val="between"/>
      </c:valAx>
      <c:valAx>
        <c:axId val="77304960"/>
        <c:scaling>
          <c:orientation val="minMax"/>
        </c:scaling>
        <c:delete val="1"/>
        <c:axPos val="r"/>
        <c:numFmt formatCode="0.000" sourceLinked="1"/>
        <c:majorTickMark val="out"/>
        <c:minorTickMark val="none"/>
        <c:tickLblPos val="nextTo"/>
        <c:crossAx val="77306496"/>
        <c:crosses val="max"/>
        <c:crossBetween val="between"/>
      </c:valAx>
      <c:catAx>
        <c:axId val="77306496"/>
        <c:scaling>
          <c:orientation val="minMax"/>
        </c:scaling>
        <c:delete val="1"/>
        <c:axPos val="b"/>
        <c:majorTickMark val="out"/>
        <c:minorTickMark val="none"/>
        <c:tickLblPos val="nextTo"/>
        <c:crossAx val="77304960"/>
        <c:crosses val="autoZero"/>
        <c:auto val="1"/>
        <c:lblAlgn val="ctr"/>
        <c:lblOffset val="100"/>
        <c:noMultiLvlLbl val="0"/>
      </c:catAx>
      <c:spPr>
        <a:noFill/>
        <a:ln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/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David" panose="020E0502060401010101" pitchFamily="34" charset="-79"/>
          <a:cs typeface="David" panose="020E0502060401010101" pitchFamily="34" charset="-79"/>
        </a:defRPr>
      </a:pPr>
      <a:endParaRPr lang="he-I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4598</Characters>
  <Application>Microsoft Office Word</Application>
  <DocSecurity>4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Abu Aqel</dc:creator>
  <cp:keywords>html-to-docx</cp:keywords>
  <cp:lastModifiedBy>רוסול דכוור</cp:lastModifiedBy>
  <cp:revision>2</cp:revision>
  <dcterms:created xsi:type="dcterms:W3CDTF">2026-06-14T08:20:00Z</dcterms:created>
  <dcterms:modified xsi:type="dcterms:W3CDTF">2026-06-14T08:20:00Z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66340366-b579-4839-b59c-4864ac90322e</vt:lpwstr>
  </property>
</Properties>
</file>