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B0" w:rsidRPr="00CE25FD" w:rsidRDefault="00413BB0" w:rsidP="00263D89">
      <w:pPr>
        <w:pStyle w:val="NormalWeb"/>
        <w:bidi/>
        <w:spacing w:line="360" w:lineRule="auto"/>
        <w:jc w:val="center"/>
        <w:rPr>
          <w:rFonts w:asciiTheme="minorBidi" w:eastAsia="Calibri" w:hAnsiTheme="minorBidi" w:cstheme="minorBidi" w:hint="cs"/>
          <w:b/>
          <w:bCs/>
          <w:rtl/>
        </w:rPr>
      </w:pPr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F6EA1" w:rsidTr="00B53044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9D" w:rsidRPr="00CE25FD" w:rsidRDefault="00285D86" w:rsidP="00B5304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2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80799D" w:rsidRPr="00CE25FD" w:rsidRDefault="00285D86" w:rsidP="00B5304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25FD">
              <w:rPr>
                <w:rFonts w:asciiTheme="minorBid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799D" w:rsidRPr="00CE25FD" w:rsidRDefault="00285D86" w:rsidP="00B53044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E25FD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9D" w:rsidRPr="00CE25FD" w:rsidRDefault="00285D86" w:rsidP="00B53044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E25FD">
              <w:rPr>
                <w:rFonts w:asciiTheme="minorBidi" w:hAnsiTheme="minorBidi"/>
                <w:sz w:val="24"/>
                <w:szCs w:val="24"/>
                <w:highlight w:val="green"/>
                <w:rtl/>
              </w:rPr>
              <w:t>‏</w: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t xml:space="preserve">ירושלים, </w: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fldChar w:fldCharType="begin"/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instrText xml:space="preserve"> </w:instrText>
            </w:r>
            <w:r w:rsidRPr="00CE25FD">
              <w:rPr>
                <w:rFonts w:asciiTheme="minorBidi" w:hAnsiTheme="minorBidi"/>
                <w:sz w:val="24"/>
                <w:szCs w:val="24"/>
              </w:rPr>
              <w:instrText>DATE</w:instrTex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instrText xml:space="preserve"> \@ "</w:instrText>
            </w:r>
            <w:r w:rsidRPr="00CE25FD">
              <w:rPr>
                <w:rFonts w:asciiTheme="minorBidi" w:hAnsiTheme="minorBidi"/>
                <w:sz w:val="24"/>
                <w:szCs w:val="24"/>
              </w:rPr>
              <w:instrText>d MMMM, yyyy" \h</w:instrTex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instrText xml:space="preserve"> </w:instrTex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t>‏ה' חשון, תשפ"ו</w: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fldChar w:fldCharType="end"/>
            </w:r>
          </w:p>
          <w:p w:rsidR="0080799D" w:rsidRPr="00CE25FD" w:rsidRDefault="00285D86" w:rsidP="00B53044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highlight w:val="green"/>
              </w:rPr>
            </w:pPr>
            <w:r w:rsidRPr="00CE25FD">
              <w:rPr>
                <w:rFonts w:asciiTheme="minorBidi" w:hAnsiTheme="minorBidi"/>
                <w:sz w:val="24"/>
                <w:szCs w:val="24"/>
                <w:rtl/>
              </w:rPr>
              <w:fldChar w:fldCharType="begin"/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instrText xml:space="preserve"> </w:instrText>
            </w:r>
            <w:r w:rsidRPr="00CE25FD">
              <w:rPr>
                <w:rFonts w:asciiTheme="minorBidi" w:hAnsiTheme="minorBidi"/>
                <w:sz w:val="24"/>
                <w:szCs w:val="24"/>
              </w:rPr>
              <w:instrText>DATE</w:instrTex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instrText xml:space="preserve"> \@ "</w:instrText>
            </w:r>
            <w:r w:rsidRPr="00CE25FD">
              <w:rPr>
                <w:rFonts w:asciiTheme="minorBidi" w:hAnsiTheme="minorBidi"/>
                <w:sz w:val="24"/>
                <w:szCs w:val="24"/>
              </w:rPr>
              <w:instrText>d MMMM, yyyy</w:instrTex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instrText xml:space="preserve">" </w:instrTex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w:t>‏27 אוקטובר, 2025</w:t>
            </w:r>
            <w:r w:rsidRPr="00CE25FD">
              <w:rPr>
                <w:rFonts w:asciiTheme="minorBidi" w:hAnsiTheme="minorBidi"/>
                <w:sz w:val="24"/>
                <w:szCs w:val="24"/>
                <w:rtl/>
              </w:rPr>
              <w:fldChar w:fldCharType="end"/>
            </w:r>
          </w:p>
        </w:tc>
      </w:tr>
    </w:tbl>
    <w:p w:rsidR="0072459D" w:rsidRPr="0072459D" w:rsidRDefault="00285D86" w:rsidP="0072459D">
      <w:pPr>
        <w:spacing w:line="360" w:lineRule="auto"/>
        <w:rPr>
          <w:rFonts w:asciiTheme="minorBidi" w:hAnsiTheme="minorBidi"/>
          <w:sz w:val="24"/>
          <w:szCs w:val="24"/>
          <w:rtl/>
          <w:lang w:val="en-GB" w:bidi="ar-SA"/>
        </w:rPr>
      </w:pPr>
      <w:r>
        <w:rPr>
          <w:rFonts w:asciiTheme="minorBidi" w:hAnsiTheme="minorBidi" w:hint="cs"/>
          <w:sz w:val="24"/>
          <w:szCs w:val="24"/>
          <w:rtl/>
          <w:lang w:val="en-GB" w:bidi="ar-SA"/>
        </w:rPr>
        <w:t>بيان صحفي:</w:t>
      </w:r>
    </w:p>
    <w:p w:rsidR="00CE25FD" w:rsidRPr="00CE25FD" w:rsidRDefault="00285D86" w:rsidP="00855342">
      <w:pPr>
        <w:pStyle w:val="NormalWeb"/>
        <w:bidi/>
        <w:spacing w:line="360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rtl/>
          <w:lang w:bidi="ar-SA"/>
        </w:rPr>
      </w:pP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النتائج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855342">
        <w:rPr>
          <w:rFonts w:asciiTheme="minorBidi" w:eastAsia="Calibri" w:hAnsiTheme="minorBidi" w:cs="Arial" w:hint="cs"/>
          <w:b/>
          <w:bCs/>
          <w:sz w:val="28"/>
          <w:szCs w:val="28"/>
          <w:rtl/>
          <w:lang w:val="en-GB" w:bidi="ar-SA"/>
        </w:rPr>
        <w:t>الأساسية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855342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ل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استطلاع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مسؤولي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الائتمان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855342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بنك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للربع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الثالث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من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b/>
          <w:bCs/>
          <w:sz w:val="28"/>
          <w:szCs w:val="28"/>
          <w:rtl/>
          <w:lang w:bidi="ar-SA"/>
        </w:rPr>
        <w:t>عام</w:t>
      </w:r>
      <w:r w:rsidRPr="00CE25FD">
        <w:rPr>
          <w:rFonts w:asciiTheme="minorBidi" w:eastAsia="Calibri" w:hAnsiTheme="minorBidi" w:cs="Arial"/>
          <w:b/>
          <w:bCs/>
          <w:sz w:val="28"/>
          <w:szCs w:val="28"/>
          <w:rtl/>
          <w:lang w:bidi="ar-SA"/>
        </w:rPr>
        <w:t xml:space="preserve"> 2025</w:t>
      </w:r>
    </w:p>
    <w:p w:rsidR="00CE25FD" w:rsidRPr="00CE25FD" w:rsidRDefault="00285D86" w:rsidP="00855342">
      <w:pPr>
        <w:pStyle w:val="NormalWeb"/>
        <w:bidi/>
        <w:spacing w:before="0" w:beforeAutospacing="0" w:after="240" w:afterAutospacing="0" w:line="360" w:lineRule="auto"/>
        <w:jc w:val="both"/>
        <w:rPr>
          <w:rFonts w:asciiTheme="minorBidi" w:eastAsia="Calibri" w:hAnsiTheme="minorBidi" w:cstheme="minorBidi"/>
          <w:lang w:bidi="ar-SA"/>
        </w:rPr>
      </w:pPr>
      <w:r w:rsidRPr="00CE25FD">
        <w:rPr>
          <w:rFonts w:asciiTheme="minorBidi" w:eastAsia="Calibri" w:hAnsiTheme="minorBidi" w:cs="Arial" w:hint="cs"/>
          <w:rtl/>
          <w:lang w:bidi="ar-SA"/>
        </w:rPr>
        <w:t>النتائج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المنشورة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هنا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مُجمّعة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وتتعلق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بجميع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المؤسسات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المصرفية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. </w:t>
      </w:r>
      <w:r w:rsidRPr="00CE25FD">
        <w:rPr>
          <w:rFonts w:asciiTheme="minorBidi" w:eastAsia="Calibri" w:hAnsiTheme="minorBidi" w:cs="Arial" w:hint="cs"/>
          <w:rtl/>
          <w:lang w:bidi="ar-SA"/>
        </w:rPr>
        <w:t>وهي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مُمثَّلة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بميزانيات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صافية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إجمالية</w:t>
      </w:r>
      <w:r>
        <w:rPr>
          <w:rStyle w:val="a5"/>
          <w:rFonts w:asciiTheme="minorBidi" w:eastAsia="Calibri" w:hAnsiTheme="minorBidi" w:cstheme="minorBidi"/>
          <w:rtl/>
        </w:rPr>
        <w:footnoteReference w:id="1"/>
      </w:r>
      <w:r>
        <w:rPr>
          <w:rFonts w:asciiTheme="minorBidi" w:eastAsia="Calibri" w:hAnsiTheme="minorBidi" w:cstheme="minorBidi" w:hint="cs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تُلخِّص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التغيير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الذي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طرأ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في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الربع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الثالث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من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عام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2025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مُقارنةً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بالربع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السابق،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والتغيير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المُتوقَّع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في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الربع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الأخير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من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عام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2025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مُقارنةً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بالربع</w:t>
      </w:r>
      <w:r w:rsidRPr="00CE25FD">
        <w:rPr>
          <w:rFonts w:asciiTheme="minorBidi" w:eastAsia="Calibri" w:hAnsiTheme="minorBidi" w:cs="Arial"/>
          <w:rtl/>
          <w:lang w:bidi="ar-SA"/>
        </w:rPr>
        <w:t xml:space="preserve"> </w:t>
      </w:r>
      <w:r w:rsidRPr="00CE25FD">
        <w:rPr>
          <w:rFonts w:asciiTheme="minorBidi" w:eastAsia="Calibri" w:hAnsiTheme="minorBidi" w:cs="Arial" w:hint="cs"/>
          <w:rtl/>
          <w:lang w:bidi="ar-SA"/>
        </w:rPr>
        <w:t>الثالث</w:t>
      </w:r>
      <w:r w:rsidRPr="00CE25FD">
        <w:rPr>
          <w:rFonts w:asciiTheme="minorBidi" w:eastAsia="Calibri" w:hAnsiTheme="minorBidi" w:cs="Arial"/>
          <w:rtl/>
          <w:lang w:bidi="ar-SA"/>
        </w:rPr>
        <w:t>.</w:t>
      </w:r>
    </w:p>
    <w:p w:rsidR="00E81196" w:rsidRPr="00CE25FD" w:rsidRDefault="00285D86" w:rsidP="00F64AFC">
      <w:pPr>
        <w:pStyle w:val="NormalWeb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Theme="minorBidi" w:eastAsia="Calibri" w:hAnsiTheme="minorBidi" w:cstheme="minorBidi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الثالث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عام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2025،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طرأت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زيادة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المصالح التجارية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الصغيرة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ومتناهية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الصغر،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وانخفاض</w:t>
      </w:r>
      <w:r w:rsidR="00A534C9">
        <w:rPr>
          <w:rFonts w:asciiTheme="minorBidi" w:eastAsia="Calibri" w:hAnsiTheme="minorBidi" w:cs="Arial" w:hint="cs"/>
          <w:rtl/>
          <w:lang w:bidi="ar-SA"/>
        </w:rPr>
        <w:t>اً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العقارات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والإنشاءات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. </w:t>
      </w:r>
      <w:r w:rsidRPr="00AD06A6">
        <w:rPr>
          <w:rFonts w:asciiTheme="minorBidi" w:eastAsia="Calibri" w:hAnsiTheme="minorBidi" w:cs="Arial" w:hint="cs"/>
          <w:rtl/>
          <w:lang w:bidi="ar-SA"/>
        </w:rPr>
        <w:t>وفق</w:t>
      </w:r>
      <w:r w:rsidR="00A534C9">
        <w:rPr>
          <w:rFonts w:asciiTheme="minorBidi" w:eastAsia="Calibri" w:hAnsiTheme="minorBidi" w:cs="Arial" w:hint="cs"/>
          <w:rtl/>
          <w:lang w:bidi="ar-SA"/>
        </w:rPr>
        <w:t>اً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للاستطلاع</w:t>
      </w:r>
      <w:r w:rsidRPr="00AD06A6">
        <w:rPr>
          <w:rFonts w:asciiTheme="minorBidi" w:eastAsia="Calibri" w:hAnsiTheme="minorBidi" w:cs="Arial" w:hint="cs"/>
          <w:rtl/>
          <w:lang w:bidi="ar-SA"/>
        </w:rPr>
        <w:t>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فإن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اللجوء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إلى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بدائل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التمويل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هو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سبب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انخفاض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العقارات</w:t>
      </w:r>
      <w:r w:rsidR="00457A95" w:rsidRPr="00CE25FD">
        <w:rPr>
          <w:rFonts w:asciiTheme="minorBidi" w:eastAsia="Calibri" w:hAnsiTheme="minorBidi" w:cstheme="minorBidi"/>
          <w:rtl/>
        </w:rPr>
        <w:t xml:space="preserve">. </w:t>
      </w:r>
    </w:p>
    <w:p w:rsidR="001A0F3B" w:rsidRPr="00CE25FD" w:rsidRDefault="00285D86" w:rsidP="00887CFD">
      <w:pPr>
        <w:pStyle w:val="NormalWeb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Theme="minorBidi" w:eastAsia="Calibri" w:hAnsiTheme="minorBidi" w:cstheme="minorBidi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المتوقع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زيادة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المصالح التجارية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الصغيرة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ومتناهية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الصغر،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وانخفاض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العقارات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التالي</w:t>
      </w:r>
      <w:r w:rsidR="003D5843" w:rsidRPr="00CE25FD">
        <w:rPr>
          <w:rFonts w:asciiTheme="minorBidi" w:eastAsia="Calibri" w:hAnsiTheme="minorBidi" w:cstheme="minorBidi"/>
          <w:rtl/>
        </w:rPr>
        <w:t>.</w:t>
      </w:r>
    </w:p>
    <w:p w:rsidR="00411C4F" w:rsidRDefault="00285D86" w:rsidP="00BA0B3B">
      <w:pPr>
        <w:pStyle w:val="NormalWeb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afterAutospacing="0" w:line="360" w:lineRule="auto"/>
        <w:jc w:val="both"/>
        <w:rPr>
          <w:rFonts w:asciiTheme="minorBidi" w:eastAsia="Calibri" w:hAnsiTheme="minorBidi" w:cstheme="minorBidi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الثالث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عام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2025،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طرأ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انخفاض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طفيف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قروض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الإسكان،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المتوقع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أن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يزداد</w:t>
      </w:r>
      <w:r>
        <w:rPr>
          <w:rFonts w:asciiTheme="minorBidi" w:eastAsia="Calibri" w:hAnsiTheme="minorBidi" w:cs="Arial" w:hint="cs"/>
          <w:rtl/>
          <w:lang w:bidi="ar-SA"/>
        </w:rPr>
        <w:t xml:space="preserve"> 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القادم</w:t>
      </w:r>
      <w:r w:rsidR="003D5843" w:rsidRPr="00CE25FD">
        <w:rPr>
          <w:rFonts w:asciiTheme="minorBidi" w:eastAsia="Calibri" w:hAnsiTheme="minorBidi" w:cstheme="minorBidi"/>
          <w:rtl/>
        </w:rPr>
        <w:t>.</w:t>
      </w:r>
      <w:r w:rsidR="007A0787" w:rsidRPr="00CE25FD">
        <w:rPr>
          <w:rFonts w:asciiTheme="minorBidi" w:eastAsia="Calibri" w:hAnsiTheme="minorBidi" w:cstheme="minorBidi"/>
          <w:rtl/>
        </w:rPr>
        <w:t xml:space="preserve"> </w:t>
      </w:r>
    </w:p>
    <w:p w:rsidR="00DA6566" w:rsidRPr="00CE25FD" w:rsidRDefault="00285D86" w:rsidP="00BA0B3B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0" w:beforeAutospacing="0" w:line="360" w:lineRule="auto"/>
        <w:jc w:val="both"/>
        <w:rPr>
          <w:rFonts w:asciiTheme="minorBidi" w:eastAsia="Calibri" w:hAnsiTheme="minorBidi" w:cstheme="minorBidi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الثالث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عام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2025،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ظهر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تشديد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فروق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الإسكان</w:t>
      </w:r>
      <w:r>
        <w:rPr>
          <w:rFonts w:asciiTheme="minorBidi" w:eastAsia="Calibri" w:hAnsiTheme="minorBidi" w:cs="Arial" w:hint="cs"/>
          <w:rtl/>
          <w:lang w:bidi="ar-SA"/>
        </w:rPr>
        <w:t>ي</w:t>
      </w:r>
      <w:r w:rsidRPr="00AD06A6">
        <w:rPr>
          <w:rFonts w:asciiTheme="minorBidi" w:eastAsia="Calibri" w:hAnsiTheme="minorBidi" w:cs="Arial" w:hint="cs"/>
          <w:rtl/>
          <w:lang w:bidi="ar-SA"/>
        </w:rPr>
        <w:t>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واستمرار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</w:t>
      </w:r>
      <w:r w:rsidRPr="00AD06A6">
        <w:rPr>
          <w:rFonts w:asciiTheme="minorBidi" w:eastAsia="Calibri" w:hAnsiTheme="minorBidi" w:cs="Arial" w:hint="cs"/>
          <w:rtl/>
          <w:lang w:bidi="ar-SA"/>
        </w:rPr>
        <w:t>مرونة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 xml:space="preserve">في </w:t>
      </w:r>
      <w:r w:rsidRPr="00AD06A6">
        <w:rPr>
          <w:rFonts w:asciiTheme="minorBidi" w:eastAsia="Calibri" w:hAnsiTheme="minorBidi" w:cs="Arial" w:hint="cs"/>
          <w:rtl/>
          <w:lang w:bidi="ar-SA"/>
        </w:rPr>
        <w:t>شروط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>
        <w:rPr>
          <w:rFonts w:asciiTheme="minorBidi" w:eastAsia="Calibri" w:hAnsiTheme="minorBidi" w:cs="Arial" w:hint="cs"/>
          <w:rtl/>
          <w:lang w:bidi="ar-SA"/>
        </w:rPr>
        <w:t xml:space="preserve"> بقية ال</w:t>
      </w:r>
      <w:r w:rsidRPr="00AD06A6">
        <w:rPr>
          <w:rFonts w:asciiTheme="minorBidi" w:eastAsia="Calibri" w:hAnsiTheme="minorBidi" w:cs="Arial" w:hint="cs"/>
          <w:rtl/>
          <w:lang w:bidi="ar-SA"/>
        </w:rPr>
        <w:t>قطاعات،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وهو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ما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انعكس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بشكل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رئيسي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فروق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ذات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مستوى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المخاطر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المنخفض</w:t>
      </w:r>
      <w:r w:rsidR="00DE40CE" w:rsidRPr="00CE25FD">
        <w:rPr>
          <w:rFonts w:asciiTheme="minorBidi" w:eastAsia="Calibri" w:hAnsiTheme="minorBidi" w:cstheme="minorBidi"/>
          <w:rtl/>
        </w:rPr>
        <w:t>.</w:t>
      </w:r>
      <w:r w:rsidR="009631E4" w:rsidRPr="00CE25FD">
        <w:rPr>
          <w:rFonts w:asciiTheme="minorBidi" w:eastAsia="Calibri" w:hAnsiTheme="minorBidi" w:cstheme="minorBidi"/>
          <w:rtl/>
        </w:rPr>
        <w:t xml:space="preserve"> </w:t>
      </w:r>
    </w:p>
    <w:p w:rsidR="00E81196" w:rsidRPr="00CE25FD" w:rsidRDefault="00285D86" w:rsidP="009631E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Theme="minorBidi" w:eastAsia="Calibri" w:hAnsiTheme="minorBidi" w:cstheme="minorBidi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وفق</w:t>
      </w:r>
      <w:r w:rsidR="00A534C9">
        <w:rPr>
          <w:rFonts w:asciiTheme="minorBidi" w:eastAsia="Calibri" w:hAnsiTheme="minorBidi" w:cs="Arial" w:hint="cs"/>
          <w:rtl/>
          <w:lang w:bidi="ar-SA"/>
        </w:rPr>
        <w:t>اً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للاستطلاع</w:t>
      </w:r>
      <w:r w:rsidRPr="00AD06A6">
        <w:rPr>
          <w:rFonts w:asciiTheme="minorBidi" w:eastAsia="Calibri" w:hAnsiTheme="minorBidi" w:cs="Arial" w:hint="cs"/>
          <w:rtl/>
          <w:lang w:bidi="ar-SA"/>
        </w:rPr>
        <w:t>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تُعدّ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المنافسة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سوق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العامل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الرئيسي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مرونة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فروق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الأسعار</w:t>
      </w:r>
      <w:r w:rsidR="00DE40CE" w:rsidRPr="00CE25FD">
        <w:rPr>
          <w:rFonts w:asciiTheme="minorBidi" w:eastAsia="Calibri" w:hAnsiTheme="minorBidi" w:cstheme="minorBidi"/>
          <w:rtl/>
        </w:rPr>
        <w:t>.</w:t>
      </w:r>
    </w:p>
    <w:p w:rsidR="00855342" w:rsidRDefault="00855342" w:rsidP="00855342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</w:p>
    <w:p w:rsidR="00855342" w:rsidRPr="00AD06A6" w:rsidRDefault="00285D86" w:rsidP="00855342">
      <w:pPr>
        <w:pStyle w:val="NormalWeb"/>
        <w:bidi/>
        <w:jc w:val="both"/>
        <w:rPr>
          <w:rFonts w:asciiTheme="minorBidi" w:eastAsia="Calibri" w:hAnsiTheme="minorBidi" w:cstheme="minorBidi"/>
          <w:rtl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أ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.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</w:p>
    <w:p w:rsidR="00AD06A6" w:rsidRPr="00A534C9" w:rsidRDefault="00285D86" w:rsidP="00A534C9">
      <w:pPr>
        <w:pStyle w:val="NormalWeb"/>
        <w:bidi/>
        <w:spacing w:line="360" w:lineRule="auto"/>
        <w:jc w:val="both"/>
        <w:rPr>
          <w:rFonts w:asciiTheme="minorBidi" w:eastAsia="Calibri" w:hAnsiTheme="minorBidi" w:cs="Arial"/>
          <w:rtl/>
          <w:lang w:bidi="ar-SA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شهد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الثالث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العام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انخفاض</w:t>
      </w:r>
      <w:r w:rsidR="00A534C9">
        <w:rPr>
          <w:rFonts w:asciiTheme="minorBidi" w:eastAsia="Calibri" w:hAnsiTheme="minorBidi" w:cs="Arial" w:hint="cs"/>
          <w:rtl/>
          <w:lang w:bidi="ar-SA"/>
        </w:rPr>
        <w:t>اً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طفيف</w:t>
      </w:r>
      <w:r w:rsidR="00A534C9">
        <w:rPr>
          <w:rFonts w:asciiTheme="minorBidi" w:eastAsia="Calibri" w:hAnsiTheme="minorBidi" w:cs="Arial" w:hint="cs"/>
          <w:rtl/>
          <w:lang w:bidi="ar-SA"/>
        </w:rPr>
        <w:t>اً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الائتمان الإسكاني</w:t>
      </w:r>
      <w:r w:rsidRPr="00AD06A6">
        <w:rPr>
          <w:rFonts w:asciiTheme="minorBidi" w:eastAsia="Calibri" w:hAnsiTheme="minorBidi" w:cs="Arial" w:hint="cs"/>
          <w:rtl/>
          <w:lang w:bidi="ar-SA"/>
        </w:rPr>
        <w:t>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المتوقع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أن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يزداد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 xml:space="preserve">الطلب </w:t>
      </w:r>
      <w:r w:rsidRPr="00AD06A6">
        <w:rPr>
          <w:rFonts w:asciiTheme="minorBidi" w:eastAsia="Calibri" w:hAnsiTheme="minorBidi" w:cs="Arial" w:hint="cs"/>
          <w:rtl/>
          <w:lang w:bidi="ar-SA"/>
        </w:rPr>
        <w:t>خلال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القادم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.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الأعمال،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استمر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ارتفاع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قِبل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المصالح التجارية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الصغيرة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ومتناهية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الصغر،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بينما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انخفض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قِبل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العقارات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والإنشاءات</w:t>
      </w:r>
      <w:r>
        <w:rPr>
          <w:rStyle w:val="a5"/>
          <w:rFonts w:asciiTheme="minorBidi" w:eastAsia="Calibri" w:hAnsiTheme="minorBidi" w:cstheme="minorBidi"/>
          <w:rtl/>
        </w:rPr>
        <w:footnoteReference w:id="2"/>
      </w:r>
      <w:r w:rsidR="003B666C" w:rsidRPr="00CE25FD">
        <w:rPr>
          <w:rFonts w:asciiTheme="minorBidi" w:eastAsia="Calibri" w:hAnsiTheme="minorBidi" w:cstheme="minorBidi"/>
          <w:rtl/>
        </w:rPr>
        <w:t xml:space="preserve">. </w:t>
      </w:r>
      <w:r w:rsidRPr="00AD06A6">
        <w:rPr>
          <w:rFonts w:asciiTheme="minorBidi" w:eastAsia="Calibri" w:hAnsiTheme="minorBidi" w:cs="Arial" w:hint="cs"/>
          <w:rtl/>
          <w:lang w:bidi="ar-SA"/>
        </w:rPr>
        <w:t>تتوقع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البنوك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زيادة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قِبل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المصالح التجارية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الصغيرة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ومتناهية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وانخفاض</w:t>
      </w:r>
      <w:r w:rsidR="00A534C9">
        <w:rPr>
          <w:rFonts w:asciiTheme="minorBidi" w:eastAsia="Calibri" w:hAnsiTheme="minorBidi" w:cs="Arial" w:hint="cs"/>
          <w:rtl/>
          <w:lang w:bidi="ar-SA"/>
        </w:rPr>
        <w:t>اً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العقارات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(</w:t>
      </w:r>
      <w:r w:rsidRPr="00AD06A6">
        <w:rPr>
          <w:rFonts w:asciiTheme="minorBidi" w:eastAsia="Calibri" w:hAnsiTheme="minorBidi" w:cs="Arial" w:hint="cs"/>
          <w:rtl/>
          <w:lang w:bidi="ar-SA"/>
        </w:rPr>
        <w:t>الشكل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1</w:t>
      </w:r>
      <w:r w:rsidR="00A534C9">
        <w:rPr>
          <w:rFonts w:asciiTheme="minorBidi" w:eastAsia="Calibri" w:hAnsiTheme="minorBidi" w:cstheme="minorBidi" w:hint="cs"/>
          <w:rtl/>
          <w:lang w:bidi="ar-SA"/>
        </w:rPr>
        <w:t>).</w:t>
      </w:r>
    </w:p>
    <w:p w:rsidR="00AD06A6" w:rsidRDefault="00AD06A6" w:rsidP="00AD06A6">
      <w:pPr>
        <w:pStyle w:val="NormalWeb"/>
        <w:jc w:val="both"/>
        <w:rPr>
          <w:rFonts w:asciiTheme="minorBidi" w:eastAsia="Calibri" w:hAnsiTheme="minorBidi" w:cstheme="minorBidi"/>
        </w:rPr>
      </w:pPr>
    </w:p>
    <w:p w:rsidR="00BA0B3B" w:rsidRPr="00AD06A6" w:rsidRDefault="00BA0B3B" w:rsidP="00AD06A6">
      <w:pPr>
        <w:pStyle w:val="NormalWeb"/>
        <w:jc w:val="both"/>
        <w:rPr>
          <w:rFonts w:asciiTheme="minorBidi" w:eastAsia="Calibri" w:hAnsiTheme="minorBidi" w:cstheme="minorBidi"/>
          <w:rtl/>
        </w:rPr>
      </w:pPr>
    </w:p>
    <w:p w:rsidR="00AD06A6" w:rsidRPr="00CE25FD" w:rsidRDefault="00285D86" w:rsidP="00BA0B3B">
      <w:pPr>
        <w:pStyle w:val="NormalWeb"/>
        <w:bidi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الشكل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1. </w:t>
      </w:r>
      <w:r w:rsidRPr="00AD06A6">
        <w:rPr>
          <w:rFonts w:asciiTheme="minorBidi" w:eastAsia="Calibri" w:hAnsiTheme="minorBidi" w:cs="Arial" w:hint="cs"/>
          <w:rtl/>
          <w:lang w:bidi="ar-SA"/>
        </w:rPr>
        <w:t>صافي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BA0B3B">
        <w:rPr>
          <w:rFonts w:asciiTheme="minorBidi" w:eastAsia="Calibri" w:hAnsiTheme="minorBidi" w:cs="Arial" w:hint="cs"/>
          <w:rtl/>
          <w:lang w:bidi="ar-SA"/>
        </w:rPr>
        <w:t>ميزان</w:t>
      </w:r>
      <w:r w:rsidR="00A534C9">
        <w:rPr>
          <w:rFonts w:asciiTheme="minorBidi" w:eastAsia="Calibri" w:hAnsiTheme="minorBidi" w:cs="Arial" w:hint="cs"/>
          <w:rtl/>
          <w:lang w:bidi="ar-SA"/>
        </w:rPr>
        <w:t>*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التغير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(</w:t>
      </w:r>
      <w:r w:rsidRPr="00AD06A6">
        <w:rPr>
          <w:rFonts w:asciiTheme="minorBidi" w:eastAsia="Calibri" w:hAnsiTheme="minorBidi" w:cs="Arial" w:hint="cs"/>
          <w:rtl/>
          <w:lang w:bidi="ar-SA"/>
        </w:rPr>
        <w:t>البيانات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المتوقعة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بالخط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المتقطع</w:t>
      </w:r>
      <w:r w:rsidRPr="00AD06A6">
        <w:rPr>
          <w:rFonts w:asciiTheme="minorBidi" w:eastAsia="Calibri" w:hAnsiTheme="minorBidi" w:cs="Arial"/>
          <w:rtl/>
          <w:lang w:bidi="ar-SA"/>
        </w:rPr>
        <w:t>)</w:t>
      </w:r>
    </w:p>
    <w:p w:rsidR="003B6465" w:rsidRPr="00CE25FD" w:rsidRDefault="00285D86" w:rsidP="003B6465">
      <w:pPr>
        <w:pStyle w:val="NormalWeb"/>
        <w:bidi/>
        <w:jc w:val="both"/>
        <w:rPr>
          <w:rFonts w:asciiTheme="minorBidi" w:eastAsia="Calibri" w:hAnsiTheme="minorBidi" w:cstheme="minorBidi"/>
          <w:rtl/>
        </w:rPr>
      </w:pPr>
      <w:bookmarkStart w:id="0" w:name="_GoBack"/>
      <w:r w:rsidRPr="00CE25FD">
        <w:rPr>
          <w:rFonts w:asciiTheme="minorBidi" w:hAnsiTheme="minorBidi" w:cstheme="minorBidi"/>
          <w:noProof/>
        </w:rPr>
        <w:drawing>
          <wp:inline distT="0" distB="0" distL="0" distR="0">
            <wp:extent cx="4582160" cy="2933700"/>
            <wp:effectExtent l="0" t="0" r="8890" b="0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5C0D99" w:rsidRPr="00CE25FD" w:rsidRDefault="00285D86" w:rsidP="00D34346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</w:rPr>
      </w:pPr>
      <w:r w:rsidRPr="00CE25FD">
        <w:rPr>
          <w:rFonts w:asciiTheme="minorBidi" w:eastAsia="Calibri" w:hAnsiTheme="minorBidi" w:cstheme="minorBidi"/>
          <w:rtl/>
        </w:rPr>
        <w:t xml:space="preserve"> </w:t>
      </w:r>
      <w:r w:rsidR="00CB6ADE" w:rsidRPr="00CE25FD">
        <w:rPr>
          <w:rFonts w:asciiTheme="minorBidi" w:hAnsiTheme="minorBidi" w:cstheme="minorBidi"/>
          <w:noProof/>
        </w:rPr>
        <w:drawing>
          <wp:inline distT="0" distB="0" distL="0" distR="0">
            <wp:extent cx="4588510" cy="3327400"/>
            <wp:effectExtent l="0" t="0" r="2540" b="6350"/>
            <wp:docPr id="9" name="תרשים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06A6" w:rsidRPr="00AD06A6" w:rsidRDefault="00285D86" w:rsidP="00A534C9">
      <w:pPr>
        <w:pStyle w:val="NormalWeb"/>
        <w:bidi/>
        <w:spacing w:line="360" w:lineRule="auto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theme="minorBidi"/>
          <w:lang w:bidi="ar-SA"/>
        </w:rPr>
        <w:t>*</w:t>
      </w:r>
      <w:r w:rsidR="00A534C9">
        <w:rPr>
          <w:rFonts w:asciiTheme="minorBidi" w:eastAsia="Calibri" w:hAnsiTheme="minorBidi" w:cstheme="minorBidi" w:hint="cs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تشير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القيمة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الإيجابية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إلى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زيادة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والعكس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صحيح</w:t>
      </w:r>
      <w:r w:rsidRPr="00AD06A6">
        <w:rPr>
          <w:rFonts w:asciiTheme="minorBidi" w:eastAsia="Calibri" w:hAnsiTheme="minorBidi" w:cstheme="minorBidi"/>
          <w:lang w:bidi="ar-SA"/>
        </w:rPr>
        <w:t>.</w:t>
      </w:r>
    </w:p>
    <w:p w:rsidR="00AD06A6" w:rsidRPr="00CE25FD" w:rsidRDefault="00285D86" w:rsidP="00A534C9">
      <w:pPr>
        <w:pStyle w:val="NormalWeb"/>
        <w:bidi/>
        <w:spacing w:line="360" w:lineRule="auto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فيما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يتعلق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بتأثير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العوامل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المختلفة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يبدو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أن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استخدام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بدائل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التمويل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كان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سبب</w:t>
      </w:r>
      <w:r w:rsidR="00A534C9">
        <w:rPr>
          <w:rFonts w:asciiTheme="minorBidi" w:eastAsia="Calibri" w:hAnsiTheme="minorBidi" w:cs="Arial" w:hint="cs"/>
          <w:rtl/>
          <w:lang w:bidi="ar-SA"/>
        </w:rPr>
        <w:t>اً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انخفاض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العقارات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الثالث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عام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2025. (</w:t>
      </w:r>
      <w:r w:rsidRPr="00AD06A6">
        <w:rPr>
          <w:rFonts w:asciiTheme="minorBidi" w:eastAsia="Calibri" w:hAnsiTheme="minorBidi" w:cs="Arial" w:hint="cs"/>
          <w:rtl/>
          <w:lang w:bidi="ar-SA"/>
        </w:rPr>
        <w:t>الشكل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2).</w:t>
      </w:r>
    </w:p>
    <w:p w:rsidR="003D2919" w:rsidRPr="00CE25FD" w:rsidRDefault="00285D86" w:rsidP="00BA0B3B">
      <w:pPr>
        <w:pStyle w:val="NormalWeb"/>
        <w:bidi/>
        <w:spacing w:line="360" w:lineRule="auto"/>
        <w:rPr>
          <w:rFonts w:asciiTheme="minorBidi" w:eastAsia="Calibri" w:hAnsiTheme="minorBidi" w:cstheme="minorBidi"/>
          <w:rtl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lastRenderedPageBreak/>
        <w:t>الشكل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2. </w:t>
      </w:r>
      <w:r w:rsidR="00A534C9">
        <w:rPr>
          <w:rFonts w:asciiTheme="minorBidi" w:eastAsia="Calibri" w:hAnsiTheme="minorBidi" w:cs="Arial" w:hint="cs"/>
          <w:rtl/>
          <w:lang w:bidi="ar-SA"/>
        </w:rPr>
        <w:t xml:space="preserve">صافي </w:t>
      </w:r>
      <w:r w:rsidR="00BA0B3B">
        <w:rPr>
          <w:rFonts w:asciiTheme="minorBidi" w:eastAsia="Calibri" w:hAnsiTheme="minorBidi" w:cs="Arial" w:hint="cs"/>
          <w:rtl/>
          <w:lang w:bidi="ar-SA"/>
        </w:rPr>
        <w:t>ميزان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* </w:t>
      </w:r>
      <w:r w:rsidR="00BA0B3B">
        <w:rPr>
          <w:rFonts w:asciiTheme="minorBidi" w:eastAsia="Calibri" w:hAnsiTheme="minorBidi" w:cs="Arial" w:hint="cs"/>
          <w:rtl/>
          <w:lang w:bidi="ar-SA"/>
        </w:rPr>
        <w:t>التغيير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تأثير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العوامل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المختلفة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 xml:space="preserve">في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العقارات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CB6ADE" w:rsidRPr="00CE25FD">
        <w:rPr>
          <w:rFonts w:asciiTheme="minorBidi" w:hAnsiTheme="minorBidi" w:cstheme="minorBidi"/>
          <w:noProof/>
        </w:rPr>
        <w:drawing>
          <wp:inline distT="0" distB="0" distL="0" distR="0">
            <wp:extent cx="4895850" cy="3498850"/>
            <wp:effectExtent l="0" t="0" r="0" b="6350"/>
            <wp:docPr id="10" name="תרשים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06A6" w:rsidRPr="00AD06A6" w:rsidRDefault="00285D86" w:rsidP="00A534C9">
      <w:pPr>
        <w:pStyle w:val="NormalWeb"/>
        <w:bidi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theme="minorBidi"/>
          <w:lang w:bidi="ar-SA"/>
        </w:rPr>
        <w:t>*</w:t>
      </w:r>
      <w:r w:rsidR="00A534C9">
        <w:rPr>
          <w:rFonts w:asciiTheme="minorBidi" w:eastAsia="Calibri" w:hAnsiTheme="minorBidi" w:cstheme="minorBidi" w:hint="cs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تشير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القيمة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الإيجابية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إلى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</w:t>
      </w:r>
      <w:r w:rsidRPr="00AD06A6">
        <w:rPr>
          <w:rFonts w:asciiTheme="minorBidi" w:eastAsia="Calibri" w:hAnsiTheme="minorBidi" w:cs="Arial" w:hint="cs"/>
          <w:rtl/>
          <w:lang w:bidi="ar-SA"/>
        </w:rPr>
        <w:t>مساهمة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زيادة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الطلب،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والعكس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صحيح</w:t>
      </w:r>
      <w:r w:rsidRPr="00AD06A6">
        <w:rPr>
          <w:rFonts w:asciiTheme="minorBidi" w:eastAsia="Calibri" w:hAnsiTheme="minorBidi" w:cstheme="minorBidi"/>
          <w:lang w:bidi="ar-SA"/>
        </w:rPr>
        <w:t>.</w:t>
      </w:r>
    </w:p>
    <w:p w:rsidR="00AD06A6" w:rsidRPr="00AD06A6" w:rsidRDefault="00285D86" w:rsidP="00A534C9">
      <w:pPr>
        <w:pStyle w:val="NormalWeb"/>
        <w:bidi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ب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. </w:t>
      </w:r>
      <w:r w:rsidRPr="00AD06A6">
        <w:rPr>
          <w:rFonts w:asciiTheme="minorBidi" w:eastAsia="Calibri" w:hAnsiTheme="minorBidi" w:cs="Arial" w:hint="cs"/>
          <w:rtl/>
          <w:lang w:bidi="ar-SA"/>
        </w:rPr>
        <w:t>عرض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</w:p>
    <w:p w:rsidR="00AD06A6" w:rsidRPr="00AD06A6" w:rsidRDefault="00285D86" w:rsidP="00A534C9">
      <w:pPr>
        <w:pStyle w:val="NormalWeb"/>
        <w:bidi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استمر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تخفيف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شروط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الربع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الثالث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العام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معظم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قطاعات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وانعكس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ذلك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بشكل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رئيسي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 xml:space="preserve">هوامش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عند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مستوى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</w:t>
      </w:r>
      <w:r w:rsidRPr="00AD06A6">
        <w:rPr>
          <w:rFonts w:asciiTheme="minorBidi" w:eastAsia="Calibri" w:hAnsiTheme="minorBidi" w:cs="Arial" w:hint="cs"/>
          <w:rtl/>
          <w:lang w:bidi="ar-SA"/>
        </w:rPr>
        <w:t>مخاطر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</w:t>
      </w:r>
      <w:r w:rsidRPr="00AD06A6">
        <w:rPr>
          <w:rFonts w:asciiTheme="minorBidi" w:eastAsia="Calibri" w:hAnsiTheme="minorBidi" w:cs="Arial" w:hint="cs"/>
          <w:rtl/>
          <w:lang w:bidi="ar-SA"/>
        </w:rPr>
        <w:t>منخفض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.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الوقت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نفسه،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لوحظ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تشديد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هوامش الائتمان الاسكاني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للمصالح التجارية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الصغيرة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ومتناهية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الصغر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(</w:t>
      </w:r>
      <w:r w:rsidRPr="00AD06A6">
        <w:rPr>
          <w:rFonts w:asciiTheme="minorBidi" w:eastAsia="Calibri" w:hAnsiTheme="minorBidi" w:cs="Arial" w:hint="cs"/>
          <w:rtl/>
          <w:lang w:bidi="ar-SA"/>
        </w:rPr>
        <w:t>الشكل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3</w:t>
      </w:r>
      <w:r w:rsidR="00A534C9">
        <w:rPr>
          <w:rFonts w:asciiTheme="minorBidi" w:eastAsia="Calibri" w:hAnsiTheme="minorBidi" w:cstheme="minorBidi" w:hint="cs"/>
          <w:rtl/>
          <w:lang w:bidi="ar-SA"/>
        </w:rPr>
        <w:t>).</w:t>
      </w:r>
    </w:p>
    <w:p w:rsidR="00AD06A6" w:rsidRPr="00AD06A6" w:rsidRDefault="00AD06A6" w:rsidP="00AD06A6">
      <w:pPr>
        <w:pStyle w:val="NormalWeb"/>
        <w:jc w:val="both"/>
        <w:rPr>
          <w:rFonts w:asciiTheme="minorBidi" w:eastAsia="Calibri" w:hAnsiTheme="minorBidi" w:cstheme="minorBidi"/>
          <w:rtl/>
          <w:lang w:bidi="ar-SA"/>
        </w:rPr>
      </w:pPr>
    </w:p>
    <w:p w:rsidR="00AD06A6" w:rsidRPr="00CE25FD" w:rsidRDefault="00285D86" w:rsidP="00BA0B3B">
      <w:pPr>
        <w:pStyle w:val="NormalWeb"/>
        <w:bidi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الشكل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3: </w:t>
      </w:r>
      <w:r w:rsidRPr="00AD06A6">
        <w:rPr>
          <w:rFonts w:asciiTheme="minorBidi" w:eastAsia="Calibri" w:hAnsiTheme="minorBidi" w:cs="Arial" w:hint="cs"/>
          <w:rtl/>
          <w:lang w:bidi="ar-SA"/>
        </w:rPr>
        <w:t>صافي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BA0B3B">
        <w:rPr>
          <w:rFonts w:asciiTheme="minorBidi" w:eastAsia="Calibri" w:hAnsiTheme="minorBidi" w:cs="Arial" w:hint="cs"/>
          <w:rtl/>
          <w:lang w:bidi="ar-SA"/>
        </w:rPr>
        <w:t>ميزان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* </w:t>
      </w:r>
      <w:r w:rsidR="00BA0B3B">
        <w:rPr>
          <w:rFonts w:asciiTheme="minorBidi" w:eastAsia="Calibri" w:hAnsiTheme="minorBidi" w:cs="Arial" w:hint="cs"/>
          <w:rtl/>
          <w:lang w:bidi="ar-SA"/>
        </w:rPr>
        <w:t>التغيير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شروط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لطلبات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الجديدة</w:t>
      </w:r>
    </w:p>
    <w:p w:rsidR="00D70679" w:rsidRPr="00CE25FD" w:rsidRDefault="00285D86" w:rsidP="00D70679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</w:rPr>
      </w:pPr>
      <w:r w:rsidRPr="00CE25FD">
        <w:rPr>
          <w:rFonts w:asciiTheme="minorBidi" w:hAnsiTheme="minorBidi" w:cstheme="minorBidi"/>
          <w:noProof/>
        </w:rPr>
        <w:lastRenderedPageBreak/>
        <w:drawing>
          <wp:inline distT="0" distB="0" distL="0" distR="0">
            <wp:extent cx="5032375" cy="3422650"/>
            <wp:effectExtent l="0" t="0" r="15875" b="6350"/>
            <wp:docPr id="11" name="תרשים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613B" w:rsidRPr="00CE25FD" w:rsidRDefault="00285D86" w:rsidP="00B1613B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</w:rPr>
      </w:pPr>
      <w:r w:rsidRPr="00CE25FD">
        <w:rPr>
          <w:rFonts w:asciiTheme="minorBidi" w:hAnsiTheme="minorBidi" w:cstheme="minorBidi"/>
          <w:noProof/>
        </w:rPr>
        <w:drawing>
          <wp:inline distT="0" distB="0" distL="0" distR="0">
            <wp:extent cx="4976301" cy="3803650"/>
            <wp:effectExtent l="0" t="0" r="15240" b="6350"/>
            <wp:docPr id="12" name="תרשים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534C9" w:rsidRDefault="00A534C9" w:rsidP="005B7915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</w:p>
    <w:p w:rsidR="00A534C9" w:rsidRDefault="00A534C9" w:rsidP="00A534C9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</w:p>
    <w:p w:rsidR="00A534C9" w:rsidRDefault="00A534C9" w:rsidP="00A534C9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</w:p>
    <w:p w:rsidR="00AD06A6" w:rsidRPr="00AD06A6" w:rsidRDefault="00285D86" w:rsidP="00A534C9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theme="minorBidi"/>
          <w:lang w:bidi="ar-SA"/>
        </w:rPr>
        <w:lastRenderedPageBreak/>
        <w:t>*</w:t>
      </w:r>
      <w:r w:rsidR="00A534C9">
        <w:rPr>
          <w:rFonts w:asciiTheme="minorBidi" w:eastAsia="Calibri" w:hAnsiTheme="minorBidi" w:cstheme="minorBidi" w:hint="cs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تشير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القيمة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الإيجابية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إلى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تشديد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شروط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الائتمان،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والعكس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صحيح</w:t>
      </w:r>
      <w:r w:rsidRPr="00AD06A6">
        <w:rPr>
          <w:rFonts w:asciiTheme="minorBidi" w:eastAsia="Calibri" w:hAnsiTheme="minorBidi" w:cstheme="minorBidi"/>
          <w:lang w:bidi="ar-SA"/>
        </w:rPr>
        <w:t>.</w:t>
      </w:r>
    </w:p>
    <w:p w:rsidR="00AD06A6" w:rsidRPr="00AD06A6" w:rsidRDefault="00285D86" w:rsidP="00A534C9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ظلت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عوامل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المنافسة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هي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العوامل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الرئيسية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ل</w:t>
      </w:r>
      <w:r w:rsidR="00A534C9">
        <w:rPr>
          <w:rFonts w:asciiTheme="minorBidi" w:eastAsia="Calibri" w:hAnsiTheme="minorBidi" w:cs="Arial" w:hint="cs"/>
          <w:rtl/>
          <w:lang w:bidi="ar-SA"/>
        </w:rPr>
        <w:t>ل</w:t>
      </w:r>
      <w:r w:rsidRPr="00AD06A6">
        <w:rPr>
          <w:rFonts w:asciiTheme="minorBidi" w:eastAsia="Calibri" w:hAnsiTheme="minorBidi" w:cs="Arial" w:hint="cs"/>
          <w:rtl/>
          <w:lang w:bidi="ar-SA"/>
        </w:rPr>
        <w:t>مرونة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في الهوامش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(</w:t>
      </w:r>
      <w:r w:rsidRPr="00AD06A6">
        <w:rPr>
          <w:rFonts w:asciiTheme="minorBidi" w:eastAsia="Calibri" w:hAnsiTheme="minorBidi" w:cs="Arial" w:hint="cs"/>
          <w:rtl/>
          <w:lang w:bidi="ar-SA"/>
        </w:rPr>
        <w:t>الشكل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4</w:t>
      </w:r>
      <w:r w:rsidR="00A534C9">
        <w:rPr>
          <w:rFonts w:asciiTheme="minorBidi" w:eastAsia="Calibri" w:hAnsiTheme="minorBidi" w:cstheme="minorBidi" w:hint="cs"/>
          <w:rtl/>
          <w:lang w:bidi="ar-SA"/>
        </w:rPr>
        <w:t>).</w:t>
      </w:r>
    </w:p>
    <w:p w:rsidR="00AD06A6" w:rsidRPr="00AD06A6" w:rsidRDefault="00AD06A6" w:rsidP="00A534C9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</w:p>
    <w:p w:rsidR="00AD06A6" w:rsidRPr="00CE25FD" w:rsidRDefault="00285D86" w:rsidP="00BA0B3B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="Arial" w:hint="cs"/>
          <w:rtl/>
          <w:lang w:bidi="ar-SA"/>
        </w:rPr>
        <w:t>الشكل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4. </w:t>
      </w:r>
      <w:r w:rsidRPr="00AD06A6">
        <w:rPr>
          <w:rFonts w:asciiTheme="minorBidi" w:eastAsia="Calibri" w:hAnsiTheme="minorBidi" w:cs="Arial" w:hint="cs"/>
          <w:rtl/>
          <w:lang w:bidi="ar-SA"/>
        </w:rPr>
        <w:t>صافي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BA0B3B">
        <w:rPr>
          <w:rFonts w:asciiTheme="minorBidi" w:eastAsia="Calibri" w:hAnsiTheme="minorBidi" w:cs="Arial" w:hint="cs"/>
          <w:rtl/>
          <w:lang w:bidi="ar-SA"/>
        </w:rPr>
        <w:t>ميزان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* </w:t>
      </w:r>
      <w:r w:rsidR="00BA0B3B">
        <w:rPr>
          <w:rFonts w:asciiTheme="minorBidi" w:eastAsia="Calibri" w:hAnsiTheme="minorBidi" w:cs="Arial" w:hint="cs"/>
          <w:rtl/>
          <w:lang w:bidi="ar-SA"/>
        </w:rPr>
        <w:t>التغيير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تأثير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العوامل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المختلفة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على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</w:t>
      </w:r>
      <w:r w:rsidRPr="00AD06A6">
        <w:rPr>
          <w:rFonts w:asciiTheme="minorBidi" w:eastAsia="Calibri" w:hAnsiTheme="minorBidi" w:cs="Arial" w:hint="cs"/>
          <w:rtl/>
          <w:lang w:bidi="ar-SA"/>
        </w:rPr>
        <w:t>تغير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في هوامش الائتمان</w:t>
      </w:r>
      <w:r w:rsidRPr="00AD06A6">
        <w:rPr>
          <w:rFonts w:asciiTheme="minorBidi" w:eastAsia="Calibri" w:hAnsiTheme="minorBidi" w:cs="Arial"/>
          <w:rtl/>
          <w:lang w:bidi="ar-SA"/>
        </w:rPr>
        <w:t>.</w:t>
      </w:r>
    </w:p>
    <w:p w:rsidR="002C664A" w:rsidRPr="00CE25FD" w:rsidRDefault="00285D86" w:rsidP="002C664A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</w:rPr>
      </w:pPr>
      <w:r w:rsidRPr="00CE25FD">
        <w:rPr>
          <w:rFonts w:asciiTheme="minorBidi" w:hAnsiTheme="minorBidi" w:cstheme="minorBidi"/>
          <w:noProof/>
        </w:rPr>
        <w:drawing>
          <wp:inline distT="0" distB="0" distL="0" distR="0">
            <wp:extent cx="5714007" cy="3561715"/>
            <wp:effectExtent l="0" t="0" r="1270" b="635"/>
            <wp:docPr id="13" name="תרשים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63ABE" w:rsidRPr="00CE25FD" w:rsidRDefault="00285D86" w:rsidP="00C16B56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</w:rPr>
      </w:pPr>
      <w:r w:rsidRPr="00CE25FD">
        <w:rPr>
          <w:rFonts w:asciiTheme="minorBidi" w:hAnsiTheme="minorBidi" w:cstheme="minorBidi"/>
          <w:noProof/>
        </w:rPr>
        <w:lastRenderedPageBreak/>
        <w:drawing>
          <wp:inline distT="0" distB="0" distL="0" distR="0">
            <wp:extent cx="5807351" cy="3593990"/>
            <wp:effectExtent l="0" t="0" r="3175" b="6985"/>
            <wp:docPr id="15" name="תרשים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D06A6" w:rsidRPr="00CE25FD" w:rsidRDefault="00285D86" w:rsidP="00A534C9">
      <w:pPr>
        <w:pStyle w:val="NormalWeb"/>
        <w:bidi/>
        <w:spacing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  <w:r w:rsidRPr="00AD06A6">
        <w:rPr>
          <w:rFonts w:asciiTheme="minorBidi" w:eastAsia="Calibri" w:hAnsiTheme="minorBidi" w:cs="Arial"/>
          <w:rtl/>
          <w:lang w:bidi="ar-SA"/>
        </w:rPr>
        <w:t xml:space="preserve">* </w:t>
      </w:r>
      <w:r w:rsidRPr="00AD06A6">
        <w:rPr>
          <w:rFonts w:asciiTheme="minorBidi" w:eastAsia="Calibri" w:hAnsiTheme="minorBidi" w:cs="Arial" w:hint="cs"/>
          <w:rtl/>
          <w:lang w:bidi="ar-SA"/>
        </w:rPr>
        <w:t>القيمة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الإيجابية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تشير إلى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المساهمة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التشدد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في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="00A534C9">
        <w:rPr>
          <w:rFonts w:asciiTheme="minorBidi" w:eastAsia="Calibri" w:hAnsiTheme="minorBidi" w:cs="Arial" w:hint="cs"/>
          <w:rtl/>
          <w:lang w:bidi="ar-SA"/>
        </w:rPr>
        <w:t>الهوامش،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والعكس</w:t>
      </w:r>
      <w:r w:rsidRPr="00AD06A6">
        <w:rPr>
          <w:rFonts w:asciiTheme="minorBidi" w:eastAsia="Calibri" w:hAnsiTheme="minorBidi" w:cs="Arial"/>
          <w:rtl/>
          <w:lang w:bidi="ar-SA"/>
        </w:rPr>
        <w:t xml:space="preserve"> </w:t>
      </w:r>
      <w:r w:rsidRPr="00AD06A6">
        <w:rPr>
          <w:rFonts w:asciiTheme="minorBidi" w:eastAsia="Calibri" w:hAnsiTheme="minorBidi" w:cs="Arial" w:hint="cs"/>
          <w:rtl/>
          <w:lang w:bidi="ar-SA"/>
        </w:rPr>
        <w:t>صحيح</w:t>
      </w:r>
    </w:p>
    <w:sectPr w:rsidR="00AD06A6" w:rsidRPr="00CE25FD" w:rsidSect="0080799D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5D86">
      <w:pPr>
        <w:spacing w:after="0" w:line="240" w:lineRule="auto"/>
      </w:pPr>
      <w:r>
        <w:separator/>
      </w:r>
    </w:p>
  </w:endnote>
  <w:endnote w:type="continuationSeparator" w:id="0">
    <w:p w:rsidR="00000000" w:rsidRDefault="0028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EB" w:rsidRDefault="00285D86" w:rsidP="00343A83">
      <w:pPr>
        <w:spacing w:after="0" w:line="240" w:lineRule="auto"/>
      </w:pPr>
      <w:r>
        <w:separator/>
      </w:r>
    </w:p>
  </w:footnote>
  <w:footnote w:type="continuationSeparator" w:id="0">
    <w:p w:rsidR="003945EB" w:rsidRDefault="00285D86" w:rsidP="00343A83">
      <w:pPr>
        <w:spacing w:after="0" w:line="240" w:lineRule="auto"/>
      </w:pPr>
      <w:r>
        <w:continuationSeparator/>
      </w:r>
    </w:p>
  </w:footnote>
  <w:footnote w:id="1">
    <w:p w:rsidR="00B51A9A" w:rsidRPr="0080799D" w:rsidRDefault="00285D86" w:rsidP="00855342">
      <w:pPr>
        <w:pStyle w:val="a3"/>
        <w:ind w:left="-58"/>
        <w:jc w:val="left"/>
        <w:rPr>
          <w:rFonts w:asciiTheme="minorHAnsi" w:hAnsiTheme="minorHAnsi" w:cstheme="minorHAnsi"/>
          <w:sz w:val="16"/>
          <w:szCs w:val="16"/>
          <w:rtl/>
        </w:rPr>
      </w:pPr>
      <w:r w:rsidRPr="00ED21F7">
        <w:rPr>
          <w:rStyle w:val="a5"/>
          <w:rFonts w:asciiTheme="minorBidi" w:hAnsiTheme="minorBidi" w:cstheme="minorBidi"/>
        </w:rPr>
        <w:footnoteRef/>
      </w:r>
      <w:r w:rsidRPr="00ED21F7">
        <w:rPr>
          <w:rFonts w:asciiTheme="minorBidi" w:hAnsiTheme="minorBidi" w:cstheme="minorBidi"/>
          <w:rtl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يُحسب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بالفرق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بين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نسبة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ونسبة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السلبية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الأسئلة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المتعلقة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بالطلب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على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اعتبرت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"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زاد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A0B3B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زاد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إيجابية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بينما اعتبرت الإجابات 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"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انخفض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A0B3B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انخفض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سلبية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بحيث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يعكس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زيادة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الطلب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على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والعكس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صحيح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الأسئلة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المتعلقة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بعرض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أي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سياسة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توفير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وشروطه،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تم اعتبار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"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تشديد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بعض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التشديد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إيجابية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بينما اعتبر إجابات 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"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بعض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المرونة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/</w:t>
      </w:r>
      <w:r w:rsidR="00BA0B3B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مرونة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كبيرة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"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سلبية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بحيث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يعكس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صافي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855342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الموازنة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الإيجابي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تشديد</w:t>
      </w:r>
      <w:r w:rsidR="00A534C9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سياسة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الائتمان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أو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شروطه،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والعكس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صحيح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وُزِّعت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الإجابات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وفق</w:t>
      </w:r>
      <w:r w:rsidR="00A534C9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لحصة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بنك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في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كل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شريحة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ائتمان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.</w:t>
      </w:r>
    </w:p>
    <w:p w:rsidR="0084093E" w:rsidRPr="0080799D" w:rsidRDefault="00285D86" w:rsidP="0080799D">
      <w:pPr>
        <w:pStyle w:val="a3"/>
        <w:ind w:left="-58"/>
        <w:jc w:val="left"/>
        <w:rPr>
          <w:rFonts w:asciiTheme="minorHAnsi" w:hAnsiTheme="minorHAnsi" w:cstheme="minorHAnsi"/>
          <w:sz w:val="16"/>
          <w:szCs w:val="16"/>
          <w:rtl/>
        </w:rPr>
      </w:pPr>
      <w:r w:rsidRPr="0080799D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</w:footnote>
  <w:footnote w:id="2">
    <w:p w:rsidR="006A7B09" w:rsidRPr="0080799D" w:rsidRDefault="00285D86" w:rsidP="00A534C9">
      <w:pPr>
        <w:pStyle w:val="a3"/>
        <w:ind w:left="0"/>
        <w:jc w:val="left"/>
        <w:rPr>
          <w:rFonts w:asciiTheme="minorHAnsi" w:hAnsiTheme="minorHAnsi" w:cstheme="minorHAnsi"/>
          <w:sz w:val="16"/>
          <w:szCs w:val="16"/>
          <w:rtl/>
        </w:rPr>
      </w:pPr>
      <w:r w:rsidRPr="0080799D">
        <w:rPr>
          <w:rStyle w:val="a5"/>
          <w:rFonts w:asciiTheme="minorHAnsi" w:hAnsiTheme="minorHAnsi" w:cstheme="minorHAnsi"/>
          <w:sz w:val="16"/>
          <w:szCs w:val="16"/>
        </w:rPr>
        <w:footnoteRef/>
      </w:r>
      <w:r w:rsidRPr="0080799D">
        <w:rPr>
          <w:rFonts w:asciiTheme="minorHAnsi" w:hAnsiTheme="minorHAnsi" w:cs="Times New Roman"/>
          <w:sz w:val="16"/>
          <w:szCs w:val="16"/>
          <w:rtl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يُعرّف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قطاعا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والعقارات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وفق</w:t>
      </w:r>
      <w:r w:rsidR="00A534C9">
        <w:rPr>
          <w:rFonts w:asciiTheme="minorHAnsi" w:hAnsiTheme="minorHAnsi" w:cs="Times New Roman" w:hint="cs"/>
          <w:sz w:val="16"/>
          <w:szCs w:val="16"/>
          <w:rtl/>
          <w:lang w:bidi="ar-SA"/>
        </w:rPr>
        <w:t>اً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للتصنيف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534C9">
        <w:rPr>
          <w:rFonts w:asciiTheme="minorHAnsi" w:hAnsiTheme="minorHAnsi" w:cs="Times New Roman" w:hint="cs"/>
          <w:sz w:val="16"/>
          <w:szCs w:val="16"/>
          <w:rtl/>
          <w:lang w:bidi="ar-SA"/>
        </w:rPr>
        <w:t>الموحد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534C9">
        <w:rPr>
          <w:rFonts w:asciiTheme="minorHAnsi" w:hAnsiTheme="minorHAnsi" w:cs="Times New Roman" w:hint="cs"/>
          <w:sz w:val="16"/>
          <w:szCs w:val="16"/>
          <w:rtl/>
          <w:lang w:bidi="ar-SA"/>
        </w:rPr>
        <w:t>للقطاعات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الاقتصادية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الصادر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عن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534C9">
        <w:rPr>
          <w:rFonts w:asciiTheme="minorHAnsi" w:hAnsiTheme="minorHAnsi" w:cs="Times New Roman" w:hint="cs"/>
          <w:sz w:val="16"/>
          <w:szCs w:val="16"/>
          <w:rtl/>
          <w:lang w:bidi="ar-SA"/>
        </w:rPr>
        <w:t>دا</w:t>
      </w:r>
      <w:r w:rsidR="00BA0B3B">
        <w:rPr>
          <w:rFonts w:asciiTheme="minorHAnsi" w:hAnsiTheme="minorHAnsi" w:cs="Times New Roman" w:hint="cs"/>
          <w:sz w:val="16"/>
          <w:szCs w:val="16"/>
          <w:rtl/>
          <w:lang w:val="en-GB" w:bidi="ar-SA"/>
        </w:rPr>
        <w:t>ئ</w:t>
      </w:r>
      <w:r w:rsidR="00A534C9">
        <w:rPr>
          <w:rFonts w:asciiTheme="minorHAnsi" w:hAnsiTheme="minorHAnsi" w:cs="Times New Roman" w:hint="cs"/>
          <w:sz w:val="16"/>
          <w:szCs w:val="16"/>
          <w:rtl/>
          <w:lang w:bidi="ar-SA"/>
        </w:rPr>
        <w:t>رة الاحصاء المركزية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(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الفئة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534C9" w:rsidRPr="0080799D">
        <w:rPr>
          <w:rFonts w:asciiTheme="minorHAnsi" w:hAnsiTheme="minorHAnsi" w:cstheme="minorHAnsi"/>
          <w:sz w:val="16"/>
          <w:szCs w:val="16"/>
        </w:rPr>
        <w:t>F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)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بشكل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رئيسي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تشييد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المنشآت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والمباني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والبنية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التحتية،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بينما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قطاع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(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الفئة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534C9" w:rsidRPr="0080799D">
        <w:rPr>
          <w:rFonts w:asciiTheme="minorHAnsi" w:hAnsiTheme="minorHAnsi" w:cstheme="minorHAnsi"/>
          <w:sz w:val="16"/>
          <w:szCs w:val="16"/>
        </w:rPr>
        <w:t>L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)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الأنشطة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العقارية،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ولا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سيما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شراء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وبيع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وتأجير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وتشغيل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العقارات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.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ولا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يشمل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تطوير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مشاريع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البناء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المعدة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 xml:space="preserve"> </w:t>
      </w:r>
      <w:r w:rsidR="00AD06A6" w:rsidRPr="00AD06A6">
        <w:rPr>
          <w:rFonts w:asciiTheme="minorHAnsi" w:hAnsiTheme="minorHAnsi" w:cs="Times New Roman" w:hint="cs"/>
          <w:sz w:val="16"/>
          <w:szCs w:val="16"/>
          <w:rtl/>
          <w:lang w:bidi="ar-SA"/>
        </w:rPr>
        <w:t>للبيع</w:t>
      </w:r>
      <w:r w:rsidR="00AD06A6" w:rsidRPr="00AD06A6">
        <w:rPr>
          <w:rFonts w:asciiTheme="minorHAnsi" w:hAnsiTheme="minorHAnsi" w:cs="Times New Roman"/>
          <w:sz w:val="16"/>
          <w:szCs w:val="16"/>
          <w:rtl/>
          <w:lang w:bidi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172F"/>
    <w:multiLevelType w:val="hybridMultilevel"/>
    <w:tmpl w:val="4A98379A"/>
    <w:lvl w:ilvl="0" w:tplc="ECA4F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48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CC8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A9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2B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8A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08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C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4C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01806"/>
    <w:multiLevelType w:val="hybridMultilevel"/>
    <w:tmpl w:val="B210C3D4"/>
    <w:lvl w:ilvl="0" w:tplc="C5469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49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26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86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42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E7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0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0D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8E3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D0"/>
    <w:rsid w:val="000032FB"/>
    <w:rsid w:val="000070F2"/>
    <w:rsid w:val="00012FA3"/>
    <w:rsid w:val="00025639"/>
    <w:rsid w:val="00026412"/>
    <w:rsid w:val="00055125"/>
    <w:rsid w:val="00056C1E"/>
    <w:rsid w:val="00064492"/>
    <w:rsid w:val="00067A32"/>
    <w:rsid w:val="00067E12"/>
    <w:rsid w:val="000736C9"/>
    <w:rsid w:val="000736EC"/>
    <w:rsid w:val="00081262"/>
    <w:rsid w:val="0008332E"/>
    <w:rsid w:val="00085174"/>
    <w:rsid w:val="000A2E5A"/>
    <w:rsid w:val="000D14B9"/>
    <w:rsid w:val="000F6B9A"/>
    <w:rsid w:val="000F7525"/>
    <w:rsid w:val="00100E5B"/>
    <w:rsid w:val="0010181F"/>
    <w:rsid w:val="00103AFD"/>
    <w:rsid w:val="00112474"/>
    <w:rsid w:val="00112E6A"/>
    <w:rsid w:val="001166B5"/>
    <w:rsid w:val="00124491"/>
    <w:rsid w:val="00135A3D"/>
    <w:rsid w:val="00137BC6"/>
    <w:rsid w:val="001409FB"/>
    <w:rsid w:val="00141441"/>
    <w:rsid w:val="00162DF4"/>
    <w:rsid w:val="00167E6E"/>
    <w:rsid w:val="001740B1"/>
    <w:rsid w:val="00182960"/>
    <w:rsid w:val="0019073A"/>
    <w:rsid w:val="0019280F"/>
    <w:rsid w:val="00193B3E"/>
    <w:rsid w:val="001A0F3B"/>
    <w:rsid w:val="001A7959"/>
    <w:rsid w:val="001B79DF"/>
    <w:rsid w:val="001C190F"/>
    <w:rsid w:val="001C19DA"/>
    <w:rsid w:val="001C6431"/>
    <w:rsid w:val="001C7139"/>
    <w:rsid w:val="001D5AFF"/>
    <w:rsid w:val="001F42B8"/>
    <w:rsid w:val="001F445B"/>
    <w:rsid w:val="001F48FF"/>
    <w:rsid w:val="00210625"/>
    <w:rsid w:val="002178B8"/>
    <w:rsid w:val="00220E2F"/>
    <w:rsid w:val="00230B7D"/>
    <w:rsid w:val="00250383"/>
    <w:rsid w:val="00255CDB"/>
    <w:rsid w:val="00263D89"/>
    <w:rsid w:val="00282FC4"/>
    <w:rsid w:val="00285D86"/>
    <w:rsid w:val="002926DF"/>
    <w:rsid w:val="002936CD"/>
    <w:rsid w:val="002A6376"/>
    <w:rsid w:val="002A6D29"/>
    <w:rsid w:val="002B568A"/>
    <w:rsid w:val="002B7360"/>
    <w:rsid w:val="002B7436"/>
    <w:rsid w:val="002C2C8B"/>
    <w:rsid w:val="002C664A"/>
    <w:rsid w:val="002D72F8"/>
    <w:rsid w:val="002E1598"/>
    <w:rsid w:val="002F6E2A"/>
    <w:rsid w:val="00312AF1"/>
    <w:rsid w:val="00323060"/>
    <w:rsid w:val="00327E7A"/>
    <w:rsid w:val="00332438"/>
    <w:rsid w:val="00343A83"/>
    <w:rsid w:val="0035304D"/>
    <w:rsid w:val="0035729F"/>
    <w:rsid w:val="003578FC"/>
    <w:rsid w:val="00363ABE"/>
    <w:rsid w:val="00370566"/>
    <w:rsid w:val="0037416E"/>
    <w:rsid w:val="0038054D"/>
    <w:rsid w:val="003945EB"/>
    <w:rsid w:val="00396D11"/>
    <w:rsid w:val="003A6F42"/>
    <w:rsid w:val="003B6465"/>
    <w:rsid w:val="003B666C"/>
    <w:rsid w:val="003B6E1E"/>
    <w:rsid w:val="003C7441"/>
    <w:rsid w:val="003D2919"/>
    <w:rsid w:val="003D5843"/>
    <w:rsid w:val="003D7E8E"/>
    <w:rsid w:val="003F6DD0"/>
    <w:rsid w:val="003F74BB"/>
    <w:rsid w:val="00411C4F"/>
    <w:rsid w:val="00413BB0"/>
    <w:rsid w:val="00416049"/>
    <w:rsid w:val="00445746"/>
    <w:rsid w:val="00445BB4"/>
    <w:rsid w:val="00457A95"/>
    <w:rsid w:val="00473805"/>
    <w:rsid w:val="0048018A"/>
    <w:rsid w:val="00482A5A"/>
    <w:rsid w:val="0048313A"/>
    <w:rsid w:val="004844E3"/>
    <w:rsid w:val="00494705"/>
    <w:rsid w:val="00496F32"/>
    <w:rsid w:val="004A3A9D"/>
    <w:rsid w:val="004C55B4"/>
    <w:rsid w:val="004D4EC7"/>
    <w:rsid w:val="004E7D65"/>
    <w:rsid w:val="004F235A"/>
    <w:rsid w:val="004F3976"/>
    <w:rsid w:val="00511B84"/>
    <w:rsid w:val="00511BA5"/>
    <w:rsid w:val="00512A56"/>
    <w:rsid w:val="00523A0D"/>
    <w:rsid w:val="00536101"/>
    <w:rsid w:val="005474DB"/>
    <w:rsid w:val="00561A06"/>
    <w:rsid w:val="005726C9"/>
    <w:rsid w:val="00581E60"/>
    <w:rsid w:val="00596ADA"/>
    <w:rsid w:val="00597062"/>
    <w:rsid w:val="005A1CE1"/>
    <w:rsid w:val="005A29F5"/>
    <w:rsid w:val="005B2161"/>
    <w:rsid w:val="005B7915"/>
    <w:rsid w:val="005C0D99"/>
    <w:rsid w:val="005D18D0"/>
    <w:rsid w:val="005D292E"/>
    <w:rsid w:val="005E37C6"/>
    <w:rsid w:val="00601612"/>
    <w:rsid w:val="00616B41"/>
    <w:rsid w:val="006278BB"/>
    <w:rsid w:val="00631FC8"/>
    <w:rsid w:val="006561C4"/>
    <w:rsid w:val="0067134A"/>
    <w:rsid w:val="006956AB"/>
    <w:rsid w:val="006A6296"/>
    <w:rsid w:val="006A7B09"/>
    <w:rsid w:val="006B30B0"/>
    <w:rsid w:val="006C7B33"/>
    <w:rsid w:val="006D345F"/>
    <w:rsid w:val="006F4FDC"/>
    <w:rsid w:val="006F5BB4"/>
    <w:rsid w:val="006F5E60"/>
    <w:rsid w:val="00703FFF"/>
    <w:rsid w:val="00707EA1"/>
    <w:rsid w:val="0072459D"/>
    <w:rsid w:val="00726451"/>
    <w:rsid w:val="00734CA9"/>
    <w:rsid w:val="00740145"/>
    <w:rsid w:val="00766DF5"/>
    <w:rsid w:val="00767645"/>
    <w:rsid w:val="007758D3"/>
    <w:rsid w:val="00786E99"/>
    <w:rsid w:val="0079053A"/>
    <w:rsid w:val="007A0787"/>
    <w:rsid w:val="007A4933"/>
    <w:rsid w:val="007A7E8C"/>
    <w:rsid w:val="007B5C95"/>
    <w:rsid w:val="007C1B2A"/>
    <w:rsid w:val="007C26E9"/>
    <w:rsid w:val="007D08F5"/>
    <w:rsid w:val="007E7F79"/>
    <w:rsid w:val="00800697"/>
    <w:rsid w:val="00805A48"/>
    <w:rsid w:val="0080799D"/>
    <w:rsid w:val="00824C84"/>
    <w:rsid w:val="0083144B"/>
    <w:rsid w:val="00832069"/>
    <w:rsid w:val="00833D32"/>
    <w:rsid w:val="00833FB8"/>
    <w:rsid w:val="0084093E"/>
    <w:rsid w:val="008468BD"/>
    <w:rsid w:val="0084730E"/>
    <w:rsid w:val="008525E1"/>
    <w:rsid w:val="00852D7D"/>
    <w:rsid w:val="00855342"/>
    <w:rsid w:val="00866044"/>
    <w:rsid w:val="008876E3"/>
    <w:rsid w:val="00887CFD"/>
    <w:rsid w:val="00891699"/>
    <w:rsid w:val="00891A26"/>
    <w:rsid w:val="008D123F"/>
    <w:rsid w:val="008E008C"/>
    <w:rsid w:val="008E1467"/>
    <w:rsid w:val="008F5A34"/>
    <w:rsid w:val="008F71B1"/>
    <w:rsid w:val="00902D3D"/>
    <w:rsid w:val="00921990"/>
    <w:rsid w:val="0093259A"/>
    <w:rsid w:val="00933437"/>
    <w:rsid w:val="0094175F"/>
    <w:rsid w:val="009448A2"/>
    <w:rsid w:val="009473D1"/>
    <w:rsid w:val="00961D5B"/>
    <w:rsid w:val="009631E4"/>
    <w:rsid w:val="00965F81"/>
    <w:rsid w:val="0098530D"/>
    <w:rsid w:val="009A1AC9"/>
    <w:rsid w:val="009A57A0"/>
    <w:rsid w:val="009B022C"/>
    <w:rsid w:val="009C456F"/>
    <w:rsid w:val="009F191F"/>
    <w:rsid w:val="009F6EA1"/>
    <w:rsid w:val="00A10E1B"/>
    <w:rsid w:val="00A203FD"/>
    <w:rsid w:val="00A4293C"/>
    <w:rsid w:val="00A534C9"/>
    <w:rsid w:val="00A53607"/>
    <w:rsid w:val="00A56BA5"/>
    <w:rsid w:val="00A5701F"/>
    <w:rsid w:val="00A60344"/>
    <w:rsid w:val="00A6324E"/>
    <w:rsid w:val="00A709A1"/>
    <w:rsid w:val="00A72780"/>
    <w:rsid w:val="00A76742"/>
    <w:rsid w:val="00A94AE8"/>
    <w:rsid w:val="00AB6DCF"/>
    <w:rsid w:val="00AD06A6"/>
    <w:rsid w:val="00AE1FA2"/>
    <w:rsid w:val="00AE4C17"/>
    <w:rsid w:val="00AE79CA"/>
    <w:rsid w:val="00AF0A5A"/>
    <w:rsid w:val="00AF7B80"/>
    <w:rsid w:val="00B1613B"/>
    <w:rsid w:val="00B21F1F"/>
    <w:rsid w:val="00B30317"/>
    <w:rsid w:val="00B4178D"/>
    <w:rsid w:val="00B51A9A"/>
    <w:rsid w:val="00B53044"/>
    <w:rsid w:val="00B8417C"/>
    <w:rsid w:val="00B8708C"/>
    <w:rsid w:val="00B923DC"/>
    <w:rsid w:val="00BA0B3B"/>
    <w:rsid w:val="00BA457A"/>
    <w:rsid w:val="00BB01A1"/>
    <w:rsid w:val="00BC5201"/>
    <w:rsid w:val="00BD0D89"/>
    <w:rsid w:val="00BD4380"/>
    <w:rsid w:val="00C06589"/>
    <w:rsid w:val="00C11051"/>
    <w:rsid w:val="00C12B91"/>
    <w:rsid w:val="00C16B56"/>
    <w:rsid w:val="00C16CAF"/>
    <w:rsid w:val="00C20778"/>
    <w:rsid w:val="00C265C2"/>
    <w:rsid w:val="00C4622E"/>
    <w:rsid w:val="00C51F68"/>
    <w:rsid w:val="00C53655"/>
    <w:rsid w:val="00C5486D"/>
    <w:rsid w:val="00C702AC"/>
    <w:rsid w:val="00C71C4A"/>
    <w:rsid w:val="00C96DD9"/>
    <w:rsid w:val="00CA45E8"/>
    <w:rsid w:val="00CA541E"/>
    <w:rsid w:val="00CB0CD0"/>
    <w:rsid w:val="00CB3B19"/>
    <w:rsid w:val="00CB6ADE"/>
    <w:rsid w:val="00CB714F"/>
    <w:rsid w:val="00CD03B2"/>
    <w:rsid w:val="00CD5EF6"/>
    <w:rsid w:val="00CE0381"/>
    <w:rsid w:val="00CE25FD"/>
    <w:rsid w:val="00CE7AA4"/>
    <w:rsid w:val="00CF1FAB"/>
    <w:rsid w:val="00CF45DC"/>
    <w:rsid w:val="00D10F97"/>
    <w:rsid w:val="00D152DB"/>
    <w:rsid w:val="00D179D0"/>
    <w:rsid w:val="00D20F2F"/>
    <w:rsid w:val="00D31FEA"/>
    <w:rsid w:val="00D34346"/>
    <w:rsid w:val="00D37836"/>
    <w:rsid w:val="00D40E95"/>
    <w:rsid w:val="00D70679"/>
    <w:rsid w:val="00D7261F"/>
    <w:rsid w:val="00D74E5F"/>
    <w:rsid w:val="00D8448B"/>
    <w:rsid w:val="00D84E4C"/>
    <w:rsid w:val="00D869F0"/>
    <w:rsid w:val="00D92794"/>
    <w:rsid w:val="00D92A93"/>
    <w:rsid w:val="00D94E25"/>
    <w:rsid w:val="00D95F2B"/>
    <w:rsid w:val="00DA2A0B"/>
    <w:rsid w:val="00DA58ED"/>
    <w:rsid w:val="00DA6566"/>
    <w:rsid w:val="00DD5E9D"/>
    <w:rsid w:val="00DE0142"/>
    <w:rsid w:val="00DE40CE"/>
    <w:rsid w:val="00DF00BE"/>
    <w:rsid w:val="00E00F5C"/>
    <w:rsid w:val="00E06A1A"/>
    <w:rsid w:val="00E06C7B"/>
    <w:rsid w:val="00E21C82"/>
    <w:rsid w:val="00E31EAB"/>
    <w:rsid w:val="00E3355B"/>
    <w:rsid w:val="00E36222"/>
    <w:rsid w:val="00E36F1B"/>
    <w:rsid w:val="00E36F67"/>
    <w:rsid w:val="00E404BD"/>
    <w:rsid w:val="00E470EE"/>
    <w:rsid w:val="00E612DA"/>
    <w:rsid w:val="00E70AAF"/>
    <w:rsid w:val="00E71131"/>
    <w:rsid w:val="00E76C88"/>
    <w:rsid w:val="00E76C89"/>
    <w:rsid w:val="00E81196"/>
    <w:rsid w:val="00E90661"/>
    <w:rsid w:val="00EA34BF"/>
    <w:rsid w:val="00EB399A"/>
    <w:rsid w:val="00EB545B"/>
    <w:rsid w:val="00EB5EBA"/>
    <w:rsid w:val="00ED21F7"/>
    <w:rsid w:val="00ED2E03"/>
    <w:rsid w:val="00ED6C0B"/>
    <w:rsid w:val="00ED6D52"/>
    <w:rsid w:val="00EE4F05"/>
    <w:rsid w:val="00EE6789"/>
    <w:rsid w:val="00EF1F37"/>
    <w:rsid w:val="00F27F90"/>
    <w:rsid w:val="00F3664C"/>
    <w:rsid w:val="00F41D34"/>
    <w:rsid w:val="00F54160"/>
    <w:rsid w:val="00F573C1"/>
    <w:rsid w:val="00F61C4B"/>
    <w:rsid w:val="00F64AFC"/>
    <w:rsid w:val="00F70670"/>
    <w:rsid w:val="00FB08BB"/>
    <w:rsid w:val="00FC2675"/>
    <w:rsid w:val="00FE5B94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F518A-969D-4342-8A24-1FC0C90A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D18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D18D0"/>
    <w:rPr>
      <w:color w:val="0000FF"/>
      <w:u w:val="single"/>
    </w:rPr>
  </w:style>
  <w:style w:type="paragraph" w:styleId="a3">
    <w:name w:val="footnote text"/>
    <w:basedOn w:val="a"/>
    <w:link w:val="a4"/>
    <w:uiPriority w:val="99"/>
    <w:semiHidden/>
    <w:unhideWhenUsed/>
    <w:rsid w:val="00343A83"/>
    <w:pPr>
      <w:widowControl w:val="0"/>
      <w:spacing w:after="0" w:line="240" w:lineRule="auto"/>
      <w:ind w:left="340"/>
      <w:contextualSpacing/>
      <w:jc w:val="both"/>
    </w:pPr>
    <w:rPr>
      <w:rFonts w:ascii="David" w:eastAsia="Calibri" w:hAnsi="David" w:cs="David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343A83"/>
    <w:rPr>
      <w:rFonts w:ascii="David" w:eastAsia="Calibri" w:hAnsi="David" w:cs="David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3A83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5A29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29F5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5A29F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29F5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5A29F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29F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5A29F5"/>
    <w:rPr>
      <w:rFonts w:ascii="Tahoma" w:hAnsi="Tahoma" w:cs="Tahoma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5A29F5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סיום תו"/>
    <w:basedOn w:val="a0"/>
    <w:link w:val="ad"/>
    <w:uiPriority w:val="99"/>
    <w:semiHidden/>
    <w:rsid w:val="005A29F5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A2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/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 baseline="0">
                <a:solidFill>
                  <a:schemeClr val="tx1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 משקי בית וסה"כ עסקים </a:t>
            </a:r>
            <a:endParaRPr lang="en-US" sz="140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2823772770977881"/>
          <c:y val="2.388772409365989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911423349793221E-2"/>
          <c:y val="0.1478055460458747"/>
          <c:w val="0.88143463482599471"/>
          <c:h val="0.55500334197355761"/>
        </c:manualLayout>
      </c:layout>
      <c:lineChart>
        <c:grouping val="standard"/>
        <c:varyColors val="0"/>
        <c:ser>
          <c:idx val="0"/>
          <c:order val="0"/>
          <c:tx>
            <c:strRef>
              <c:f>'T:\ISD\פרויקטים משותפים - 7\סקר קציני אשראי\2024Q4\דיווח לציבור\[עותק של עותק של גרפים ידני.xlsx]גרף 1 - שינוי בביקוש לאשראי '!$B$4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'!$C$4:$H$4</c:f>
              <c:numCache>
                <c:formatCode>General</c:formatCode>
                <c:ptCount val="6"/>
                <c:pt idx="0">
                  <c:v>48.888059116097779</c:v>
                </c:pt>
                <c:pt idx="1">
                  <c:v>47.538175828704922</c:v>
                </c:pt>
                <c:pt idx="2">
                  <c:v>24.742823519951543</c:v>
                </c:pt>
                <c:pt idx="3">
                  <c:v>12.346153461312346</c:v>
                </c:pt>
                <c:pt idx="4">
                  <c:v>-21.752485331100001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AF-4BDF-842D-07974CCFE9D0}"/>
            </c:ext>
          </c:extLst>
        </c:ser>
        <c:ser>
          <c:idx val="1"/>
          <c:order val="1"/>
          <c:tx>
            <c:strRef>
              <c:f>'T:\ISD\פרויקטים משותפים - 7\סקר קציני אשראי\2024Q4\דיווח לציבור\[עותק של עותק של גרפים ידני.xlsx]גרף 1 - שינוי בביקוש לאשראי '!$B$5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'!$C$5:$H$5</c:f>
              <c:numCache>
                <c:formatCode>General</c:formatCode>
                <c:ptCount val="6"/>
                <c:pt idx="0">
                  <c:v>33.916860796901751</c:v>
                </c:pt>
                <c:pt idx="1">
                  <c:v>-25.405358684950812</c:v>
                </c:pt>
                <c:pt idx="2">
                  <c:v>13.135229482573729</c:v>
                </c:pt>
                <c:pt idx="3">
                  <c:v>-3.0185925688909441</c:v>
                </c:pt>
                <c:pt idx="4">
                  <c:v>4.1263618851999997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AF-4BDF-842D-07974CCFE9D0}"/>
            </c:ext>
          </c:extLst>
        </c:ser>
        <c:ser>
          <c:idx val="2"/>
          <c:order val="2"/>
          <c:tx>
            <c:strRef>
              <c:f>'T:\ISD\פרויקטים משותפים - 7\סקר קציני אשראי\2024Q4\דיווח לציבור\[עותק של עותק של גרפים ידני.xlsx]גרף 1 - שינוי בביקוש לאשראי '!$B$6</c:f>
              <c:strCache>
                <c:ptCount val="1"/>
                <c:pt idx="0">
                  <c:v>עסקים - סך הכל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'!$C$6:$H$6</c:f>
              <c:numCache>
                <c:formatCode>General</c:formatCode>
                <c:ptCount val="6"/>
                <c:pt idx="0">
                  <c:v>-33.4</c:v>
                </c:pt>
                <c:pt idx="1">
                  <c:v>0</c:v>
                </c:pt>
                <c:pt idx="2">
                  <c:v>0</c:v>
                </c:pt>
                <c:pt idx="3">
                  <c:v>0.54262305339565897</c:v>
                </c:pt>
                <c:pt idx="4">
                  <c:v>-25.643322936800001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AF-4BDF-842D-07974CCFE9D0}"/>
            </c:ext>
          </c:extLst>
        </c:ser>
        <c:ser>
          <c:idx val="3"/>
          <c:order val="3"/>
          <c:tx>
            <c:strRef>
              <c:f>'T:\ISD\פרויקטים משותפים - 7\סקר קציני אשראי\2024Q4\דיווח לציבור\[עותק של עותק של גרפים ידני.xlsx]גרף 1 - שינוי בביקוש לאשראי '!$B$7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rgbClr val="008DA3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'!$C$7:$H$7</c:f>
              <c:numCache>
                <c:formatCode>General</c:formatCode>
                <c:ptCount val="6"/>
                <c:pt idx="4">
                  <c:v>-21.752485331100001</c:v>
                </c:pt>
                <c:pt idx="5">
                  <c:v>20.449053062899999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AF-4BDF-842D-07974CCFE9D0}"/>
            </c:ext>
          </c:extLst>
        </c:ser>
        <c:ser>
          <c:idx val="4"/>
          <c:order val="4"/>
          <c:tx>
            <c:strRef>
              <c:f>'T:\ISD\פרויקטים משותפים - 7\סקר קציני אשראי\2024Q4\דיווח לציבור\[עותק של עותק של גרפים ידני.xlsx]גרף 1 - שינוי בביקוש לאשראי '!$B$8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5"/>
              </a:solidFill>
              <a:prstDash val="dashDot"/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dPt>
            <c:idx val="5"/>
            <c:bubble3D val="0"/>
            <c:spPr>
              <a:ln w="28575" cap="rnd">
                <a:solidFill>
                  <a:srgbClr val="D98D2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EAF-4BDF-842D-07974CCFE9D0}"/>
              </c:ext>
            </c:extLst>
          </c:dPt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'!$C$8:$H$8</c:f>
              <c:numCache>
                <c:formatCode>General</c:formatCode>
                <c:ptCount val="6"/>
                <c:pt idx="4">
                  <c:v>4.1263618851999997</c:v>
                </c:pt>
                <c:pt idx="5">
                  <c:v>27.393284505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EAF-4BDF-842D-07974CCFE9D0}"/>
            </c:ext>
          </c:extLst>
        </c:ser>
        <c:ser>
          <c:idx val="5"/>
          <c:order val="5"/>
          <c:tx>
            <c:strRef>
              <c:f>'T:\ISD\פרויקטים משותפים - 7\סקר קציני אשראי\2024Q4\דיווח לציבור\[עותק של עותק של גרפים ידני.xlsx]גרף 1 - שינוי בביקוש לאשראי '!$B$9</c:f>
              <c:strCache>
                <c:ptCount val="1"/>
                <c:pt idx="0">
                  <c:v>עסקים - סך הכל</c:v>
                </c:pt>
              </c:strCache>
            </c:strRef>
          </c:tx>
          <c:spPr>
            <a:ln w="28575" cap="rnd">
              <a:solidFill>
                <a:srgbClr val="6C63FF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'!$C$9:$H$9</c:f>
              <c:numCache>
                <c:formatCode>General</c:formatCode>
                <c:ptCount val="6"/>
                <c:pt idx="4">
                  <c:v>-25.643322936800001</c:v>
                </c:pt>
                <c:pt idx="5">
                  <c:v>14.8848877601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EAF-4BDF-842D-07974CCFE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521152"/>
        <c:axId val="111535616"/>
      </c:lineChart>
      <c:catAx>
        <c:axId val="11152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1535616"/>
        <c:crossesAt val="-100"/>
        <c:auto val="1"/>
        <c:lblAlgn val="ctr"/>
        <c:lblOffset val="100"/>
        <c:noMultiLvlLbl val="0"/>
      </c:catAx>
      <c:valAx>
        <c:axId val="111535616"/>
        <c:scaling>
          <c:orientation val="minMax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152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6.6536818965866482E-2"/>
          <c:y val="0.8889595504191008"/>
          <c:w val="0.73424290688278115"/>
          <c:h val="8.6846901193802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chemeClr val="tx1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עסקים לפי גודל עסק וענפי הבינוי והנדל"ן</a:t>
            </a:r>
            <a:endParaRPr lang="en-US" sz="140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37272862852066629"/>
          <c:y val="3.5878769870747278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1773064371010423E-2"/>
          <c:y val="0.1388888888888889"/>
          <c:w val="0.86695722152967347"/>
          <c:h val="0.5548367323649761"/>
        </c:manualLayout>
      </c:layout>
      <c:lineChart>
        <c:grouping val="standard"/>
        <c:varyColors val="0"/>
        <c:ser>
          <c:idx val="0"/>
          <c:order val="0"/>
          <c:tx>
            <c:strRef>
              <c:f>'T:\ISD\פרויקטים משותפים - 7\סקר קציני אשראי\2024Q4\דיווח לציבור\[עותק של עותק של גרפים ידני.xlsx]גרף 1 - שינוי בביקוש לאשראי '!$Q$4</c:f>
              <c:strCache>
                <c:ptCount val="1"/>
                <c:pt idx="0">
                  <c:v>עסקים זעירים וקטנים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'!$R$4:$W$4</c:f>
              <c:numCache>
                <c:formatCode>General</c:formatCode>
                <c:ptCount val="6"/>
                <c:pt idx="0">
                  <c:v>29.569823856954837</c:v>
                </c:pt>
                <c:pt idx="1">
                  <c:v>56.930939943172277</c:v>
                </c:pt>
                <c:pt idx="2">
                  <c:v>8.7490614426825015</c:v>
                </c:pt>
                <c:pt idx="3">
                  <c:v>14.450496214740999</c:v>
                </c:pt>
                <c:pt idx="4">
                  <c:v>31.675195576099998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24-4BFC-8D8B-60E377803EFD}"/>
            </c:ext>
          </c:extLst>
        </c:ser>
        <c:ser>
          <c:idx val="1"/>
          <c:order val="1"/>
          <c:tx>
            <c:strRef>
              <c:f>'T:\ISD\פרויקטים משותפים - 7\סקר קציני אשראי\2024Q4\דיווח לציבור\[עותק של עותק של גרפים ידני.xlsx]גרף 1 - שינוי בביקוש לאשראי '!$Q$5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357C3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357C32"/>
              </a:solidFill>
              <a:ln w="9525">
                <a:solidFill>
                  <a:srgbClr val="357C32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'!$R$5:$W$5</c:f>
              <c:numCache>
                <c:formatCode>General</c:formatCode>
                <c:ptCount val="6"/>
                <c:pt idx="0">
                  <c:v>-32.983328747967015</c:v>
                </c:pt>
                <c:pt idx="1">
                  <c:v>34.783672077965214</c:v>
                </c:pt>
                <c:pt idx="2">
                  <c:v>35.081598319350817</c:v>
                </c:pt>
                <c:pt idx="3">
                  <c:v>3.3786240640067571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24-4BFC-8D8B-60E377803EFD}"/>
            </c:ext>
          </c:extLst>
        </c:ser>
        <c:ser>
          <c:idx val="2"/>
          <c:order val="2"/>
          <c:tx>
            <c:strRef>
              <c:f>'T:\ISD\פרויקטים משותפים - 7\סקר קציני אשראי\2024Q4\דיווח לציבור\[עותק של עותק של גרפים ידני.xlsx]גרף 1 - שינוי בביקוש לאשראי '!$Q$6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'!$R$6:$W$6</c:f>
              <c:numCache>
                <c:formatCode>General</c:formatCode>
                <c:ptCount val="6"/>
                <c:pt idx="0">
                  <c:v>-52.700357952258102</c:v>
                </c:pt>
                <c:pt idx="1">
                  <c:v>0</c:v>
                </c:pt>
                <c:pt idx="2">
                  <c:v>1.4931210104955206</c:v>
                </c:pt>
                <c:pt idx="3">
                  <c:v>0</c:v>
                </c:pt>
                <c:pt idx="4">
                  <c:v>-29.3937070807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24-4BFC-8D8B-60E377803EFD}"/>
            </c:ext>
          </c:extLst>
        </c:ser>
        <c:ser>
          <c:idx val="3"/>
          <c:order val="3"/>
          <c:tx>
            <c:strRef>
              <c:f>'T:\ISD\פרויקטים משותפים - 7\סקר קציני אשראי\2024Q4\דיווח לציבור\[עותק של עותק של גרפים ידני.xlsx]גרף 1 - שינוי בביקוש לאשראי '!$Q$7</c:f>
              <c:strCache>
                <c:ptCount val="1"/>
                <c:pt idx="0">
                  <c:v>ענף הבינוי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'!$R$7:$W$7</c:f>
              <c:numCache>
                <c:formatCode>General</c:formatCode>
                <c:ptCount val="6"/>
                <c:pt idx="0">
                  <c:v>-7.3938900949778184</c:v>
                </c:pt>
                <c:pt idx="1">
                  <c:v>28.337336286999999</c:v>
                </c:pt>
                <c:pt idx="2">
                  <c:v>48.124578623855626</c:v>
                </c:pt>
                <c:pt idx="3">
                  <c:v>0</c:v>
                </c:pt>
                <c:pt idx="4">
                  <c:v>-28.749985218199999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C24-4BFC-8D8B-60E377803EFD}"/>
            </c:ext>
          </c:extLst>
        </c:ser>
        <c:ser>
          <c:idx val="4"/>
          <c:order val="4"/>
          <c:tx>
            <c:strRef>
              <c:f>'T:\ISD\פרויקטים משותפים - 7\סקר קציני אשראי\2024Q4\דיווח לציבור\[עותק של עותק של גרפים ידני.xlsx]גרף 1 - שינוי בביקוש לאשראי '!$Q$8</c:f>
              <c:strCache>
                <c:ptCount val="1"/>
                <c:pt idx="0">
                  <c:v>ענף הנדל"ן</c:v>
                </c:pt>
              </c:strCache>
            </c:strRef>
          </c:tx>
          <c:spPr>
            <a:ln w="28575" cap="rnd">
              <a:solidFill>
                <a:srgbClr val="2E2A7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2E2A74"/>
              </a:solidFill>
              <a:ln w="9525">
                <a:solidFill>
                  <a:srgbClr val="2E2A74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'!$R$8:$W$8</c:f>
              <c:numCache>
                <c:formatCode>General</c:formatCode>
                <c:ptCount val="6"/>
                <c:pt idx="0">
                  <c:v>-40.600966908162405</c:v>
                </c:pt>
                <c:pt idx="1">
                  <c:v>0</c:v>
                </c:pt>
                <c:pt idx="2">
                  <c:v>3.7403553282074808</c:v>
                </c:pt>
                <c:pt idx="3">
                  <c:v>-36.911376615910697</c:v>
                </c:pt>
                <c:pt idx="4">
                  <c:v>-30.668856992199999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C24-4BFC-8D8B-60E377803EFD}"/>
            </c:ext>
          </c:extLst>
        </c:ser>
        <c:ser>
          <c:idx val="5"/>
          <c:order val="5"/>
          <c:tx>
            <c:strRef>
              <c:f>'T:\ISD\פרויקטים משותפים - 7\סקר קציני אשראי\2024Q4\דיווח לציבור\[עותק של עותק של גרפים ידני.xlsx]גרף 1 - שינוי בביקוש לאשראי '!$Q$9</c:f>
              <c:strCache>
                <c:ptCount val="1"/>
                <c:pt idx="0">
                  <c:v>אשראי לעסקים זעירים וקטנים</c:v>
                </c:pt>
              </c:strCache>
            </c:strRef>
          </c:tx>
          <c:spPr>
            <a:ln w="28575" cap="rnd">
              <a:solidFill>
                <a:srgbClr val="008DA3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'!$R$9:$W$9</c:f>
              <c:numCache>
                <c:formatCode>General</c:formatCode>
                <c:ptCount val="6"/>
                <c:pt idx="4">
                  <c:v>31.675195576099998</c:v>
                </c:pt>
                <c:pt idx="5">
                  <c:v>53.631289998699998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C24-4BFC-8D8B-60E377803EFD}"/>
            </c:ext>
          </c:extLst>
        </c:ser>
        <c:ser>
          <c:idx val="6"/>
          <c:order val="6"/>
          <c:tx>
            <c:strRef>
              <c:f>'T:\ISD\פרויקטים משותפים - 7\סקר קציני אשראי\2024Q4\דיווח לציבור\[עותק של עותק של גרפים ידני.xlsx]גרף 1 - שינוי בביקוש לאשראי '!$Q$10</c:f>
              <c:strCache>
                <c:ptCount val="1"/>
                <c:pt idx="0">
                  <c:v>אשראי לעסקים בינוניים</c:v>
                </c:pt>
              </c:strCache>
            </c:strRef>
          </c:tx>
          <c:spPr>
            <a:ln w="28575" cap="rnd">
              <a:solidFill>
                <a:srgbClr val="357C3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357C32"/>
              </a:solidFill>
              <a:ln w="9525">
                <a:solidFill>
                  <a:srgbClr val="357C32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'!$R$10:$W$10</c:f>
              <c:numCache>
                <c:formatCode>General</c:formatCode>
                <c:ptCount val="6"/>
                <c:pt idx="4">
                  <c:v>0</c:v>
                </c:pt>
                <c:pt idx="5">
                  <c:v>17.598248346399998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C24-4BFC-8D8B-60E377803EFD}"/>
            </c:ext>
          </c:extLst>
        </c:ser>
        <c:ser>
          <c:idx val="7"/>
          <c:order val="7"/>
          <c:tx>
            <c:strRef>
              <c:f>'T:\ISD\פרויקטים משותפים - 7\סקר קציני אשראי\2024Q4\דיווח לציבור\[עותק של עותק של גרפים ידני.xlsx]גרף 1 - שינוי בביקוש לאשראי '!$Q$11</c:f>
              <c:strCache>
                <c:ptCount val="1"/>
                <c:pt idx="0">
                  <c:v>אשראי לעסקים גדולים</c:v>
                </c:pt>
              </c:strCache>
            </c:strRef>
          </c:tx>
          <c:spPr>
            <a:ln w="28575" cap="rnd">
              <a:solidFill>
                <a:srgbClr val="D98D25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'!$R$11:$W$11</c:f>
              <c:numCache>
                <c:formatCode>General</c:formatCode>
                <c:ptCount val="6"/>
                <c:pt idx="4">
                  <c:v>-29.3937070807</c:v>
                </c:pt>
                <c:pt idx="5">
                  <c:v>9.1834067924999996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C24-4BFC-8D8B-60E377803EFD}"/>
            </c:ext>
          </c:extLst>
        </c:ser>
        <c:ser>
          <c:idx val="8"/>
          <c:order val="8"/>
          <c:tx>
            <c:strRef>
              <c:f>'T:\ISD\פרויקטים משותפים - 7\סקר קציני אשראי\2024Q4\דיווח לציבור\[עותק של עותק של גרפים ידני.xlsx]גרף 1 - שינוי בביקוש לאשראי '!$Q$12</c:f>
              <c:strCache>
                <c:ptCount val="1"/>
                <c:pt idx="0">
                  <c:v>אשראי לענף הבינוי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'!$R$12:$W$12</c:f>
              <c:numCache>
                <c:formatCode>General</c:formatCode>
                <c:ptCount val="6"/>
                <c:pt idx="4">
                  <c:v>-28.749985218199999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C24-4BFC-8D8B-60E377803EFD}"/>
            </c:ext>
          </c:extLst>
        </c:ser>
        <c:ser>
          <c:idx val="9"/>
          <c:order val="9"/>
          <c:tx>
            <c:strRef>
              <c:f>'T:\ISD\פרויקטים משותפים - 7\סקר קציני אשראי\2024Q4\דיווח לציבור\[עותק של עותק של גרפים ידני.xlsx]גרף 1 - שינוי בביקוש לאשראי '!$Q$13</c:f>
              <c:strCache>
                <c:ptCount val="1"/>
                <c:pt idx="0">
                  <c:v>אשראי לענף הנדל"ן</c:v>
                </c:pt>
              </c:strCache>
            </c:strRef>
          </c:tx>
          <c:spPr>
            <a:ln w="28575" cap="rnd">
              <a:solidFill>
                <a:srgbClr val="0D2B3B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2E2A74"/>
              </a:solidFill>
              <a:ln w="9525">
                <a:solidFill>
                  <a:srgbClr val="0D2B3B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'!$R$13:$W$13</c:f>
              <c:numCache>
                <c:formatCode>General</c:formatCode>
                <c:ptCount val="6"/>
                <c:pt idx="4">
                  <c:v>-30.668856992199999</c:v>
                </c:pt>
                <c:pt idx="5">
                  <c:v>-30.668856992199999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C24-4BFC-8D8B-60E377803E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949312"/>
        <c:axId val="111951232"/>
      </c:lineChart>
      <c:catAx>
        <c:axId val="11194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1951232"/>
        <c:crossesAt val="-100"/>
        <c:auto val="0"/>
        <c:lblAlgn val="ctr"/>
        <c:lblOffset val="100"/>
        <c:noMultiLvlLbl val="0"/>
      </c:catAx>
      <c:valAx>
        <c:axId val="111951232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19493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l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1.055658590697198E-2"/>
          <c:y val="0.86490047439722206"/>
          <c:w val="0.97630211114283283"/>
          <c:h val="0.135099421472839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2!גרף 2 א 5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circle"/>
          <c:size val="5"/>
          <c:spPr>
            <a:noFill/>
            <a:ln w="9525">
              <a:noFill/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circle"/>
          <c:size val="5"/>
          <c:spPr>
            <a:noFill/>
            <a:ln w="9525">
              <a:noFill/>
            </a:ln>
            <a:effectLst/>
          </c:spPr>
        </c:marker>
      </c:pivotFmt>
      <c:pivotFmt>
        <c:idx val="9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circle"/>
          <c:size val="5"/>
          <c:spPr>
            <a:noFill/>
            <a:ln w="9525">
              <a:noFill/>
            </a:ln>
            <a:effectLst/>
          </c:spPr>
        </c:marker>
      </c:pivotFmt>
      <c:pivotFmt>
        <c:idx val="13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circle"/>
          <c:size val="5"/>
          <c:spPr>
            <a:noFill/>
            <a:ln w="9525">
              <a:noFill/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7.1050694000257875E-2"/>
          <c:y val="7.4982026703183838E-2"/>
          <c:w val="0.91686650846239826"/>
          <c:h val="0.63624415154627412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'טבלאות תרשים 2'!$AP$3:$AP$4</c:f>
              <c:strCache>
                <c:ptCount val="1"/>
                <c:pt idx="0">
                  <c:v>מטרת האשראי או המניע לאשראי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2'!$AN$5:$AN$11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2'!$AP$5:$AP$11</c:f>
              <c:numCache>
                <c:formatCode>General</c:formatCode>
                <c:ptCount val="5"/>
                <c:pt idx="0">
                  <c:v>-7.8473284545313895</c:v>
                </c:pt>
                <c:pt idx="1">
                  <c:v>-7.8476849108078479</c:v>
                </c:pt>
                <c:pt idx="2">
                  <c:v>-0.76841989764153684</c:v>
                </c:pt>
                <c:pt idx="3">
                  <c:v>-2.4133376123272399</c:v>
                </c:pt>
                <c:pt idx="4">
                  <c:v>0.54958361796329747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9E-4557-958F-7C5B392E9C50}"/>
            </c:ext>
          </c:extLst>
        </c:ser>
        <c:ser>
          <c:idx val="2"/>
          <c:order val="2"/>
          <c:tx>
            <c:strRef>
              <c:f>'טבלאות תרשים 2'!$AQ$3:$AQ$4</c:f>
              <c:strCache>
                <c:ptCount val="1"/>
                <c:pt idx="0">
                  <c:v>רמת הריבית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2'!$AN$5:$AN$11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2'!$AQ$5:$AQ$11</c:f>
              <c:numCache>
                <c:formatCode>General</c:formatCode>
                <c:ptCount val="5"/>
                <c:pt idx="0">
                  <c:v>-60.681776831942727</c:v>
                </c:pt>
                <c:pt idx="1">
                  <c:v>-49.487985818849488</c:v>
                </c:pt>
                <c:pt idx="2">
                  <c:v>-6.0163162538120325</c:v>
                </c:pt>
                <c:pt idx="3">
                  <c:v>-6.0333440308180997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9E-4557-958F-7C5B392E9C50}"/>
            </c:ext>
          </c:extLst>
        </c:ser>
        <c:ser>
          <c:idx val="3"/>
          <c:order val="3"/>
          <c:tx>
            <c:strRef>
              <c:f>'טבלאות תרשים 2'!$AR$3:$AR$4</c:f>
              <c:strCache>
                <c:ptCount val="1"/>
                <c:pt idx="0">
                  <c:v>שימוש בחלופות מימון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2'!$AN$5:$AN$11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2'!$AR$5:$AR$11</c:f>
              <c:numCache>
                <c:formatCode>General</c:formatCode>
                <c:ptCount val="5"/>
                <c:pt idx="0">
                  <c:v>-14.241104676081964</c:v>
                </c:pt>
                <c:pt idx="1">
                  <c:v>-17.108982506867108</c:v>
                </c:pt>
                <c:pt idx="2">
                  <c:v>35.957954875021919</c:v>
                </c:pt>
                <c:pt idx="3">
                  <c:v>-1.5083360077045249</c:v>
                </c:pt>
                <c:pt idx="4">
                  <c:v>-2.2588563165635533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9E-4557-958F-7C5B392E9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2031616"/>
        <c:axId val="112050176"/>
      </c:barChart>
      <c:lineChart>
        <c:grouping val="standard"/>
        <c:varyColors val="0"/>
        <c:ser>
          <c:idx val="0"/>
          <c:order val="0"/>
          <c:tx>
            <c:strRef>
              <c:f>'טבלאות תרשים 2'!$AO$3:$AO$4</c:f>
              <c:strCache>
                <c:ptCount val="1"/>
                <c:pt idx="0">
                  <c:v>השינוי שחל בביקוש לאשראי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cat>
            <c:multiLvlStrRef>
              <c:f>'טבלאות תרשים 2'!$AN$5:$AN$11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2'!$AO$5:$AO$11</c:f>
              <c:numCache>
                <c:formatCode>General</c:formatCode>
                <c:ptCount val="5"/>
                <c:pt idx="0">
                  <c:v>-40.600966908162405</c:v>
                </c:pt>
                <c:pt idx="1">
                  <c:v>0</c:v>
                </c:pt>
                <c:pt idx="2">
                  <c:v>3.7403553282074808</c:v>
                </c:pt>
                <c:pt idx="3">
                  <c:v>-36.911376615910733</c:v>
                </c:pt>
                <c:pt idx="4">
                  <c:v>-30.668856992184015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9E-4557-958F-7C5B392E9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031616"/>
        <c:axId val="112050176"/>
      </c:lineChart>
      <c:catAx>
        <c:axId val="11203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2050176"/>
        <c:crosses val="autoZero"/>
        <c:auto val="1"/>
        <c:lblAlgn val="ctr"/>
        <c:lblOffset val="100"/>
        <c:noMultiLvlLbl val="0"/>
      </c:catAx>
      <c:valAx>
        <c:axId val="112050176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203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536859522994404"/>
          <c:w val="1"/>
          <c:h val="0.124631386193004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3!גרף 3 א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 מרווחי אשראי ב</a:t>
            </a:r>
            <a:r>
              <a:rPr lang="he-IL" sz="1400" b="0" i="0" u="none" strike="noStrike" baseline="0">
                <a:effectLst/>
              </a:rPr>
              <a:t>רמת סיכון לא גבוהה 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3109459317585304"/>
          <c:y val="1.9608839217678431E-3"/>
        </c:manualLayout>
      </c:layout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8.1872335958005249E-2"/>
          <c:y val="0.10431276598899712"/>
          <c:w val="0.85948010498687677"/>
          <c:h val="0.56705280484007292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3'!$B$3:$B$4</c:f>
              <c:strCache>
                <c:ptCount val="1"/>
                <c:pt idx="0">
                  <c:v>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3'!$B$5:$B$11</c:f>
              <c:numCache>
                <c:formatCode>General</c:formatCode>
                <c:ptCount val="5"/>
                <c:pt idx="0">
                  <c:v>-66.090939345601726</c:v>
                </c:pt>
                <c:pt idx="1">
                  <c:v>-79.580551563</c:v>
                </c:pt>
                <c:pt idx="2">
                  <c:v>-94.450527062516642</c:v>
                </c:pt>
                <c:pt idx="3">
                  <c:v>-78.647516114293239</c:v>
                </c:pt>
                <c:pt idx="4">
                  <c:v>-43.78019288336268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0F-4DE4-BBA6-6DC024CD0EC5}"/>
            </c:ext>
          </c:extLst>
        </c:ser>
        <c:ser>
          <c:idx val="1"/>
          <c:order val="1"/>
          <c:tx>
            <c:strRef>
              <c:f>'טבלאות תרשים 3'!$C$3:$C$4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3'!$C$5:$C$11</c:f>
              <c:numCache>
                <c:formatCode>General</c:formatCode>
                <c:ptCount val="5"/>
                <c:pt idx="0">
                  <c:v>-58.796929473517594</c:v>
                </c:pt>
                <c:pt idx="1">
                  <c:v>-63.531385119572938</c:v>
                </c:pt>
                <c:pt idx="2">
                  <c:v>4.8901452272706587</c:v>
                </c:pt>
                <c:pt idx="3">
                  <c:v>-7.715854731707716</c:v>
                </c:pt>
                <c:pt idx="4">
                  <c:v>43.354522974056643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0F-4DE4-BBA6-6DC024CD0EC5}"/>
            </c:ext>
          </c:extLst>
        </c:ser>
        <c:ser>
          <c:idx val="2"/>
          <c:order val="2"/>
          <c:tx>
            <c:strRef>
              <c:f>'טבלאות תרשים 3'!$D$3:$D$4</c:f>
              <c:strCache>
                <c:ptCount val="1"/>
                <c:pt idx="0">
                  <c:v>נדל"ן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3'!$D$5:$D$11</c:f>
              <c:numCache>
                <c:formatCode>General</c:formatCode>
                <c:ptCount val="5"/>
                <c:pt idx="0">
                  <c:v>-91.242610371264973</c:v>
                </c:pt>
                <c:pt idx="1">
                  <c:v>-79.838715352179833</c:v>
                </c:pt>
                <c:pt idx="2">
                  <c:v>-93.983683746187964</c:v>
                </c:pt>
                <c:pt idx="3">
                  <c:v>-85.744179676257232</c:v>
                </c:pt>
                <c:pt idx="4">
                  <c:v>-45.2001184380712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0F-4DE4-BBA6-6DC024CD0EC5}"/>
            </c:ext>
          </c:extLst>
        </c:ser>
        <c:ser>
          <c:idx val="3"/>
          <c:order val="3"/>
          <c:tx>
            <c:strRef>
              <c:f>'טבלאות תרשים 3'!$E$3:$E$4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3'!$E$5:$E$11</c:f>
              <c:numCache>
                <c:formatCode>General</c:formatCode>
                <c:ptCount val="5"/>
                <c:pt idx="0">
                  <c:v>-67.060992417932937</c:v>
                </c:pt>
                <c:pt idx="1">
                  <c:v>-73.533776930326468</c:v>
                </c:pt>
                <c:pt idx="2">
                  <c:v>-44.693977485946938</c:v>
                </c:pt>
                <c:pt idx="3">
                  <c:v>-94.407862908888816</c:v>
                </c:pt>
                <c:pt idx="4">
                  <c:v>-56.880553362244953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00F-4DE4-BBA6-6DC024CD0EC5}"/>
            </c:ext>
          </c:extLst>
        </c:ser>
        <c:ser>
          <c:idx val="4"/>
          <c:order val="4"/>
          <c:tx>
            <c:strRef>
              <c:f>'טבלאות תרשים 3'!$F$3:$F$4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3'!$F$5:$F$11</c:f>
              <c:numCache>
                <c:formatCode>General</c:formatCode>
                <c:ptCount val="5"/>
                <c:pt idx="0">
                  <c:v>-81.333262546244001</c:v>
                </c:pt>
                <c:pt idx="1">
                  <c:v>-81.278122288756165</c:v>
                </c:pt>
                <c:pt idx="2">
                  <c:v>-82.366098035252904</c:v>
                </c:pt>
                <c:pt idx="3">
                  <c:v>-90.923836095154613</c:v>
                </c:pt>
                <c:pt idx="4">
                  <c:v>-46.395600701482437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00F-4DE4-BBA6-6DC024CD0EC5}"/>
            </c:ext>
          </c:extLst>
        </c:ser>
        <c:ser>
          <c:idx val="5"/>
          <c:order val="5"/>
          <c:tx>
            <c:strRef>
              <c:f>'טבלאות תרשים 3'!$G$3:$G$4</c:f>
              <c:strCache>
                <c:ptCount val="1"/>
                <c:pt idx="0">
                  <c:v>עסקים קטנים וזעירים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3'!$G$5:$G$11</c:f>
              <c:numCache>
                <c:formatCode>General</c:formatCode>
                <c:ptCount val="5"/>
                <c:pt idx="0">
                  <c:v>-76.969999666023639</c:v>
                </c:pt>
                <c:pt idx="1">
                  <c:v>-59.69195148536123</c:v>
                </c:pt>
                <c:pt idx="2">
                  <c:v>-34.28655054213143</c:v>
                </c:pt>
                <c:pt idx="3">
                  <c:v>-75.1175800023737</c:v>
                </c:pt>
                <c:pt idx="4">
                  <c:v>25.14032274560056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00F-4DE4-BBA6-6DC024CD0EC5}"/>
            </c:ext>
          </c:extLst>
        </c:ser>
        <c:ser>
          <c:idx val="6"/>
          <c:order val="6"/>
          <c:tx>
            <c:strRef>
              <c:f>'טבלאות תרשים 3'!$H$3:$H$4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3'!$H$5:$H$11</c:f>
              <c:numCache>
                <c:formatCode>General</c:formatCode>
                <c:ptCount val="5"/>
                <c:pt idx="0">
                  <c:v>-66.581487750299743</c:v>
                </c:pt>
                <c:pt idx="1">
                  <c:v>-58.388926487116777</c:v>
                </c:pt>
                <c:pt idx="2">
                  <c:v>-35.375446285729247</c:v>
                </c:pt>
                <c:pt idx="3">
                  <c:v>-25.139798099224581</c:v>
                </c:pt>
                <c:pt idx="4">
                  <c:v>-34.252416531197241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00F-4DE4-BBA6-6DC024CD0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336704"/>
        <c:axId val="113338624"/>
      </c:lineChart>
      <c:catAx>
        <c:axId val="11333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3338624"/>
        <c:crosses val="autoZero"/>
        <c:auto val="1"/>
        <c:lblAlgn val="ctr"/>
        <c:lblOffset val="100"/>
        <c:noMultiLvlLbl val="0"/>
      </c:catAx>
      <c:valAx>
        <c:axId val="113338624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333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50708661417324E-3"/>
          <c:y val="0.85313134559478765"/>
          <c:w val="0.99454929133858272"/>
          <c:h val="0.146868654405212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3!גרף 3 ב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מרווחי אשראי ב</a:t>
            </a:r>
            <a:r>
              <a:rPr lang="he-IL" sz="1400" b="0" i="0" u="none" strike="noStrike" baseline="0">
                <a:effectLst/>
              </a:rPr>
              <a:t>רמת סיכון גבוהה 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2937270877950069"/>
          <c:y val="3.291120867956022E-3"/>
        </c:manualLayout>
      </c:layout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7.6521515707885249E-2"/>
          <c:y val="0.10431276598899712"/>
          <c:w val="0.84580482504268883"/>
          <c:h val="0.58965167489657011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3'!$L$3:$L$4</c:f>
              <c:strCache>
                <c:ptCount val="1"/>
                <c:pt idx="0">
                  <c:v>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3'!$L$5:$L$11</c:f>
              <c:numCache>
                <c:formatCode>General</c:formatCode>
                <c:ptCount val="5"/>
                <c:pt idx="0">
                  <c:v>2.184679518793446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E7-42FC-B029-14FC680B1881}"/>
            </c:ext>
          </c:extLst>
        </c:ser>
        <c:ser>
          <c:idx val="1"/>
          <c:order val="1"/>
          <c:tx>
            <c:strRef>
              <c:f>'טבלאות תרשים 3'!$M$3:$M$4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3'!$M$5:$M$11</c:f>
              <c:numCache>
                <c:formatCode>General</c:formatCode>
                <c:ptCount val="5"/>
                <c:pt idx="0">
                  <c:v>13.1497960314263</c:v>
                </c:pt>
                <c:pt idx="1">
                  <c:v>21.27471974885745</c:v>
                </c:pt>
                <c:pt idx="2">
                  <c:v>40.095033866059431</c:v>
                </c:pt>
                <c:pt idx="3">
                  <c:v>14.838501792314839</c:v>
                </c:pt>
                <c:pt idx="4">
                  <c:v>20.803049915079196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E7-42FC-B029-14FC680B1881}"/>
            </c:ext>
          </c:extLst>
        </c:ser>
        <c:ser>
          <c:idx val="2"/>
          <c:order val="2"/>
          <c:tx>
            <c:strRef>
              <c:f>'טבלאות תרשים 3'!$N$3:$N$4</c:f>
              <c:strCache>
                <c:ptCount val="1"/>
                <c:pt idx="0">
                  <c:v>נדל"ן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3'!$N$5:$N$11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4E7-42FC-B029-14FC680B1881}"/>
            </c:ext>
          </c:extLst>
        </c:ser>
        <c:ser>
          <c:idx val="3"/>
          <c:order val="3"/>
          <c:tx>
            <c:strRef>
              <c:f>'טבלאות תרשים 3'!$O$3:$O$4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3'!$O$5:$O$11</c:f>
              <c:numCache>
                <c:formatCode>General</c:formatCode>
                <c:ptCount val="5"/>
                <c:pt idx="0">
                  <c:v>49.84993038145015</c:v>
                </c:pt>
                <c:pt idx="1">
                  <c:v>43.145480247956854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4E7-42FC-B029-14FC680B1881}"/>
            </c:ext>
          </c:extLst>
        </c:ser>
        <c:ser>
          <c:idx val="4"/>
          <c:order val="4"/>
          <c:tx>
            <c:strRef>
              <c:f>'טבלאות תרשים 3'!$P$3:$P$4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3'!$P$5:$P$11</c:f>
              <c:numCache>
                <c:formatCode>General</c:formatCode>
                <c:ptCount val="5"/>
                <c:pt idx="0">
                  <c:v>10.375200383531126</c:v>
                </c:pt>
                <c:pt idx="1">
                  <c:v>8.9104081618732689</c:v>
                </c:pt>
                <c:pt idx="2">
                  <c:v>-15.425582625953723</c:v>
                </c:pt>
                <c:pt idx="3">
                  <c:v>1.4845305248074228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4E7-42FC-B029-14FC680B1881}"/>
            </c:ext>
          </c:extLst>
        </c:ser>
        <c:ser>
          <c:idx val="5"/>
          <c:order val="5"/>
          <c:tx>
            <c:strRef>
              <c:f>'טבלאות תרשים 3'!$Q$3:$Q$4</c:f>
              <c:strCache>
                <c:ptCount val="1"/>
                <c:pt idx="0">
                  <c:v>עסקים קטנים וזעירים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3'!$Q$5:$Q$11</c:f>
              <c:numCache>
                <c:formatCode>General</c:formatCode>
                <c:ptCount val="5"/>
                <c:pt idx="0">
                  <c:v>-23.958981049387507</c:v>
                </c:pt>
                <c:pt idx="1">
                  <c:v>-25.501608870897993</c:v>
                </c:pt>
                <c:pt idx="2">
                  <c:v>0</c:v>
                </c:pt>
                <c:pt idx="3">
                  <c:v>18.647281486594881</c:v>
                </c:pt>
                <c:pt idx="4">
                  <c:v>31.675195576126701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4E7-42FC-B029-14FC680B1881}"/>
            </c:ext>
          </c:extLst>
        </c:ser>
        <c:ser>
          <c:idx val="6"/>
          <c:order val="6"/>
          <c:tx>
            <c:strRef>
              <c:f>'טבלאות תרשים 3'!$R$3:$R$4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3'!$R$5:$R$11</c:f>
              <c:numCache>
                <c:formatCode>General</c:formatCode>
                <c:ptCount val="5"/>
                <c:pt idx="0">
                  <c:v>-13.927856785941783</c:v>
                </c:pt>
                <c:pt idx="1">
                  <c:v>-17.22493632453445</c:v>
                </c:pt>
                <c:pt idx="2">
                  <c:v>-8.3245190163833502</c:v>
                </c:pt>
                <c:pt idx="3">
                  <c:v>-12.140218356263579</c:v>
                </c:pt>
                <c:pt idx="4">
                  <c:v>-8.1520906022755444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4E7-42FC-B029-14FC680B18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02240"/>
        <c:axId val="113404160"/>
      </c:lineChart>
      <c:catAx>
        <c:axId val="11340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3404160"/>
        <c:crosses val="autoZero"/>
        <c:auto val="1"/>
        <c:lblAlgn val="ctr"/>
        <c:lblOffset val="100"/>
        <c:noMultiLvlLbl val="0"/>
      </c:catAx>
      <c:valAx>
        <c:axId val="113404160"/>
        <c:scaling>
          <c:orientation val="minMax"/>
          <c:max val="100"/>
          <c:min val="-1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340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896100012814944E-3"/>
          <c:y val="0.86750962890907413"/>
          <c:w val="0.99131032916263995"/>
          <c:h val="0.132490371090925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5!PivotTable29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</a:t>
            </a:r>
            <a:r>
              <a:rPr lang="he-IL" sz="1400" baseline="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 אשראי לעסקים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75029678982434889"/>
          <c:y val="4.2858167319249039E-3"/>
        </c:manualLayout>
      </c:layout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6.8131138153185403E-2"/>
          <c:y val="0.12200435729847495"/>
          <c:w val="0.92068565974707706"/>
          <c:h val="0.589741692124549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'טבלאות תרשים 5'!$B$3:$B$4</c:f>
              <c:strCache>
                <c:ptCount val="1"/>
                <c:pt idx="0">
                  <c:v>לחצי תחרות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5'!$B$5:$B$11</c:f>
              <c:numCache>
                <c:formatCode>General</c:formatCode>
                <c:ptCount val="5"/>
                <c:pt idx="0">
                  <c:v>-45.08382243193909</c:v>
                </c:pt>
                <c:pt idx="1">
                  <c:v>-49.428250642598854</c:v>
                </c:pt>
                <c:pt idx="2">
                  <c:v>-50.106956603384084</c:v>
                </c:pt>
                <c:pt idx="3">
                  <c:v>-62.397462791234155</c:v>
                </c:pt>
                <c:pt idx="4">
                  <c:v>-50.488305229381865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5-4017-ADC0-C3FE3FC4EFD8}"/>
            </c:ext>
          </c:extLst>
        </c:ser>
        <c:ser>
          <c:idx val="1"/>
          <c:order val="1"/>
          <c:tx>
            <c:strRef>
              <c:f>'טבלאות תרשים 5'!$C$3:$C$4</c:f>
              <c:strCache>
                <c:ptCount val="1"/>
                <c:pt idx="0">
                  <c:v>עלויות גיוס המקורות ומגבלות הרכב המאזן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5'!$C$5:$C$11</c:f>
              <c:numCache>
                <c:formatCode>General</c:formatCode>
                <c:ptCount val="5"/>
                <c:pt idx="0">
                  <c:v>-22.527219485869413</c:v>
                </c:pt>
                <c:pt idx="1">
                  <c:v>-18.011808378702689</c:v>
                </c:pt>
                <c:pt idx="2">
                  <c:v>-13.500200477094502</c:v>
                </c:pt>
                <c:pt idx="3">
                  <c:v>-20.962091295832302</c:v>
                </c:pt>
                <c:pt idx="4">
                  <c:v>-9.75418131630407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C5-4017-ADC0-C3FE3FC4EFD8}"/>
            </c:ext>
          </c:extLst>
        </c:ser>
        <c:ser>
          <c:idx val="2"/>
          <c:order val="2"/>
          <c:tx>
            <c:strRef>
              <c:f>'טבלאות תרשים 5'!$D$3:$D$4</c:f>
              <c:strCache>
                <c:ptCount val="1"/>
                <c:pt idx="0">
                  <c:v>תאבון וקיבולת לסיכון אשראי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5'!$D$5:$D$11</c:f>
              <c:numCache>
                <c:formatCode>General</c:formatCode>
                <c:ptCount val="5"/>
                <c:pt idx="0">
                  <c:v>-24.533247020220799</c:v>
                </c:pt>
                <c:pt idx="1">
                  <c:v>-10.981724558021963</c:v>
                </c:pt>
                <c:pt idx="2">
                  <c:v>0</c:v>
                </c:pt>
                <c:pt idx="3">
                  <c:v>-3.6972571060704218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C5-4017-ADC0-C3FE3FC4EFD8}"/>
            </c:ext>
          </c:extLst>
        </c:ser>
        <c:ser>
          <c:idx val="3"/>
          <c:order val="3"/>
          <c:tx>
            <c:strRef>
              <c:f>'טבלאות תרשים 5'!$E$3:$E$4</c:f>
              <c:strCache>
                <c:ptCount val="1"/>
                <c:pt idx="0">
                  <c:v>תפיסת סיכון בבנק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5'!$E$5:$E$11</c:f>
              <c:numCache>
                <c:formatCode>General</c:formatCode>
                <c:ptCount val="5"/>
                <c:pt idx="0">
                  <c:v>15.986020816877208</c:v>
                </c:pt>
                <c:pt idx="1">
                  <c:v>3.6605748526739879</c:v>
                </c:pt>
                <c:pt idx="2">
                  <c:v>0</c:v>
                </c:pt>
                <c:pt idx="3">
                  <c:v>1.2324190353568074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C5-4017-ADC0-C3FE3FC4EF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1754624"/>
        <c:axId val="111760512"/>
      </c:barChart>
      <c:lineChart>
        <c:grouping val="standard"/>
        <c:varyColors val="0"/>
        <c:ser>
          <c:idx val="4"/>
          <c:order val="4"/>
          <c:tx>
            <c:strRef>
              <c:f>'טבלאות תרשים 5'!$F$3:$F$4</c:f>
              <c:strCache>
                <c:ptCount val="1"/>
                <c:pt idx="0">
                  <c:v>השינוי שחל במרווחים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5'!$F$5:$F$11</c:f>
              <c:numCache>
                <c:formatCode>General</c:formatCode>
                <c:ptCount val="5"/>
                <c:pt idx="0">
                  <c:v>-58.966442424530698</c:v>
                </c:pt>
                <c:pt idx="1">
                  <c:v>-57.244972258864493</c:v>
                </c:pt>
                <c:pt idx="2">
                  <c:v>-45.745872862870222</c:v>
                </c:pt>
                <c:pt idx="3">
                  <c:v>-41.915636115764677</c:v>
                </c:pt>
                <c:pt idx="4">
                  <c:v>-23.198305758480405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1C5-4017-ADC0-C3FE3FC4EF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754624"/>
        <c:axId val="111760512"/>
      </c:lineChart>
      <c:catAx>
        <c:axId val="11175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11760512"/>
        <c:crosses val="autoZero"/>
        <c:auto val="1"/>
        <c:lblAlgn val="ctr"/>
        <c:lblOffset val="100"/>
        <c:noMultiLvlLbl val="0"/>
      </c:catAx>
      <c:valAx>
        <c:axId val="111760512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1175462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340298244842284"/>
          <c:w val="0.99335447737251703"/>
          <c:h val="0.136597017551576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5!PivotTable31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אשראי צרכני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79152579972122805"/>
          <c:y val="7.438073010956732E-3"/>
        </c:manualLayout>
      </c:layout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6.9465942420154816E-2"/>
          <c:y val="9.3880951861626719E-2"/>
          <c:w val="0.90939100945984919"/>
          <c:h val="0.61880515628067279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'טבלאות תרשים 5'!$Q$3:$Q$4</c:f>
              <c:strCache>
                <c:ptCount val="1"/>
                <c:pt idx="0">
                  <c:v>לחצי תחרות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5'!$Q$5:$Q$11</c:f>
              <c:numCache>
                <c:formatCode>General</c:formatCode>
                <c:ptCount val="5"/>
                <c:pt idx="0">
                  <c:v>-98.665359882095999</c:v>
                </c:pt>
                <c:pt idx="1">
                  <c:v>-99.611458273799229</c:v>
                </c:pt>
                <c:pt idx="2">
                  <c:v>-50.346578741499307</c:v>
                </c:pt>
                <c:pt idx="3">
                  <c:v>-61.499653497615498</c:v>
                </c:pt>
                <c:pt idx="4">
                  <c:v>-48.409189459054772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85-4FDD-9E7D-FDB2BCF49835}"/>
            </c:ext>
          </c:extLst>
        </c:ser>
        <c:ser>
          <c:idx val="2"/>
          <c:order val="2"/>
          <c:tx>
            <c:strRef>
              <c:f>'טבלאות תרשים 5'!$R$3:$R$4</c:f>
              <c:strCache>
                <c:ptCount val="1"/>
                <c:pt idx="0">
                  <c:v>עלויות גיוס המקורות ומגבלות הרכב המאזן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5'!$R$5:$R$11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85-4FDD-9E7D-FDB2BCF49835}"/>
            </c:ext>
          </c:extLst>
        </c:ser>
        <c:ser>
          <c:idx val="3"/>
          <c:order val="3"/>
          <c:tx>
            <c:strRef>
              <c:f>'טבלאות תרשים 5'!$S$3:$S$4</c:f>
              <c:strCache>
                <c:ptCount val="1"/>
                <c:pt idx="0">
                  <c:v>תאבון וקיבולת לסיכון אשראי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5'!$S$5:$S$11</c:f>
              <c:numCache>
                <c:formatCode>General</c:formatCode>
                <c:ptCount val="5"/>
                <c:pt idx="0">
                  <c:v>0</c:v>
                </c:pt>
                <c:pt idx="1">
                  <c:v>-22.306118013044614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85-4FDD-9E7D-FDB2BCF49835}"/>
            </c:ext>
          </c:extLst>
        </c:ser>
        <c:ser>
          <c:idx val="4"/>
          <c:order val="4"/>
          <c:tx>
            <c:strRef>
              <c:f>'טבלאות תרשים 5'!$T$3:$T$4</c:f>
              <c:strCache>
                <c:ptCount val="1"/>
                <c:pt idx="0">
                  <c:v>תפיסת סיכון בבנק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5'!$T$5:$T$11</c:f>
              <c:numCache>
                <c:formatCode>General</c:formatCode>
                <c:ptCount val="5"/>
                <c:pt idx="0">
                  <c:v>0.18936644820056811</c:v>
                </c:pt>
                <c:pt idx="1">
                  <c:v>0</c:v>
                </c:pt>
                <c:pt idx="2">
                  <c:v>0</c:v>
                </c:pt>
                <c:pt idx="3">
                  <c:v>-3.9022200143882935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85-4FDD-9E7D-FDB2BCF498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3537792"/>
        <c:axId val="113539328"/>
      </c:barChart>
      <c:lineChart>
        <c:grouping val="standard"/>
        <c:varyColors val="0"/>
        <c:ser>
          <c:idx val="0"/>
          <c:order val="0"/>
          <c:tx>
            <c:strRef>
              <c:f>'טבלאות תרשים 5'!$P$3:$P$4</c:f>
              <c:strCache>
                <c:ptCount val="1"/>
                <c:pt idx="0">
                  <c:v>השינוי שחל במרווחים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5'!$P$5:$P$11</c:f>
              <c:numCache>
                <c:formatCode>General</c:formatCode>
                <c:ptCount val="5"/>
                <c:pt idx="0">
                  <c:v>-40.254672268120764</c:v>
                </c:pt>
                <c:pt idx="1">
                  <c:v>-37.806931405825615</c:v>
                </c:pt>
                <c:pt idx="2">
                  <c:v>-21.849982651056301</c:v>
                </c:pt>
                <c:pt idx="3">
                  <c:v>-18.64000822774408</c:v>
                </c:pt>
                <c:pt idx="4">
                  <c:v>-21.202253566736392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985-4FDD-9E7D-FDB2BCF498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537792"/>
        <c:axId val="113539328"/>
      </c:lineChart>
      <c:catAx>
        <c:axId val="11353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13539328"/>
        <c:crosses val="autoZero"/>
        <c:auto val="1"/>
        <c:lblAlgn val="ctr"/>
        <c:lblOffset val="100"/>
        <c:noMultiLvlLbl val="0"/>
      </c:catAx>
      <c:valAx>
        <c:axId val="113539328"/>
        <c:scaling>
          <c:orientation val="minMax"/>
          <c:max val="200"/>
          <c:min val="-20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1353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126830755500146E-2"/>
          <c:y val="0.86980418566100293"/>
          <c:w val="0.96041549598775522"/>
          <c:h val="0.122301077496891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5989-74BA-490E-A301-B5AC1F0F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473</Words>
  <Characters>2366</Characters>
  <Application>Microsoft Office Word</Application>
  <DocSecurity>4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רמסיס גרא</dc:creator>
  <cp:lastModifiedBy>רוסול דכוור</cp:lastModifiedBy>
  <cp:revision>2</cp:revision>
  <dcterms:created xsi:type="dcterms:W3CDTF">2025-10-27T09:19:00Z</dcterms:created>
  <dcterms:modified xsi:type="dcterms:W3CDTF">2025-10-27T09:19:00Z</dcterms:modified>
</cp:coreProperties>
</file>