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jc w:val="center"/>
        <w:tblLayout w:type="fixed"/>
        <w:tblLook w:val="0000" w:firstRow="0" w:lastRow="0" w:firstColumn="0" w:lastColumn="0" w:noHBand="0" w:noVBand="0"/>
      </w:tblPr>
      <w:tblGrid>
        <w:gridCol w:w="2840"/>
        <w:gridCol w:w="2596"/>
        <w:gridCol w:w="3084"/>
      </w:tblGrid>
      <w:tr w:rsidR="00DD5923" w:rsidRPr="00DB1CBC" w:rsidTr="00BC41DB">
        <w:trPr>
          <w:jc w:val="center"/>
        </w:trPr>
        <w:tc>
          <w:tcPr>
            <w:tcW w:w="2840" w:type="dxa"/>
            <w:tcBorders>
              <w:top w:val="nil"/>
              <w:left w:val="nil"/>
              <w:bottom w:val="nil"/>
              <w:right w:val="nil"/>
            </w:tcBorders>
            <w:vAlign w:val="center"/>
          </w:tcPr>
          <w:p w:rsidR="00DD5923" w:rsidRDefault="00DD5923" w:rsidP="00BD5207">
            <w:pPr>
              <w:bidi/>
              <w:spacing w:line="360" w:lineRule="auto"/>
              <w:jc w:val="center"/>
              <w:rPr>
                <w:rFonts w:cs="David"/>
                <w:b/>
                <w:bCs/>
                <w:sz w:val="28"/>
                <w:szCs w:val="28"/>
              </w:rPr>
            </w:pPr>
            <w:r>
              <w:rPr>
                <w:rFonts w:cs="David"/>
                <w:b/>
                <w:bCs/>
                <w:sz w:val="28"/>
                <w:szCs w:val="28"/>
                <w:rtl/>
              </w:rPr>
              <w:t>בנ</w:t>
            </w:r>
            <w:r>
              <w:rPr>
                <w:rFonts w:cs="David" w:hint="cs"/>
                <w:b/>
                <w:bCs/>
                <w:sz w:val="28"/>
                <w:szCs w:val="28"/>
                <w:rtl/>
              </w:rPr>
              <w:t xml:space="preserve">ק </w:t>
            </w:r>
            <w:r>
              <w:rPr>
                <w:rFonts w:cs="David"/>
                <w:b/>
                <w:bCs/>
                <w:sz w:val="28"/>
                <w:szCs w:val="28"/>
                <w:rtl/>
              </w:rPr>
              <w:t>יש</w:t>
            </w:r>
            <w:r>
              <w:rPr>
                <w:rFonts w:cs="David" w:hint="cs"/>
                <w:b/>
                <w:bCs/>
                <w:sz w:val="28"/>
                <w:szCs w:val="28"/>
                <w:rtl/>
              </w:rPr>
              <w:t>ראל</w:t>
            </w:r>
          </w:p>
          <w:p w:rsidR="00DD5923" w:rsidRDefault="00DD5923" w:rsidP="00BD5207">
            <w:pPr>
              <w:bidi/>
              <w:spacing w:line="360" w:lineRule="auto"/>
              <w:ind w:right="-101"/>
              <w:jc w:val="center"/>
              <w:rPr>
                <w:sz w:val="24"/>
                <w:szCs w:val="24"/>
              </w:rPr>
            </w:pPr>
            <w:r>
              <w:rPr>
                <w:rFonts w:cs="David"/>
                <w:sz w:val="24"/>
                <w:szCs w:val="24"/>
                <w:rtl/>
              </w:rPr>
              <w:t>דו</w:t>
            </w:r>
            <w:r>
              <w:rPr>
                <w:rFonts w:cs="David" w:hint="cs"/>
                <w:sz w:val="24"/>
                <w:szCs w:val="24"/>
                <w:rtl/>
              </w:rPr>
              <w:t>בר</w:t>
            </w:r>
            <w:r>
              <w:rPr>
                <w:rFonts w:cs="David"/>
                <w:sz w:val="24"/>
                <w:szCs w:val="24"/>
                <w:rtl/>
              </w:rPr>
              <w:t>ות</w:t>
            </w:r>
            <w:r>
              <w:rPr>
                <w:rFonts w:cs="David" w:hint="cs"/>
                <w:sz w:val="24"/>
                <w:szCs w:val="24"/>
                <w:rtl/>
              </w:rPr>
              <w:t xml:space="preserve"> והסברה כלכלית</w:t>
            </w:r>
          </w:p>
        </w:tc>
        <w:tc>
          <w:tcPr>
            <w:tcW w:w="2596" w:type="dxa"/>
            <w:tcBorders>
              <w:top w:val="nil"/>
              <w:left w:val="nil"/>
              <w:bottom w:val="nil"/>
              <w:right w:val="nil"/>
            </w:tcBorders>
          </w:tcPr>
          <w:p w:rsidR="00DD5923" w:rsidRDefault="00DD5923" w:rsidP="00BD5207">
            <w:pPr>
              <w:bidi/>
              <w:jc w:val="center"/>
            </w:pPr>
            <w:r>
              <w:rPr>
                <w:noProof/>
                <w:lang w:eastAsia="en-US"/>
              </w:rPr>
              <w:drawing>
                <wp:inline distT="0" distB="0" distL="0" distR="0" wp14:anchorId="37949D32" wp14:editId="5B5F55C3">
                  <wp:extent cx="707366" cy="672860"/>
                  <wp:effectExtent l="0" t="0" r="0" b="0"/>
                  <wp:docPr id="1" name="תמונה 1" desc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4" descr="logo.gif"/>
                          <pic:cNvPicPr>
                            <a:picLocks noChangeAspect="1" noChangeArrowheads="1"/>
                          </pic:cNvPicPr>
                        </pic:nvPicPr>
                        <pic:blipFill>
                          <a:blip r:embed="rId8" cstate="print">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707934" cy="673400"/>
                          </a:xfrm>
                          <a:prstGeom prst="rect">
                            <a:avLst/>
                          </a:prstGeom>
                          <a:noFill/>
                          <a:ln>
                            <a:noFill/>
                          </a:ln>
                        </pic:spPr>
                      </pic:pic>
                    </a:graphicData>
                  </a:graphic>
                </wp:inline>
              </w:drawing>
            </w:r>
          </w:p>
        </w:tc>
        <w:tc>
          <w:tcPr>
            <w:tcW w:w="3084" w:type="dxa"/>
            <w:tcBorders>
              <w:top w:val="nil"/>
              <w:left w:val="nil"/>
              <w:bottom w:val="nil"/>
              <w:right w:val="nil"/>
            </w:tcBorders>
            <w:vAlign w:val="center"/>
          </w:tcPr>
          <w:p w:rsidR="00DD5923" w:rsidRDefault="00DD5923" w:rsidP="006C2B75">
            <w:pPr>
              <w:bidi/>
              <w:spacing w:line="480" w:lineRule="auto"/>
              <w:jc w:val="right"/>
              <w:rPr>
                <w:rFonts w:cs="David"/>
                <w:sz w:val="24"/>
                <w:szCs w:val="24"/>
              </w:rPr>
            </w:pPr>
            <w:r>
              <w:rPr>
                <w:rFonts w:cs="David" w:hint="eastAsia"/>
                <w:sz w:val="24"/>
                <w:szCs w:val="24"/>
                <w:rtl/>
              </w:rPr>
              <w:t>‏</w:t>
            </w:r>
            <w:r w:rsidR="00826810">
              <w:rPr>
                <w:rFonts w:cs="David" w:hint="cs"/>
                <w:sz w:val="24"/>
                <w:szCs w:val="24"/>
                <w:rtl/>
              </w:rPr>
              <w:t xml:space="preserve">ירושלים, </w:t>
            </w:r>
            <w:r w:rsidR="00587EBE">
              <w:rPr>
                <w:rFonts w:cs="David" w:hint="cs"/>
                <w:sz w:val="24"/>
                <w:szCs w:val="24"/>
                <w:rtl/>
              </w:rPr>
              <w:t>ב</w:t>
            </w:r>
            <w:r w:rsidR="006C2B75">
              <w:rPr>
                <w:rFonts w:cs="David" w:hint="cs"/>
                <w:sz w:val="24"/>
                <w:szCs w:val="24"/>
                <w:rtl/>
              </w:rPr>
              <w:t>'</w:t>
            </w:r>
            <w:r w:rsidR="002630B7">
              <w:rPr>
                <w:rFonts w:cs="David" w:hint="cs"/>
                <w:sz w:val="24"/>
                <w:szCs w:val="24"/>
                <w:rtl/>
              </w:rPr>
              <w:t xml:space="preserve"> </w:t>
            </w:r>
            <w:r w:rsidR="003A4EDC">
              <w:rPr>
                <w:rFonts w:cs="David" w:hint="cs"/>
                <w:sz w:val="24"/>
                <w:szCs w:val="24"/>
                <w:rtl/>
              </w:rPr>
              <w:t xml:space="preserve">באדר </w:t>
            </w:r>
            <w:r w:rsidR="006C2B75">
              <w:rPr>
                <w:rFonts w:cs="David" w:hint="cs"/>
                <w:sz w:val="24"/>
                <w:szCs w:val="24"/>
                <w:rtl/>
              </w:rPr>
              <w:t>ב</w:t>
            </w:r>
            <w:r w:rsidR="003A4EDC">
              <w:rPr>
                <w:rFonts w:cs="David" w:hint="cs"/>
                <w:sz w:val="24"/>
                <w:szCs w:val="24"/>
                <w:rtl/>
              </w:rPr>
              <w:t>'</w:t>
            </w:r>
            <w:r w:rsidR="004625EB">
              <w:rPr>
                <w:rFonts w:cs="David"/>
                <w:sz w:val="24"/>
                <w:szCs w:val="24"/>
                <w:rtl/>
              </w:rPr>
              <w:t xml:space="preserve"> </w:t>
            </w:r>
            <w:r w:rsidR="00614095">
              <w:rPr>
                <w:rFonts w:cs="David" w:hint="cs"/>
                <w:sz w:val="24"/>
                <w:szCs w:val="24"/>
                <w:rtl/>
              </w:rPr>
              <w:t>ה</w:t>
            </w:r>
            <w:r w:rsidR="004625EB">
              <w:rPr>
                <w:rFonts w:cs="David"/>
                <w:sz w:val="24"/>
                <w:szCs w:val="24"/>
                <w:rtl/>
              </w:rPr>
              <w:t>תשע"</w:t>
            </w:r>
            <w:r w:rsidR="004625EB">
              <w:rPr>
                <w:rFonts w:cs="David" w:hint="cs"/>
                <w:sz w:val="24"/>
                <w:szCs w:val="24"/>
                <w:rtl/>
              </w:rPr>
              <w:t>ד</w:t>
            </w:r>
          </w:p>
          <w:p w:rsidR="00DD5923" w:rsidRPr="00DF107C" w:rsidRDefault="00DD5923" w:rsidP="00587EBE">
            <w:pPr>
              <w:bidi/>
              <w:spacing w:line="480" w:lineRule="auto"/>
              <w:jc w:val="right"/>
              <w:rPr>
                <w:rFonts w:cs="David"/>
                <w:sz w:val="24"/>
                <w:szCs w:val="24"/>
              </w:rPr>
            </w:pPr>
            <w:r>
              <w:rPr>
                <w:rFonts w:cs="David" w:hint="eastAsia"/>
                <w:sz w:val="24"/>
                <w:szCs w:val="24"/>
                <w:rtl/>
              </w:rPr>
              <w:t>‏‏</w:t>
            </w:r>
            <w:r w:rsidR="00587EBE">
              <w:rPr>
                <w:rFonts w:cs="David" w:hint="cs"/>
                <w:sz w:val="24"/>
                <w:szCs w:val="24"/>
                <w:rtl/>
              </w:rPr>
              <w:t>4</w:t>
            </w:r>
            <w:r w:rsidR="006C2B75">
              <w:rPr>
                <w:rFonts w:cs="David" w:hint="cs"/>
                <w:sz w:val="24"/>
                <w:szCs w:val="24"/>
                <w:rtl/>
              </w:rPr>
              <w:t xml:space="preserve"> במרץ</w:t>
            </w:r>
            <w:r w:rsidR="00D81EC3">
              <w:rPr>
                <w:rFonts w:cs="David" w:hint="cs"/>
                <w:sz w:val="24"/>
                <w:szCs w:val="24"/>
                <w:rtl/>
              </w:rPr>
              <w:t xml:space="preserve"> 2014</w:t>
            </w:r>
          </w:p>
        </w:tc>
      </w:tr>
    </w:tbl>
    <w:p w:rsidR="00FE034E" w:rsidRDefault="00FE034E" w:rsidP="00BD5207">
      <w:pPr>
        <w:bidi/>
        <w:rPr>
          <w:rtl/>
        </w:rPr>
      </w:pPr>
    </w:p>
    <w:p w:rsidR="007E18EE" w:rsidRDefault="007E18EE" w:rsidP="00BD5207">
      <w:pPr>
        <w:bidi/>
        <w:spacing w:line="360" w:lineRule="auto"/>
        <w:ind w:right="-101"/>
        <w:rPr>
          <w:rFonts w:cs="David"/>
          <w:sz w:val="24"/>
          <w:szCs w:val="24"/>
          <w:rtl/>
        </w:rPr>
      </w:pPr>
      <w:r w:rsidRPr="007E18EE">
        <w:rPr>
          <w:rFonts w:cs="David" w:hint="cs"/>
          <w:sz w:val="24"/>
          <w:szCs w:val="24"/>
          <w:rtl/>
        </w:rPr>
        <w:t>הודעה לעיתונות:</w:t>
      </w:r>
    </w:p>
    <w:p w:rsidR="001B22AE" w:rsidRDefault="001B22AE" w:rsidP="001B22AE">
      <w:pPr>
        <w:bidi/>
        <w:spacing w:line="360" w:lineRule="auto"/>
        <w:ind w:left="-58"/>
        <w:rPr>
          <w:rFonts w:cs="David"/>
          <w:sz w:val="24"/>
          <w:szCs w:val="24"/>
          <w:rtl/>
        </w:rPr>
      </w:pPr>
    </w:p>
    <w:p w:rsidR="001B22AE" w:rsidRPr="001B22AE" w:rsidRDefault="001B22AE" w:rsidP="003727DC">
      <w:pPr>
        <w:bidi/>
        <w:spacing w:line="360" w:lineRule="auto"/>
        <w:ind w:left="-58"/>
        <w:jc w:val="center"/>
        <w:rPr>
          <w:rFonts w:cs="David"/>
          <w:b/>
          <w:bCs/>
          <w:sz w:val="24"/>
          <w:szCs w:val="24"/>
          <w:u w:val="single"/>
        </w:rPr>
      </w:pPr>
      <w:r w:rsidRPr="001B22AE">
        <w:rPr>
          <w:rFonts w:cs="David" w:hint="cs"/>
          <w:b/>
          <w:bCs/>
          <w:sz w:val="24"/>
          <w:szCs w:val="24"/>
          <w:u w:val="single"/>
          <w:rtl/>
        </w:rPr>
        <w:t xml:space="preserve">דברי הנגידה בוועידת הפיננסים של </w:t>
      </w:r>
      <w:r w:rsidR="003727DC">
        <w:rPr>
          <w:rFonts w:cs="David" w:hint="cs"/>
          <w:b/>
          <w:bCs/>
          <w:sz w:val="24"/>
          <w:szCs w:val="24"/>
          <w:u w:val="single"/>
          <w:rtl/>
        </w:rPr>
        <w:t xml:space="preserve">העיתון </w:t>
      </w:r>
      <w:proofErr w:type="spellStart"/>
      <w:r w:rsidR="003727DC">
        <w:rPr>
          <w:rFonts w:cs="David"/>
          <w:b/>
          <w:bCs/>
          <w:sz w:val="24"/>
          <w:szCs w:val="24"/>
          <w:u w:val="single"/>
        </w:rPr>
        <w:t>TheMarker</w:t>
      </w:r>
      <w:proofErr w:type="spellEnd"/>
    </w:p>
    <w:p w:rsidR="001B22AE" w:rsidRDefault="001B22AE" w:rsidP="001B22AE">
      <w:pPr>
        <w:bidi/>
        <w:spacing w:line="360" w:lineRule="auto"/>
        <w:ind w:left="-58"/>
        <w:rPr>
          <w:rFonts w:cs="David"/>
          <w:sz w:val="24"/>
          <w:szCs w:val="24"/>
          <w:rtl/>
        </w:rPr>
      </w:pPr>
    </w:p>
    <w:p w:rsidR="00FF2523" w:rsidRPr="00FF2523" w:rsidRDefault="00FF2523" w:rsidP="003727DC">
      <w:pPr>
        <w:bidi/>
        <w:spacing w:line="360" w:lineRule="auto"/>
        <w:rPr>
          <w:rFonts w:cs="David"/>
          <w:sz w:val="24"/>
          <w:szCs w:val="24"/>
          <w:rtl/>
        </w:rPr>
      </w:pPr>
      <w:r>
        <w:rPr>
          <w:rFonts w:cs="David" w:hint="cs"/>
          <w:sz w:val="24"/>
          <w:szCs w:val="24"/>
          <w:rtl/>
        </w:rPr>
        <w:t>נגידת בנק ישראל נשאה היום דברים בו</w:t>
      </w:r>
      <w:r w:rsidRPr="00FF2523">
        <w:rPr>
          <w:rFonts w:cs="David" w:hint="cs"/>
          <w:sz w:val="24"/>
          <w:szCs w:val="24"/>
          <w:rtl/>
        </w:rPr>
        <w:t xml:space="preserve">ועידת פיננסים 2014 </w:t>
      </w:r>
      <w:r w:rsidR="003727DC">
        <w:rPr>
          <w:rFonts w:cs="David" w:hint="cs"/>
          <w:sz w:val="24"/>
          <w:szCs w:val="24"/>
          <w:rtl/>
        </w:rPr>
        <w:t xml:space="preserve">של העיתון </w:t>
      </w:r>
      <w:proofErr w:type="spellStart"/>
      <w:r w:rsidR="003727DC">
        <w:rPr>
          <w:rFonts w:cs="David"/>
          <w:sz w:val="24"/>
          <w:szCs w:val="24"/>
        </w:rPr>
        <w:t>TheMarker</w:t>
      </w:r>
      <w:proofErr w:type="spellEnd"/>
      <w:r w:rsidR="003727DC">
        <w:rPr>
          <w:rFonts w:cs="David" w:hint="cs"/>
          <w:sz w:val="24"/>
          <w:szCs w:val="24"/>
          <w:rtl/>
        </w:rPr>
        <w:t xml:space="preserve">. </w:t>
      </w:r>
      <w:r w:rsidR="001B22AE">
        <w:rPr>
          <w:rFonts w:cs="David" w:hint="cs"/>
          <w:sz w:val="24"/>
          <w:szCs w:val="24"/>
          <w:rtl/>
        </w:rPr>
        <w:t xml:space="preserve"> </w:t>
      </w:r>
      <w:r w:rsidR="001B22AE" w:rsidRPr="00D76562">
        <w:rPr>
          <w:rFonts w:cs="David"/>
          <w:sz w:val="24"/>
          <w:szCs w:val="24"/>
          <w:rtl/>
        </w:rPr>
        <w:t>להלן עיקרי דבריה. המצגת אותה הציגה מצורפת.</w:t>
      </w:r>
    </w:p>
    <w:p w:rsidR="00587EBE" w:rsidRPr="00785A6D" w:rsidRDefault="00587EBE" w:rsidP="00244C5D">
      <w:pPr>
        <w:bidi/>
        <w:spacing w:line="276" w:lineRule="auto"/>
        <w:jc w:val="both"/>
        <w:rPr>
          <w:rFonts w:cs="David"/>
          <w:sz w:val="24"/>
          <w:szCs w:val="24"/>
          <w:rtl/>
        </w:rPr>
      </w:pPr>
    </w:p>
    <w:p w:rsidR="00587EBE" w:rsidRPr="00785A6D" w:rsidRDefault="003727DC" w:rsidP="003727DC">
      <w:pPr>
        <w:bidi/>
        <w:spacing w:line="360" w:lineRule="auto"/>
        <w:jc w:val="both"/>
        <w:rPr>
          <w:rFonts w:cs="David"/>
          <w:sz w:val="24"/>
          <w:szCs w:val="24"/>
          <w:rtl/>
        </w:rPr>
      </w:pPr>
      <w:r>
        <w:rPr>
          <w:rFonts w:cs="David" w:hint="cs"/>
          <w:sz w:val="24"/>
          <w:szCs w:val="24"/>
          <w:rtl/>
        </w:rPr>
        <w:t xml:space="preserve">הנגידה התייחסה בדבריה </w:t>
      </w:r>
      <w:r w:rsidR="00587EBE" w:rsidRPr="00785A6D">
        <w:rPr>
          <w:rFonts w:cs="David" w:hint="cs"/>
          <w:sz w:val="24"/>
          <w:szCs w:val="24"/>
          <w:rtl/>
        </w:rPr>
        <w:t xml:space="preserve"> לשני נושאים:  המצב המקרו כלכלי והיציבות של המערכת הפיננסית</w:t>
      </w:r>
      <w:r w:rsidR="001B22AE">
        <w:rPr>
          <w:rFonts w:cs="David" w:hint="cs"/>
          <w:sz w:val="24"/>
          <w:szCs w:val="24"/>
          <w:rtl/>
        </w:rPr>
        <w:t>.</w:t>
      </w:r>
    </w:p>
    <w:p w:rsidR="00244C5D" w:rsidRDefault="00244C5D" w:rsidP="00244C5D">
      <w:pPr>
        <w:bidi/>
        <w:spacing w:line="276" w:lineRule="auto"/>
        <w:jc w:val="both"/>
        <w:rPr>
          <w:rFonts w:cs="David"/>
          <w:sz w:val="24"/>
          <w:szCs w:val="24"/>
          <w:u w:val="single"/>
          <w:rtl/>
        </w:rPr>
      </w:pPr>
    </w:p>
    <w:p w:rsidR="00587EBE" w:rsidRPr="00AA07D9" w:rsidRDefault="00587EBE" w:rsidP="00AA07D9">
      <w:pPr>
        <w:bidi/>
        <w:spacing w:after="240" w:line="360" w:lineRule="auto"/>
        <w:jc w:val="both"/>
        <w:rPr>
          <w:rFonts w:cs="David"/>
          <w:b/>
          <w:bCs/>
          <w:sz w:val="24"/>
          <w:szCs w:val="24"/>
          <w:rtl/>
        </w:rPr>
      </w:pPr>
      <w:r w:rsidRPr="00AA07D9">
        <w:rPr>
          <w:rFonts w:cs="David" w:hint="cs"/>
          <w:b/>
          <w:bCs/>
          <w:sz w:val="24"/>
          <w:szCs w:val="24"/>
          <w:rtl/>
        </w:rPr>
        <w:t>המצב המקרו כלכלי</w:t>
      </w:r>
    </w:p>
    <w:p w:rsidR="00587EBE" w:rsidRPr="00785A6D" w:rsidRDefault="00587EBE" w:rsidP="0014790F">
      <w:pPr>
        <w:bidi/>
        <w:spacing w:after="240" w:line="360" w:lineRule="auto"/>
        <w:jc w:val="both"/>
        <w:rPr>
          <w:rFonts w:cs="David"/>
          <w:sz w:val="24"/>
          <w:szCs w:val="24"/>
          <w:rtl/>
        </w:rPr>
      </w:pPr>
      <w:r w:rsidRPr="00785A6D">
        <w:rPr>
          <w:rFonts w:cs="David" w:hint="cs"/>
          <w:sz w:val="24"/>
          <w:szCs w:val="24"/>
          <w:rtl/>
        </w:rPr>
        <w:t>המשק הגלובלי ממשיך לצמוח בקצב מתון, כאשר</w:t>
      </w:r>
      <w:r w:rsidRPr="00785A6D">
        <w:rPr>
          <w:rFonts w:cs="David"/>
          <w:sz w:val="24"/>
          <w:szCs w:val="24"/>
          <w:rtl/>
        </w:rPr>
        <w:t xml:space="preserve"> </w:t>
      </w:r>
      <w:r w:rsidRPr="00785A6D">
        <w:rPr>
          <w:rFonts w:cs="David" w:hint="cs"/>
          <w:sz w:val="24"/>
          <w:szCs w:val="24"/>
          <w:rtl/>
        </w:rPr>
        <w:t>בארצות</w:t>
      </w:r>
      <w:r w:rsidRPr="00785A6D">
        <w:rPr>
          <w:rFonts w:cs="David"/>
          <w:sz w:val="24"/>
          <w:szCs w:val="24"/>
          <w:rtl/>
        </w:rPr>
        <w:t xml:space="preserve"> </w:t>
      </w:r>
      <w:r w:rsidRPr="00785A6D">
        <w:rPr>
          <w:rFonts w:cs="David" w:hint="cs"/>
          <w:sz w:val="24"/>
          <w:szCs w:val="24"/>
          <w:rtl/>
        </w:rPr>
        <w:t>הברית</w:t>
      </w:r>
      <w:r w:rsidRPr="00785A6D">
        <w:rPr>
          <w:rFonts w:cs="David"/>
          <w:sz w:val="24"/>
          <w:szCs w:val="24"/>
          <w:rtl/>
        </w:rPr>
        <w:t xml:space="preserve"> </w:t>
      </w:r>
      <w:r w:rsidRPr="00785A6D">
        <w:rPr>
          <w:rFonts w:cs="David" w:hint="cs"/>
          <w:sz w:val="24"/>
          <w:szCs w:val="24"/>
          <w:rtl/>
        </w:rPr>
        <w:t>נמשכת</w:t>
      </w:r>
      <w:r w:rsidRPr="00785A6D">
        <w:rPr>
          <w:rFonts w:cs="David"/>
          <w:sz w:val="24"/>
          <w:szCs w:val="24"/>
          <w:rtl/>
        </w:rPr>
        <w:t xml:space="preserve"> </w:t>
      </w:r>
      <w:r w:rsidRPr="00785A6D">
        <w:rPr>
          <w:rFonts w:cs="David" w:hint="cs"/>
          <w:sz w:val="24"/>
          <w:szCs w:val="24"/>
          <w:rtl/>
        </w:rPr>
        <w:t>התבססות</w:t>
      </w:r>
      <w:r w:rsidRPr="00785A6D">
        <w:rPr>
          <w:rFonts w:cs="David"/>
          <w:sz w:val="24"/>
          <w:szCs w:val="24"/>
          <w:rtl/>
        </w:rPr>
        <w:t xml:space="preserve"> </w:t>
      </w:r>
      <w:r w:rsidRPr="00785A6D">
        <w:rPr>
          <w:rFonts w:cs="David" w:hint="cs"/>
          <w:sz w:val="24"/>
          <w:szCs w:val="24"/>
          <w:rtl/>
        </w:rPr>
        <w:t>הצמיחה</w:t>
      </w:r>
      <w:r w:rsidRPr="00785A6D">
        <w:rPr>
          <w:rFonts w:cs="David"/>
          <w:sz w:val="24"/>
          <w:szCs w:val="24"/>
          <w:rtl/>
        </w:rPr>
        <w:t>—</w:t>
      </w:r>
      <w:r w:rsidRPr="00785A6D">
        <w:rPr>
          <w:rFonts w:cs="David" w:hint="cs"/>
          <w:sz w:val="24"/>
          <w:szCs w:val="24"/>
          <w:rtl/>
        </w:rPr>
        <w:t xml:space="preserve">למרות שהנתונים האחרונים היו חלשים, כנראה  בהשפעת מזג האוויר הסוער </w:t>
      </w:r>
      <w:r w:rsidRPr="00785A6D">
        <w:rPr>
          <w:rFonts w:cs="David"/>
          <w:sz w:val="24"/>
          <w:szCs w:val="24"/>
          <w:rtl/>
        </w:rPr>
        <w:t>–</w:t>
      </w:r>
      <w:r w:rsidRPr="00785A6D">
        <w:rPr>
          <w:rFonts w:cs="David" w:hint="cs"/>
          <w:sz w:val="24"/>
          <w:szCs w:val="24"/>
          <w:rtl/>
        </w:rPr>
        <w:t xml:space="preserve"> באירופה נמשכת ההתאוששות המאוד מתונה והשברירית עם חשש מסוים לדפלציה</w:t>
      </w:r>
      <w:r w:rsidR="0014790F">
        <w:rPr>
          <w:rFonts w:cs="David" w:hint="cs"/>
          <w:sz w:val="24"/>
          <w:szCs w:val="24"/>
          <w:rtl/>
        </w:rPr>
        <w:t>.</w:t>
      </w:r>
      <w:r w:rsidRPr="00785A6D">
        <w:rPr>
          <w:rFonts w:cs="David" w:hint="cs"/>
          <w:sz w:val="24"/>
          <w:szCs w:val="24"/>
          <w:rtl/>
        </w:rPr>
        <w:t xml:space="preserve"> בשווקים המתעוררים, חל שיפור מסוים, אם כי בחלק מהמדינות הגדולות, בעיקר באלה שיש להן גירעונות בחשבון השוטף, ניכרו בחודשים האחרונים סימני חולשה ושבריריות. יחד עם ההתאוששות המתונה  מתרחב גם הסחר העולמי. הצמיחה בישראל מתואמת עם זו של הכלכלות המפותחות, וגבוהה ממנה, ו</w:t>
      </w:r>
      <w:r w:rsidR="0008531A">
        <w:rPr>
          <w:rFonts w:cs="David" w:hint="cs"/>
          <w:sz w:val="24"/>
          <w:szCs w:val="24"/>
          <w:rtl/>
        </w:rPr>
        <w:t>אנחנו צופים שגם שהמתאם וגם הפער</w:t>
      </w:r>
      <w:r w:rsidRPr="00785A6D">
        <w:rPr>
          <w:rFonts w:cs="David" w:hint="cs"/>
          <w:sz w:val="24"/>
          <w:szCs w:val="24"/>
          <w:rtl/>
        </w:rPr>
        <w:t xml:space="preserve"> ימשכו גם השנה</w:t>
      </w:r>
      <w:r w:rsidR="004B731A">
        <w:rPr>
          <w:rFonts w:cs="David" w:hint="cs"/>
          <w:sz w:val="24"/>
          <w:szCs w:val="24"/>
          <w:rtl/>
        </w:rPr>
        <w:t xml:space="preserve"> (שקף 2)</w:t>
      </w:r>
      <w:r w:rsidRPr="00785A6D">
        <w:rPr>
          <w:rFonts w:cs="David" w:hint="cs"/>
          <w:sz w:val="24"/>
          <w:szCs w:val="24"/>
          <w:rtl/>
        </w:rPr>
        <w:t xml:space="preserve">.  </w:t>
      </w:r>
    </w:p>
    <w:p w:rsidR="00587EBE" w:rsidRPr="00785A6D" w:rsidRDefault="00587EBE" w:rsidP="002D6A8A">
      <w:pPr>
        <w:bidi/>
        <w:spacing w:after="240" w:line="360" w:lineRule="auto"/>
        <w:jc w:val="both"/>
        <w:rPr>
          <w:rFonts w:cs="David"/>
          <w:sz w:val="24"/>
          <w:szCs w:val="24"/>
          <w:rtl/>
        </w:rPr>
      </w:pPr>
      <w:r w:rsidRPr="00785A6D">
        <w:rPr>
          <w:rFonts w:cs="David" w:hint="cs"/>
          <w:sz w:val="24"/>
          <w:szCs w:val="24"/>
          <w:rtl/>
        </w:rPr>
        <w:t>ואולם, בהסתכלות על החודשים האחרונים, מסתמנת האטה נוספת בצמיחה בישראל, והקצב ירד מכ-3% בשנה וחצי האחרונות לפחות משניים וחצי אחוזים בשני הרביעים האחרונים, בעוד ה</w:t>
      </w:r>
      <w:r>
        <w:rPr>
          <w:rFonts w:cs="David" w:hint="cs"/>
          <w:sz w:val="24"/>
          <w:szCs w:val="24"/>
          <w:rtl/>
        </w:rPr>
        <w:t>תוצר הע</w:t>
      </w:r>
      <w:r w:rsidRPr="00785A6D">
        <w:rPr>
          <w:rFonts w:cs="David" w:hint="cs"/>
          <w:sz w:val="24"/>
          <w:szCs w:val="24"/>
          <w:rtl/>
        </w:rPr>
        <w:t>סקי צמח בשני רביעים אלה רק ב-1.6%</w:t>
      </w:r>
      <w:r w:rsidR="004B731A">
        <w:rPr>
          <w:rFonts w:cs="David" w:hint="cs"/>
          <w:sz w:val="24"/>
          <w:szCs w:val="24"/>
          <w:rtl/>
        </w:rPr>
        <w:t xml:space="preserve"> (שקף 3)</w:t>
      </w:r>
      <w:r w:rsidRPr="00785A6D">
        <w:rPr>
          <w:rFonts w:cs="David" w:hint="cs"/>
          <w:sz w:val="24"/>
          <w:szCs w:val="24"/>
          <w:rtl/>
        </w:rPr>
        <w:t xml:space="preserve">. היצוא היה הגורם העיקרי שהביא להאטה ברביע השלישי וברביע הרביעי ניכרו בו סימני שיפור; אך בשלב הזה הם מרוכזים בעיקר בענפי התרופות ובמידה מסוימת גם בכימיקלים והאלקטרוניקה, וטרם ראינו את ההתרחבות של השיפור לחלקים אחרים של ענפי היצוא. </w:t>
      </w:r>
    </w:p>
    <w:p w:rsidR="00587EBE" w:rsidRPr="00785A6D" w:rsidRDefault="00587EBE" w:rsidP="002D6A8A">
      <w:pPr>
        <w:bidi/>
        <w:spacing w:after="240" w:line="360" w:lineRule="auto"/>
        <w:jc w:val="both"/>
        <w:rPr>
          <w:rFonts w:cs="David"/>
          <w:sz w:val="24"/>
          <w:szCs w:val="24"/>
          <w:rtl/>
        </w:rPr>
      </w:pPr>
      <w:r w:rsidRPr="00785A6D">
        <w:rPr>
          <w:rFonts w:cs="David" w:hint="cs"/>
          <w:sz w:val="24"/>
          <w:szCs w:val="24"/>
          <w:rtl/>
        </w:rPr>
        <w:t>בשוק העבודה נמשכת מגמה מעורבת: שיעור האבטלה ירד ונימצא ברמה נמוכה היסטורית וזאת בזכות עלייה בשיעורי התעסוקה שהתרחשה יחד עם התייצבות בשעורי ההשתתפות ברמה גבוהה מאוד</w:t>
      </w:r>
      <w:r w:rsidR="004B731A">
        <w:rPr>
          <w:rFonts w:cs="David" w:hint="cs"/>
          <w:sz w:val="24"/>
          <w:szCs w:val="24"/>
          <w:rtl/>
        </w:rPr>
        <w:t xml:space="preserve"> (שקף 4)</w:t>
      </w:r>
      <w:r w:rsidRPr="00785A6D">
        <w:rPr>
          <w:rFonts w:cs="David" w:hint="cs"/>
          <w:sz w:val="24"/>
          <w:szCs w:val="24"/>
          <w:rtl/>
        </w:rPr>
        <w:t xml:space="preserve">.  להערכתנו, הירידה בשיעור האבטלה משקפת בין היתר ירידה מבנית בשיעור האבטלה בגלל תהליכים של הגמשה שחלו בשנים האחרונות בשוק העבודה והובילו לירידה בשיעור האבטלה </w:t>
      </w:r>
      <w:proofErr w:type="spellStart"/>
      <w:r w:rsidRPr="00785A6D">
        <w:rPr>
          <w:rFonts w:cs="David" w:hint="cs"/>
          <w:sz w:val="24"/>
          <w:szCs w:val="24"/>
          <w:rtl/>
        </w:rPr>
        <w:t>החיכוכית</w:t>
      </w:r>
      <w:proofErr w:type="spellEnd"/>
      <w:r w:rsidRPr="00785A6D">
        <w:rPr>
          <w:rFonts w:cs="David" w:hint="cs"/>
          <w:sz w:val="24"/>
          <w:szCs w:val="24"/>
          <w:rtl/>
        </w:rPr>
        <w:t xml:space="preserve"> והטבעית. כמו כן, עיקר הגידול בתעסוקה היה בשנתיים האחרונות בענפי השירותים הציבוריים</w:t>
      </w:r>
      <w:r w:rsidRPr="00785A6D">
        <w:rPr>
          <w:rFonts w:cs="David"/>
          <w:sz w:val="24"/>
          <w:szCs w:val="24"/>
          <w:rtl/>
        </w:rPr>
        <w:t>—</w:t>
      </w:r>
      <w:r w:rsidRPr="00785A6D">
        <w:rPr>
          <w:rFonts w:cs="David" w:hint="cs"/>
          <w:sz w:val="24"/>
          <w:szCs w:val="24"/>
          <w:rtl/>
        </w:rPr>
        <w:t>בעיקר בחלק הלא ממשלתי של  השירותים הציבוריים,</w:t>
      </w:r>
      <w:r w:rsidR="00244C5D">
        <w:rPr>
          <w:rFonts w:cs="David" w:hint="cs"/>
          <w:sz w:val="24"/>
          <w:szCs w:val="24"/>
          <w:rtl/>
        </w:rPr>
        <w:t xml:space="preserve"> </w:t>
      </w:r>
      <w:r w:rsidRPr="00785A6D">
        <w:rPr>
          <w:rFonts w:cs="David" w:hint="cs"/>
          <w:sz w:val="24"/>
          <w:szCs w:val="24"/>
          <w:rtl/>
        </w:rPr>
        <w:t>בעוד שמספר השכירים הישראלים בסקטור העסקי לא צמח</w:t>
      </w:r>
      <w:r w:rsidR="004B731A">
        <w:rPr>
          <w:rFonts w:cs="David" w:hint="cs"/>
          <w:sz w:val="24"/>
          <w:szCs w:val="24"/>
          <w:rtl/>
        </w:rPr>
        <w:t xml:space="preserve"> (שקף 5)</w:t>
      </w:r>
      <w:r w:rsidRPr="00785A6D">
        <w:rPr>
          <w:rFonts w:cs="David" w:hint="cs"/>
          <w:sz w:val="24"/>
          <w:szCs w:val="24"/>
          <w:rtl/>
        </w:rPr>
        <w:t>. גם שעות העבודה למועסק בסקטור העסקי ירדו, ושיעור המועסקים במשרה חלקית שלא מרצון עלה</w:t>
      </w:r>
      <w:r w:rsidRPr="00785A6D">
        <w:rPr>
          <w:rFonts w:cs="David"/>
          <w:sz w:val="24"/>
          <w:szCs w:val="24"/>
          <w:rtl/>
        </w:rPr>
        <w:t>—</w:t>
      </w:r>
      <w:r w:rsidRPr="00785A6D">
        <w:rPr>
          <w:rFonts w:cs="David" w:hint="cs"/>
          <w:sz w:val="24"/>
          <w:szCs w:val="24"/>
          <w:rtl/>
        </w:rPr>
        <w:t xml:space="preserve">אלה מבטאים רפיון מסוים בשוק העבודה. </w:t>
      </w:r>
    </w:p>
    <w:p w:rsidR="00587EBE" w:rsidRPr="00785A6D" w:rsidRDefault="00587EBE" w:rsidP="003727DC">
      <w:pPr>
        <w:bidi/>
        <w:spacing w:after="240" w:line="360" w:lineRule="auto"/>
        <w:jc w:val="both"/>
        <w:rPr>
          <w:rFonts w:cs="David"/>
          <w:sz w:val="24"/>
          <w:szCs w:val="24"/>
          <w:rtl/>
        </w:rPr>
      </w:pPr>
      <w:r w:rsidRPr="00785A6D">
        <w:rPr>
          <w:rFonts w:cs="David" w:hint="cs"/>
          <w:sz w:val="24"/>
          <w:szCs w:val="24"/>
          <w:rtl/>
        </w:rPr>
        <w:lastRenderedPageBreak/>
        <w:t>האינפלציה ב-12 החודשים האחרונים עמדה על 1.4 אחוזים, והציפיות לאינפלציה לשנה קדימה מעוגנות בתוך תחום היעד, מתחת למרכז התחום</w:t>
      </w:r>
      <w:r w:rsidR="004B731A">
        <w:rPr>
          <w:rFonts w:cs="David" w:hint="cs"/>
          <w:sz w:val="24"/>
          <w:szCs w:val="24"/>
          <w:rtl/>
        </w:rPr>
        <w:t xml:space="preserve"> (שקף 6)</w:t>
      </w:r>
      <w:r w:rsidRPr="00785A6D">
        <w:rPr>
          <w:rFonts w:cs="David" w:hint="cs"/>
          <w:sz w:val="24"/>
          <w:szCs w:val="24"/>
          <w:rtl/>
        </w:rPr>
        <w:t>. בשער החליפין, לאחר ייסוף מהיר יחסית במחצית הראשונה של 2013 חלה התמתנות בקצב הייסוף</w:t>
      </w:r>
      <w:r w:rsidR="004B731A">
        <w:rPr>
          <w:rFonts w:cs="David" w:hint="cs"/>
          <w:sz w:val="24"/>
          <w:szCs w:val="24"/>
          <w:rtl/>
        </w:rPr>
        <w:t xml:space="preserve"> (שקף 7)</w:t>
      </w:r>
      <w:r w:rsidRPr="00785A6D">
        <w:rPr>
          <w:rFonts w:cs="David" w:hint="cs"/>
          <w:sz w:val="24"/>
          <w:szCs w:val="24"/>
          <w:rtl/>
        </w:rPr>
        <w:t xml:space="preserve">. חשוב לציין כי הכוחות העיקריים שפעלו לייסוף השנה הם ההתחלה של הפקת הגז הטבעי והציפיות להשפעה שתהיה לכך על מאזן התשלומים בשנים הבאות, וגם מצבו הטוב יחסית של המשק המשתקף בעודף בחשבון השוטף ובזרם של השקעות ישירות בחברות ישראליות חדשניות ואטרקטיביות. </w:t>
      </w:r>
    </w:p>
    <w:p w:rsidR="00587EBE" w:rsidRPr="00785A6D" w:rsidRDefault="00587EBE" w:rsidP="002D6A8A">
      <w:pPr>
        <w:bidi/>
        <w:spacing w:after="240" w:line="360" w:lineRule="auto"/>
        <w:jc w:val="both"/>
        <w:rPr>
          <w:rFonts w:cs="David"/>
          <w:sz w:val="24"/>
          <w:szCs w:val="24"/>
          <w:rtl/>
        </w:rPr>
      </w:pPr>
      <w:r w:rsidRPr="00785A6D">
        <w:rPr>
          <w:rFonts w:cs="David" w:hint="cs"/>
          <w:sz w:val="24"/>
          <w:szCs w:val="24"/>
          <w:rtl/>
        </w:rPr>
        <w:t>כל אלה עמדו בבסיס המדיניות המוניטרית השנה, ובכלל זה ברקע הפחתת הריבית האחרונה. חשוב להזכיר שיעדי המדיניות המוניטרית שנקבעו בחוק הם קודם כל שמירה על יציבות המחירים, כלומר שמירת האינפלציה בתחום שבין 1-3 אחזים, ובכפוף לכך תמיכה בצמיחה ובתעסוקה, וביציבות הפיננסית. לכן, ירידת האינפלציה, יחד עם הציפיות המתונות לאינפלציה, אפשרו ואף תמכו בהפחתת הריבית, שנועדה לתמוך בפעילות ובצמיחה, הן דרך הוזלת האשראי והן בהשפעתה על שער החליפין המשפיע בעיקר על המגזר הסחיר</w:t>
      </w:r>
      <w:r w:rsidRPr="00785A6D">
        <w:rPr>
          <w:rFonts w:cs="David"/>
          <w:sz w:val="24"/>
          <w:szCs w:val="24"/>
          <w:rtl/>
        </w:rPr>
        <w:t>—</w:t>
      </w:r>
      <w:r w:rsidRPr="00785A6D">
        <w:rPr>
          <w:rFonts w:cs="David" w:hint="cs"/>
          <w:sz w:val="24"/>
          <w:szCs w:val="24"/>
          <w:rtl/>
        </w:rPr>
        <w:t xml:space="preserve">ענפי היצוא ותחליפי היבוא. </w:t>
      </w:r>
    </w:p>
    <w:p w:rsidR="00587EBE" w:rsidRPr="00785A6D" w:rsidRDefault="00587EBE" w:rsidP="00F4416E">
      <w:pPr>
        <w:bidi/>
        <w:spacing w:after="240" w:line="360" w:lineRule="auto"/>
        <w:jc w:val="both"/>
        <w:rPr>
          <w:rFonts w:cs="David"/>
          <w:sz w:val="24"/>
          <w:szCs w:val="24"/>
          <w:rtl/>
        </w:rPr>
      </w:pPr>
      <w:r w:rsidRPr="00785A6D">
        <w:rPr>
          <w:rFonts w:cs="David" w:hint="cs"/>
          <w:sz w:val="24"/>
          <w:szCs w:val="24"/>
          <w:rtl/>
        </w:rPr>
        <w:t>כפי שציינתי בעבר, אנחנו לא אדישים להתפתחויות בשער החליפין, וערים להשפעות שיש לו על היצוא ועל התעסוקה בענפים הסחירים. לכן, בנוסף למדיניות הריבית, בנק ישראל פועל גם ישירות בשוק המט"ח</w:t>
      </w:r>
      <w:r w:rsidRPr="00785A6D">
        <w:rPr>
          <w:rFonts w:cs="David"/>
          <w:sz w:val="24"/>
          <w:szCs w:val="24"/>
          <w:rtl/>
        </w:rPr>
        <w:t>—</w:t>
      </w:r>
      <w:r w:rsidRPr="00785A6D">
        <w:rPr>
          <w:rFonts w:cs="David" w:hint="cs"/>
          <w:sz w:val="24"/>
          <w:szCs w:val="24"/>
          <w:rtl/>
        </w:rPr>
        <w:t>והיינו פעילים בשנה האחרונה הן ברכישות לקיזוז השפעת ההפקה של הגז הטבעי על החשבון השוטף של מאזן התשלומים, והן כדי למתן תנודות יתר בשער החליפין שאינן עולות בקנה אחד עם הכוחות הכלכליים הבסיסים</w:t>
      </w:r>
      <w:r w:rsidR="004B731A">
        <w:rPr>
          <w:rFonts w:cs="David" w:hint="cs"/>
          <w:sz w:val="24"/>
          <w:szCs w:val="24"/>
          <w:rtl/>
        </w:rPr>
        <w:t xml:space="preserve"> (שקף 8)</w:t>
      </w:r>
      <w:r w:rsidRPr="00785A6D">
        <w:rPr>
          <w:rFonts w:cs="David" w:hint="cs"/>
          <w:sz w:val="24"/>
          <w:szCs w:val="24"/>
          <w:rtl/>
        </w:rPr>
        <w:t>.</w:t>
      </w:r>
      <w:r w:rsidR="00ED14D5">
        <w:rPr>
          <w:rFonts w:cs="David" w:hint="cs"/>
          <w:sz w:val="24"/>
          <w:szCs w:val="24"/>
          <w:rtl/>
        </w:rPr>
        <w:t xml:space="preserve"> יש לזכור שיתרות המט"ח מהוות מרכיב חשוב ביציבות </w:t>
      </w:r>
      <w:r w:rsidR="00F4416E">
        <w:rPr>
          <w:rFonts w:cs="David" w:hint="cs"/>
          <w:sz w:val="24"/>
          <w:szCs w:val="24"/>
          <w:rtl/>
        </w:rPr>
        <w:t>הפיננסית</w:t>
      </w:r>
      <w:r w:rsidR="00ED14D5">
        <w:rPr>
          <w:rFonts w:cs="David" w:hint="cs"/>
          <w:sz w:val="24"/>
          <w:szCs w:val="24"/>
          <w:rtl/>
        </w:rPr>
        <w:t>, וישנם מחקרים בעולם שמצביעים על כך שיתרות מט"ח ברמה גבוהה מפחיתות את ההסתברות למשבר פיננסי</w:t>
      </w:r>
      <w:r w:rsidR="00F4416E">
        <w:rPr>
          <w:rFonts w:cs="David" w:hint="cs"/>
          <w:sz w:val="24"/>
          <w:szCs w:val="24"/>
          <w:rtl/>
        </w:rPr>
        <w:t xml:space="preserve"> במשק</w:t>
      </w:r>
      <w:r w:rsidR="00ED14D5">
        <w:rPr>
          <w:rFonts w:cs="David" w:hint="cs"/>
          <w:sz w:val="24"/>
          <w:szCs w:val="24"/>
          <w:rtl/>
        </w:rPr>
        <w:t xml:space="preserve">. </w:t>
      </w:r>
    </w:p>
    <w:p w:rsidR="00587EBE" w:rsidRPr="00785A6D" w:rsidRDefault="00587EBE" w:rsidP="002F5F6D">
      <w:pPr>
        <w:bidi/>
        <w:spacing w:after="240" w:line="360" w:lineRule="auto"/>
        <w:jc w:val="both"/>
        <w:rPr>
          <w:rFonts w:cs="David"/>
          <w:sz w:val="24"/>
          <w:szCs w:val="24"/>
          <w:rtl/>
        </w:rPr>
      </w:pPr>
      <w:r w:rsidRPr="00785A6D">
        <w:rPr>
          <w:rFonts w:cs="David" w:hint="cs"/>
          <w:sz w:val="24"/>
          <w:szCs w:val="24"/>
          <w:rtl/>
        </w:rPr>
        <w:t xml:space="preserve">באשר לשוק הדיור, מחירי הדירות המשיכו לעלות בקצב מהיר והם עלו, גם ב-2013 בכ-8 אחוזים, יחד עם עלייה מהירה בהיקף המשכנתאות החדשות. המפקח על הבנקים נקט בצעדים שנועדו לצמצם את הסיכונים הכרוכים במשכנתאות ובגידול המהיר שלהן. כך, הצעדים האחרונים שננקטו </w:t>
      </w:r>
      <w:r w:rsidRPr="00785A6D">
        <w:rPr>
          <w:rFonts w:cs="David"/>
          <w:sz w:val="24"/>
          <w:szCs w:val="24"/>
          <w:rtl/>
        </w:rPr>
        <w:t>–</w:t>
      </w:r>
      <w:r w:rsidR="003727DC">
        <w:rPr>
          <w:rFonts w:cs="David" w:hint="cs"/>
          <w:sz w:val="24"/>
          <w:szCs w:val="24"/>
          <w:rtl/>
        </w:rPr>
        <w:t xml:space="preserve"> </w:t>
      </w:r>
      <w:r w:rsidRPr="00785A6D">
        <w:rPr>
          <w:rFonts w:cs="David" w:hint="cs"/>
          <w:sz w:val="24"/>
          <w:szCs w:val="24"/>
          <w:rtl/>
        </w:rPr>
        <w:t>המגבילים את שיעור ההחזר מההכנסה וכן קובעים שלפחות שליש מהמשכנתא יהיה בריבית קבועה</w:t>
      </w:r>
      <w:r w:rsidR="003727DC">
        <w:rPr>
          <w:rFonts w:cs="David" w:hint="cs"/>
          <w:sz w:val="24"/>
          <w:szCs w:val="24"/>
          <w:rtl/>
        </w:rPr>
        <w:t xml:space="preserve"> </w:t>
      </w:r>
      <w:r w:rsidRPr="00785A6D">
        <w:rPr>
          <w:rFonts w:cs="David" w:hint="cs"/>
          <w:sz w:val="24"/>
          <w:szCs w:val="24"/>
          <w:rtl/>
        </w:rPr>
        <w:t>--</w:t>
      </w:r>
      <w:r w:rsidR="003727DC">
        <w:rPr>
          <w:rFonts w:cs="David" w:hint="cs"/>
          <w:sz w:val="24"/>
          <w:szCs w:val="24"/>
          <w:rtl/>
        </w:rPr>
        <w:t xml:space="preserve"> </w:t>
      </w:r>
      <w:r w:rsidRPr="00785A6D">
        <w:rPr>
          <w:rFonts w:cs="David" w:hint="cs"/>
          <w:sz w:val="24"/>
          <w:szCs w:val="24"/>
          <w:rtl/>
        </w:rPr>
        <w:t xml:space="preserve">פועלים להקטין את הסיכון שמשקי בית </w:t>
      </w:r>
      <w:r w:rsidR="00920248">
        <w:rPr>
          <w:rFonts w:cs="David" w:hint="cs"/>
          <w:sz w:val="24"/>
          <w:szCs w:val="24"/>
          <w:rtl/>
        </w:rPr>
        <w:t>שנטלו</w:t>
      </w:r>
      <w:r w:rsidRPr="00785A6D">
        <w:rPr>
          <w:rFonts w:cs="David" w:hint="cs"/>
          <w:sz w:val="24"/>
          <w:szCs w:val="24"/>
          <w:rtl/>
        </w:rPr>
        <w:t xml:space="preserve"> משכנתא יתקשו לעמוד בהחזרים</w:t>
      </w:r>
      <w:r w:rsidR="00920248">
        <w:rPr>
          <w:rFonts w:cs="David" w:hint="cs"/>
          <w:sz w:val="24"/>
          <w:szCs w:val="24"/>
          <w:rtl/>
        </w:rPr>
        <w:t xml:space="preserve">, למשל </w:t>
      </w:r>
      <w:r w:rsidRPr="00785A6D">
        <w:rPr>
          <w:rFonts w:cs="David" w:hint="cs"/>
          <w:sz w:val="24"/>
          <w:szCs w:val="24"/>
          <w:rtl/>
        </w:rPr>
        <w:t xml:space="preserve">במצב </w:t>
      </w:r>
      <w:r w:rsidR="00920248">
        <w:rPr>
          <w:rFonts w:cs="David" w:hint="cs"/>
          <w:sz w:val="24"/>
          <w:szCs w:val="24"/>
          <w:rtl/>
        </w:rPr>
        <w:t>שבו</w:t>
      </w:r>
      <w:r w:rsidRPr="00785A6D">
        <w:rPr>
          <w:rFonts w:cs="David" w:hint="cs"/>
          <w:sz w:val="24"/>
          <w:szCs w:val="24"/>
          <w:rtl/>
        </w:rPr>
        <w:t xml:space="preserve"> אחד מבני הבית יאבד את מקום עבודתו, או אם נטל ההחזר יעלה עקב עליית הריבית. הירידה בשיעור המשכנתאות עם </w:t>
      </w:r>
      <w:r w:rsidRPr="00785A6D">
        <w:rPr>
          <w:rFonts w:cs="David"/>
          <w:sz w:val="24"/>
          <w:szCs w:val="24"/>
        </w:rPr>
        <w:t xml:space="preserve">LTV </w:t>
      </w:r>
      <w:r w:rsidRPr="00785A6D">
        <w:rPr>
          <w:rFonts w:cs="David" w:hint="cs"/>
          <w:sz w:val="24"/>
          <w:szCs w:val="24"/>
          <w:rtl/>
        </w:rPr>
        <w:t xml:space="preserve"> </w:t>
      </w:r>
      <w:r w:rsidR="00920248">
        <w:rPr>
          <w:rFonts w:cs="David" w:hint="cs"/>
          <w:sz w:val="24"/>
          <w:szCs w:val="24"/>
          <w:rtl/>
        </w:rPr>
        <w:t xml:space="preserve">(יחס מימון) </w:t>
      </w:r>
      <w:r w:rsidRPr="00785A6D">
        <w:rPr>
          <w:rFonts w:cs="David" w:hint="cs"/>
          <w:sz w:val="24"/>
          <w:szCs w:val="24"/>
          <w:rtl/>
        </w:rPr>
        <w:t xml:space="preserve">שמעל 60% והירידה בשיעור המשכנתאות עם </w:t>
      </w:r>
      <w:r w:rsidRPr="00785A6D">
        <w:rPr>
          <w:rFonts w:cs="David"/>
          <w:sz w:val="24"/>
          <w:szCs w:val="24"/>
        </w:rPr>
        <w:t xml:space="preserve">PTI </w:t>
      </w:r>
      <w:r w:rsidRPr="00785A6D">
        <w:rPr>
          <w:rFonts w:cs="David" w:hint="cs"/>
          <w:sz w:val="24"/>
          <w:szCs w:val="24"/>
          <w:rtl/>
        </w:rPr>
        <w:t xml:space="preserve"> (שיעור החזר מהכנסה) שמעל 40%</w:t>
      </w:r>
      <w:r w:rsidR="00920248">
        <w:rPr>
          <w:rFonts w:cs="David" w:hint="cs"/>
          <w:sz w:val="24"/>
          <w:szCs w:val="24"/>
          <w:rtl/>
        </w:rPr>
        <w:t>,</w:t>
      </w:r>
      <w:r w:rsidRPr="00785A6D">
        <w:rPr>
          <w:rFonts w:cs="David" w:hint="cs"/>
          <w:sz w:val="24"/>
          <w:szCs w:val="24"/>
          <w:rtl/>
        </w:rPr>
        <w:t xml:space="preserve"> מצביעים על כך שהצעדים שננקטו אכן הפחיתו את הסיכון הגלום במשכנתאות </w:t>
      </w:r>
      <w:r w:rsidR="002F5F6D">
        <w:rPr>
          <w:rFonts w:cs="David" w:hint="cs"/>
          <w:sz w:val="24"/>
          <w:szCs w:val="24"/>
          <w:rtl/>
        </w:rPr>
        <w:t xml:space="preserve">(שקף 9). </w:t>
      </w:r>
      <w:r w:rsidRPr="00785A6D">
        <w:rPr>
          <w:rFonts w:cs="David" w:hint="cs"/>
          <w:sz w:val="24"/>
          <w:szCs w:val="24"/>
          <w:rtl/>
        </w:rPr>
        <w:t>עם זאת, המשך הגידול המהיר בהיקף המשכנתאות ובמשקלן בתיק האשראי של הבנקים מהווים גורם סיכון, וככל שידרשו צעדים נוספים לא נהסס לנקוט בהם.</w:t>
      </w:r>
    </w:p>
    <w:p w:rsidR="00587EBE" w:rsidRPr="00785A6D" w:rsidRDefault="00587EBE" w:rsidP="00587EBE">
      <w:pPr>
        <w:bidi/>
        <w:spacing w:line="360" w:lineRule="auto"/>
        <w:jc w:val="both"/>
        <w:rPr>
          <w:rFonts w:cs="David"/>
          <w:sz w:val="24"/>
          <w:szCs w:val="24"/>
          <w:rtl/>
        </w:rPr>
      </w:pPr>
      <w:r w:rsidRPr="00785A6D">
        <w:rPr>
          <w:rFonts w:cs="David" w:hint="cs"/>
          <w:sz w:val="24"/>
          <w:szCs w:val="24"/>
          <w:rtl/>
        </w:rPr>
        <w:t>העלייה</w:t>
      </w:r>
      <w:r w:rsidR="0008531A">
        <w:rPr>
          <w:rFonts w:cs="David" w:hint="cs"/>
          <w:sz w:val="24"/>
          <w:szCs w:val="24"/>
          <w:rtl/>
        </w:rPr>
        <w:t xml:space="preserve"> בהיקף התחלות וסיומי הבנייה שאנו</w:t>
      </w:r>
      <w:bookmarkStart w:id="0" w:name="_GoBack"/>
      <w:bookmarkEnd w:id="0"/>
      <w:r w:rsidRPr="00785A6D">
        <w:rPr>
          <w:rFonts w:cs="David" w:hint="cs"/>
          <w:sz w:val="24"/>
          <w:szCs w:val="24"/>
          <w:rtl/>
        </w:rPr>
        <w:t xml:space="preserve"> עדים לה בשנה האחרונה אל כמעט 45000 התחלות ומעל ל 40000 גמרי בנייה --מעל לביקוש הבסיסי לדירות הנובע מהגידול במספר משקי הבית</w:t>
      </w:r>
      <w:r w:rsidR="002F5F6D">
        <w:rPr>
          <w:rFonts w:cs="David" w:hint="cs"/>
          <w:sz w:val="24"/>
          <w:szCs w:val="24"/>
          <w:rtl/>
        </w:rPr>
        <w:t>,</w:t>
      </w:r>
      <w:r w:rsidRPr="00785A6D">
        <w:rPr>
          <w:rFonts w:cs="David" w:hint="cs"/>
          <w:sz w:val="24"/>
          <w:szCs w:val="24"/>
          <w:rtl/>
        </w:rPr>
        <w:t xml:space="preserve"> היא התפתחות חיובית. אם מגמה זו  </w:t>
      </w:r>
      <w:r w:rsidRPr="00785A6D">
        <w:rPr>
          <w:rFonts w:cs="David" w:hint="cs"/>
          <w:b/>
          <w:bCs/>
          <w:sz w:val="24"/>
          <w:szCs w:val="24"/>
          <w:rtl/>
        </w:rPr>
        <w:t>תתמיד</w:t>
      </w:r>
      <w:r w:rsidRPr="00785A6D">
        <w:rPr>
          <w:rFonts w:cs="David"/>
          <w:b/>
          <w:bCs/>
          <w:sz w:val="24"/>
          <w:szCs w:val="24"/>
          <w:rtl/>
        </w:rPr>
        <w:t>—</w:t>
      </w:r>
      <w:r w:rsidRPr="00785A6D">
        <w:rPr>
          <w:rFonts w:cs="David" w:hint="cs"/>
          <w:b/>
          <w:bCs/>
          <w:sz w:val="24"/>
          <w:szCs w:val="24"/>
          <w:rtl/>
        </w:rPr>
        <w:t>וניכר שהממשלה עושה מאמצים בכיוון זה</w:t>
      </w:r>
      <w:r w:rsidRPr="00785A6D">
        <w:rPr>
          <w:rFonts w:cs="David"/>
          <w:b/>
          <w:bCs/>
          <w:sz w:val="24"/>
          <w:szCs w:val="24"/>
          <w:rtl/>
        </w:rPr>
        <w:t>—</w:t>
      </w:r>
      <w:r w:rsidRPr="00785A6D">
        <w:rPr>
          <w:rFonts w:cs="David" w:hint="cs"/>
          <w:b/>
          <w:bCs/>
          <w:sz w:val="24"/>
          <w:szCs w:val="24"/>
          <w:rtl/>
        </w:rPr>
        <w:t>ואם היא</w:t>
      </w:r>
      <w:r w:rsidRPr="00785A6D">
        <w:rPr>
          <w:rFonts w:cs="David" w:hint="cs"/>
          <w:sz w:val="24"/>
          <w:szCs w:val="24"/>
          <w:rtl/>
        </w:rPr>
        <w:t xml:space="preserve"> </w:t>
      </w:r>
      <w:r w:rsidRPr="00785A6D">
        <w:rPr>
          <w:rFonts w:cs="David" w:hint="cs"/>
          <w:b/>
          <w:bCs/>
          <w:sz w:val="24"/>
          <w:szCs w:val="24"/>
          <w:rtl/>
        </w:rPr>
        <w:t>תכלול את אזורי</w:t>
      </w:r>
      <w:r w:rsidRPr="00785A6D">
        <w:rPr>
          <w:rFonts w:cs="David" w:hint="cs"/>
          <w:sz w:val="24"/>
          <w:szCs w:val="24"/>
          <w:rtl/>
        </w:rPr>
        <w:t xml:space="preserve"> </w:t>
      </w:r>
      <w:r w:rsidRPr="002F5F6D">
        <w:rPr>
          <w:rFonts w:cs="David" w:hint="cs"/>
          <w:b/>
          <w:bCs/>
          <w:sz w:val="24"/>
          <w:szCs w:val="24"/>
          <w:rtl/>
        </w:rPr>
        <w:t>הביקוש</w:t>
      </w:r>
      <w:r w:rsidRPr="00785A6D">
        <w:rPr>
          <w:rFonts w:cs="David" w:hint="cs"/>
          <w:sz w:val="24"/>
          <w:szCs w:val="24"/>
          <w:rtl/>
        </w:rPr>
        <w:t xml:space="preserve">, היא תפעל להפחית את הלחץ ולייצב את מחירי הדירות.  </w:t>
      </w:r>
    </w:p>
    <w:p w:rsidR="00627454" w:rsidRDefault="00627454" w:rsidP="001B22AE">
      <w:pPr>
        <w:bidi/>
        <w:spacing w:after="240" w:line="360" w:lineRule="auto"/>
        <w:jc w:val="both"/>
        <w:rPr>
          <w:rFonts w:cs="David"/>
          <w:b/>
          <w:bCs/>
          <w:sz w:val="24"/>
          <w:szCs w:val="24"/>
          <w:rtl/>
        </w:rPr>
      </w:pPr>
    </w:p>
    <w:p w:rsidR="00627454" w:rsidRDefault="00627454" w:rsidP="00627454">
      <w:pPr>
        <w:bidi/>
        <w:spacing w:after="240" w:line="360" w:lineRule="auto"/>
        <w:jc w:val="both"/>
        <w:rPr>
          <w:rFonts w:cs="David"/>
          <w:b/>
          <w:bCs/>
          <w:sz w:val="24"/>
          <w:szCs w:val="24"/>
          <w:rtl/>
        </w:rPr>
      </w:pPr>
    </w:p>
    <w:p w:rsidR="00587EBE" w:rsidRPr="00785A6D" w:rsidRDefault="00587EBE" w:rsidP="00627454">
      <w:pPr>
        <w:bidi/>
        <w:spacing w:after="240" w:line="360" w:lineRule="auto"/>
        <w:jc w:val="both"/>
        <w:rPr>
          <w:rFonts w:cs="David"/>
          <w:b/>
          <w:bCs/>
          <w:sz w:val="24"/>
          <w:szCs w:val="24"/>
          <w:rtl/>
        </w:rPr>
      </w:pPr>
      <w:r w:rsidRPr="00785A6D">
        <w:rPr>
          <w:rFonts w:cs="David" w:hint="cs"/>
          <w:b/>
          <w:bCs/>
          <w:sz w:val="24"/>
          <w:szCs w:val="24"/>
          <w:rtl/>
        </w:rPr>
        <w:t>יציבות פיננסית</w:t>
      </w:r>
    </w:p>
    <w:p w:rsidR="00587EBE" w:rsidRPr="00785A6D" w:rsidRDefault="00587EBE" w:rsidP="004B437B">
      <w:pPr>
        <w:bidi/>
        <w:spacing w:line="360" w:lineRule="auto"/>
        <w:jc w:val="both"/>
        <w:rPr>
          <w:rFonts w:cs="David"/>
          <w:sz w:val="24"/>
          <w:szCs w:val="24"/>
          <w:rtl/>
        </w:rPr>
      </w:pPr>
      <w:r w:rsidRPr="00785A6D">
        <w:rPr>
          <w:rFonts w:cs="David" w:hint="cs"/>
          <w:sz w:val="24"/>
          <w:szCs w:val="24"/>
          <w:rtl/>
        </w:rPr>
        <w:t>את תמונת היציבות של המשק</w:t>
      </w:r>
      <w:r w:rsidR="001B22AE">
        <w:rPr>
          <w:rFonts w:cs="David" w:hint="cs"/>
          <w:sz w:val="24"/>
          <w:szCs w:val="24"/>
          <w:rtl/>
        </w:rPr>
        <w:t xml:space="preserve"> </w:t>
      </w:r>
      <w:r w:rsidRPr="00785A6D">
        <w:rPr>
          <w:rFonts w:cs="David" w:hint="cs"/>
          <w:sz w:val="24"/>
          <w:szCs w:val="24"/>
          <w:rtl/>
        </w:rPr>
        <w:t>ניתן לייצג בצורה רב ממדית באמצעות דיאגרמת הרדאר הכוללת נתונים ריאליים, נתונים חשבונאיים ונתוני סקרים, וכן נתונים המייצגים את תפיסת הסיכון של המשקיעים מהארץ ומהעולם</w:t>
      </w:r>
      <w:r w:rsidR="00A361C2">
        <w:rPr>
          <w:rFonts w:cs="David" w:hint="cs"/>
          <w:sz w:val="24"/>
          <w:szCs w:val="24"/>
          <w:rtl/>
        </w:rPr>
        <w:t xml:space="preserve"> (שקף 11)</w:t>
      </w:r>
      <w:r w:rsidRPr="00785A6D">
        <w:rPr>
          <w:rFonts w:cs="David" w:hint="cs"/>
          <w:sz w:val="24"/>
          <w:szCs w:val="24"/>
          <w:rtl/>
        </w:rPr>
        <w:t>. הדיאגרמה לסוף ינואר 2014 מצביעה על כך שהמערכת הפיננסית והמשק נמצאים במצב יציב. הדיאגרמה האדומה</w:t>
      </w:r>
      <w:r w:rsidRPr="00785A6D">
        <w:rPr>
          <w:rFonts w:cs="David"/>
          <w:sz w:val="24"/>
          <w:szCs w:val="24"/>
          <w:rtl/>
        </w:rPr>
        <w:t>—</w:t>
      </w:r>
      <w:r w:rsidRPr="00785A6D">
        <w:rPr>
          <w:rFonts w:cs="David" w:hint="cs"/>
          <w:sz w:val="24"/>
          <w:szCs w:val="24"/>
          <w:rtl/>
        </w:rPr>
        <w:t xml:space="preserve">משקפת את תמונת המצב בסוף 2008 ומבטאת </w:t>
      </w:r>
      <w:r w:rsidR="004B437B">
        <w:rPr>
          <w:rFonts w:cs="David" w:hint="cs"/>
          <w:sz w:val="24"/>
          <w:szCs w:val="24"/>
          <w:rtl/>
        </w:rPr>
        <w:t>תמונה המצב שבה</w:t>
      </w:r>
      <w:r w:rsidRPr="00785A6D">
        <w:rPr>
          <w:rFonts w:cs="David" w:hint="cs"/>
          <w:sz w:val="24"/>
          <w:szCs w:val="24"/>
          <w:rtl/>
        </w:rPr>
        <w:t xml:space="preserve"> כמעט כל מדדי הסיכון, הן הגלובליים והן המקומיים, היו ברמות שיא בשיאו של המשבר הפיננסי העולמי. הדיאגרמה הכחולה, המייצגת את רמות מדדי הסיכון הנוכחיים מצביעה על רמות נמוכות יחסית של המדדים, כאשר עיקר הסיכונים הנמדדים משקפים את המצב המקרו כללי הגלובלי</w:t>
      </w:r>
      <w:r w:rsidRPr="00785A6D">
        <w:rPr>
          <w:rFonts w:cs="David"/>
          <w:sz w:val="24"/>
          <w:szCs w:val="24"/>
          <w:rtl/>
        </w:rPr>
        <w:t>—</w:t>
      </w:r>
      <w:r w:rsidRPr="00785A6D">
        <w:rPr>
          <w:rFonts w:cs="David" w:hint="cs"/>
          <w:sz w:val="24"/>
          <w:szCs w:val="24"/>
          <w:rtl/>
        </w:rPr>
        <w:t xml:space="preserve">צמיחה מתונה, אבטלה גבוהה ומדדים המשקפים אמון  צרכנים, ובטחון עסקים ירודים. אלה משליכים כמובן גם על סיכון המקרו המקומי המשקף צמיחה מתונה. לעומת זאת מדדי סיכון השוק, הן בארץ והן בעולם נמצאים ברמה נמוכה, וכך </w:t>
      </w:r>
      <w:r w:rsidR="00244C5D" w:rsidRPr="00785A6D">
        <w:rPr>
          <w:rFonts w:cs="David" w:hint="cs"/>
          <w:sz w:val="24"/>
          <w:szCs w:val="24"/>
          <w:rtl/>
        </w:rPr>
        <w:t>נפער</w:t>
      </w:r>
      <w:r w:rsidRPr="00785A6D">
        <w:rPr>
          <w:rFonts w:cs="David" w:hint="cs"/>
          <w:sz w:val="24"/>
          <w:szCs w:val="24"/>
          <w:rtl/>
        </w:rPr>
        <w:t xml:space="preserve"> פער </w:t>
      </w:r>
      <w:r w:rsidRPr="00785A6D">
        <w:rPr>
          <w:rFonts w:cs="David"/>
          <w:sz w:val="24"/>
          <w:szCs w:val="24"/>
          <w:rtl/>
        </w:rPr>
        <w:t>–</w:t>
      </w:r>
      <w:r w:rsidRPr="00785A6D">
        <w:rPr>
          <w:rFonts w:cs="David" w:hint="cs"/>
          <w:sz w:val="24"/>
          <w:szCs w:val="24"/>
          <w:rtl/>
        </w:rPr>
        <w:t>גם בעולם וגם בישראל -- בין המצב הריאלי לבין תפיסת הסיכון של המשקיעים; פער זה מושפע כנראה מחיפוש אחר תשואה בסביבה של ריביות נמוכות, אך יתכן שגם מציפיות לעלייה בריווחי החברות שתלווה את ההתאוששות.</w:t>
      </w:r>
    </w:p>
    <w:p w:rsidR="00587EBE" w:rsidRPr="00785A6D" w:rsidRDefault="00587EBE" w:rsidP="007C1CA5">
      <w:pPr>
        <w:bidi/>
        <w:spacing w:before="240" w:line="360" w:lineRule="auto"/>
        <w:jc w:val="both"/>
        <w:rPr>
          <w:rFonts w:cs="David"/>
          <w:sz w:val="24"/>
          <w:szCs w:val="24"/>
          <w:rtl/>
        </w:rPr>
      </w:pPr>
      <w:r w:rsidRPr="00785A6D">
        <w:rPr>
          <w:rFonts w:cs="David" w:hint="cs"/>
          <w:sz w:val="24"/>
          <w:szCs w:val="24"/>
          <w:rtl/>
        </w:rPr>
        <w:t xml:space="preserve">הסתכלות על מקורות המימון של המגזר </w:t>
      </w:r>
      <w:r w:rsidR="00244C5D" w:rsidRPr="00785A6D">
        <w:rPr>
          <w:rFonts w:cs="David" w:hint="cs"/>
          <w:sz w:val="24"/>
          <w:szCs w:val="24"/>
          <w:rtl/>
        </w:rPr>
        <w:t>העסקי</w:t>
      </w:r>
      <w:r w:rsidRPr="00785A6D">
        <w:rPr>
          <w:rFonts w:cs="David" w:hint="cs"/>
          <w:sz w:val="24"/>
          <w:szCs w:val="24"/>
          <w:rtl/>
        </w:rPr>
        <w:t xml:space="preserve"> מצביעה על כך שהמגמה שהיינו עדים לה מאז תחילת</w:t>
      </w:r>
      <w:r w:rsidRPr="00785A6D">
        <w:rPr>
          <w:rFonts w:cs="David"/>
          <w:sz w:val="24"/>
          <w:szCs w:val="24"/>
          <w:rtl/>
        </w:rPr>
        <w:t xml:space="preserve"> </w:t>
      </w:r>
      <w:r w:rsidRPr="00785A6D">
        <w:rPr>
          <w:rFonts w:cs="David" w:hint="cs"/>
          <w:sz w:val="24"/>
          <w:szCs w:val="24"/>
          <w:rtl/>
        </w:rPr>
        <w:t>שנות</w:t>
      </w:r>
      <w:r w:rsidRPr="00785A6D">
        <w:rPr>
          <w:rFonts w:cs="David"/>
          <w:sz w:val="24"/>
          <w:szCs w:val="24"/>
          <w:rtl/>
        </w:rPr>
        <w:t xml:space="preserve"> </w:t>
      </w:r>
      <w:r w:rsidRPr="00785A6D">
        <w:rPr>
          <w:rFonts w:cs="David" w:hint="cs"/>
          <w:sz w:val="24"/>
          <w:szCs w:val="24"/>
          <w:rtl/>
        </w:rPr>
        <w:t>האלפיים,</w:t>
      </w:r>
      <w:r w:rsidRPr="00785A6D">
        <w:rPr>
          <w:rFonts w:cs="David"/>
          <w:sz w:val="24"/>
          <w:szCs w:val="24"/>
          <w:rtl/>
        </w:rPr>
        <w:t xml:space="preserve"> </w:t>
      </w:r>
      <w:r w:rsidRPr="00785A6D">
        <w:rPr>
          <w:rFonts w:cs="David" w:hint="cs"/>
          <w:sz w:val="24"/>
          <w:szCs w:val="24"/>
          <w:rtl/>
        </w:rPr>
        <w:t>של</w:t>
      </w:r>
      <w:r w:rsidRPr="00785A6D">
        <w:rPr>
          <w:rFonts w:cs="David"/>
          <w:sz w:val="24"/>
          <w:szCs w:val="24"/>
          <w:rtl/>
        </w:rPr>
        <w:t xml:space="preserve"> </w:t>
      </w:r>
      <w:r w:rsidRPr="00785A6D">
        <w:rPr>
          <w:rFonts w:cs="David" w:hint="cs"/>
          <w:sz w:val="24"/>
          <w:szCs w:val="24"/>
          <w:rtl/>
        </w:rPr>
        <w:t>ירידה</w:t>
      </w:r>
      <w:r w:rsidRPr="00785A6D">
        <w:rPr>
          <w:rFonts w:cs="David"/>
          <w:sz w:val="24"/>
          <w:szCs w:val="24"/>
          <w:rtl/>
        </w:rPr>
        <w:t xml:space="preserve"> </w:t>
      </w:r>
      <w:r w:rsidRPr="00785A6D">
        <w:rPr>
          <w:rFonts w:cs="David" w:hint="cs"/>
          <w:sz w:val="24"/>
          <w:szCs w:val="24"/>
          <w:rtl/>
        </w:rPr>
        <w:t>במשקל</w:t>
      </w:r>
      <w:r w:rsidRPr="00785A6D">
        <w:rPr>
          <w:rFonts w:cs="David"/>
          <w:sz w:val="24"/>
          <w:szCs w:val="24"/>
          <w:rtl/>
        </w:rPr>
        <w:t xml:space="preserve"> </w:t>
      </w:r>
      <w:r w:rsidRPr="00785A6D">
        <w:rPr>
          <w:rFonts w:cs="David" w:hint="cs"/>
          <w:sz w:val="24"/>
          <w:szCs w:val="24"/>
          <w:rtl/>
        </w:rPr>
        <w:t>האשראי</w:t>
      </w:r>
      <w:r w:rsidRPr="00785A6D">
        <w:rPr>
          <w:rFonts w:cs="David"/>
          <w:sz w:val="24"/>
          <w:szCs w:val="24"/>
          <w:rtl/>
        </w:rPr>
        <w:t xml:space="preserve"> </w:t>
      </w:r>
      <w:r w:rsidRPr="00785A6D">
        <w:rPr>
          <w:rFonts w:cs="David" w:hint="cs"/>
          <w:sz w:val="24"/>
          <w:szCs w:val="24"/>
          <w:rtl/>
        </w:rPr>
        <w:t>הבנקאי</w:t>
      </w:r>
      <w:r w:rsidRPr="00785A6D">
        <w:rPr>
          <w:rFonts w:cs="David"/>
          <w:sz w:val="24"/>
          <w:szCs w:val="24"/>
          <w:rtl/>
        </w:rPr>
        <w:t xml:space="preserve"> </w:t>
      </w:r>
      <w:r w:rsidRPr="00785A6D">
        <w:rPr>
          <w:rFonts w:cs="David" w:hint="cs"/>
          <w:sz w:val="24"/>
          <w:szCs w:val="24"/>
          <w:rtl/>
        </w:rPr>
        <w:t>ועלייה</w:t>
      </w:r>
      <w:r w:rsidRPr="00785A6D">
        <w:rPr>
          <w:rFonts w:cs="David"/>
          <w:sz w:val="24"/>
          <w:szCs w:val="24"/>
          <w:rtl/>
        </w:rPr>
        <w:t xml:space="preserve"> </w:t>
      </w:r>
      <w:r w:rsidRPr="00785A6D">
        <w:rPr>
          <w:rFonts w:cs="David" w:hint="cs"/>
          <w:sz w:val="24"/>
          <w:szCs w:val="24"/>
          <w:rtl/>
        </w:rPr>
        <w:t>במשקל</w:t>
      </w:r>
      <w:r w:rsidRPr="00785A6D">
        <w:rPr>
          <w:rFonts w:cs="David"/>
          <w:sz w:val="24"/>
          <w:szCs w:val="24"/>
          <w:rtl/>
        </w:rPr>
        <w:t xml:space="preserve"> </w:t>
      </w:r>
      <w:r w:rsidRPr="00785A6D">
        <w:rPr>
          <w:rFonts w:cs="David" w:hint="cs"/>
          <w:sz w:val="24"/>
          <w:szCs w:val="24"/>
          <w:rtl/>
        </w:rPr>
        <w:t>האשראי</w:t>
      </w:r>
      <w:r w:rsidRPr="00785A6D">
        <w:rPr>
          <w:rFonts w:cs="David"/>
          <w:sz w:val="24"/>
          <w:szCs w:val="24"/>
          <w:rtl/>
        </w:rPr>
        <w:t xml:space="preserve"> </w:t>
      </w:r>
      <w:r w:rsidRPr="00785A6D">
        <w:rPr>
          <w:rFonts w:cs="David" w:hint="cs"/>
          <w:sz w:val="24"/>
          <w:szCs w:val="24"/>
          <w:rtl/>
        </w:rPr>
        <w:t>החוץ</w:t>
      </w:r>
      <w:r w:rsidRPr="00785A6D">
        <w:rPr>
          <w:rFonts w:cs="David"/>
          <w:sz w:val="24"/>
          <w:szCs w:val="24"/>
          <w:rtl/>
        </w:rPr>
        <w:t xml:space="preserve"> </w:t>
      </w:r>
      <w:r w:rsidRPr="00785A6D">
        <w:rPr>
          <w:rFonts w:cs="David" w:hint="cs"/>
          <w:sz w:val="24"/>
          <w:szCs w:val="24"/>
          <w:rtl/>
        </w:rPr>
        <w:t>בנקאי המקומי</w:t>
      </w:r>
      <w:r w:rsidRPr="00785A6D">
        <w:rPr>
          <w:rFonts w:cs="David"/>
          <w:sz w:val="24"/>
          <w:szCs w:val="24"/>
          <w:rtl/>
        </w:rPr>
        <w:t>—</w:t>
      </w:r>
      <w:r w:rsidRPr="00785A6D">
        <w:rPr>
          <w:rFonts w:cs="David" w:hint="cs"/>
          <w:sz w:val="24"/>
          <w:szCs w:val="24"/>
          <w:rtl/>
        </w:rPr>
        <w:t>באמצעות אג"ח חברות ולאחרונה גם בהלוואות ישירות מהמוסדיים</w:t>
      </w:r>
      <w:r w:rsidR="002D6A8A">
        <w:rPr>
          <w:rFonts w:cs="David" w:hint="cs"/>
          <w:sz w:val="24"/>
          <w:szCs w:val="24"/>
          <w:rtl/>
        </w:rPr>
        <w:t xml:space="preserve"> - </w:t>
      </w:r>
      <w:r w:rsidRPr="00785A6D">
        <w:rPr>
          <w:rFonts w:cs="David" w:hint="cs"/>
          <w:sz w:val="24"/>
          <w:szCs w:val="24"/>
          <w:rtl/>
        </w:rPr>
        <w:t>נמשכת גם לאחר המשבר הגלובלי של 2008-9</w:t>
      </w:r>
      <w:r w:rsidR="00A361C2">
        <w:rPr>
          <w:rFonts w:cs="David" w:hint="cs"/>
          <w:sz w:val="24"/>
          <w:szCs w:val="24"/>
          <w:rtl/>
        </w:rPr>
        <w:t xml:space="preserve"> (שקף 12)</w:t>
      </w:r>
      <w:r w:rsidRPr="00785A6D">
        <w:rPr>
          <w:rFonts w:cs="David" w:hint="cs"/>
          <w:sz w:val="24"/>
          <w:szCs w:val="24"/>
          <w:rtl/>
        </w:rPr>
        <w:t xml:space="preserve">.  </w:t>
      </w:r>
      <w:r w:rsidR="007C1CA5">
        <w:rPr>
          <w:rFonts w:cs="David" w:hint="cs"/>
          <w:sz w:val="24"/>
          <w:szCs w:val="24"/>
          <w:rtl/>
        </w:rPr>
        <w:t>זהו כמובן תהליך חיובי בכך שהו</w:t>
      </w:r>
      <w:r w:rsidRPr="00785A6D">
        <w:rPr>
          <w:rFonts w:cs="David" w:hint="cs"/>
          <w:sz w:val="24"/>
          <w:szCs w:val="24"/>
          <w:rtl/>
        </w:rPr>
        <w:t xml:space="preserve">א מגדיל </w:t>
      </w:r>
      <w:r w:rsidR="007C1CA5">
        <w:rPr>
          <w:rFonts w:cs="David" w:hint="cs"/>
          <w:sz w:val="24"/>
          <w:szCs w:val="24"/>
          <w:rtl/>
        </w:rPr>
        <w:t xml:space="preserve">ומגוון </w:t>
      </w:r>
      <w:r w:rsidRPr="00785A6D">
        <w:rPr>
          <w:rFonts w:cs="David" w:hint="cs"/>
          <w:sz w:val="24"/>
          <w:szCs w:val="24"/>
          <w:rtl/>
        </w:rPr>
        <w:t xml:space="preserve">את מקורות המימון למגזר </w:t>
      </w:r>
      <w:r w:rsidR="00244C5D" w:rsidRPr="00785A6D">
        <w:rPr>
          <w:rFonts w:cs="David" w:hint="cs"/>
          <w:sz w:val="24"/>
          <w:szCs w:val="24"/>
          <w:rtl/>
        </w:rPr>
        <w:t>העסקי</w:t>
      </w:r>
      <w:r w:rsidR="007C1CA5">
        <w:rPr>
          <w:rFonts w:cs="David" w:hint="cs"/>
          <w:sz w:val="24"/>
          <w:szCs w:val="24"/>
          <w:rtl/>
        </w:rPr>
        <w:t>, יוצר</w:t>
      </w:r>
      <w:r w:rsidRPr="00785A6D">
        <w:rPr>
          <w:rFonts w:cs="David" w:hint="cs"/>
          <w:sz w:val="24"/>
          <w:szCs w:val="24"/>
          <w:rtl/>
        </w:rPr>
        <w:t xml:space="preserve"> תחרות </w:t>
      </w:r>
      <w:r w:rsidR="007C1CA5">
        <w:rPr>
          <w:rFonts w:cs="David" w:hint="cs"/>
          <w:sz w:val="24"/>
          <w:szCs w:val="24"/>
          <w:rtl/>
        </w:rPr>
        <w:t>לבנקים ופועל להוזלת המימון, ובכך תומך</w:t>
      </w:r>
      <w:r w:rsidRPr="00785A6D">
        <w:rPr>
          <w:rFonts w:cs="David" w:hint="cs"/>
          <w:sz w:val="24"/>
          <w:szCs w:val="24"/>
          <w:rtl/>
        </w:rPr>
        <w:t xml:space="preserve"> בצמיחה. ואולם, התהליך מלווה גם בהתהוות סיכונים שיש לתת עליהם את הדעת. אלה משקפים בין היתר את העובדה ששוק האשראי החוץ בנקאי התפתח במהירות, בעוד שהרגולציה שלו מתפתחת בהדרגה. בעת המשבר הגלובלי, עיקר הפגיעה במערכת הפיננסית בישראל באה לידי ביטוי בשוק זה: התשואות בשוק נסקו, וההנפקות קפאו. בסה"כ, עד היום נכנסו למעלה מ-100 חברות להסדרי חוב</w:t>
      </w:r>
      <w:r w:rsidRPr="00785A6D">
        <w:rPr>
          <w:rFonts w:cs="David"/>
          <w:sz w:val="24"/>
          <w:szCs w:val="24"/>
          <w:rtl/>
        </w:rPr>
        <w:t>—</w:t>
      </w:r>
      <w:r w:rsidRPr="00785A6D">
        <w:rPr>
          <w:rFonts w:cs="David" w:hint="cs"/>
          <w:sz w:val="24"/>
          <w:szCs w:val="24"/>
          <w:rtl/>
        </w:rPr>
        <w:t>המייצגות אג"ח בשווי של כ-40 מיליארד ₪. חשוב להדגיש כי מספר זה אינו מייצג את היקף ההפסד, שספגו המשקיעים, שיהיה מטבע הדברים נמוך יותר</w:t>
      </w:r>
      <w:r w:rsidR="003876F6">
        <w:rPr>
          <w:rFonts w:cs="David" w:hint="cs"/>
          <w:sz w:val="24"/>
          <w:szCs w:val="24"/>
          <w:rtl/>
        </w:rPr>
        <w:t xml:space="preserve"> (שקף 13)</w:t>
      </w:r>
      <w:r w:rsidRPr="00785A6D">
        <w:rPr>
          <w:rFonts w:cs="David" w:hint="cs"/>
          <w:sz w:val="24"/>
          <w:szCs w:val="24"/>
          <w:rtl/>
        </w:rPr>
        <w:t>.</w:t>
      </w:r>
    </w:p>
    <w:p w:rsidR="00587EBE" w:rsidRPr="00785A6D" w:rsidRDefault="00587EBE" w:rsidP="007A6019">
      <w:pPr>
        <w:bidi/>
        <w:spacing w:before="240" w:line="360" w:lineRule="auto"/>
        <w:jc w:val="both"/>
        <w:rPr>
          <w:rFonts w:cs="David"/>
          <w:sz w:val="24"/>
          <w:szCs w:val="24"/>
          <w:rtl/>
        </w:rPr>
      </w:pPr>
      <w:r w:rsidRPr="00785A6D">
        <w:rPr>
          <w:rFonts w:cs="David" w:hint="cs"/>
          <w:sz w:val="24"/>
          <w:szCs w:val="24"/>
          <w:rtl/>
        </w:rPr>
        <w:t xml:space="preserve">מאז המשבר העולמי, כלקח מההתפתחויות הגלובליות ומאלה </w:t>
      </w:r>
      <w:r w:rsidR="00244C5D" w:rsidRPr="00785A6D">
        <w:rPr>
          <w:rFonts w:cs="David" w:hint="cs"/>
          <w:sz w:val="24"/>
          <w:szCs w:val="24"/>
          <w:rtl/>
        </w:rPr>
        <w:t>שאירע</w:t>
      </w:r>
      <w:r w:rsidR="00244C5D" w:rsidRPr="00785A6D">
        <w:rPr>
          <w:rFonts w:cs="David" w:hint="eastAsia"/>
          <w:sz w:val="24"/>
          <w:szCs w:val="24"/>
          <w:rtl/>
        </w:rPr>
        <w:t>ו</w:t>
      </w:r>
      <w:r w:rsidRPr="00785A6D">
        <w:rPr>
          <w:rFonts w:cs="David" w:hint="cs"/>
          <w:sz w:val="24"/>
          <w:szCs w:val="24"/>
          <w:rtl/>
        </w:rPr>
        <w:t xml:space="preserve"> בישראל, על מנת לצמצם את הסיכונים  למשבר, ולצמצם את הנזק של משבר לכשיתרחש, נעשו ונעשים צעדים רבים בתחום הרגולציה שנועדו להגביר את העמידות של המוסדות והמערכת הפיננסית: </w:t>
      </w:r>
      <w:r w:rsidR="007A6019">
        <w:rPr>
          <w:rFonts w:cs="David" w:hint="cs"/>
          <w:sz w:val="24"/>
          <w:szCs w:val="24"/>
          <w:rtl/>
        </w:rPr>
        <w:t xml:space="preserve">עודכנה הרגולציה בתחום </w:t>
      </w:r>
      <w:r w:rsidRPr="00785A6D">
        <w:rPr>
          <w:rFonts w:cs="David" w:hint="cs"/>
          <w:sz w:val="24"/>
          <w:szCs w:val="24"/>
          <w:rtl/>
        </w:rPr>
        <w:t xml:space="preserve">הממשל התאגידי וניהול הסיכונים בבנקים; אומצו כללי באזל </w:t>
      </w:r>
      <w:r w:rsidRPr="002D6A8A">
        <w:rPr>
          <w:rFonts w:cs="David"/>
        </w:rPr>
        <w:t>III</w:t>
      </w:r>
      <w:r w:rsidRPr="00785A6D">
        <w:rPr>
          <w:rFonts w:cs="David"/>
          <w:sz w:val="24"/>
          <w:szCs w:val="24"/>
        </w:rPr>
        <w:t xml:space="preserve"> </w:t>
      </w:r>
      <w:r w:rsidRPr="00785A6D">
        <w:rPr>
          <w:rFonts w:cs="David" w:hint="cs"/>
          <w:sz w:val="24"/>
          <w:szCs w:val="24"/>
          <w:rtl/>
        </w:rPr>
        <w:t xml:space="preserve"> בתחום דרישות ההון, ויאומצו כללים בתחום הנזילות, והמינוף; הוגבר השימוש במבחני קיצון לזיהוי סיכונים במוסדות ובמערכת כולה; נחקק חוק הריכוזיות המפחית את הסיכונים הנובעים מקבוצות </w:t>
      </w:r>
      <w:r w:rsidR="00244C5D" w:rsidRPr="00785A6D">
        <w:rPr>
          <w:rFonts w:cs="David" w:hint="cs"/>
          <w:sz w:val="24"/>
          <w:szCs w:val="24"/>
          <w:rtl/>
        </w:rPr>
        <w:t>עסקיות</w:t>
      </w:r>
      <w:r w:rsidRPr="00785A6D">
        <w:rPr>
          <w:rFonts w:cs="David" w:hint="cs"/>
          <w:sz w:val="24"/>
          <w:szCs w:val="24"/>
          <w:rtl/>
        </w:rPr>
        <w:t xml:space="preserve"> מורכבות וממונפות ומפריד בין שליטה על תאגידים רי</w:t>
      </w:r>
      <w:r w:rsidR="00244C5D">
        <w:rPr>
          <w:rFonts w:cs="David" w:hint="cs"/>
          <w:sz w:val="24"/>
          <w:szCs w:val="24"/>
          <w:rtl/>
        </w:rPr>
        <w:t xml:space="preserve">אליים ופיננסיים; אומצו המלצות </w:t>
      </w:r>
      <w:r w:rsidRPr="00785A6D">
        <w:rPr>
          <w:rFonts w:cs="David" w:hint="cs"/>
          <w:sz w:val="24"/>
          <w:szCs w:val="24"/>
          <w:rtl/>
        </w:rPr>
        <w:t xml:space="preserve">ועדת </w:t>
      </w:r>
      <w:proofErr w:type="spellStart"/>
      <w:r w:rsidRPr="00785A6D">
        <w:rPr>
          <w:rFonts w:cs="David" w:hint="cs"/>
          <w:sz w:val="24"/>
          <w:szCs w:val="24"/>
          <w:rtl/>
        </w:rPr>
        <w:t>חודק</w:t>
      </w:r>
      <w:proofErr w:type="spellEnd"/>
      <w:r w:rsidRPr="00785A6D">
        <w:rPr>
          <w:rFonts w:cs="David" w:hint="cs"/>
          <w:sz w:val="24"/>
          <w:szCs w:val="24"/>
          <w:rtl/>
        </w:rPr>
        <w:t xml:space="preserve"> לחיזוק הבקרה על השקעות של הגופים המוסדיים באג"ח חברות, והוגבר הפיקוח על מערכות התשלומים והסליקה; וכן ננקטו ע"י הפיקוח על הבנקים שורת צעדים כדי להפחית את הסיכונים המתהווים בשוק המשכנתאות</w:t>
      </w:r>
      <w:r w:rsidR="00427791">
        <w:rPr>
          <w:rFonts w:cs="David" w:hint="cs"/>
          <w:sz w:val="24"/>
          <w:szCs w:val="24"/>
          <w:rtl/>
        </w:rPr>
        <w:t xml:space="preserve"> (שקף 14)</w:t>
      </w:r>
      <w:r w:rsidRPr="00785A6D">
        <w:rPr>
          <w:rFonts w:cs="David" w:hint="cs"/>
          <w:sz w:val="24"/>
          <w:szCs w:val="24"/>
          <w:rtl/>
        </w:rPr>
        <w:t xml:space="preserve">. </w:t>
      </w:r>
    </w:p>
    <w:p w:rsidR="00587EBE" w:rsidRPr="00785A6D" w:rsidRDefault="00587EBE" w:rsidP="00A37E09">
      <w:pPr>
        <w:bidi/>
        <w:spacing w:before="240" w:line="360" w:lineRule="auto"/>
        <w:jc w:val="both"/>
        <w:rPr>
          <w:rFonts w:cs="David"/>
          <w:sz w:val="24"/>
          <w:szCs w:val="24"/>
          <w:rtl/>
        </w:rPr>
      </w:pPr>
      <w:r w:rsidRPr="00785A6D">
        <w:rPr>
          <w:rFonts w:cs="David" w:hint="cs"/>
          <w:sz w:val="24"/>
          <w:szCs w:val="24"/>
          <w:rtl/>
        </w:rPr>
        <w:lastRenderedPageBreak/>
        <w:t xml:space="preserve">מעבר לשינויים אלה שכבר יושמו או נמצאים בתהליך של יישום או בחינה, יש גם שורה של המלצות של וועדות, או המלצות שעדיין בתהליך גיבוש שאמורות להשלים את שיפור הרגולציה:  ועדת </w:t>
      </w:r>
      <w:proofErr w:type="spellStart"/>
      <w:r w:rsidRPr="00785A6D">
        <w:rPr>
          <w:rFonts w:cs="David" w:hint="cs"/>
          <w:sz w:val="24"/>
          <w:szCs w:val="24"/>
          <w:rtl/>
        </w:rPr>
        <w:t>גולדשמיט</w:t>
      </w:r>
      <w:proofErr w:type="spellEnd"/>
      <w:r w:rsidRPr="00785A6D">
        <w:rPr>
          <w:rFonts w:cs="David" w:hint="cs"/>
          <w:sz w:val="24"/>
          <w:szCs w:val="24"/>
          <w:rtl/>
        </w:rPr>
        <w:t xml:space="preserve"> שמסדירה  את ניהול ההלוואות הישירות של המוסדיים </w:t>
      </w:r>
      <w:r w:rsidR="00244C5D">
        <w:rPr>
          <w:rFonts w:cs="David" w:hint="cs"/>
          <w:sz w:val="24"/>
          <w:szCs w:val="24"/>
          <w:rtl/>
        </w:rPr>
        <w:t xml:space="preserve">; </w:t>
      </w:r>
      <w:r w:rsidRPr="00785A6D">
        <w:rPr>
          <w:rFonts w:cs="David" w:hint="cs"/>
          <w:sz w:val="24"/>
          <w:szCs w:val="24"/>
          <w:rtl/>
        </w:rPr>
        <w:t xml:space="preserve">ועדת </w:t>
      </w:r>
      <w:proofErr w:type="spellStart"/>
      <w:r w:rsidRPr="00785A6D">
        <w:rPr>
          <w:rFonts w:cs="David" w:hint="cs"/>
          <w:sz w:val="24"/>
          <w:szCs w:val="24"/>
          <w:rtl/>
        </w:rPr>
        <w:t>אנדורן</w:t>
      </w:r>
      <w:proofErr w:type="spellEnd"/>
      <w:r w:rsidRPr="00785A6D">
        <w:rPr>
          <w:rFonts w:cs="David" w:hint="cs"/>
          <w:sz w:val="24"/>
          <w:szCs w:val="24"/>
          <w:rtl/>
        </w:rPr>
        <w:t>, שמטפלת בתהליכי  הסדרי החוב במשק; וכן נימצא בתהליך חוק מתקדם לטיפול בבנק בכשל, בדומה לחקיקה שנעשתה בתחום זה לאחר המשבר במדינות המפותחות.</w:t>
      </w:r>
    </w:p>
    <w:p w:rsidR="00587EBE" w:rsidRPr="00785A6D" w:rsidRDefault="00587EBE" w:rsidP="00E21425">
      <w:pPr>
        <w:bidi/>
        <w:spacing w:before="240" w:line="360" w:lineRule="auto"/>
        <w:jc w:val="both"/>
        <w:rPr>
          <w:rFonts w:cs="David"/>
          <w:sz w:val="24"/>
          <w:szCs w:val="24"/>
          <w:rtl/>
        </w:rPr>
      </w:pPr>
      <w:r w:rsidRPr="00785A6D">
        <w:rPr>
          <w:rFonts w:cs="David" w:hint="cs"/>
          <w:sz w:val="24"/>
          <w:szCs w:val="24"/>
          <w:rtl/>
        </w:rPr>
        <w:t>למרות שהרבה נעשה בתחום הרגולציה הפיננסית מאז המשבר, ויש מהלכים שנמצאים בתהליך, נותרה עוד עבודה רבה. אחד מהלקחים החשובים שעלו מהלימוד של התפתחות המשבר הפיננסי במדינות שונות הוא העובדה שבעוד שהמוסדות עצמם היו במרבית המקרים נתונים לפיקוח, היו במערכת חלקים שאינם מפוקחים או שמפוק</w:t>
      </w:r>
      <w:r w:rsidR="00E21425">
        <w:rPr>
          <w:rFonts w:cs="David" w:hint="cs"/>
          <w:sz w:val="24"/>
          <w:szCs w:val="24"/>
          <w:rtl/>
        </w:rPr>
        <w:t xml:space="preserve">חים פחות, אשר התרחבו  במהירות. </w:t>
      </w:r>
      <w:r w:rsidRPr="00785A6D">
        <w:rPr>
          <w:rFonts w:cs="David" w:hint="cs"/>
          <w:sz w:val="24"/>
          <w:szCs w:val="24"/>
          <w:rtl/>
        </w:rPr>
        <w:t>כמו כן התברר שהקשרים בין המוסדות השונים, והממשקים ביניהם, שהביאו להעברת סיכונים מהירה בין חלקי המערכת והגבירו את שברירותה, הוזנחו ע"י הרגולטורים</w:t>
      </w:r>
      <w:r w:rsidR="00E21425">
        <w:rPr>
          <w:rFonts w:cs="David" w:hint="cs"/>
          <w:sz w:val="24"/>
          <w:szCs w:val="24"/>
          <w:rtl/>
        </w:rPr>
        <w:t xml:space="preserve"> בעולם</w:t>
      </w:r>
      <w:r w:rsidRPr="00785A6D">
        <w:rPr>
          <w:rFonts w:cs="David" w:hint="cs"/>
          <w:sz w:val="24"/>
          <w:szCs w:val="24"/>
          <w:rtl/>
        </w:rPr>
        <w:t xml:space="preserve">. לכן סוגיית ההסתכלות הכוללת על המערכת הפיננסית וסוגיית התאום והעבודה המשותפת של הרגולטורים השונים עומדות במרכז ההמלצות  של הגופים הבינלאומיים השונים לנושא שהוא בליבת הרפורמות הנדרשות בתחום הרגולציה הפיננסית. </w:t>
      </w:r>
    </w:p>
    <w:p w:rsidR="00587EBE" w:rsidRPr="00785A6D" w:rsidRDefault="00587EBE" w:rsidP="002D6A8A">
      <w:pPr>
        <w:bidi/>
        <w:spacing w:before="240" w:after="240" w:line="360" w:lineRule="auto"/>
        <w:jc w:val="both"/>
        <w:rPr>
          <w:rFonts w:cs="David"/>
          <w:sz w:val="24"/>
          <w:szCs w:val="24"/>
          <w:rtl/>
        </w:rPr>
      </w:pPr>
      <w:r w:rsidRPr="00785A6D">
        <w:rPr>
          <w:rFonts w:cs="David" w:hint="cs"/>
          <w:sz w:val="24"/>
          <w:szCs w:val="24"/>
          <w:rtl/>
        </w:rPr>
        <w:t xml:space="preserve">ביחס לישראל רצוי, כפי שהמליצה בעניין זה קרן המטבע, להקים וועדה ליציבות פיננסית שתמסד את התאום ושיתוף הפעולה בין כל רשויות הפיקוח הפיננסיות, במטרה לזהות, למנוע ולהפחית סיכונים מערכתיים. וועדה כזו אמורה </w:t>
      </w:r>
      <w:r w:rsidRPr="00785A6D">
        <w:rPr>
          <w:rFonts w:cs="David" w:hint="cs"/>
          <w:b/>
          <w:bCs/>
          <w:sz w:val="24"/>
          <w:szCs w:val="24"/>
          <w:rtl/>
        </w:rPr>
        <w:t xml:space="preserve">להגדיר, </w:t>
      </w:r>
      <w:proofErr w:type="spellStart"/>
      <w:r w:rsidRPr="00785A6D">
        <w:rPr>
          <w:rFonts w:cs="David" w:hint="cs"/>
          <w:b/>
          <w:bCs/>
          <w:sz w:val="24"/>
          <w:szCs w:val="24"/>
          <w:rtl/>
        </w:rPr>
        <w:t>לנטר</w:t>
      </w:r>
      <w:proofErr w:type="spellEnd"/>
      <w:r w:rsidRPr="00785A6D">
        <w:rPr>
          <w:rFonts w:cs="David" w:hint="cs"/>
          <w:b/>
          <w:bCs/>
          <w:sz w:val="24"/>
          <w:szCs w:val="24"/>
          <w:rtl/>
        </w:rPr>
        <w:t xml:space="preserve"> ולהעריך </w:t>
      </w:r>
      <w:r w:rsidRPr="00785A6D">
        <w:rPr>
          <w:rFonts w:cs="David" w:hint="cs"/>
          <w:sz w:val="24"/>
          <w:szCs w:val="24"/>
          <w:rtl/>
        </w:rPr>
        <w:t>סיכונים מערכתיים;</w:t>
      </w:r>
      <w:r w:rsidRPr="00785A6D">
        <w:rPr>
          <w:rFonts w:cs="David" w:hint="cs"/>
          <w:b/>
          <w:bCs/>
          <w:sz w:val="24"/>
          <w:szCs w:val="24"/>
          <w:rtl/>
        </w:rPr>
        <w:t xml:space="preserve"> לבדוק סיכונים וחשיפות </w:t>
      </w:r>
      <w:r w:rsidRPr="00785A6D">
        <w:rPr>
          <w:rFonts w:cs="David" w:hint="cs"/>
          <w:sz w:val="24"/>
          <w:szCs w:val="24"/>
          <w:rtl/>
        </w:rPr>
        <w:t xml:space="preserve">במערכת הפיננסית לשם זיהוי סיכונים מערכתיים והערכתם; </w:t>
      </w:r>
      <w:r w:rsidRPr="00785A6D">
        <w:rPr>
          <w:rFonts w:cs="David" w:hint="cs"/>
          <w:b/>
          <w:bCs/>
          <w:sz w:val="24"/>
          <w:szCs w:val="24"/>
          <w:rtl/>
        </w:rPr>
        <w:t xml:space="preserve">לקדם חילופי מידע </w:t>
      </w:r>
      <w:r w:rsidRPr="00785A6D">
        <w:rPr>
          <w:rFonts w:cs="David" w:hint="cs"/>
          <w:sz w:val="24"/>
          <w:szCs w:val="24"/>
          <w:rtl/>
        </w:rPr>
        <w:t xml:space="preserve">בין רשויות הפיקוח הפיננסיות ובינן לבין הגופים המייצבים (בנק ישראל ומשרד האוצר); </w:t>
      </w:r>
      <w:r w:rsidRPr="00785A6D">
        <w:rPr>
          <w:rFonts w:cs="David" w:hint="cs"/>
          <w:b/>
          <w:bCs/>
          <w:sz w:val="24"/>
          <w:szCs w:val="24"/>
          <w:rtl/>
        </w:rPr>
        <w:t xml:space="preserve">לשפר את התיאום ושיתוף הפעולה </w:t>
      </w:r>
      <w:r w:rsidRPr="00785A6D">
        <w:rPr>
          <w:rFonts w:cs="David" w:hint="cs"/>
          <w:sz w:val="24"/>
          <w:szCs w:val="24"/>
          <w:rtl/>
        </w:rPr>
        <w:t>בין רשויות הפיקוח הפיננסיות והמייצבים בניתוח, הערכה, פיתוח והפעלה של כלים ושיטות למניעה של סיכונים מערכתיים והפחתתם</w:t>
      </w:r>
      <w:r w:rsidRPr="00785A6D">
        <w:rPr>
          <w:rFonts w:cs="David" w:hint="cs"/>
          <w:sz w:val="24"/>
          <w:szCs w:val="24"/>
        </w:rPr>
        <w:t>;</w:t>
      </w:r>
      <w:r w:rsidRPr="00785A6D">
        <w:rPr>
          <w:rFonts w:cs="David" w:hint="cs"/>
          <w:sz w:val="24"/>
          <w:szCs w:val="24"/>
          <w:rtl/>
        </w:rPr>
        <w:t xml:space="preserve"> </w:t>
      </w:r>
      <w:r w:rsidRPr="00785A6D">
        <w:rPr>
          <w:rFonts w:cs="David" w:hint="cs"/>
          <w:b/>
          <w:bCs/>
          <w:sz w:val="24"/>
          <w:szCs w:val="24"/>
          <w:rtl/>
        </w:rPr>
        <w:t xml:space="preserve">להתריע </w:t>
      </w:r>
      <w:r w:rsidRPr="00785A6D">
        <w:rPr>
          <w:rFonts w:cs="David" w:hint="cs"/>
          <w:sz w:val="24"/>
          <w:szCs w:val="24"/>
          <w:rtl/>
        </w:rPr>
        <w:t>כאשר סיכון מערכתי עשוי להוות סיכון מהותי</w:t>
      </w:r>
      <w:r w:rsidRPr="00785A6D">
        <w:rPr>
          <w:rFonts w:cs="David" w:hint="cs"/>
          <w:sz w:val="24"/>
          <w:szCs w:val="24"/>
        </w:rPr>
        <w:t>;</w:t>
      </w:r>
      <w:r w:rsidRPr="00785A6D">
        <w:rPr>
          <w:rFonts w:cs="David" w:hint="cs"/>
          <w:sz w:val="24"/>
          <w:szCs w:val="24"/>
          <w:rtl/>
        </w:rPr>
        <w:t xml:space="preserve"> </w:t>
      </w:r>
      <w:r w:rsidRPr="00785A6D">
        <w:rPr>
          <w:rFonts w:cs="David" w:hint="cs"/>
          <w:b/>
          <w:bCs/>
          <w:sz w:val="24"/>
          <w:szCs w:val="24"/>
          <w:rtl/>
        </w:rPr>
        <w:t>להמליץ</w:t>
      </w:r>
      <w:r w:rsidRPr="00785A6D">
        <w:rPr>
          <w:rFonts w:cs="David" w:hint="cs"/>
          <w:sz w:val="24"/>
          <w:szCs w:val="24"/>
          <w:rtl/>
        </w:rPr>
        <w:t xml:space="preserve"> על צעדים למניעה או להפחתה של סיכונים מערכתיים מזוהים; </w:t>
      </w:r>
      <w:r w:rsidRPr="00785A6D">
        <w:rPr>
          <w:rFonts w:cs="David" w:hint="cs"/>
          <w:b/>
          <w:bCs/>
          <w:sz w:val="24"/>
          <w:szCs w:val="24"/>
          <w:rtl/>
        </w:rPr>
        <w:t xml:space="preserve">ולעקוב </w:t>
      </w:r>
      <w:r w:rsidRPr="00785A6D">
        <w:rPr>
          <w:rFonts w:cs="David" w:hint="cs"/>
          <w:sz w:val="24"/>
          <w:szCs w:val="24"/>
          <w:rtl/>
        </w:rPr>
        <w:t>אחר הפעולות שננקטו בעקבות ההתרעות ואחר יישום ההמלצות</w:t>
      </w:r>
      <w:r w:rsidR="00CE41BB">
        <w:rPr>
          <w:rFonts w:cs="David" w:hint="cs"/>
          <w:sz w:val="24"/>
          <w:szCs w:val="24"/>
          <w:rtl/>
        </w:rPr>
        <w:t xml:space="preserve"> (שקף 15)</w:t>
      </w:r>
      <w:r w:rsidRPr="00785A6D">
        <w:rPr>
          <w:rFonts w:cs="David" w:hint="cs"/>
          <w:sz w:val="24"/>
          <w:szCs w:val="24"/>
          <w:rtl/>
        </w:rPr>
        <w:t>.</w:t>
      </w:r>
      <w:r w:rsidR="002D6A8A">
        <w:rPr>
          <w:rFonts w:cs="David" w:hint="cs"/>
          <w:sz w:val="24"/>
          <w:szCs w:val="24"/>
          <w:rtl/>
        </w:rPr>
        <w:t xml:space="preserve"> </w:t>
      </w:r>
      <w:r w:rsidRPr="00785A6D">
        <w:rPr>
          <w:rFonts w:cs="David" w:hint="cs"/>
          <w:sz w:val="24"/>
          <w:szCs w:val="24"/>
          <w:rtl/>
        </w:rPr>
        <w:t>מוצע שעבודת המטה לעבודת הוועדה תעשה על ידי האגף ליציבות פיננסית שהוקם לאחרונה בחטיבת המחקר של בנק ישראל במטרה לפעול לקידום היציבות הפיננסית שעל פי חוק בנק ישראל החדש היא חלק ממטרות הבנק.</w:t>
      </w:r>
    </w:p>
    <w:p w:rsidR="00587EBE" w:rsidRPr="00785A6D" w:rsidRDefault="00587EBE" w:rsidP="00E21425">
      <w:pPr>
        <w:bidi/>
        <w:spacing w:line="360" w:lineRule="auto"/>
        <w:jc w:val="both"/>
        <w:rPr>
          <w:rFonts w:cs="David"/>
          <w:sz w:val="24"/>
          <w:szCs w:val="24"/>
        </w:rPr>
      </w:pPr>
      <w:r w:rsidRPr="00785A6D">
        <w:rPr>
          <w:rFonts w:cs="David" w:hint="cs"/>
          <w:sz w:val="24"/>
          <w:szCs w:val="24"/>
          <w:rtl/>
        </w:rPr>
        <w:t>סביבה פיננסית יציבה, ומערכת פיננסית שהציבור נותן בה את אמונו, הנה חיונית לצמיחה בת קיימא ולעלייה מתמשכת ברמת החיים. אני משוכנעת שהשלמת המהלכים שנמצאים כבר היום בתהליך</w:t>
      </w:r>
      <w:r w:rsidR="00E21425">
        <w:rPr>
          <w:rFonts w:cs="David" w:hint="cs"/>
          <w:sz w:val="24"/>
          <w:szCs w:val="24"/>
          <w:rtl/>
        </w:rPr>
        <w:t>,</w:t>
      </w:r>
      <w:r w:rsidRPr="00785A6D">
        <w:rPr>
          <w:rFonts w:cs="David" w:hint="cs"/>
          <w:sz w:val="24"/>
          <w:szCs w:val="24"/>
          <w:rtl/>
        </w:rPr>
        <w:t xml:space="preserve"> </w:t>
      </w:r>
      <w:r w:rsidR="00E21425">
        <w:rPr>
          <w:rFonts w:cs="David" w:hint="cs"/>
          <w:sz w:val="24"/>
          <w:szCs w:val="24"/>
          <w:rtl/>
        </w:rPr>
        <w:t>כולל הקמת</w:t>
      </w:r>
      <w:r w:rsidRPr="00785A6D">
        <w:rPr>
          <w:rFonts w:cs="David" w:hint="cs"/>
          <w:sz w:val="24"/>
          <w:szCs w:val="24"/>
          <w:rtl/>
        </w:rPr>
        <w:t xml:space="preserve"> הוועדה כפי שתיארתי</w:t>
      </w:r>
      <w:r w:rsidR="00E21425">
        <w:rPr>
          <w:rFonts w:cs="David" w:hint="cs"/>
          <w:sz w:val="24"/>
          <w:szCs w:val="24"/>
          <w:rtl/>
        </w:rPr>
        <w:t>,</w:t>
      </w:r>
      <w:r w:rsidRPr="00785A6D">
        <w:rPr>
          <w:rFonts w:cs="David" w:hint="cs"/>
          <w:sz w:val="24"/>
          <w:szCs w:val="24"/>
          <w:rtl/>
        </w:rPr>
        <w:t xml:space="preserve"> יתרמו לעמידות המשק לזעזועים, שמטבע הדברים עוד יבואו; יש לנו את הפריבילגיה לעשות את המהלכים האלו בתקופה של רגיעה ויציבות יחסית, ולכן חשוב שנשלים אותם בהקדם.</w:t>
      </w:r>
    </w:p>
    <w:p w:rsidR="00C04A6B" w:rsidRPr="00587EBE" w:rsidRDefault="00C04A6B" w:rsidP="00BD5207">
      <w:pPr>
        <w:bidi/>
        <w:spacing w:line="360" w:lineRule="auto"/>
        <w:ind w:right="-101"/>
        <w:rPr>
          <w:rFonts w:cs="David"/>
          <w:sz w:val="24"/>
          <w:szCs w:val="24"/>
        </w:rPr>
      </w:pPr>
    </w:p>
    <w:sectPr w:rsidR="00C04A6B" w:rsidRPr="00587EBE" w:rsidSect="001B22AE">
      <w:footerReference w:type="default" r:id="rId9"/>
      <w:pgSz w:w="11906" w:h="16838"/>
      <w:pgMar w:top="1440" w:right="1800" w:bottom="1440" w:left="1800" w:header="708" w:footer="5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6F7" w:rsidRDefault="008716F7" w:rsidP="00C04A6B">
      <w:r>
        <w:separator/>
      </w:r>
    </w:p>
  </w:endnote>
  <w:endnote w:type="continuationSeparator" w:id="0">
    <w:p w:rsidR="008716F7" w:rsidRDefault="008716F7" w:rsidP="00C04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iriam">
    <w:panose1 w:val="00000000000000000000"/>
    <w:charset w:val="B1"/>
    <w:family w:val="swiss"/>
    <w:pitch w:val="variable"/>
    <w:sig w:usb0="00000801" w:usb1="0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David">
    <w:panose1 w:val="00000000000000000000"/>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David"/>
        <w:rtl/>
      </w:rPr>
      <w:id w:val="1001085329"/>
      <w:docPartObj>
        <w:docPartGallery w:val="Page Numbers (Bottom of Page)"/>
        <w:docPartUnique/>
      </w:docPartObj>
    </w:sdtPr>
    <w:sdtEndPr>
      <w:rPr>
        <w:cs/>
      </w:rPr>
    </w:sdtEndPr>
    <w:sdtContent>
      <w:sdt>
        <w:sdtPr>
          <w:rPr>
            <w:rFonts w:cs="David"/>
            <w:rtl/>
          </w:rPr>
          <w:id w:val="98381352"/>
          <w:docPartObj>
            <w:docPartGallery w:val="Page Numbers (Top of Page)"/>
            <w:docPartUnique/>
          </w:docPartObj>
        </w:sdtPr>
        <w:sdtEndPr/>
        <w:sdtContent>
          <w:p w:rsidR="002438E2" w:rsidRPr="002438E2" w:rsidRDefault="008B5665" w:rsidP="001B22AE">
            <w:pPr>
              <w:bidi/>
              <w:spacing w:line="360" w:lineRule="auto"/>
              <w:ind w:left="-58"/>
              <w:rPr>
                <w:rFonts w:cs="David"/>
                <w:rtl/>
                <w:cs/>
              </w:rPr>
            </w:pPr>
            <w:r>
              <w:rPr>
                <w:rFonts w:cs="David" w:hint="cs"/>
                <w:rtl/>
              </w:rPr>
              <w:t xml:space="preserve">בנק ישראל - </w:t>
            </w:r>
            <w:r w:rsidR="001B22AE" w:rsidRPr="001B22AE">
              <w:rPr>
                <w:rFonts w:cs="David" w:hint="cs"/>
                <w:rtl/>
              </w:rPr>
              <w:t>דברי הנגידה בוועידת הפיננסים</w:t>
            </w:r>
            <w:r w:rsidR="001B22AE">
              <w:rPr>
                <w:rFonts w:cs="David" w:hint="cs"/>
                <w:rtl/>
              </w:rPr>
              <w:t xml:space="preserve"> 2014</w:t>
            </w:r>
            <w:r w:rsidR="001B22AE" w:rsidRPr="001B22AE">
              <w:rPr>
                <w:rFonts w:cs="David" w:hint="cs"/>
                <w:rtl/>
              </w:rPr>
              <w:t xml:space="preserve"> של דה מרקר</w:t>
            </w:r>
            <w:r w:rsidR="001B22AE">
              <w:rPr>
                <w:rFonts w:cs="David" w:hint="cs"/>
                <w:rtl/>
                <w:cs/>
                <w:lang w:val="he-IL"/>
              </w:rPr>
              <w:tab/>
            </w:r>
            <w:r w:rsidR="001B22AE">
              <w:rPr>
                <w:rFonts w:cs="David" w:hint="cs"/>
                <w:rtl/>
                <w:cs/>
                <w:lang w:val="he-IL"/>
              </w:rPr>
              <w:tab/>
            </w:r>
            <w:r w:rsidR="001B22AE">
              <w:rPr>
                <w:rFonts w:cs="David" w:hint="cs"/>
                <w:rtl/>
                <w:cs/>
                <w:lang w:val="he-IL"/>
              </w:rPr>
              <w:tab/>
            </w:r>
            <w:r w:rsidR="002438E2">
              <w:rPr>
                <w:rFonts w:cs="David" w:hint="cs"/>
                <w:rtl/>
                <w:cs/>
                <w:lang w:val="he-IL"/>
              </w:rPr>
              <w:tab/>
            </w:r>
            <w:r w:rsidR="002438E2" w:rsidRPr="002438E2">
              <w:rPr>
                <w:rFonts w:cs="David"/>
                <w:rtl/>
                <w:cs/>
                <w:lang w:val="he-IL"/>
              </w:rPr>
              <w:t xml:space="preserve">עמוד </w:t>
            </w:r>
            <w:r w:rsidR="002438E2" w:rsidRPr="002438E2">
              <w:rPr>
                <w:rFonts w:cs="David"/>
                <w:b/>
                <w:bCs/>
              </w:rPr>
              <w:fldChar w:fldCharType="begin"/>
            </w:r>
            <w:r w:rsidR="002438E2" w:rsidRPr="002438E2">
              <w:rPr>
                <w:rFonts w:cs="David"/>
                <w:b/>
                <w:bCs/>
                <w:rtl/>
                <w:cs/>
              </w:rPr>
              <w:instrText>PAGE</w:instrText>
            </w:r>
            <w:r w:rsidR="002438E2" w:rsidRPr="002438E2">
              <w:rPr>
                <w:rFonts w:cs="David"/>
                <w:b/>
                <w:bCs/>
              </w:rPr>
              <w:fldChar w:fldCharType="separate"/>
            </w:r>
            <w:r w:rsidR="0008531A">
              <w:rPr>
                <w:rFonts w:cs="David"/>
                <w:b/>
                <w:bCs/>
                <w:noProof/>
                <w:rtl/>
              </w:rPr>
              <w:t>2</w:t>
            </w:r>
            <w:r w:rsidR="002438E2" w:rsidRPr="002438E2">
              <w:rPr>
                <w:rFonts w:cs="David"/>
                <w:b/>
                <w:bCs/>
              </w:rPr>
              <w:fldChar w:fldCharType="end"/>
            </w:r>
            <w:r w:rsidR="002438E2" w:rsidRPr="002438E2">
              <w:rPr>
                <w:rFonts w:cs="David"/>
                <w:rtl/>
                <w:cs/>
                <w:lang w:val="he-IL"/>
              </w:rPr>
              <w:t xml:space="preserve"> מתוך </w:t>
            </w:r>
            <w:r w:rsidR="002438E2" w:rsidRPr="002438E2">
              <w:rPr>
                <w:rFonts w:cs="David"/>
                <w:b/>
                <w:bCs/>
              </w:rPr>
              <w:fldChar w:fldCharType="begin"/>
            </w:r>
            <w:r w:rsidR="002438E2" w:rsidRPr="002438E2">
              <w:rPr>
                <w:rFonts w:cs="David"/>
                <w:b/>
                <w:bCs/>
                <w:rtl/>
                <w:cs/>
              </w:rPr>
              <w:instrText>NUMPAGES</w:instrText>
            </w:r>
            <w:r w:rsidR="002438E2" w:rsidRPr="002438E2">
              <w:rPr>
                <w:rFonts w:cs="David"/>
                <w:b/>
                <w:bCs/>
              </w:rPr>
              <w:fldChar w:fldCharType="separate"/>
            </w:r>
            <w:r w:rsidR="0008531A">
              <w:rPr>
                <w:rFonts w:cs="David"/>
                <w:b/>
                <w:bCs/>
                <w:noProof/>
                <w:rtl/>
              </w:rPr>
              <w:t>4</w:t>
            </w:r>
            <w:r w:rsidR="002438E2" w:rsidRPr="002438E2">
              <w:rPr>
                <w:rFonts w:cs="David"/>
                <w:b/>
                <w:bCs/>
              </w:rPr>
              <w:fldChar w:fldCharType="end"/>
            </w:r>
          </w:p>
        </w:sdtContent>
      </w:sdt>
    </w:sdtContent>
  </w:sdt>
  <w:p w:rsidR="00C04A6B" w:rsidRDefault="00C04A6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6F7" w:rsidRDefault="008716F7" w:rsidP="00C04A6B">
      <w:r>
        <w:separator/>
      </w:r>
    </w:p>
  </w:footnote>
  <w:footnote w:type="continuationSeparator" w:id="0">
    <w:p w:rsidR="008716F7" w:rsidRDefault="008716F7" w:rsidP="00C04A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923"/>
    <w:rsid w:val="00016D86"/>
    <w:rsid w:val="00045468"/>
    <w:rsid w:val="0008531A"/>
    <w:rsid w:val="000C1357"/>
    <w:rsid w:val="00103A57"/>
    <w:rsid w:val="00115A82"/>
    <w:rsid w:val="0014790F"/>
    <w:rsid w:val="00177686"/>
    <w:rsid w:val="00180E8A"/>
    <w:rsid w:val="001B22AE"/>
    <w:rsid w:val="001D7646"/>
    <w:rsid w:val="001E5A00"/>
    <w:rsid w:val="002402DB"/>
    <w:rsid w:val="002438E2"/>
    <w:rsid w:val="00244C5D"/>
    <w:rsid w:val="002630B7"/>
    <w:rsid w:val="002B3FB0"/>
    <w:rsid w:val="002D6A8A"/>
    <w:rsid w:val="002F5F6D"/>
    <w:rsid w:val="0031161D"/>
    <w:rsid w:val="00352946"/>
    <w:rsid w:val="003537B9"/>
    <w:rsid w:val="003727DC"/>
    <w:rsid w:val="00374F11"/>
    <w:rsid w:val="003876F6"/>
    <w:rsid w:val="003901E0"/>
    <w:rsid w:val="003A4EDC"/>
    <w:rsid w:val="003E3C12"/>
    <w:rsid w:val="00420F93"/>
    <w:rsid w:val="00427791"/>
    <w:rsid w:val="0044713E"/>
    <w:rsid w:val="004625EB"/>
    <w:rsid w:val="004A5826"/>
    <w:rsid w:val="004B11CB"/>
    <w:rsid w:val="004B437B"/>
    <w:rsid w:val="004B5D8D"/>
    <w:rsid w:val="004B731A"/>
    <w:rsid w:val="004F06E0"/>
    <w:rsid w:val="00502068"/>
    <w:rsid w:val="00587EBE"/>
    <w:rsid w:val="00613DFA"/>
    <w:rsid w:val="00614095"/>
    <w:rsid w:val="00627454"/>
    <w:rsid w:val="00651CB7"/>
    <w:rsid w:val="006C01FB"/>
    <w:rsid w:val="006C2B75"/>
    <w:rsid w:val="00762D5A"/>
    <w:rsid w:val="007A6019"/>
    <w:rsid w:val="007C1CA5"/>
    <w:rsid w:val="007E18EE"/>
    <w:rsid w:val="007F013B"/>
    <w:rsid w:val="00807294"/>
    <w:rsid w:val="00826810"/>
    <w:rsid w:val="00837763"/>
    <w:rsid w:val="00852D44"/>
    <w:rsid w:val="0086330B"/>
    <w:rsid w:val="008716F7"/>
    <w:rsid w:val="00881EF7"/>
    <w:rsid w:val="008B55E9"/>
    <w:rsid w:val="008B5665"/>
    <w:rsid w:val="00920248"/>
    <w:rsid w:val="009367A9"/>
    <w:rsid w:val="00961EFC"/>
    <w:rsid w:val="009818C2"/>
    <w:rsid w:val="009B71E4"/>
    <w:rsid w:val="009C16BD"/>
    <w:rsid w:val="00A361C2"/>
    <w:rsid w:val="00A37E09"/>
    <w:rsid w:val="00A57161"/>
    <w:rsid w:val="00AA07D9"/>
    <w:rsid w:val="00AA51B0"/>
    <w:rsid w:val="00AA7ED7"/>
    <w:rsid w:val="00AB409F"/>
    <w:rsid w:val="00AD759C"/>
    <w:rsid w:val="00AE591E"/>
    <w:rsid w:val="00B058F3"/>
    <w:rsid w:val="00B2503D"/>
    <w:rsid w:val="00B84BD7"/>
    <w:rsid w:val="00BC41DB"/>
    <w:rsid w:val="00BD5207"/>
    <w:rsid w:val="00BE235C"/>
    <w:rsid w:val="00BE49A2"/>
    <w:rsid w:val="00C04A6B"/>
    <w:rsid w:val="00C116BC"/>
    <w:rsid w:val="00C22C24"/>
    <w:rsid w:val="00C25C1C"/>
    <w:rsid w:val="00C45C9C"/>
    <w:rsid w:val="00C656C3"/>
    <w:rsid w:val="00C81433"/>
    <w:rsid w:val="00C84B20"/>
    <w:rsid w:val="00CB1B2B"/>
    <w:rsid w:val="00CE41BB"/>
    <w:rsid w:val="00D3721C"/>
    <w:rsid w:val="00D81EC3"/>
    <w:rsid w:val="00D87DC1"/>
    <w:rsid w:val="00D969AD"/>
    <w:rsid w:val="00DD5923"/>
    <w:rsid w:val="00E21425"/>
    <w:rsid w:val="00E72A42"/>
    <w:rsid w:val="00E85E11"/>
    <w:rsid w:val="00EA052D"/>
    <w:rsid w:val="00ED14D5"/>
    <w:rsid w:val="00ED153D"/>
    <w:rsid w:val="00ED5B1D"/>
    <w:rsid w:val="00F4416E"/>
    <w:rsid w:val="00F75061"/>
    <w:rsid w:val="00F96916"/>
    <w:rsid w:val="00FD4DC2"/>
    <w:rsid w:val="00FE034E"/>
    <w:rsid w:val="00FF25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923"/>
    <w:pPr>
      <w:spacing w:after="0" w:line="240" w:lineRule="auto"/>
    </w:pPr>
    <w:rPr>
      <w:rFonts w:ascii="Times New Roman" w:eastAsia="Times New Roman" w:hAnsi="Times New Roman" w:cs="Miriam"/>
      <w:sz w:val="20"/>
      <w:szCs w:val="20"/>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923"/>
    <w:rPr>
      <w:rFonts w:ascii="Tahoma" w:hAnsi="Tahoma" w:cs="Tahoma"/>
      <w:sz w:val="16"/>
      <w:szCs w:val="16"/>
    </w:rPr>
  </w:style>
  <w:style w:type="character" w:customStyle="1" w:styleId="a4">
    <w:name w:val="טקסט בלונים תו"/>
    <w:basedOn w:val="a0"/>
    <w:link w:val="a3"/>
    <w:uiPriority w:val="99"/>
    <w:semiHidden/>
    <w:rsid w:val="00DD5923"/>
    <w:rPr>
      <w:rFonts w:ascii="Tahoma" w:eastAsia="Times New Roman" w:hAnsi="Tahoma" w:cs="Tahoma"/>
      <w:sz w:val="16"/>
      <w:szCs w:val="16"/>
      <w:lang w:eastAsia="he-IL"/>
    </w:rPr>
  </w:style>
  <w:style w:type="paragraph" w:styleId="a5">
    <w:name w:val="header"/>
    <w:basedOn w:val="a"/>
    <w:link w:val="a6"/>
    <w:uiPriority w:val="99"/>
    <w:unhideWhenUsed/>
    <w:rsid w:val="00C04A6B"/>
    <w:pPr>
      <w:tabs>
        <w:tab w:val="center" w:pos="4153"/>
        <w:tab w:val="right" w:pos="8306"/>
      </w:tabs>
    </w:pPr>
  </w:style>
  <w:style w:type="character" w:customStyle="1" w:styleId="a6">
    <w:name w:val="כותרת עליונה תו"/>
    <w:basedOn w:val="a0"/>
    <w:link w:val="a5"/>
    <w:uiPriority w:val="99"/>
    <w:rsid w:val="00C04A6B"/>
    <w:rPr>
      <w:rFonts w:ascii="Times New Roman" w:eastAsia="Times New Roman" w:hAnsi="Times New Roman" w:cs="Miriam"/>
      <w:sz w:val="20"/>
      <w:szCs w:val="20"/>
      <w:lang w:eastAsia="he-IL"/>
    </w:rPr>
  </w:style>
  <w:style w:type="paragraph" w:styleId="a7">
    <w:name w:val="footer"/>
    <w:basedOn w:val="a"/>
    <w:link w:val="a8"/>
    <w:uiPriority w:val="99"/>
    <w:unhideWhenUsed/>
    <w:rsid w:val="00C04A6B"/>
    <w:pPr>
      <w:tabs>
        <w:tab w:val="center" w:pos="4153"/>
        <w:tab w:val="right" w:pos="8306"/>
      </w:tabs>
    </w:pPr>
  </w:style>
  <w:style w:type="character" w:customStyle="1" w:styleId="a8">
    <w:name w:val="כותרת תחתונה תו"/>
    <w:basedOn w:val="a0"/>
    <w:link w:val="a7"/>
    <w:uiPriority w:val="99"/>
    <w:rsid w:val="00C04A6B"/>
    <w:rPr>
      <w:rFonts w:ascii="Times New Roman" w:eastAsia="Times New Roman" w:hAnsi="Times New Roman" w:cs="Miriam"/>
      <w:sz w:val="20"/>
      <w:szCs w:val="20"/>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923"/>
    <w:pPr>
      <w:spacing w:after="0" w:line="240" w:lineRule="auto"/>
    </w:pPr>
    <w:rPr>
      <w:rFonts w:ascii="Times New Roman" w:eastAsia="Times New Roman" w:hAnsi="Times New Roman" w:cs="Miriam"/>
      <w:sz w:val="20"/>
      <w:szCs w:val="20"/>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923"/>
    <w:rPr>
      <w:rFonts w:ascii="Tahoma" w:hAnsi="Tahoma" w:cs="Tahoma"/>
      <w:sz w:val="16"/>
      <w:szCs w:val="16"/>
    </w:rPr>
  </w:style>
  <w:style w:type="character" w:customStyle="1" w:styleId="a4">
    <w:name w:val="טקסט בלונים תו"/>
    <w:basedOn w:val="a0"/>
    <w:link w:val="a3"/>
    <w:uiPriority w:val="99"/>
    <w:semiHidden/>
    <w:rsid w:val="00DD5923"/>
    <w:rPr>
      <w:rFonts w:ascii="Tahoma" w:eastAsia="Times New Roman" w:hAnsi="Tahoma" w:cs="Tahoma"/>
      <w:sz w:val="16"/>
      <w:szCs w:val="16"/>
      <w:lang w:eastAsia="he-IL"/>
    </w:rPr>
  </w:style>
  <w:style w:type="paragraph" w:styleId="a5">
    <w:name w:val="header"/>
    <w:basedOn w:val="a"/>
    <w:link w:val="a6"/>
    <w:uiPriority w:val="99"/>
    <w:unhideWhenUsed/>
    <w:rsid w:val="00C04A6B"/>
    <w:pPr>
      <w:tabs>
        <w:tab w:val="center" w:pos="4153"/>
        <w:tab w:val="right" w:pos="8306"/>
      </w:tabs>
    </w:pPr>
  </w:style>
  <w:style w:type="character" w:customStyle="1" w:styleId="a6">
    <w:name w:val="כותרת עליונה תו"/>
    <w:basedOn w:val="a0"/>
    <w:link w:val="a5"/>
    <w:uiPriority w:val="99"/>
    <w:rsid w:val="00C04A6B"/>
    <w:rPr>
      <w:rFonts w:ascii="Times New Roman" w:eastAsia="Times New Roman" w:hAnsi="Times New Roman" w:cs="Miriam"/>
      <w:sz w:val="20"/>
      <w:szCs w:val="20"/>
      <w:lang w:eastAsia="he-IL"/>
    </w:rPr>
  </w:style>
  <w:style w:type="paragraph" w:styleId="a7">
    <w:name w:val="footer"/>
    <w:basedOn w:val="a"/>
    <w:link w:val="a8"/>
    <w:uiPriority w:val="99"/>
    <w:unhideWhenUsed/>
    <w:rsid w:val="00C04A6B"/>
    <w:pPr>
      <w:tabs>
        <w:tab w:val="center" w:pos="4153"/>
        <w:tab w:val="right" w:pos="8306"/>
      </w:tabs>
    </w:pPr>
  </w:style>
  <w:style w:type="character" w:customStyle="1" w:styleId="a8">
    <w:name w:val="כותרת תחתונה תו"/>
    <w:basedOn w:val="a0"/>
    <w:link w:val="a7"/>
    <w:uiPriority w:val="99"/>
    <w:rsid w:val="00C04A6B"/>
    <w:rPr>
      <w:rFonts w:ascii="Times New Roman" w:eastAsia="Times New Roman" w:hAnsi="Times New Roman" w:cs="Miriam"/>
      <w:sz w:val="20"/>
      <w:szCs w:val="20"/>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מסמך" ma:contentTypeID="0x010100D1F996F92905D6438B7766F97F9430E5" ma:contentTypeVersion="2" ma:contentTypeDescription="צור מסמך חדש." ma:contentTypeScope="" ma:versionID="6036f03bd8a12d29b784f5a794bb38bd">
  <xsd:schema xmlns:xsd="http://www.w3.org/2001/XMLSchema" xmlns:xs="http://www.w3.org/2001/XMLSchema" xmlns:p="http://schemas.microsoft.com/office/2006/metadata/properties" xmlns:ns1="http://schemas.microsoft.com/sharepoint/v3" targetNamespace="http://schemas.microsoft.com/office/2006/metadata/properties" ma:root="true" ma:fieldsID="9b04f75fadc857042686ee9e53c11a31"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579070-E0FC-4561-8721-D2646708A947}"/>
</file>

<file path=customXml/itemProps2.xml><?xml version="1.0" encoding="utf-8"?>
<ds:datastoreItem xmlns:ds="http://schemas.openxmlformats.org/officeDocument/2006/customXml" ds:itemID="{0B68C726-367A-448E-991D-18D45C7A5815}"/>
</file>

<file path=customXml/itemProps3.xml><?xml version="1.0" encoding="utf-8"?>
<ds:datastoreItem xmlns:ds="http://schemas.openxmlformats.org/officeDocument/2006/customXml" ds:itemID="{7D331A7C-79EA-44CF-AB07-E524087D6F14}"/>
</file>

<file path=customXml/itemProps4.xml><?xml version="1.0" encoding="utf-8"?>
<ds:datastoreItem xmlns:ds="http://schemas.openxmlformats.org/officeDocument/2006/customXml" ds:itemID="{C4890991-71E6-47CF-956F-1F2C032B2D75}"/>
</file>

<file path=docProps/app.xml><?xml version="1.0" encoding="utf-8"?>
<Properties xmlns="http://schemas.openxmlformats.org/officeDocument/2006/extended-properties" xmlns:vt="http://schemas.openxmlformats.org/officeDocument/2006/docPropsVTypes">
  <Template>Normal.dotm</Template>
  <TotalTime>0</TotalTime>
  <Pages>4</Pages>
  <Words>1595</Words>
  <Characters>7977</Characters>
  <Application>Microsoft Office Word</Application>
  <DocSecurity>0</DocSecurity>
  <Lines>66</Lines>
  <Paragraphs>19</Paragraphs>
  <ScaleCrop>false</ScaleCrop>
  <HeadingPairs>
    <vt:vector size="2" baseType="variant">
      <vt:variant>
        <vt:lpstr>שם</vt:lpstr>
      </vt:variant>
      <vt:variant>
        <vt:i4>1</vt:i4>
      </vt:variant>
    </vt:vector>
  </HeadingPairs>
  <TitlesOfParts>
    <vt:vector size="1" baseType="lpstr">
      <vt:lpstr/>
    </vt:vector>
  </TitlesOfParts>
  <LinksUpToDate>false</LinksUpToDate>
  <CharactersWithSpaces>9553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2014-03-04T08:25:00Z</dcterms:created>
  <dcterms:modified xsi:type="dcterms:W3CDTF">2014-03-04T09:19:00Z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0x010100D1F996F92905D6438B7766F97F9430E5</vt:lpwstr>
  </property>
</Properties>
</file>